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1832" w:rsidRDefault="006D1832" w:rsidP="00482424">
      <w:pPr>
        <w:spacing w:line="264" w:lineRule="auto"/>
        <w:rPr>
          <w:sz w:val="24"/>
        </w:rPr>
      </w:pPr>
      <w:bookmarkStart w:id="0" w:name="vba_ENGLISH_EntireSection"/>
    </w:p>
    <w:p w:rsidR="009A05B4" w:rsidRDefault="009A05B4" w:rsidP="00482424">
      <w:pPr>
        <w:spacing w:line="264" w:lineRule="auto"/>
        <w:rPr>
          <w:sz w:val="24"/>
        </w:rPr>
      </w:pPr>
    </w:p>
    <w:p w:rsidR="00B1048D" w:rsidRDefault="00855467" w:rsidP="00B1048D">
      <w:pPr>
        <w:pStyle w:val="ParagraphNumbering"/>
        <w:numPr>
          <w:ilvl w:val="0"/>
          <w:numId w:val="0"/>
        </w:numPr>
        <w:ind w:left="360" w:hanging="360"/>
        <w:jc w:val="center"/>
        <w:rPr>
          <w:rFonts w:cs="Segoe UI"/>
          <w:b/>
          <w:bCs/>
          <w:i/>
          <w:szCs w:val="21"/>
          <w:lang w:val="el-GR"/>
        </w:rPr>
      </w:pPr>
      <w:r w:rsidRPr="004D66E7">
        <w:rPr>
          <w:b/>
          <w:bCs/>
          <w:color w:val="FF0000"/>
        </w:rPr>
        <w:t xml:space="preserve"> </w:t>
      </w:r>
      <w:r w:rsidR="00B1048D">
        <w:rPr>
          <w:rFonts w:cs="Segoe UI"/>
          <w:b/>
          <w:bCs/>
          <w:i/>
          <w:szCs w:val="21"/>
          <w:lang w:val="el-GR"/>
        </w:rPr>
        <w:t>Ελλάδα: Δήλωση Συμπερασμάτων της Αποστολής του ΔΝΤ του Άρθρου 4 για το 2019</w:t>
      </w:r>
    </w:p>
    <w:p w:rsidR="00B1048D" w:rsidRDefault="00B1048D" w:rsidP="00B1048D">
      <w:pPr>
        <w:pStyle w:val="ParagraphNumbering"/>
        <w:numPr>
          <w:ilvl w:val="0"/>
          <w:numId w:val="0"/>
        </w:numPr>
        <w:rPr>
          <w:rFonts w:cs="Segoe UI"/>
          <w:i/>
          <w:sz w:val="2"/>
          <w:szCs w:val="2"/>
          <w:lang w:val="el-GR"/>
        </w:rPr>
      </w:pPr>
      <w:r>
        <w:rPr>
          <w:noProof/>
        </w:rPr>
        <mc:AlternateContent>
          <mc:Choice Requires="wps">
            <w:drawing>
              <wp:anchor distT="45720" distB="45720" distL="114300" distR="114300" simplePos="0" relativeHeight="251659264" behindDoc="0" locked="0" layoutInCell="1" allowOverlap="1">
                <wp:simplePos x="0" y="0"/>
                <wp:positionH relativeFrom="margin">
                  <wp:posOffset>-301625</wp:posOffset>
                </wp:positionH>
                <wp:positionV relativeFrom="paragraph">
                  <wp:posOffset>356235</wp:posOffset>
                </wp:positionV>
                <wp:extent cx="6276975" cy="2590800"/>
                <wp:effectExtent l="0" t="0" r="28575" b="190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2590800"/>
                        </a:xfrm>
                        <a:prstGeom prst="rect">
                          <a:avLst/>
                        </a:prstGeom>
                        <a:solidFill>
                          <a:schemeClr val="bg1">
                            <a:lumMod val="85000"/>
                          </a:schemeClr>
                        </a:solidFill>
                        <a:ln w="9525">
                          <a:solidFill>
                            <a:srgbClr val="000000"/>
                          </a:solidFill>
                          <a:miter lim="800000"/>
                          <a:headEnd/>
                          <a:tailEnd/>
                        </a:ln>
                      </wps:spPr>
                      <wps:txbx>
                        <w:txbxContent>
                          <w:p w:rsidR="00B1048D" w:rsidRDefault="00B1048D" w:rsidP="00B1048D">
                            <w:pPr>
                              <w:pStyle w:val="ParagraphNumbering"/>
                              <w:numPr>
                                <w:ilvl w:val="0"/>
                                <w:numId w:val="0"/>
                              </w:numPr>
                              <w:ind w:left="360"/>
                              <w:rPr>
                                <w:rFonts w:cs="Segoe UI"/>
                                <w:i/>
                                <w:szCs w:val="21"/>
                                <w:lang w:val="el-GR"/>
                              </w:rPr>
                            </w:pPr>
                            <w:r>
                              <w:rPr>
                                <w:rFonts w:cs="Segoe UI"/>
                                <w:i/>
                                <w:szCs w:val="21"/>
                                <w:lang w:val="el-GR"/>
                              </w:rPr>
                              <w:t>Μια Δήλωση Συμπερασμάτων περιγράφει τα πρώτα ευρήματα του προσωπικού του ΔΝΤ στο τέλος μιας  επίσημης επίσκεψης (ή “αποστολής”), στις περισσότερες περιπτώσεις σε μια χώρα-μέλος. Οι αποστολές αναλαμβάνονται ως μέρος τακτικών (συνήθως ετήσιων) διαβουλεύσεων κατά το Άρθρο 4 των Άρθρων της Συμφωνίας του ΔΝΤ, στο πλαίσιο ενός αιτήματος για τη χρήση πόρων του ΔΝΤ (δανεισμός από το ΔΝΤ), ως μέρος των συζητήσεων στο πλαίσιο προγραμμάτων που παρακολουθούνται από το προσωπικό ή ως μέρος άλλου τύπου παρακολούθησης οικονομικών εξελίξεων από το προσωπικό.</w:t>
                            </w:r>
                          </w:p>
                          <w:p w:rsidR="00B1048D" w:rsidRDefault="00B1048D" w:rsidP="00B1048D">
                            <w:pPr>
                              <w:pStyle w:val="ParagraphNumbering"/>
                              <w:numPr>
                                <w:ilvl w:val="0"/>
                                <w:numId w:val="0"/>
                              </w:numPr>
                              <w:ind w:left="360"/>
                              <w:rPr>
                                <w:rFonts w:cs="Segoe UI"/>
                                <w:i/>
                                <w:szCs w:val="21"/>
                                <w:lang w:val="el-GR"/>
                              </w:rPr>
                            </w:pPr>
                            <w:r>
                              <w:rPr>
                                <w:rFonts w:cs="Segoe UI"/>
                                <w:i/>
                                <w:szCs w:val="21"/>
                                <w:lang w:val="el-GR"/>
                              </w:rPr>
                              <w:t>Οι αρχές έχουν συναινέσει στη δημοσίευση αυτής της δήλωσης. Οι απόψεις που εκφράζονται σε αυτή τη δήλωση είναι αυτές του προσωπικού του ΔΝΤ και δεν αντιπροσωπεύουν απαραίτητα τις απόψεις του Εκτελεστικού Συμβουλίου του ΔΝΤ. Με βάση τα πρώτα ευρήματα αυτής της αποστολής, το προσωπικό θα ετοιμάσει μια έκθεση η οποία, εφόσον εγκριθεί από τη διοίκηση, θα παρουσιαστεί στο Εκτελεστικό Συμβούλιο του ΔΝΤ για συζήτηση και απόφαση.</w:t>
                            </w:r>
                          </w:p>
                          <w:p w:rsidR="00B1048D" w:rsidRDefault="00B1048D" w:rsidP="00B1048D">
                            <w:pPr>
                              <w:rPr>
                                <w:rFonts w:cstheme="minorBidi"/>
                                <w:szCs w:val="22"/>
                                <w:lang w:val="el-G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6" type="#_x0000_t202" style="position:absolute;margin-left:-23.75pt;margin-top:28.05pt;width:494.25pt;height:20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" fillcolor="#d8d8d8 [2732]">
                <v:textbox>
                  <w:txbxContent>
                    <w:p w:rsidR="00B1048D" w:rsidRDefault="00B1048D" w:rsidP="00B1048D">
                      <w:pPr>
                        <w:pStyle w:val="ParagraphNumbering"/>
                        <w:numPr>
                          <w:ilvl w:val="0"/>
                          <w:numId w:val="0"/>
                        </w:numPr>
                        <w:ind w:left="360"/>
                        <w:rPr>
                          <w:rFonts w:cs="Segoe UI"/>
                          <w:i/>
                          <w:szCs w:val="21"/>
                          <w:lang w:val="el-GR"/>
                        </w:rPr>
                      </w:pPr>
                      <w:r>
                        <w:rPr>
                          <w:rFonts w:cs="Segoe UI"/>
                          <w:i/>
                          <w:szCs w:val="21"/>
                          <w:lang w:val="el-GR"/>
                        </w:rPr>
                        <w:t>Μια Δήλωση Συμπερασμάτων περιγράφει τα πρώτα ευρήματα του προσωπικού του ΔΝΤ στο τέλος μιας  επίσημης επίσκεψης (ή “αποστολής”), στις περισσότερες περιπτώσεις σε μια χώρα-μέλος. Οι αποστολές αναλαμβάνονται ως μέρος τακτικών (συνήθως ετήσιων) διαβουλεύσεων κατά το Άρθρο 4 των Άρθρων της Συμφωνίας του ΔΝΤ, στο πλαίσιο ενός αιτήματος για τη χρήση πόρων του ΔΝΤ (δανεισμός από το ΔΝΤ), ως μέρος των συζητήσεων στο πλαίσιο προγραμμάτων που παρακολουθούνται από το προσωπικό ή ως μέρος άλλου τύπου παρακολούθησης οικονομικών εξελίξεων από το προσωπικό.</w:t>
                      </w:r>
                    </w:p>
                    <w:p w:rsidR="00B1048D" w:rsidRDefault="00B1048D" w:rsidP="00B1048D">
                      <w:pPr>
                        <w:pStyle w:val="ParagraphNumbering"/>
                        <w:numPr>
                          <w:ilvl w:val="0"/>
                          <w:numId w:val="0"/>
                        </w:numPr>
                        <w:ind w:left="360"/>
                        <w:rPr>
                          <w:rFonts w:cs="Segoe UI"/>
                          <w:i/>
                          <w:szCs w:val="21"/>
                          <w:lang w:val="el-GR"/>
                        </w:rPr>
                      </w:pPr>
                      <w:r>
                        <w:rPr>
                          <w:rFonts w:cs="Segoe UI"/>
                          <w:i/>
                          <w:szCs w:val="21"/>
                          <w:lang w:val="el-GR"/>
                        </w:rPr>
                        <w:t>Οι αρχές έχουν συναινέσει στη δημοσίευση αυτής της δήλωσης. Οι απόψεις που εκφράζονται σε αυτή τη δήλωση είναι αυτές του προσωπικού του ΔΝΤ και δεν αντιπροσωπεύουν απαραίτητα τις απόψεις του Εκτελεστικού Συμβουλίου του ΔΝΤ. Με βάση τα πρώτα ευρήματα αυτής της αποστολής, το προσωπικό θα ετοιμάσει μια έκθεση η οποία, εφόσον εγκριθεί από τη διοίκηση, θα παρουσιαστεί στο Εκτελεστικό Συμβούλιο του ΔΝΤ για συζήτηση και απόφαση.</w:t>
                      </w:r>
                    </w:p>
                    <w:p w:rsidR="00B1048D" w:rsidRDefault="00B1048D" w:rsidP="00B1048D">
                      <w:pPr>
                        <w:rPr>
                          <w:rFonts w:cstheme="minorBidi"/>
                          <w:szCs w:val="22"/>
                          <w:lang w:val="el-GR"/>
                        </w:rPr>
                      </w:pPr>
                    </w:p>
                  </w:txbxContent>
                </v:textbox>
                <w10:wrap type="square" anchorx="margin"/>
              </v:shape>
            </w:pict>
          </mc:Fallback>
        </mc:AlternateContent>
      </w:r>
      <w:r>
        <w:rPr>
          <w:rFonts w:cs="Segoe UI"/>
          <w:i/>
          <w:szCs w:val="21"/>
          <w:lang w:val="el-GR"/>
        </w:rPr>
        <w:t>27 Σεπτεμβρίου 2019</w:t>
      </w:r>
    </w:p>
    <w:p w:rsidR="00B1048D" w:rsidRDefault="00B1048D" w:rsidP="00B1048D">
      <w:pPr>
        <w:pStyle w:val="ParagraphNumbering"/>
        <w:numPr>
          <w:ilvl w:val="0"/>
          <w:numId w:val="0"/>
        </w:numPr>
        <w:rPr>
          <w:rFonts w:cs="Segoe UI"/>
          <w:i/>
          <w:sz w:val="21"/>
          <w:szCs w:val="21"/>
          <w:lang w:val="el-GR"/>
        </w:rPr>
      </w:pPr>
      <w:bookmarkStart w:id="1" w:name="_GoBack"/>
      <w:bookmarkEnd w:id="1"/>
    </w:p>
    <w:p w:rsidR="00B1048D" w:rsidRDefault="00B1048D" w:rsidP="00B1048D">
      <w:pPr>
        <w:pStyle w:val="ParagraphNumbering"/>
        <w:numPr>
          <w:ilvl w:val="0"/>
          <w:numId w:val="0"/>
        </w:numPr>
        <w:rPr>
          <w:rFonts w:cs="Segoe UI"/>
          <w:i/>
          <w:szCs w:val="21"/>
          <w:highlight w:val="cyan"/>
          <w:lang w:val="el-GR"/>
        </w:rPr>
      </w:pPr>
      <w:r>
        <w:rPr>
          <w:rFonts w:cs="Segoe UI"/>
          <w:i/>
          <w:szCs w:val="21"/>
          <w:lang w:val="el-GR"/>
        </w:rPr>
        <w:t xml:space="preserve">Η νέα κυβέρνηση κληρονόμησε μια χλιαρή ανάκαμψη, επιβαρυμένη από τις παρακαταθήκες της κρίσης και τις ανατροπές πολιτικών σε όλους τους τομείς μετά την έξοδο από το πρόγραμμα, οι οποίες αύξησαν περαιτέρω τις δημοσιονομικές, χρηματοπιστωτικές και εξωτερικές τρωτότητες. Ενώ η κυβέρνηση έκανε μια πολλά υποσχόμενη αρχή με το να απομακρύνει εμπόδια αναφορικά με τις δομικές μεταρρυθμίσεις και τις ιδιωτικοποιήσεις και με το να προχωρήσει στην εξυγείανση των ισολογισμών των τραπεζών, χρειάζεται άμεσα μεγαλύτερη προσπάθεια σε όλους τους τομείς πολιτικής προκειμένου να καταστεί η Ελλάδα ανταγωνιστική εντός της νομισματικής ένωσης, να εξαλείψει το πλεονάζον χρέος και να επιτεύξει περισσότερη ανάπτυξη βασισμένη στην συμπερίληψη. </w:t>
      </w:r>
    </w:p>
    <w:p w:rsidR="00B1048D" w:rsidRDefault="00B1048D" w:rsidP="00B1048D">
      <w:pPr>
        <w:pStyle w:val="ParagraphNumbering"/>
        <w:numPr>
          <w:ilvl w:val="0"/>
          <w:numId w:val="10"/>
        </w:numPr>
        <w:spacing w:line="300" w:lineRule="exact"/>
        <w:rPr>
          <w:rFonts w:cs="Segoe UI"/>
          <w:szCs w:val="21"/>
          <w:lang w:val="el-GR"/>
        </w:rPr>
      </w:pPr>
      <w:r>
        <w:rPr>
          <w:rFonts w:cs="Segoe UI"/>
          <w:b/>
          <w:bCs/>
          <w:szCs w:val="21"/>
          <w:lang w:val="el-GR"/>
        </w:rPr>
        <w:t>Η νέα κυβέρνηση ορθώς δίνει προτεραιότητα στην ανάπτυξη αλλά είναι αντιμέτωπη με μια δύσκολη μάχη.</w:t>
      </w:r>
      <w:r>
        <w:rPr>
          <w:rFonts w:cs="Segoe UI"/>
          <w:szCs w:val="21"/>
          <w:lang w:val="el-GR"/>
        </w:rPr>
        <w:t xml:space="preserve"> Το κατά κεφαλήν εισόδημα παραμένει σε επίπεδα χαμηλότερα από αυτά πριν την προσχώρηση στην Ευρωζώνη, αντανακλώντας σημαντικές παρακαταθήκες της κρίσης (υψηλό δημόσιο χρέος, υψηλό επίπεδο μη εξυπηρετούμενων δανείων, υπερχρεωμένους δανειολήπτες), χαμηλή παραγωγικότητα, απουσία επενδύσεων, αδύναμη νοοτροπία πληρωμής και δυσμενείς δημογραφικές τάσεις. Οι προοπτικές μετριάστηκαν περαιτέρω από την ευρεία υποχώρηση πολιτικών μετά την έξοδο από το πρόγραμμα τον Αύγουστο του 2018, με μεταρρυθμίσεις που προβλέπονταν από το πρόγραμμα να καθυστερούν (π.χ. δημοσιονομικές-διαρθρωτικές μεταρρυθμίσεις), να ακυρώνονται (π.χ. τα προνομοθετημένα μεταρρυθμιστικά πακέτα για τις συντάξεις και τη φορολογία εισοδήματος) ή να ανατρέπονται (π.χ. βασικά στοιχεία των μεταρρυθμίσεων στην </w:t>
      </w:r>
      <w:r>
        <w:rPr>
          <w:rFonts w:cs="Segoe UI"/>
          <w:szCs w:val="21"/>
          <w:lang w:val="el-GR"/>
        </w:rPr>
        <w:lastRenderedPageBreak/>
        <w:t>αγορά εργασίας που εισήχθησαν κατά την περίοδο 2011-2013 και προσπάθειες διεύρυνσης της φορολογικής βάσης και ενίσχυσης της νοοτροπίας πληρωμών).</w:t>
      </w:r>
    </w:p>
    <w:p w:rsidR="00B1048D" w:rsidRDefault="00B1048D" w:rsidP="00B1048D">
      <w:pPr>
        <w:pStyle w:val="ParagraphNumbering"/>
        <w:numPr>
          <w:ilvl w:val="0"/>
          <w:numId w:val="10"/>
        </w:numPr>
        <w:tabs>
          <w:tab w:val="num" w:pos="2880"/>
        </w:tabs>
        <w:spacing w:after="120" w:line="300" w:lineRule="exact"/>
        <w:rPr>
          <w:rFonts w:cs="Segoe UI"/>
          <w:szCs w:val="21"/>
          <w:lang w:val="el-GR"/>
        </w:rPr>
      </w:pPr>
      <w:r>
        <w:rPr>
          <w:rFonts w:cs="Segoe UI"/>
          <w:b/>
          <w:bCs/>
          <w:szCs w:val="21"/>
          <w:lang w:val="el-GR"/>
        </w:rPr>
        <w:t>Η ανάπτυξη αναμένεται να κινηθεί κοντά στο 2 τοις εκατό το 2019 και το 2020.</w:t>
      </w:r>
      <w:r>
        <w:rPr>
          <w:rFonts w:cs="Segoe UI"/>
          <w:szCs w:val="21"/>
          <w:lang w:val="el-GR"/>
        </w:rPr>
        <w:t xml:space="preserve"> Η βραχυπρόθεσμη ανάπτυξη ευνοείται από την κυκλική ανάκαμψη και το καταναλωτικό κλίμα, γεγονός που θα έπρεπε να μεταφραστεί σε υψηλότερες επενδύσεις. Εντούτοις, με την πρόβλεψη για μακροχρόνια ανάπτυξη στο 0.9 τοις εκατό, θα χρειαστεί μιάμιση δεκαετία ακόμη μέχρι να φτάσει το πραγματικό κατά κεφαλήν εισόδημα στα προ κρίσης επίπεδα. Η αναλογία χρέους προς το ΑΕΠ προβλέπεται να έχει καθοδικές τάσεις μέσα στην επόμενη δεκαετία με σχετικά χαμηλό κίνδυνο ρευστότητας μεσοπρόθεσμα, αν και η μακροπρόθεσμη βιωσιμότητα δεν διασφαλίζεται κάτω από ρεαλιστικές μακροοικονομικές παραδοχές. Οι -ακόμη αδύναμες- τράπεζες μετριάζουν τις προοπτικές ανάκαμψης και θέτουν σημαντικούς κινδύνους τόσο δημοσιονομικά όσο και στο κομμάτι στης χρηματοπιστωτικής σταθερότητας. Αυτοί, καθώς και άλλοι παράγοντες, καθιστούν την Ελλάδα ευάλωτη σε μια σειρά εξωτερικών και εγχώριων σοκ. Με δεδομένη την κυκλική θέση της Ελλάδας και τις επιθυμητές πολιτικές μεσοπρόθεσμα, το προσωπικό θεωρεί ότι υπάρχει μια σημαντική υπερεκτίμηση της πραγματικής συναλλαγματικής ισοτιμίας. Σε αυτό το πλαίσιο, η νέα κυβέρνηση θα πρέπει να χρησιμοποιήσει την πολιτική της εντολή και το βελτιωμένο επενδυτικό κλίμα ώστε να αναπτύξει ένα ευρύ φάσμα εργαλείων πολιτικής και να ξεπεράσει τα μακροχρόνια οργανωμένα συμφέροντα, με στόχο να προωθήσει την μακροχρόνια ανάπτυξη σημαντικά πιο πάνω από τις τωρινές προβλέψεις. </w:t>
      </w:r>
    </w:p>
    <w:p w:rsidR="00B1048D" w:rsidRDefault="00B1048D" w:rsidP="00B1048D">
      <w:pPr>
        <w:pStyle w:val="ParagraphNumbering"/>
        <w:numPr>
          <w:ilvl w:val="0"/>
          <w:numId w:val="10"/>
        </w:numPr>
        <w:tabs>
          <w:tab w:val="num" w:pos="2880"/>
        </w:tabs>
        <w:spacing w:after="120" w:line="300" w:lineRule="exact"/>
        <w:rPr>
          <w:rFonts w:cs="Segoe UI"/>
          <w:szCs w:val="21"/>
          <w:lang w:val="el-GR"/>
        </w:rPr>
      </w:pPr>
      <w:r>
        <w:rPr>
          <w:rFonts w:cs="Segoe UI"/>
          <w:b/>
          <w:bCs/>
          <w:szCs w:val="21"/>
          <w:lang w:val="el-GR"/>
        </w:rPr>
        <w:t>Η αποκατάσταση του τραπεζικού τομέα, ο οποίος τώρα είναι ένας δυσλειτουργικός κινητήρας ανάπτυξης, είναι μια κορυφαία προτεραιότητα.</w:t>
      </w:r>
      <w:r>
        <w:rPr>
          <w:rFonts w:cs="Segoe UI"/>
          <w:szCs w:val="21"/>
          <w:lang w:val="el-GR"/>
        </w:rPr>
        <w:t xml:space="preserve"> Ο στόχος της κυβέρνησης για την επίτευξη μονοψήφιων ποσοστών μη εξυπηρετούμενων ανοιγμάτων (</w:t>
      </w:r>
      <w:r>
        <w:rPr>
          <w:rFonts w:cs="Segoe UI"/>
          <w:szCs w:val="21"/>
        </w:rPr>
        <w:t>NPEs</w:t>
      </w:r>
      <w:r>
        <w:rPr>
          <w:rFonts w:cs="Segoe UI"/>
          <w:szCs w:val="21"/>
          <w:lang w:val="el-GR"/>
        </w:rPr>
        <w:t>) μέχρι τα μέσα του 2022 κινείται στη σωστή κατεύθυνση και το προτεινόμενο σχήμα προστασίας ενεργητικού (Α</w:t>
      </w:r>
      <w:r>
        <w:rPr>
          <w:rFonts w:cs="Segoe UI"/>
          <w:szCs w:val="21"/>
        </w:rPr>
        <w:t>PS</w:t>
      </w:r>
      <w:r>
        <w:rPr>
          <w:rFonts w:cs="Segoe UI"/>
          <w:szCs w:val="21"/>
          <w:lang w:val="el-GR"/>
        </w:rPr>
        <w:t xml:space="preserve">) με την ονομασία «Ηρακλής» θα μπορούσε να παρέχει σημαντική υποστήριξη (αν και σημαντικές λεπτομέρειες του σχήματος δεν έχουν γίνει ακόμη γνωστές). Εντούτοις, για την πλήρη αποκατάσταση της ποιότητας του ενεργητικού, σε συνάρτηση με την ποιότητα και τα επίπεδα τραπεζικού κεφαλαίου, της ρευστότητας και της κερδοφορίας, η νέα κυβέρνηση θα πρέπει να αναπτύξει μια πιο συνολική, φιλόδοξη και καλά συντονισμένη στρατηγική. Αυτές οι προσπάθειες θα πρέπει πρωτίστως να είναι αγορακεντρικές, με οποιαδήποτε δημόσια στήριξη να υπόκειται σε μια δυναμική ανάλυση κόστους-οφέλους και να υποστηρίζονται από περαιτέρω βελτιώσεις του νομικού πλαισίου (π.χ. πιο αποδοτικές δικαστικές διαδικασίες και εκσυγχρονισμό του καθεστώτος αφερεγγυότητας). Η προστασία των στεγαστικών δανείων και τα έκτακτα καθεστώτα ρύθμισης για φορολογικές και ασφαλιστικές οφειλές έχουν παρεμποδίσει την ουσιαστική αναδιάθρωση του χρέους, έχουν υπονομεύσει την νοοτροπία πληρωμών και θα πρέπει να εκλείψουν μόνιμα. </w:t>
      </w:r>
    </w:p>
    <w:p w:rsidR="00B1048D" w:rsidRDefault="00B1048D" w:rsidP="00B1048D">
      <w:pPr>
        <w:pStyle w:val="ListParagraph"/>
        <w:numPr>
          <w:ilvl w:val="0"/>
          <w:numId w:val="10"/>
        </w:numPr>
        <w:spacing w:after="120" w:line="300" w:lineRule="exact"/>
        <w:rPr>
          <w:rFonts w:ascii="Segoe UI" w:eastAsia="MS Mincho" w:hAnsi="Segoe UI" w:cs="Segoe UI"/>
          <w:sz w:val="21"/>
          <w:szCs w:val="21"/>
          <w:lang w:val="el-GR"/>
        </w:rPr>
      </w:pPr>
      <w:r>
        <w:rPr>
          <w:rFonts w:ascii="Segoe UI" w:eastAsia="MS Mincho" w:hAnsi="Segoe UI" w:cs="Segoe UI"/>
          <w:b/>
          <w:bCs/>
          <w:sz w:val="21"/>
          <w:szCs w:val="21"/>
          <w:lang w:val="el-GR"/>
        </w:rPr>
        <w:t>Η μείωση των δημοσιονομικών στόχων θα υποστήριζε την οικονομική και κοινωνική ανάκαμψη.</w:t>
      </w:r>
      <w:r>
        <w:rPr>
          <w:rFonts w:ascii="Segoe UI" w:eastAsia="MS Mincho" w:hAnsi="Segoe UI" w:cs="Segoe UI"/>
          <w:sz w:val="21"/>
          <w:szCs w:val="21"/>
          <w:lang w:val="el-GR"/>
        </w:rPr>
        <w:t xml:space="preserve"> Το πρωτογενές δημοσιονομικό πλεόνασμα για το 2019 αναμένεται να είναι σύμφωνο με την δέσμευση της Ελλάδας προς τους Ευρωπαίους εταίρους για πλεόνασμα </w:t>
      </w:r>
      <w:r>
        <w:rPr>
          <w:rFonts w:ascii="Segoe UI" w:eastAsia="MS Mincho" w:hAnsi="Segoe UI" w:cs="Segoe UI"/>
          <w:sz w:val="21"/>
          <w:szCs w:val="21"/>
          <w:lang w:val="el-GR"/>
        </w:rPr>
        <w:lastRenderedPageBreak/>
        <w:t xml:space="preserve">3.5 τοις εκατό ως ποσοστό του ΑΕΠ- αν και για ακόμη μια φορά εξαρτάται από την υπο-εκτέλεση των δημοσίων επενδύσεων, γεγονός που μετριάζει την ανάπτυξη. Για το 2020, το προσωπικό προτείνει η κυβέρνηση και οι Ευρωπαίοι εταίροι να συναινέσουν σε μια πορεία χαμηλότερων δημοσιονομικών πλεονασμάτων, με δεδομένο το ευρύ οικονομικό περιθωρίο και τις σημαντικές μη εξυπηρετούμενες ανάγκες σε κοινωνική και επενδυτική δαπάνη και για τη συμπερίληψη δαπανών που θα μπορούσαν να δημιουργήσουν συνέργειες με ενισχυμένες δομικές μεταρρυθμίσεις. </w:t>
      </w:r>
    </w:p>
    <w:p w:rsidR="00B1048D" w:rsidRDefault="00B1048D" w:rsidP="00B1048D">
      <w:pPr>
        <w:pStyle w:val="ParagraphNumbering"/>
        <w:numPr>
          <w:ilvl w:val="0"/>
          <w:numId w:val="10"/>
        </w:numPr>
        <w:spacing w:line="300" w:lineRule="exact"/>
        <w:rPr>
          <w:rFonts w:ascii="Segoe UI" w:eastAsia="MS Mincho" w:hAnsi="Segoe UI" w:cs="Segoe UI"/>
          <w:sz w:val="21"/>
          <w:szCs w:val="21"/>
          <w:lang w:val="el-GR"/>
        </w:rPr>
      </w:pPr>
      <w:r>
        <w:rPr>
          <w:rFonts w:cs="Segoe UI"/>
          <w:b/>
          <w:bCs/>
          <w:szCs w:val="21"/>
          <w:lang w:val="el-GR"/>
        </w:rPr>
        <w:t xml:space="preserve">Το μείγμα δημοσιονομικής πολιτικής θα πρέπει να επανασταθμιστεί για την ενίσχυση της ανάπτυξης και της κοινωνικής ενσωμάτωσης. </w:t>
      </w:r>
      <w:r>
        <w:rPr>
          <w:rFonts w:cs="Segoe UI"/>
          <w:szCs w:val="21"/>
          <w:lang w:val="el-GR"/>
        </w:rPr>
        <w:t xml:space="preserve">Σχέδια για την μείωση των άμεσων φόρων και για την ενίσχυση της φορολογικής συνέπειας είναι ευπρόσδεκτα αλλά περισσότερα θα μπορούσαν να επιτευχθούν με τη διεύρυνση της φορολογικής βάσης. Η Ελλάδα παραμένει κοντά στον πυθμένα της ΕΕ αναφορικά με το ποσοστό των εργαζόμενων που πληρώνουν φόρο εισοδήματος φυσικών προσώπων και έχει ένα από τα υψηλότερα κενά συμμόρφωσης αναφορικά με τον ΦΠΑ. Σε σύγκριση με την υπόλοιπη ΕΕ, πολύ μεγάλο ποσοστό της δημόσιας δαπάνης κατευθύνεται σε συντάξεις και μισθολογικές δαπάνες του δημοσίου και πολύ μικρό ποσοστό σε άλλες κοινωνικές δαπάνες. Για την αντιμετώπιση καίριων αναγκών, η Ελλάδα θα πρέπει να αυξήσει σημαντικά την κοινωνική δαπάνη (π.χ. για το ελάχιστο εγγυημένο εισόδημα που παρέχεται με βάση εισοδηματικά κριτήρια και τη δημόσια υγεία) και τις επενδύσεις.  Για την ελευθέρωση δημοσιονομικού χώρου, οι συνταξιοδοτικές παροχές των τωρινών συνταξιούχων θα πρέπει να υπολογίζονται σύμφωνα με τον νέο τρόπο υπολογισμού (και η πρόσφατη αποκατάσταση των δώρων που χορηγούνταν πριν από την κρίση θα πρέπει να ανατραπεί). Η επιτάχυνση των μεταρρυθμίσεων στον τομέα της δημόσιας οικονομικής διαχείρισης θα βοηθήσει στην καλύτερη εκτέλεση του προϋπολογισμού δημοσίων επενδύσεων, θα ενισχύσει τον έλεγχο του προϋπολογισμού και θα ενδυναμώσει τη διαχείριση κινδύνου (συμπεριλαμβανομένων των κινδύνων προερχόμενων από δικαστικές υποθέσεις σε εξέλιξη), ενώ απαιτούνται συνεχιζόμενες προσπάθειες για την ενίσχυση της ΑΑΔΕ και για την κινητοποίηση του πλαισίου κατά του ξεπλύματος χρήματος (AML) για την καταπολέμηση της φοροδιαφυγής. </w:t>
      </w:r>
    </w:p>
    <w:p w:rsidR="00B1048D" w:rsidRDefault="00B1048D" w:rsidP="00B1048D">
      <w:pPr>
        <w:pStyle w:val="ParagraphNumbering"/>
        <w:numPr>
          <w:ilvl w:val="0"/>
          <w:numId w:val="10"/>
        </w:numPr>
        <w:tabs>
          <w:tab w:val="num" w:pos="2880"/>
        </w:tabs>
        <w:spacing w:after="120" w:line="300" w:lineRule="exact"/>
        <w:rPr>
          <w:rFonts w:cs="Segoe UI"/>
          <w:szCs w:val="21"/>
          <w:lang w:val="el-GR"/>
        </w:rPr>
      </w:pPr>
      <w:r>
        <w:rPr>
          <w:rFonts w:cs="Segoe UI"/>
          <w:b/>
          <w:bCs/>
          <w:szCs w:val="21"/>
          <w:lang w:val="el-GR"/>
        </w:rPr>
        <w:t>Η νέα κυβέρνηση αξίζει αναγνώριση για την άρση εμποδίων στις ιδιωτικοποιήσεις και για την προώθηση της διευκόλυνσης των επιχειρήσεων και της ψηφιοποίησης, αλλά ένα σημαντικό κομμάτι της δομικής μεταρρύθμισης της Ελληνικής οικονομίας βρίσκεται ακόμη μπροστά μας.</w:t>
      </w:r>
      <w:r>
        <w:rPr>
          <w:rFonts w:cs="Segoe UI"/>
          <w:szCs w:val="21"/>
          <w:lang w:val="el-GR"/>
        </w:rPr>
        <w:t xml:space="preserve"> Η οικονομία παραμένει υπερ-ρυθμισμένη και κυριαρχείται από μικρομεσαίες επιχειρήσεις που λειτουργούν σε ένα μη φιλικό επιχειρηματικό περιβάλλον, και η Ελλάδα βρίσκεται στο τέλος ή κοντά στο τέλος της κατάταξης της Ευρωζώνης σε πολλές διακρατικές έρευνες. Απαιτούνται περισσότερες προσπάθειες για την εκ των πραγμάτων απελευθέρωση των αγορών προϊόντων και των κλειστών επαγγελμάτων και για την ενίσχυση του ανταγωνισμού. </w:t>
      </w:r>
    </w:p>
    <w:p w:rsidR="00B1048D" w:rsidRDefault="00B1048D" w:rsidP="00B1048D">
      <w:pPr>
        <w:pStyle w:val="ParagraphNumbering"/>
        <w:numPr>
          <w:ilvl w:val="0"/>
          <w:numId w:val="10"/>
        </w:numPr>
        <w:tabs>
          <w:tab w:val="num" w:pos="2880"/>
        </w:tabs>
        <w:spacing w:after="120" w:line="300" w:lineRule="exact"/>
        <w:rPr>
          <w:rFonts w:cs="Segoe UI"/>
          <w:szCs w:val="21"/>
          <w:lang w:val="el-GR"/>
        </w:rPr>
      </w:pPr>
      <w:r>
        <w:rPr>
          <w:rFonts w:cs="Segoe UI"/>
          <w:b/>
          <w:bCs/>
          <w:szCs w:val="21"/>
          <w:lang w:val="el-GR"/>
        </w:rPr>
        <w:t>Οι πρόσφατες προτάσεις της κυβέρνησης για την αγορά εργασίας είναι άξιες στήριξης, αν και χρειάζονται παραπάνω προσπάθειες για τη στήριξη της υψηλότερης απασχόλησης, της ανάπτυξης και της ανταγωνιστικότητας.</w:t>
      </w:r>
      <w:r>
        <w:rPr>
          <w:rFonts w:cs="Segoe UI"/>
          <w:szCs w:val="21"/>
          <w:lang w:val="el-GR"/>
        </w:rPr>
        <w:t xml:space="preserve"> Το προσωπικό στηρίζει την </w:t>
      </w:r>
      <w:r>
        <w:rPr>
          <w:rFonts w:cs="Segoe UI"/>
          <w:szCs w:val="21"/>
          <w:lang w:val="el-GR"/>
        </w:rPr>
        <w:lastRenderedPageBreak/>
        <w:t>πρόσφατη νομοθεσία για την άρση των νέων περιορισμών στις απολύσεις και την πρόθεση να περιοριστεί η μονομερής προσφυγή στη διαιτησία. Τα σχέδια αναφορικά με την εισαγωγή ενός μηχανισμού εξαίρεσης από τις συλλογικές διαπραγματεύσεις (</w:t>
      </w:r>
      <w:r>
        <w:rPr>
          <w:rFonts w:cs="Segoe UI"/>
          <w:szCs w:val="21"/>
        </w:rPr>
        <w:t>opt</w:t>
      </w:r>
      <w:r>
        <w:rPr>
          <w:rFonts w:cs="Segoe UI"/>
          <w:szCs w:val="21"/>
          <w:lang w:val="el-GR"/>
        </w:rPr>
        <w:t>-</w:t>
      </w:r>
      <w:r>
        <w:rPr>
          <w:rFonts w:cs="Segoe UI"/>
          <w:szCs w:val="21"/>
        </w:rPr>
        <w:t>out</w:t>
      </w:r>
      <w:r>
        <w:rPr>
          <w:rFonts w:cs="Segoe UI"/>
          <w:szCs w:val="21"/>
          <w:lang w:val="el-GR"/>
        </w:rPr>
        <w:t xml:space="preserve">) είναι προς τη σωστή κατεύθυνση αλλά θα έπρεπε να στοχεύουν στην πλήρη αποκατάσταση των μεταρρυθμίσεων-ορόσημο που εισήχθησαν κατά την περίοδο 2011-2013. Η μείωση του μη μισθολογικού κόστους, η διασύνδεση της προσαρμογής των κατώτατων μισθών με το επίπεδο παραγωγικότητας, η ενίσχυση των ενεργών πολιτικών απασχόλησης και η απομάκρυνση εμποδίων στη γυναικεία συμμετοχή στην αγορά εργασίας θα είναι καίριας σημασίας για την αντιμετώπιση της υστέρησης, της φτώχειας (συμπεριλαμβανομένης της φτώχειας στην εργασία) και του κοινωνικού αποκλεισμού. </w:t>
      </w:r>
    </w:p>
    <w:p w:rsidR="00B1048D" w:rsidRDefault="00B1048D" w:rsidP="00B1048D">
      <w:pPr>
        <w:pStyle w:val="ParagraphNumbering"/>
        <w:numPr>
          <w:ilvl w:val="0"/>
          <w:numId w:val="0"/>
        </w:numPr>
        <w:spacing w:after="120"/>
        <w:rPr>
          <w:rFonts w:cs="Segoe UI"/>
          <w:szCs w:val="21"/>
          <w:lang w:val="el-GR"/>
        </w:rPr>
      </w:pPr>
    </w:p>
    <w:p w:rsidR="00B1048D" w:rsidRDefault="00B1048D" w:rsidP="00B1048D">
      <w:pPr>
        <w:pStyle w:val="ParagraphNumbering"/>
        <w:numPr>
          <w:ilvl w:val="0"/>
          <w:numId w:val="0"/>
        </w:numPr>
        <w:spacing w:after="120"/>
        <w:rPr>
          <w:rFonts w:cs="Segoe UI"/>
          <w:i/>
          <w:iCs/>
          <w:szCs w:val="21"/>
          <w:lang w:val="el-GR"/>
        </w:rPr>
      </w:pPr>
      <w:r>
        <w:rPr>
          <w:rFonts w:cs="Segoe UI"/>
          <w:i/>
          <w:iCs/>
          <w:szCs w:val="21"/>
          <w:lang w:val="el-GR"/>
        </w:rPr>
        <w:t>Η αποστολή εκφράζει την ευγνομωσύνη της απέναντι στις αρχές για τις εποικοδομητικές συζητήσεις.</w:t>
      </w:r>
    </w:p>
    <w:p w:rsidR="006D1832" w:rsidRPr="00B1048D" w:rsidRDefault="006D1832" w:rsidP="00B1048D">
      <w:pPr>
        <w:pStyle w:val="webtitle"/>
        <w:spacing w:line="264" w:lineRule="auto"/>
        <w:jc w:val="center"/>
        <w:rPr>
          <w:lang w:val="el-GR"/>
        </w:rPr>
      </w:pPr>
    </w:p>
    <w:p w:rsidR="006D1832" w:rsidRPr="00B1048D" w:rsidRDefault="006D1832" w:rsidP="006D1832">
      <w:pPr>
        <w:spacing w:line="264" w:lineRule="auto"/>
        <w:rPr>
          <w:sz w:val="24"/>
          <w:lang w:val="el-GR"/>
        </w:rPr>
      </w:pPr>
    </w:p>
    <w:p w:rsidR="006D1832" w:rsidRPr="00B1048D" w:rsidRDefault="006D1832" w:rsidP="006D1832">
      <w:pPr>
        <w:spacing w:line="264" w:lineRule="auto"/>
        <w:rPr>
          <w:sz w:val="24"/>
          <w:lang w:val="el-GR"/>
        </w:rPr>
      </w:pPr>
    </w:p>
    <w:p w:rsidR="006D1832" w:rsidRPr="00B1048D" w:rsidRDefault="006D1832" w:rsidP="006D1832">
      <w:pPr>
        <w:spacing w:line="264" w:lineRule="auto"/>
        <w:rPr>
          <w:sz w:val="24"/>
          <w:lang w:val="el-GR"/>
        </w:rPr>
      </w:pPr>
    </w:p>
    <w:p w:rsidR="006D1832" w:rsidRPr="00B1048D" w:rsidRDefault="006D1832" w:rsidP="006D1832">
      <w:pPr>
        <w:spacing w:line="264" w:lineRule="auto"/>
        <w:rPr>
          <w:sz w:val="24"/>
          <w:lang w:val="el-GR"/>
        </w:rPr>
      </w:pPr>
    </w:p>
    <w:p w:rsidR="006D1832" w:rsidRPr="00B1048D" w:rsidRDefault="006D1832" w:rsidP="006D1832">
      <w:pPr>
        <w:spacing w:line="264" w:lineRule="auto"/>
        <w:rPr>
          <w:sz w:val="24"/>
          <w:lang w:val="el-GR"/>
        </w:rPr>
      </w:pPr>
    </w:p>
    <w:bookmarkEnd w:id="0"/>
    <w:p w:rsidR="00FE68DA" w:rsidRDefault="00FE68DA" w:rsidP="00FE68DA">
      <w:pPr>
        <w:bidi/>
        <w:rPr>
          <w:rFonts w:ascii="Simplified Arabic" w:hAnsi="Simplified Arabic" w:cs="Simplified Arabic"/>
          <w:sz w:val="24"/>
          <w:szCs w:val="24"/>
          <w:rtl/>
        </w:rPr>
      </w:pPr>
    </w:p>
    <w:p w:rsidR="00FE68DA" w:rsidRDefault="00FE68DA" w:rsidP="00FE68DA">
      <w:pPr>
        <w:bidi/>
        <w:rPr>
          <w:rFonts w:ascii="Simplified Arabic" w:hAnsi="Simplified Arabic" w:cs="Simplified Arabic"/>
          <w:sz w:val="24"/>
          <w:szCs w:val="24"/>
          <w:rtl/>
        </w:rPr>
      </w:pPr>
    </w:p>
    <w:p w:rsidR="0004745E" w:rsidRPr="00B1048D" w:rsidRDefault="0004745E" w:rsidP="00FE68DA">
      <w:pPr>
        <w:spacing w:line="264" w:lineRule="auto"/>
        <w:rPr>
          <w:rFonts w:ascii="Simplified Arabic" w:hAnsi="Simplified Arabic" w:cs="Simplified Arabic"/>
          <w:sz w:val="24"/>
          <w:szCs w:val="24"/>
          <w:lang w:val="el-GR"/>
        </w:rPr>
      </w:pPr>
    </w:p>
    <w:sectPr w:rsidR="0004745E" w:rsidRPr="00B1048D" w:rsidSect="00EC351D">
      <w:headerReference w:type="even" r:id="rId11"/>
      <w:headerReference w:type="default" r:id="rId12"/>
      <w:headerReference w:type="first" r:id="rId13"/>
      <w:footerReference w:type="first" r:id="rId14"/>
      <w:pgSz w:w="12240" w:h="15840"/>
      <w:pgMar w:top="1800" w:right="1440" w:bottom="1440" w:left="180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048D" w:rsidRDefault="00B1048D">
      <w:r>
        <w:separator/>
      </w:r>
    </w:p>
  </w:endnote>
  <w:endnote w:type="continuationSeparator" w:id="0">
    <w:p w:rsidR="00B1048D" w:rsidRDefault="00B1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implified Arabic">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C1A" w:rsidRDefault="00222C1A">
    <w:pPr>
      <w:pStyle w:val="Footer"/>
    </w:pPr>
    <w:r>
      <w:rPr>
        <w:noProof/>
        <w:lang w:eastAsia="zh-TW"/>
      </w:rPr>
      <w:drawing>
        <wp:inline distT="0" distB="0" distL="0" distR="0">
          <wp:extent cx="5676900" cy="304800"/>
          <wp:effectExtent l="19050" t="0" r="0" b="0"/>
          <wp:docPr id="8" name="Picture 2" descr="imf-b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f-bot"/>
                  <pic:cNvPicPr>
                    <a:picLocks noChangeAspect="1" noChangeArrowheads="1"/>
                  </pic:cNvPicPr>
                </pic:nvPicPr>
                <pic:blipFill>
                  <a:blip r:embed="rId1"/>
                  <a:srcRect/>
                  <a:stretch>
                    <a:fillRect/>
                  </a:stretch>
                </pic:blipFill>
                <pic:spPr bwMode="auto">
                  <a:xfrm>
                    <a:off x="0" y="0"/>
                    <a:ext cx="5676900" cy="30480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048D" w:rsidRDefault="00B1048D">
      <w:r>
        <w:separator/>
      </w:r>
    </w:p>
  </w:footnote>
  <w:footnote w:type="continuationSeparator" w:id="0">
    <w:p w:rsidR="00B1048D" w:rsidRDefault="00B104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C1A" w:rsidRDefault="00276697" w:rsidP="00173A9F">
    <w:pPr>
      <w:pStyle w:val="Header"/>
      <w:framePr w:wrap="around" w:vAnchor="text" w:hAnchor="margin" w:xAlign="center" w:y="1"/>
      <w:rPr>
        <w:rStyle w:val="PageNumber"/>
      </w:rPr>
    </w:pPr>
    <w:r>
      <w:rPr>
        <w:rStyle w:val="PageNumber"/>
      </w:rPr>
      <w:fldChar w:fldCharType="begin"/>
    </w:r>
    <w:r w:rsidR="00222C1A">
      <w:rPr>
        <w:rStyle w:val="PageNumber"/>
      </w:rPr>
      <w:instrText xml:space="preserve">PAGE  </w:instrText>
    </w:r>
    <w:r>
      <w:rPr>
        <w:rStyle w:val="PageNumber"/>
      </w:rPr>
      <w:fldChar w:fldCharType="separate"/>
    </w:r>
    <w:r w:rsidR="00222C1A">
      <w:rPr>
        <w:rStyle w:val="PageNumber"/>
        <w:noProof/>
      </w:rPr>
      <w:t>1</w:t>
    </w:r>
    <w:r>
      <w:rPr>
        <w:rStyle w:val="PageNumber"/>
      </w:rPr>
      <w:fldChar w:fldCharType="end"/>
    </w:r>
  </w:p>
  <w:p w:rsidR="00222C1A" w:rsidRDefault="00222C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C1A" w:rsidRDefault="00276697" w:rsidP="00173A9F">
    <w:pPr>
      <w:pStyle w:val="Header"/>
      <w:framePr w:wrap="around" w:vAnchor="text" w:hAnchor="margin" w:xAlign="center" w:y="1"/>
      <w:rPr>
        <w:rStyle w:val="PageNumber"/>
      </w:rPr>
    </w:pPr>
    <w:r>
      <w:rPr>
        <w:rStyle w:val="PageNumber"/>
      </w:rPr>
      <w:fldChar w:fldCharType="begin"/>
    </w:r>
    <w:r w:rsidR="00222C1A">
      <w:rPr>
        <w:rStyle w:val="PageNumber"/>
      </w:rPr>
      <w:instrText xml:space="preserve">PAGE  </w:instrText>
    </w:r>
    <w:r>
      <w:rPr>
        <w:rStyle w:val="PageNumber"/>
      </w:rPr>
      <w:fldChar w:fldCharType="separate"/>
    </w:r>
    <w:r w:rsidR="00222C1A">
      <w:rPr>
        <w:rStyle w:val="PageNumber"/>
        <w:noProof/>
      </w:rPr>
      <w:t>1</w:t>
    </w:r>
    <w:r>
      <w:rPr>
        <w:rStyle w:val="PageNumber"/>
      </w:rPr>
      <w:fldChar w:fldCharType="end"/>
    </w:r>
  </w:p>
  <w:p w:rsidR="00222C1A" w:rsidRDefault="00222C1A">
    <w:pPr>
      <w:pStyle w:val="Header"/>
      <w:tabs>
        <w:tab w:val="clear" w:pos="4320"/>
        <w:tab w:val="center" w:pos="4680"/>
      </w:tabs>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C1A" w:rsidRDefault="00222C1A" w:rsidP="00871A9C">
    <w:pPr>
      <w:pStyle w:val="Header"/>
      <w:ind w:left="540"/>
    </w:pPr>
    <w:r w:rsidRPr="00F3494A">
      <w:rPr>
        <w:noProof/>
        <w:lang w:eastAsia="zh-TW"/>
      </w:rPr>
      <w:drawing>
        <wp:inline distT="0" distB="0" distL="0" distR="0">
          <wp:extent cx="4505325" cy="676275"/>
          <wp:effectExtent l="19050" t="0" r="9525" b="0"/>
          <wp:docPr id="7" name="Picture 3" descr="MEC087560:Users:knakagawa:Desktop:COM_PR_Templates:COM_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C087560:Users:knakagawa:Desktop:COM_PR_Templates:COM_Header.png"/>
                  <pic:cNvPicPr>
                    <a:picLocks noChangeAspect="1" noChangeArrowheads="1"/>
                  </pic:cNvPicPr>
                </pic:nvPicPr>
                <pic:blipFill>
                  <a:blip r:embed="rId1">
                    <a:extLst>
                      <a:ext uri="{28A0092B-C50C-407E-A947-70E740481C1C}">
                        <a14:useLocalDpi xmlns:a14="http://schemas.microsoft.com/office/drawing/2010/main" val="0"/>
                      </a:ext>
                    </a:extLst>
                  </a:blip>
                  <a:srcRect r="21167"/>
                  <a:stretch>
                    <a:fillRect/>
                  </a:stretch>
                </pic:blipFill>
                <pic:spPr bwMode="auto">
                  <a:xfrm>
                    <a:off x="0" y="0"/>
                    <a:ext cx="4505325" cy="676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1A0B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105CA9"/>
    <w:multiLevelType w:val="hybridMultilevel"/>
    <w:tmpl w:val="31C02244"/>
    <w:lvl w:ilvl="0" w:tplc="3CF28AFA">
      <w:start w:val="1"/>
      <w:numFmt w:val="decimal"/>
      <w:pStyle w:val="ParagraphNumbering"/>
      <w:lvlText w:val="%1.     "/>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33D7BB7"/>
    <w:multiLevelType w:val="hybridMultilevel"/>
    <w:tmpl w:val="9B848032"/>
    <w:lvl w:ilvl="0" w:tplc="7BCEEB4C">
      <w:start w:val="1"/>
      <w:numFmt w:val="decimal"/>
      <w:pStyle w:val="Footer"/>
      <w:lvlText w:val="%1.     "/>
      <w:lvlJc w:val="left"/>
      <w:pPr>
        <w:ind w:left="360" w:hanging="360"/>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70EA15A1"/>
    <w:multiLevelType w:val="multilevel"/>
    <w:tmpl w:val="FAA42BFC"/>
    <w:lvl w:ilvl="0">
      <w:start w:val="1"/>
      <w:numFmt w:val="upperRoman"/>
      <w:pStyle w:val="Heading1"/>
      <w:suff w:val="nothing"/>
      <w:lvlText w:val="%1.   "/>
      <w:lvlJc w:val="left"/>
      <w:pPr>
        <w:ind w:left="0" w:firstLine="0"/>
      </w:pPr>
      <w:rPr>
        <w:rFonts w:hint="default"/>
      </w:rPr>
    </w:lvl>
    <w:lvl w:ilvl="1">
      <w:start w:val="1"/>
      <w:numFmt w:val="upperLetter"/>
      <w:pStyle w:val="Heading2"/>
      <w:suff w:val="nothing"/>
      <w:lvlText w:val="%2.   "/>
      <w:lvlJc w:val="left"/>
      <w:pPr>
        <w:ind w:left="0" w:firstLine="0"/>
      </w:pPr>
      <w:rPr>
        <w:rFonts w:hint="default"/>
      </w:rPr>
    </w:lvl>
    <w:lvl w:ilvl="2">
      <w:start w:val="1"/>
      <w:numFmt w:val="decimal"/>
      <w:lvlText w:val="%3."/>
      <w:lvlJc w:val="left"/>
      <w:pPr>
        <w:tabs>
          <w:tab w:val="num" w:pos="1080"/>
        </w:tabs>
        <w:ind w:left="720" w:firstLine="0"/>
      </w:pPr>
      <w:rPr>
        <w:rFonts w:hint="default"/>
      </w:rPr>
    </w:lvl>
    <w:lvl w:ilvl="3">
      <w:start w:val="1"/>
      <w:numFmt w:val="lowerLetter"/>
      <w:lvlText w:val="%4)"/>
      <w:lvlJc w:val="left"/>
      <w:pPr>
        <w:tabs>
          <w:tab w:val="num" w:pos="1800"/>
        </w:tabs>
        <w:ind w:left="1440" w:firstLine="0"/>
      </w:pPr>
      <w:rPr>
        <w:rFonts w:hint="default"/>
      </w:rPr>
    </w:lvl>
    <w:lvl w:ilvl="4">
      <w:start w:val="1"/>
      <w:numFmt w:val="decimal"/>
      <w:lvlText w:val="(%5)"/>
      <w:lvlJc w:val="left"/>
      <w:pPr>
        <w:tabs>
          <w:tab w:val="num" w:pos="2520"/>
        </w:tabs>
        <w:ind w:left="2160" w:firstLine="0"/>
      </w:pPr>
      <w:rPr>
        <w:rFonts w:hint="default"/>
      </w:rPr>
    </w:lvl>
    <w:lvl w:ilvl="5">
      <w:start w:val="1"/>
      <w:numFmt w:val="lowerLetter"/>
      <w:lvlText w:val="(%6)"/>
      <w:lvlJc w:val="left"/>
      <w:pPr>
        <w:tabs>
          <w:tab w:val="num" w:pos="3240"/>
        </w:tabs>
        <w:ind w:left="2880" w:firstLine="0"/>
      </w:pPr>
      <w:rPr>
        <w:rFonts w:hint="default"/>
      </w:rPr>
    </w:lvl>
    <w:lvl w:ilvl="6">
      <w:start w:val="1"/>
      <w:numFmt w:val="lowerRoman"/>
      <w:lvlText w:val="(%7)"/>
      <w:lvlJc w:val="left"/>
      <w:pPr>
        <w:tabs>
          <w:tab w:val="num" w:pos="3960"/>
        </w:tabs>
        <w:ind w:left="3600" w:firstLine="0"/>
      </w:pPr>
      <w:rPr>
        <w:rFonts w:hint="default"/>
      </w:rPr>
    </w:lvl>
    <w:lvl w:ilvl="7">
      <w:start w:val="1"/>
      <w:numFmt w:val="lowerLetter"/>
      <w:lvlText w:val="(%8)"/>
      <w:lvlJc w:val="left"/>
      <w:pPr>
        <w:tabs>
          <w:tab w:val="num" w:pos="4680"/>
        </w:tabs>
        <w:ind w:left="4320" w:firstLine="0"/>
      </w:pPr>
      <w:rPr>
        <w:rFonts w:hint="default"/>
      </w:rPr>
    </w:lvl>
    <w:lvl w:ilvl="8">
      <w:start w:val="1"/>
      <w:numFmt w:val="lowerRoman"/>
      <w:lvlText w:val="(%9)"/>
      <w:lvlJc w:val="left"/>
      <w:pPr>
        <w:tabs>
          <w:tab w:val="num" w:pos="5400"/>
        </w:tabs>
        <w:ind w:left="5040" w:firstLine="0"/>
      </w:pPr>
      <w:rPr>
        <w:rFonts w:hint="default"/>
      </w:rPr>
    </w:lvl>
  </w:abstractNum>
  <w:num w:numId="1">
    <w:abstractNumId w:val="0"/>
  </w:num>
  <w:num w:numId="2">
    <w:abstractNumId w:val="3"/>
  </w:num>
  <w:num w:numId="3">
    <w:abstractNumId w:val="3"/>
  </w:num>
  <w:num w:numId="4">
    <w:abstractNumId w:val="1"/>
  </w:num>
  <w:num w:numId="5">
    <w:abstractNumId w:val="3"/>
  </w:num>
  <w:num w:numId="6">
    <w:abstractNumId w:val="3"/>
  </w:num>
  <w:num w:numId="7">
    <w:abstractNumId w:val="1"/>
  </w:num>
  <w:num w:numId="8">
    <w:abstractNumId w:val="1"/>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pt-BR" w:vendorID="64" w:dllVersion="6" w:nlCheck="1" w:checkStyle="0"/>
  <w:activeWritingStyle w:appName="MSWord" w:lang="en-US" w:vendorID="64" w:dllVersion="6" w:nlCheck="1" w:checkStyle="1"/>
  <w:activeWritingStyle w:appName="MSWord" w:lang="zh-CN" w:vendorID="64" w:dllVersion="5" w:nlCheck="1" w:checkStyle="1"/>
  <w:activeWritingStyle w:appName="MSWord" w:lang="ja-JP" w:vendorID="64" w:dllVersion="6" w:nlCheck="1" w:checkStyle="1"/>
  <w:activeWritingStyle w:appName="MSWord" w:lang="ru-RU" w:vendorID="64" w:dllVersion="6" w:nlCheck="1" w:checkStyle="0"/>
  <w:activeWritingStyle w:appName="MSWord" w:lang="ar-SA" w:vendorID="64" w:dllVersion="6" w:nlCheck="1" w:checkStyle="0"/>
  <w:activeWritingStyle w:appName="MSWord" w:lang="fr-CA" w:vendorID="64" w:dllVersion="6" w:nlCheck="1" w:checkStyle="1"/>
  <w:activeWritingStyle w:appName="MSWord" w:lang="de-DE" w:vendorID="64" w:dllVersion="6" w:nlCheck="1" w:checkStyle="1"/>
  <w:activeWritingStyle w:appName="MSWord" w:lang="fr-FR" w:vendorID="64" w:dllVersion="6" w:nlCheck="1" w:checkStyle="1"/>
  <w:activeWritingStyle w:appName="MSWord" w:lang="es-US" w:vendorID="64" w:dllVersion="6" w:nlCheck="1" w:checkStyle="1"/>
  <w:activeWritingStyle w:appName="MSWord" w:lang="es-ES" w:vendorID="64" w:dllVersion="6" w:nlCheck="1" w:checkStyle="1"/>
  <w:activeWritingStyle w:appName="MSWord" w:lang="en-US" w:vendorID="64" w:dllVersion="0" w:nlCheck="1" w:checkStyle="0"/>
  <w:activeWritingStyle w:appName="MSWord" w:lang="fr-FR" w:vendorID="64" w:dllVersion="0" w:nlCheck="1" w:checkStyle="0"/>
  <w:activeWritingStyle w:appName="MSWord" w:lang="es-US" w:vendorID="64" w:dllVersion="0" w:nlCheck="1" w:checkStyle="0"/>
  <w:activeWritingStyle w:appName="MSWord" w:lang="es-ES" w:vendorID="64" w:dllVersion="0" w:nlCheck="1" w:checkStyle="0"/>
  <w:activeWritingStyle w:appName="MSWord" w:lang="fr-CA"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48D"/>
    <w:rsid w:val="00007E2B"/>
    <w:rsid w:val="000208DE"/>
    <w:rsid w:val="00020DA6"/>
    <w:rsid w:val="000210BE"/>
    <w:rsid w:val="0002360E"/>
    <w:rsid w:val="000321CB"/>
    <w:rsid w:val="00043026"/>
    <w:rsid w:val="00046EE4"/>
    <w:rsid w:val="0004745E"/>
    <w:rsid w:val="0005007D"/>
    <w:rsid w:val="000516C2"/>
    <w:rsid w:val="00067068"/>
    <w:rsid w:val="00076441"/>
    <w:rsid w:val="000A1E22"/>
    <w:rsid w:val="000B129A"/>
    <w:rsid w:val="000B4EE3"/>
    <w:rsid w:val="000B7645"/>
    <w:rsid w:val="000C1231"/>
    <w:rsid w:val="000C4663"/>
    <w:rsid w:val="000D36E7"/>
    <w:rsid w:val="000E1EAA"/>
    <w:rsid w:val="000E33BD"/>
    <w:rsid w:val="000E36D6"/>
    <w:rsid w:val="000F0DD2"/>
    <w:rsid w:val="000F4E04"/>
    <w:rsid w:val="000F5673"/>
    <w:rsid w:val="000F6A5C"/>
    <w:rsid w:val="000F7B4E"/>
    <w:rsid w:val="001111C9"/>
    <w:rsid w:val="00144388"/>
    <w:rsid w:val="00150D8A"/>
    <w:rsid w:val="00173A9F"/>
    <w:rsid w:val="00175AB1"/>
    <w:rsid w:val="00177FF1"/>
    <w:rsid w:val="00191C29"/>
    <w:rsid w:val="001A5FAA"/>
    <w:rsid w:val="001B5F00"/>
    <w:rsid w:val="001D6AF9"/>
    <w:rsid w:val="001E131A"/>
    <w:rsid w:val="001E42AD"/>
    <w:rsid w:val="00201C7B"/>
    <w:rsid w:val="0021040C"/>
    <w:rsid w:val="00222C1A"/>
    <w:rsid w:val="00233A85"/>
    <w:rsid w:val="0024611B"/>
    <w:rsid w:val="002646ED"/>
    <w:rsid w:val="00276697"/>
    <w:rsid w:val="00282858"/>
    <w:rsid w:val="00292822"/>
    <w:rsid w:val="0029647F"/>
    <w:rsid w:val="002A7181"/>
    <w:rsid w:val="002A7B46"/>
    <w:rsid w:val="002C1D81"/>
    <w:rsid w:val="002C53BC"/>
    <w:rsid w:val="002F0A84"/>
    <w:rsid w:val="002F6143"/>
    <w:rsid w:val="00350A46"/>
    <w:rsid w:val="003640B7"/>
    <w:rsid w:val="00372445"/>
    <w:rsid w:val="00372C6B"/>
    <w:rsid w:val="0039474A"/>
    <w:rsid w:val="003958D1"/>
    <w:rsid w:val="003A50F5"/>
    <w:rsid w:val="003C5FCE"/>
    <w:rsid w:val="003E042D"/>
    <w:rsid w:val="003E32D2"/>
    <w:rsid w:val="003F1492"/>
    <w:rsid w:val="003F2254"/>
    <w:rsid w:val="003F7C8E"/>
    <w:rsid w:val="004140C1"/>
    <w:rsid w:val="00415B77"/>
    <w:rsid w:val="0042784E"/>
    <w:rsid w:val="00440949"/>
    <w:rsid w:val="00444599"/>
    <w:rsid w:val="004734A6"/>
    <w:rsid w:val="00482424"/>
    <w:rsid w:val="004D66E7"/>
    <w:rsid w:val="004E044B"/>
    <w:rsid w:val="004E1B81"/>
    <w:rsid w:val="004F2BA1"/>
    <w:rsid w:val="0051722C"/>
    <w:rsid w:val="005176FA"/>
    <w:rsid w:val="00520B19"/>
    <w:rsid w:val="0053578D"/>
    <w:rsid w:val="00541681"/>
    <w:rsid w:val="0054550D"/>
    <w:rsid w:val="00566CB6"/>
    <w:rsid w:val="005721B2"/>
    <w:rsid w:val="00581E52"/>
    <w:rsid w:val="005A05EE"/>
    <w:rsid w:val="005A1208"/>
    <w:rsid w:val="005A3C12"/>
    <w:rsid w:val="005A701D"/>
    <w:rsid w:val="005C59F7"/>
    <w:rsid w:val="005D4DBD"/>
    <w:rsid w:val="005F4850"/>
    <w:rsid w:val="00602A07"/>
    <w:rsid w:val="006062A6"/>
    <w:rsid w:val="0060795E"/>
    <w:rsid w:val="00621266"/>
    <w:rsid w:val="0063417F"/>
    <w:rsid w:val="00640BE6"/>
    <w:rsid w:val="006564AB"/>
    <w:rsid w:val="00675D01"/>
    <w:rsid w:val="00681FC3"/>
    <w:rsid w:val="00685FE6"/>
    <w:rsid w:val="006864B3"/>
    <w:rsid w:val="006948B0"/>
    <w:rsid w:val="006A312D"/>
    <w:rsid w:val="006A573A"/>
    <w:rsid w:val="006C20E3"/>
    <w:rsid w:val="006C348C"/>
    <w:rsid w:val="006D1832"/>
    <w:rsid w:val="006D461D"/>
    <w:rsid w:val="006D6E18"/>
    <w:rsid w:val="006E4A48"/>
    <w:rsid w:val="006E4AE0"/>
    <w:rsid w:val="00705691"/>
    <w:rsid w:val="00712F44"/>
    <w:rsid w:val="00722711"/>
    <w:rsid w:val="00723EE9"/>
    <w:rsid w:val="00723FFE"/>
    <w:rsid w:val="0072627B"/>
    <w:rsid w:val="00747525"/>
    <w:rsid w:val="007556B8"/>
    <w:rsid w:val="00755C48"/>
    <w:rsid w:val="00757B10"/>
    <w:rsid w:val="007732D3"/>
    <w:rsid w:val="00790609"/>
    <w:rsid w:val="007979D7"/>
    <w:rsid w:val="00797BA7"/>
    <w:rsid w:val="00797E01"/>
    <w:rsid w:val="007A718D"/>
    <w:rsid w:val="007B604E"/>
    <w:rsid w:val="007D0F01"/>
    <w:rsid w:val="007F2D02"/>
    <w:rsid w:val="00817491"/>
    <w:rsid w:val="008249A4"/>
    <w:rsid w:val="00827B1B"/>
    <w:rsid w:val="00831CAF"/>
    <w:rsid w:val="008526D2"/>
    <w:rsid w:val="0085297C"/>
    <w:rsid w:val="00854846"/>
    <w:rsid w:val="00855467"/>
    <w:rsid w:val="00855C0C"/>
    <w:rsid w:val="008661BD"/>
    <w:rsid w:val="00871A9C"/>
    <w:rsid w:val="0087426D"/>
    <w:rsid w:val="00881757"/>
    <w:rsid w:val="00894312"/>
    <w:rsid w:val="008A2814"/>
    <w:rsid w:val="008C35AF"/>
    <w:rsid w:val="008C7181"/>
    <w:rsid w:val="008D004B"/>
    <w:rsid w:val="008F6973"/>
    <w:rsid w:val="009011F8"/>
    <w:rsid w:val="00901ED0"/>
    <w:rsid w:val="0090244E"/>
    <w:rsid w:val="00903F9E"/>
    <w:rsid w:val="00906192"/>
    <w:rsid w:val="009108C7"/>
    <w:rsid w:val="00924028"/>
    <w:rsid w:val="00940504"/>
    <w:rsid w:val="00946454"/>
    <w:rsid w:val="00957850"/>
    <w:rsid w:val="00962983"/>
    <w:rsid w:val="009644DD"/>
    <w:rsid w:val="0096553D"/>
    <w:rsid w:val="00970FBC"/>
    <w:rsid w:val="0097364C"/>
    <w:rsid w:val="009742DB"/>
    <w:rsid w:val="00983271"/>
    <w:rsid w:val="00990588"/>
    <w:rsid w:val="00995594"/>
    <w:rsid w:val="009A05B4"/>
    <w:rsid w:val="009C230F"/>
    <w:rsid w:val="009C2342"/>
    <w:rsid w:val="009C3938"/>
    <w:rsid w:val="009E1E87"/>
    <w:rsid w:val="009F43B9"/>
    <w:rsid w:val="009F5784"/>
    <w:rsid w:val="00A05F6E"/>
    <w:rsid w:val="00A10605"/>
    <w:rsid w:val="00A263FC"/>
    <w:rsid w:val="00A31440"/>
    <w:rsid w:val="00A53DF8"/>
    <w:rsid w:val="00A83D83"/>
    <w:rsid w:val="00A86683"/>
    <w:rsid w:val="00AB4083"/>
    <w:rsid w:val="00AC2FD4"/>
    <w:rsid w:val="00AD07A6"/>
    <w:rsid w:val="00AE355D"/>
    <w:rsid w:val="00AF7D5C"/>
    <w:rsid w:val="00B1048D"/>
    <w:rsid w:val="00B17082"/>
    <w:rsid w:val="00B229AE"/>
    <w:rsid w:val="00B32138"/>
    <w:rsid w:val="00B33E28"/>
    <w:rsid w:val="00B45046"/>
    <w:rsid w:val="00B77CDB"/>
    <w:rsid w:val="00B80879"/>
    <w:rsid w:val="00B837BB"/>
    <w:rsid w:val="00B92123"/>
    <w:rsid w:val="00BA59F6"/>
    <w:rsid w:val="00BB49CA"/>
    <w:rsid w:val="00BB5288"/>
    <w:rsid w:val="00C00BFA"/>
    <w:rsid w:val="00C4085F"/>
    <w:rsid w:val="00C463EA"/>
    <w:rsid w:val="00C55FA6"/>
    <w:rsid w:val="00C57653"/>
    <w:rsid w:val="00C77BBE"/>
    <w:rsid w:val="00C84FAA"/>
    <w:rsid w:val="00C86B88"/>
    <w:rsid w:val="00CA157B"/>
    <w:rsid w:val="00CA5A54"/>
    <w:rsid w:val="00CA7DFA"/>
    <w:rsid w:val="00CB299E"/>
    <w:rsid w:val="00CC0176"/>
    <w:rsid w:val="00CC4812"/>
    <w:rsid w:val="00CC55FC"/>
    <w:rsid w:val="00CC6617"/>
    <w:rsid w:val="00CC7327"/>
    <w:rsid w:val="00CE08F4"/>
    <w:rsid w:val="00CE46CA"/>
    <w:rsid w:val="00CF596C"/>
    <w:rsid w:val="00D01C3B"/>
    <w:rsid w:val="00D14029"/>
    <w:rsid w:val="00D174F9"/>
    <w:rsid w:val="00D216AB"/>
    <w:rsid w:val="00D470A0"/>
    <w:rsid w:val="00D50DF4"/>
    <w:rsid w:val="00D7722B"/>
    <w:rsid w:val="00D83B99"/>
    <w:rsid w:val="00D91DDA"/>
    <w:rsid w:val="00DB61B4"/>
    <w:rsid w:val="00DC2A83"/>
    <w:rsid w:val="00DD02FD"/>
    <w:rsid w:val="00DE0808"/>
    <w:rsid w:val="00DE5D20"/>
    <w:rsid w:val="00E34C19"/>
    <w:rsid w:val="00E40B90"/>
    <w:rsid w:val="00E40EB2"/>
    <w:rsid w:val="00E41F14"/>
    <w:rsid w:val="00E42566"/>
    <w:rsid w:val="00E4396D"/>
    <w:rsid w:val="00E64E53"/>
    <w:rsid w:val="00E7482F"/>
    <w:rsid w:val="00E75C25"/>
    <w:rsid w:val="00E91CC0"/>
    <w:rsid w:val="00E97B3E"/>
    <w:rsid w:val="00EA16F5"/>
    <w:rsid w:val="00EA358C"/>
    <w:rsid w:val="00EA3888"/>
    <w:rsid w:val="00EC351D"/>
    <w:rsid w:val="00ED0B46"/>
    <w:rsid w:val="00ED3291"/>
    <w:rsid w:val="00EE3816"/>
    <w:rsid w:val="00EE4012"/>
    <w:rsid w:val="00EE6741"/>
    <w:rsid w:val="00EF0004"/>
    <w:rsid w:val="00EF1653"/>
    <w:rsid w:val="00EF657D"/>
    <w:rsid w:val="00F027A3"/>
    <w:rsid w:val="00F07D2C"/>
    <w:rsid w:val="00F17CB1"/>
    <w:rsid w:val="00F21EB7"/>
    <w:rsid w:val="00F24CB2"/>
    <w:rsid w:val="00F3159E"/>
    <w:rsid w:val="00F3494A"/>
    <w:rsid w:val="00F35329"/>
    <w:rsid w:val="00F3552E"/>
    <w:rsid w:val="00F55847"/>
    <w:rsid w:val="00F62245"/>
    <w:rsid w:val="00F6317D"/>
    <w:rsid w:val="00F6340B"/>
    <w:rsid w:val="00F814E5"/>
    <w:rsid w:val="00F86FD8"/>
    <w:rsid w:val="00FA0D4F"/>
    <w:rsid w:val="00FA56F7"/>
    <w:rsid w:val="00FA5CC0"/>
    <w:rsid w:val="00FB12B1"/>
    <w:rsid w:val="00FB692E"/>
    <w:rsid w:val="00FC0A89"/>
    <w:rsid w:val="00FD25A7"/>
    <w:rsid w:val="00FE17D1"/>
    <w:rsid w:val="00FE68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8A1A464-81A5-4642-A0FD-6EFFC7C6B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iPriority="8"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C35AF"/>
  </w:style>
  <w:style w:type="paragraph" w:styleId="Heading1">
    <w:name w:val="heading 1"/>
    <w:basedOn w:val="Normal"/>
    <w:next w:val="Normal"/>
    <w:qFormat/>
    <w:rsid w:val="002C1D81"/>
    <w:pPr>
      <w:keepNext/>
      <w:numPr>
        <w:numId w:val="6"/>
      </w:numPr>
      <w:spacing w:after="240"/>
      <w:jc w:val="center"/>
      <w:outlineLvl w:val="0"/>
    </w:pPr>
    <w:rPr>
      <w:rFonts w:cs="Arial"/>
      <w:b/>
      <w:bCs/>
      <w:smallCaps/>
      <w:kern w:val="28"/>
      <w:sz w:val="24"/>
      <w:szCs w:val="32"/>
    </w:rPr>
  </w:style>
  <w:style w:type="paragraph" w:styleId="Heading2">
    <w:name w:val="heading 2"/>
    <w:basedOn w:val="Normal"/>
    <w:next w:val="Normal"/>
    <w:qFormat/>
    <w:rsid w:val="002C1D81"/>
    <w:pPr>
      <w:keepNext/>
      <w:numPr>
        <w:ilvl w:val="1"/>
        <w:numId w:val="6"/>
      </w:numPr>
      <w:spacing w:after="240"/>
      <w:jc w:val="center"/>
      <w:outlineLvl w:val="1"/>
    </w:pPr>
    <w:rPr>
      <w:rFonts w:cs="Arial"/>
      <w:b/>
      <w:bCs/>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C35AF"/>
    <w:pPr>
      <w:tabs>
        <w:tab w:val="center" w:pos="4320"/>
        <w:tab w:val="right" w:pos="8640"/>
      </w:tabs>
    </w:pPr>
  </w:style>
  <w:style w:type="character" w:styleId="PageNumber">
    <w:name w:val="page number"/>
    <w:basedOn w:val="DefaultParagraphFont"/>
    <w:rsid w:val="008C35AF"/>
  </w:style>
  <w:style w:type="paragraph" w:styleId="Footer">
    <w:name w:val="footer"/>
    <w:basedOn w:val="Normal"/>
    <w:rsid w:val="008C35AF"/>
    <w:pPr>
      <w:tabs>
        <w:tab w:val="center" w:pos="4320"/>
        <w:tab w:val="right" w:pos="8640"/>
      </w:tabs>
    </w:pPr>
  </w:style>
  <w:style w:type="paragraph" w:customStyle="1" w:styleId="webdate">
    <w:name w:val="_webdate"/>
    <w:basedOn w:val="Normal"/>
    <w:rsid w:val="008C35AF"/>
    <w:pPr>
      <w:tabs>
        <w:tab w:val="left" w:pos="-1440"/>
      </w:tabs>
      <w:outlineLvl w:val="0"/>
    </w:pPr>
    <w:rPr>
      <w:snapToGrid w:val="0"/>
      <w:sz w:val="24"/>
    </w:rPr>
  </w:style>
  <w:style w:type="paragraph" w:customStyle="1" w:styleId="Normal1">
    <w:name w:val="Normal1"/>
    <w:basedOn w:val="Normal"/>
    <w:rsid w:val="008C35AF"/>
    <w:rPr>
      <w:sz w:val="24"/>
    </w:rPr>
  </w:style>
  <w:style w:type="paragraph" w:customStyle="1" w:styleId="Normal2">
    <w:name w:val="Normal2"/>
    <w:basedOn w:val="Normal"/>
    <w:rsid w:val="008C35AF"/>
    <w:rPr>
      <w:sz w:val="24"/>
    </w:rPr>
  </w:style>
  <w:style w:type="paragraph" w:customStyle="1" w:styleId="Normal3">
    <w:name w:val="Normal3"/>
    <w:basedOn w:val="Normal"/>
    <w:rsid w:val="008C35AF"/>
    <w:rPr>
      <w:sz w:val="24"/>
    </w:rPr>
  </w:style>
  <w:style w:type="paragraph" w:customStyle="1" w:styleId="Normal4">
    <w:name w:val="Normal4"/>
    <w:basedOn w:val="Normal"/>
    <w:rsid w:val="008C35AF"/>
    <w:rPr>
      <w:sz w:val="24"/>
    </w:rPr>
  </w:style>
  <w:style w:type="paragraph" w:styleId="ListBullet">
    <w:name w:val="List Bullet"/>
    <w:basedOn w:val="Normal"/>
    <w:rsid w:val="008C35AF"/>
    <w:pPr>
      <w:numPr>
        <w:numId w:val="1"/>
      </w:numPr>
      <w:tabs>
        <w:tab w:val="clear" w:pos="360"/>
        <w:tab w:val="num" w:pos="720"/>
      </w:tabs>
      <w:spacing w:after="240"/>
      <w:ind w:left="720" w:hanging="720"/>
    </w:pPr>
  </w:style>
  <w:style w:type="paragraph" w:customStyle="1" w:styleId="webexclude">
    <w:name w:val="_webexclude"/>
    <w:basedOn w:val="Normal"/>
    <w:link w:val="webexcludeChar"/>
    <w:rsid w:val="008C35AF"/>
    <w:pPr>
      <w:tabs>
        <w:tab w:val="left" w:pos="-1440"/>
      </w:tabs>
      <w:outlineLvl w:val="0"/>
    </w:pPr>
    <w:rPr>
      <w:snapToGrid w:val="0"/>
      <w:sz w:val="24"/>
    </w:rPr>
  </w:style>
  <w:style w:type="paragraph" w:customStyle="1" w:styleId="webnumber">
    <w:name w:val="_webnumber"/>
    <w:basedOn w:val="Normal"/>
    <w:link w:val="webnumberChar"/>
    <w:rsid w:val="008C35AF"/>
    <w:pPr>
      <w:tabs>
        <w:tab w:val="left" w:pos="-1440"/>
      </w:tabs>
      <w:outlineLvl w:val="0"/>
    </w:pPr>
    <w:rPr>
      <w:snapToGrid w:val="0"/>
      <w:sz w:val="24"/>
    </w:rPr>
  </w:style>
  <w:style w:type="paragraph" w:customStyle="1" w:styleId="webTextBox">
    <w:name w:val="_webTextBox"/>
    <w:basedOn w:val="Normal"/>
    <w:rsid w:val="008C35AF"/>
    <w:pPr>
      <w:framePr w:w="3744" w:wrap="around" w:vAnchor="page" w:hAnchor="page" w:x="6337" w:y="4220"/>
      <w:tabs>
        <w:tab w:val="left" w:pos="-1440"/>
      </w:tabs>
      <w:jc w:val="right"/>
    </w:pPr>
    <w:rPr>
      <w:sz w:val="24"/>
    </w:rPr>
  </w:style>
  <w:style w:type="paragraph" w:customStyle="1" w:styleId="webtitle">
    <w:name w:val="_webtitle"/>
    <w:basedOn w:val="Normal"/>
    <w:rsid w:val="008C35AF"/>
    <w:pPr>
      <w:tabs>
        <w:tab w:val="left" w:pos="-1440"/>
      </w:tabs>
      <w:outlineLvl w:val="0"/>
    </w:pPr>
    <w:rPr>
      <w:snapToGrid w:val="0"/>
      <w:sz w:val="24"/>
    </w:rPr>
  </w:style>
  <w:style w:type="paragraph" w:customStyle="1" w:styleId="ParagraphNumbering">
    <w:name w:val="Paragraph Numbering"/>
    <w:basedOn w:val="Normal"/>
    <w:link w:val="ParagraphNumberingChar"/>
    <w:uiPriority w:val="1"/>
    <w:qFormat/>
    <w:rsid w:val="00723EE9"/>
    <w:pPr>
      <w:numPr>
        <w:numId w:val="8"/>
      </w:numPr>
      <w:tabs>
        <w:tab w:val="clear" w:pos="720"/>
        <w:tab w:val="num" w:pos="360"/>
      </w:tabs>
      <w:spacing w:after="240"/>
      <w:ind w:left="360" w:hanging="360"/>
    </w:pPr>
    <w:rPr>
      <w:sz w:val="24"/>
      <w:szCs w:val="24"/>
    </w:rPr>
  </w:style>
  <w:style w:type="paragraph" w:styleId="BalloonText">
    <w:name w:val="Balloon Text"/>
    <w:basedOn w:val="Normal"/>
    <w:link w:val="BalloonTextChar"/>
    <w:rsid w:val="008249A4"/>
    <w:rPr>
      <w:rFonts w:ascii="Tahoma" w:hAnsi="Tahoma" w:cs="Tahoma"/>
      <w:sz w:val="16"/>
      <w:szCs w:val="16"/>
    </w:rPr>
  </w:style>
  <w:style w:type="character" w:customStyle="1" w:styleId="BalloonTextChar">
    <w:name w:val="Balloon Text Char"/>
    <w:basedOn w:val="DefaultParagraphFont"/>
    <w:link w:val="BalloonText"/>
    <w:rsid w:val="008249A4"/>
    <w:rPr>
      <w:rFonts w:ascii="Tahoma" w:hAnsi="Tahoma" w:cs="Tahoma"/>
      <w:sz w:val="16"/>
      <w:szCs w:val="16"/>
    </w:rPr>
  </w:style>
  <w:style w:type="table" w:styleId="TableGrid">
    <w:name w:val="Table Grid"/>
    <w:basedOn w:val="TableNormal"/>
    <w:rsid w:val="007262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disclaimer">
    <w:name w:val="_webdisclaimer"/>
    <w:qFormat/>
    <w:rsid w:val="00C84FAA"/>
    <w:pPr>
      <w:spacing w:before="60" w:after="60"/>
    </w:pPr>
    <w:rPr>
      <w:rFonts w:cs="Segoe UI"/>
      <w:color w:val="515151"/>
      <w:sz w:val="24"/>
      <w:szCs w:val="24"/>
    </w:rPr>
  </w:style>
  <w:style w:type="character" w:styleId="Hyperlink">
    <w:name w:val="Hyperlink"/>
    <w:basedOn w:val="DefaultParagraphFont"/>
    <w:uiPriority w:val="99"/>
    <w:rsid w:val="003F2254"/>
    <w:rPr>
      <w:color w:val="0000FF" w:themeColor="hyperlink"/>
      <w:u w:val="single"/>
    </w:rPr>
  </w:style>
  <w:style w:type="paragraph" w:styleId="DocumentMap">
    <w:name w:val="Document Map"/>
    <w:basedOn w:val="Normal"/>
    <w:link w:val="DocumentMapChar"/>
    <w:rsid w:val="003958D1"/>
    <w:rPr>
      <w:rFonts w:ascii="Tahoma" w:hAnsi="Tahoma" w:cs="Tahoma"/>
      <w:sz w:val="16"/>
      <w:szCs w:val="16"/>
    </w:rPr>
  </w:style>
  <w:style w:type="character" w:customStyle="1" w:styleId="DocumentMapChar">
    <w:name w:val="Document Map Char"/>
    <w:basedOn w:val="DefaultParagraphFont"/>
    <w:link w:val="DocumentMap"/>
    <w:rsid w:val="003958D1"/>
    <w:rPr>
      <w:rFonts w:ascii="Tahoma" w:hAnsi="Tahoma" w:cs="Tahoma"/>
      <w:sz w:val="16"/>
      <w:szCs w:val="16"/>
    </w:rPr>
  </w:style>
  <w:style w:type="character" w:customStyle="1" w:styleId="webexcludeChar">
    <w:name w:val="_webexclude Char"/>
    <w:basedOn w:val="DefaultParagraphFont"/>
    <w:link w:val="webexclude"/>
    <w:rsid w:val="004140C1"/>
    <w:rPr>
      <w:snapToGrid w:val="0"/>
      <w:sz w:val="24"/>
    </w:rPr>
  </w:style>
  <w:style w:type="character" w:customStyle="1" w:styleId="webnumberChar">
    <w:name w:val="_webnumber Char"/>
    <w:basedOn w:val="DefaultParagraphFont"/>
    <w:link w:val="webnumber"/>
    <w:rsid w:val="004140C1"/>
    <w:rPr>
      <w:snapToGrid w:val="0"/>
      <w:sz w:val="24"/>
    </w:rPr>
  </w:style>
  <w:style w:type="paragraph" w:styleId="Title">
    <w:name w:val="Title"/>
    <w:basedOn w:val="Normal"/>
    <w:link w:val="TitleChar"/>
    <w:qFormat/>
    <w:rsid w:val="002646ED"/>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2646ED"/>
    <w:rPr>
      <w:rFonts w:ascii="Arial" w:hAnsi="Arial" w:cs="Arial"/>
      <w:b/>
      <w:bCs/>
      <w:kern w:val="28"/>
      <w:sz w:val="32"/>
      <w:szCs w:val="32"/>
    </w:rPr>
  </w:style>
  <w:style w:type="paragraph" w:styleId="TOC6">
    <w:name w:val="toc 6"/>
    <w:basedOn w:val="Normal"/>
    <w:next w:val="Normal"/>
    <w:uiPriority w:val="8"/>
    <w:rsid w:val="00FE68DA"/>
    <w:pPr>
      <w:spacing w:line="264" w:lineRule="auto"/>
      <w:ind w:left="1200"/>
    </w:pPr>
    <w:rPr>
      <w:rFonts w:eastAsiaTheme="minorHAnsi"/>
      <w:sz w:val="24"/>
      <w:szCs w:val="24"/>
    </w:rPr>
  </w:style>
  <w:style w:type="paragraph" w:styleId="ListParagraph">
    <w:name w:val="List Paragraph"/>
    <w:basedOn w:val="Normal"/>
    <w:uiPriority w:val="34"/>
    <w:qFormat/>
    <w:rsid w:val="00B1048D"/>
    <w:pPr>
      <w:ind w:left="720"/>
      <w:contextualSpacing/>
    </w:pPr>
    <w:rPr>
      <w:rFonts w:asciiTheme="minorHAnsi" w:eastAsiaTheme="minorEastAsia" w:hAnsiTheme="minorHAnsi" w:cstheme="minorBidi"/>
      <w:sz w:val="22"/>
      <w:szCs w:val="22"/>
    </w:rPr>
  </w:style>
  <w:style w:type="character" w:customStyle="1" w:styleId="ParagraphNumberingChar">
    <w:name w:val="Paragraph Numbering Char"/>
    <w:basedOn w:val="DefaultParagraphFont"/>
    <w:link w:val="ParagraphNumbering"/>
    <w:uiPriority w:val="1"/>
    <w:locked/>
    <w:rsid w:val="00B1048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365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d%20templates\IMF%20Templates\Concluding%20Statement%20Article%20IV%20or%20PP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Frequently_x0020_Used xmlns="34f70b63-4224-473b-ac88-56a1c963a1d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9067CECD75F6488A011E7E877B7216" ma:contentTypeVersion="1" ma:contentTypeDescription="Create a new document." ma:contentTypeScope="" ma:versionID="5a908b925954f3a71ec8a38a2003ab54">
  <xsd:schema xmlns:xsd="http://www.w3.org/2001/XMLSchema" xmlns:p="http://schemas.microsoft.com/office/2006/metadata/properties" xmlns:ns2="34f70b63-4224-473b-ac88-56a1c963a1de" targetNamespace="http://schemas.microsoft.com/office/2006/metadata/properties" ma:root="true" ma:fieldsID="53abafd6a61f8307bce6f3b62a13b149" ns2:_="">
    <xsd:import namespace="34f70b63-4224-473b-ac88-56a1c963a1de"/>
    <xsd:element name="properties">
      <xsd:complexType>
        <xsd:sequence>
          <xsd:element name="documentManagement">
            <xsd:complexType>
              <xsd:all>
                <xsd:element ref="ns2:Frequently_x0020_Used" minOccurs="0"/>
              </xsd:all>
            </xsd:complexType>
          </xsd:element>
        </xsd:sequence>
      </xsd:complexType>
    </xsd:element>
  </xsd:schema>
  <xsd:schema xmlns:xsd="http://www.w3.org/2001/XMLSchema" xmlns:dms="http://schemas.microsoft.com/office/2006/documentManagement/types" targetNamespace="34f70b63-4224-473b-ac88-56a1c963a1de" elementFormDefault="qualified">
    <xsd:import namespace="http://schemas.microsoft.com/office/2006/documentManagement/types"/>
    <xsd:element name="Frequently_x0020_Used" ma:index="8" nillable="true" ma:displayName="Frequently Used" ma:description="Templates Used most often." ma:internalName="Frequently_x0020_Use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C4F335-BBBA-4B02-B631-AAEFF92623E7}">
  <ds:schemaRefs>
    <ds:schemaRef ds:uri="http://schemas.microsoft.com/sharepoint/v3/contenttype/forms"/>
  </ds:schemaRefs>
</ds:datastoreItem>
</file>

<file path=customXml/itemProps2.xml><?xml version="1.0" encoding="utf-8"?>
<ds:datastoreItem xmlns:ds="http://schemas.openxmlformats.org/officeDocument/2006/customXml" ds:itemID="{66D30F2B-9FAB-47D3-92DB-DB4BBD24A902}">
  <ds:schemaRefs>
    <ds:schemaRef ds:uri="http://schemas.microsoft.com/office/2006/metadata/properties"/>
    <ds:schemaRef ds:uri="34f70b63-4224-473b-ac88-56a1c963a1de"/>
  </ds:schemaRefs>
</ds:datastoreItem>
</file>

<file path=customXml/itemProps3.xml><?xml version="1.0" encoding="utf-8"?>
<ds:datastoreItem xmlns:ds="http://schemas.openxmlformats.org/officeDocument/2006/customXml" ds:itemID="{4194EE89-8D5C-4EDB-9156-CE24DFCA90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f70b63-4224-473b-ac88-56a1c963a1d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E65FD0E-DE9C-49EE-9C81-70BBD863F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Concluding Statement Article IV or PPM</Template>
  <TotalTime>3</TotalTime>
  <Pages>4</Pages>
  <Words>1236</Words>
  <Characters>7652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Press Release-Concluding Statement AIV PPM</vt:lpstr>
    </vt:vector>
  </TitlesOfParts>
  <Company>IMF</Company>
  <LinksUpToDate>false</LinksUpToDate>
  <CharactersWithSpaces>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Release-Concluding Statement AIV PPM</dc:title>
  <dc:creator>Adriano, Andreas</dc:creator>
  <cp:keywords>IMF</cp:keywords>
  <dc:description>Template used Fund-wide for producing press releases.</dc:description>
  <cp:lastModifiedBy>Adriano, Andreas</cp:lastModifiedBy>
  <cp:revision>1</cp:revision>
  <cp:lastPrinted>2001-10-31T18:14:00Z</cp:lastPrinted>
  <dcterms:created xsi:type="dcterms:W3CDTF">2019-09-27T09:58:00Z</dcterms:created>
  <dcterms:modified xsi:type="dcterms:W3CDTF">2019-09-27T10:01:00Z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0x0101002C9067CECD75F6488A011E7E877B7216</vt:lpwstr>
  </property>
</Properties>
</file>