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10.png" ContentType="image/png"/>
  <Override PartName="/word/media/image21.png" ContentType="image/png"/>
  <Override PartName="/word/media/image30.png" ContentType="image/png"/>
  <Override PartName="/word/media/image14.png" ContentType="image/png"/>
  <Override PartName="/word/media/image23.png" ContentType="image/png"/>
  <Override PartName="/word/media/image12.wmf" ContentType="image/x-wmf"/>
  <Override PartName="/word/media/image16.png" ContentType="image/png"/>
  <Override PartName="/word/media/image34.png" ContentType="image/png"/>
  <Override PartName="/word/media/image32.wmf" ContentType="image/x-wmf"/>
  <Override PartName="/word/media/image41.wmf" ContentType="image/x-wmf"/>
  <Override PartName="/word/media/image36.png" ContentType="image/png"/>
  <Override PartName="/word/media/image25.wmf" ContentType="image/x-wmf"/>
  <Override PartName="/word/media/image1.png" ContentType="image/png"/>
  <Override PartName="/word/media/image29.png" ContentType="image/png"/>
  <Override PartName="/word/media/image43.wmf" ContentType="image/x-wmf"/>
  <Override PartName="/word/media/image38.png" ContentType="image/png"/>
  <Override PartName="/word/media/image18.wmf" ContentType="image/x-wmf"/>
  <Override PartName="/word/media/image27.wmf" ContentType="image/x-wmf"/>
  <Override PartName="/word/media/image45.wmf" ContentType="image/x-wmf"/>
  <Override PartName="/word/media/image11.png" ContentType="image/png"/>
  <Override PartName="/word/media/image20.png" ContentType="image/png"/>
  <Override PartName="/word/media/image13.png" ContentType="image/png"/>
  <Override PartName="/word/media/image22.png" ContentType="image/png"/>
  <Override PartName="/word/media/image31.png" ContentType="image/png"/>
  <Override PartName="/word/media/image40.png" ContentType="image/png"/>
  <Override PartName="/word/media/image35.png" ContentType="image/png"/>
  <Override PartName="/word/media/image15.wmf" ContentType="image/x-wmf"/>
  <Override PartName="/word/media/image19.png" ContentType="image/png"/>
  <Override PartName="/word/media/image24.wmf" ContentType="image/x-wmf"/>
  <Override PartName="/word/media/image33.wmf" ContentType="image/x-wmf"/>
  <Override PartName="/word/media/image28.png" ContentType="image/png"/>
  <Override PartName="/word/media/image42.wmf" ContentType="image/x-wmf"/>
  <Override PartName="/word/media/image17.wmf" ContentType="image/x-wmf"/>
  <Override PartName="/word/media/image2.png" ContentType="image/png"/>
  <Override PartName="/word/media/image26.wmf" ContentType="image/x-wmf"/>
  <Override PartName="/word/media/image44.wmf" ContentType="image/x-wmf"/>
  <Override PartName="/word/media/image4.png" ContentType="image/png"/>
  <Override PartName="/word/media/image37.wmf" ContentType="image/x-wmf"/>
  <Override PartName="/word/media/image39.wmf" ContentType="image/x-wmf"/>
  <Override PartName="/word/header1.xml" ContentType="application/vnd.openxmlformats-officedocument.wordprocessingml.header+xml"/>
  <Override PartName="/word/document.xml" ContentType="application/vnd.openxmlformats-officedocument.wordprocessingml.document.main+xml"/>
  <Override PartName="/word/numbering.xml" ContentType="application/vnd.openxmlformats-officedocument.wordprocessingml.numbering+xml"/>
  <Override PartName="/word/footer1.xml" ContentType="application/vnd.openxmlformats-officedocument.wordprocessingml.footer+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widowControl w:val="false"/>
        <w:spacing w:after="0" w:before="120"/>
        <w:ind w:hanging="0" w:left="0" w:right="-23"/>
        <w:contextualSpacing w:val="false"/>
      </w:pPr>
      <w:bookmarkStart w:id="0" w:name="_GoBack"/>
      <w:bookmarkEnd w:id="0"/>
      <w:r>
        <w:rPr>
          <w:rFonts w:cs="Arial"/>
          <w:color w:val="000000"/>
          <w:spacing w:val="-8"/>
          <w:sz w:val="36"/>
          <w:szCs w:val="36"/>
          <w:lang w:val="el-GR"/>
        </w:rPr>
        <w:t>Ο</w:t>
        <w:pict>
          <v:group alt="Group 32" coordorigin="-4,10290" coordsize="7559,4941" id="shape_0" style="position:absolute;margin-left:-0.2pt;margin-top:514.5pt;width:377.95pt;height:247.05pt">
            <v:shapetype id="shapetype_75" coordsize="21600,21600" o:spt="75" adj="2700" path="m,l21600,l21600,21600l,21600xm@0@0l@0@2l@1@2l@1@0xe">
              <v:stroke joinstyle="miter"/>
              <v:formulas>
                <v:f eqn="val #0"/>
                <v:f eqn="sum width 0 @0"/>
                <v:f eqn="sum height 0 @0"/>
              </v:formulas>
              <v:path gradientshapeok="t" o:connecttype="rect" textboxrect="@0,@0,@1,@2"/>
              <v:handles>
                <v:h position="@0,0"/>
              </v:handles>
            </v:shapetype>
            <v:shape id="shape_0" style="position:absolute;left:-4;top:10290;width:7559;height:4941" type="shapetype_75">
              <v:fill detectmouseclick="t" r:id="rId2"/>
              <v:wrap v:type="none"/>
              <v:stroke color="gray" joinstyle="round"/>
            </v:shape>
          </v:group>
        </w:pict>
        <w:pict>
          <v:group alt="Group 17" coordorigin="279,10626" coordsize="7935,4329" id="shape_0" style="position:absolute;margin-left:13.95pt;margin-top:531.3pt;width:396.75pt;height:216.45pt">
            <v:group alt="Group 251" id="shape_0" style="position:absolute;left:279;top:10626;width:7935;height:4329">
              <v:rect fillcolor="white" id="shape_0" style="position:absolute;left:279;top:10626;width:7935;height:4329">
                <v:wrap v:type="none"/>
                <v:fill color2="black" detectmouseclick="t" type="solid"/>
                <v:stroke color="#00b0f0" joinstyle="round"/>
              </v:rect>
            </v:group>
            <v:shape id="shape_0" style="position:absolute;left:394;top:10707;width:7255;height:4217" type="shapetype_75">
              <v:fill detectmouseclick="t" r:id="rId3"/>
              <v:wrap v:type="none"/>
              <v:stroke color="gray" joinstyle="round"/>
            </v:shape>
          </v:group>
        </w:pict>
        <w:pict>
          <v:group alt="Group 6" coordorigin="2098,15352" coordsize="12015,16981" id="shape_0" style="position:absolute;margin-left:104.9pt;margin-top:767.6pt;width:600.75pt;height:849.05pt">
            <v:shape id="shape_0" style="position:absolute;left:2098;top:15352;width:12015;height:16981" type="shapetype_75">
              <v:fill detectmouseclick="t" r:id="rId4"/>
              <v:wrap v:type="none"/>
              <v:stroke color="gray" joinstyle="round"/>
            </v:shape>
            <v:shape id="shape_0" style="position:absolute;left:4626;top:30704;width:4307;height:1270" type="shapetype_75">
              <v:fill detectmouseclick="t" r:id="rId5"/>
              <v:wrap v:type="none"/>
              <v:stroke color="gray" joinstyle="round"/>
            </v:shape>
          </v:group>
        </w:pict>
        <w:pict>
          <v:group alt="Group 8" coordorigin="9144,15120" coordsize="12201,16684" id="shape_0" style="position:absolute;margin-left:457.2pt;margin-top:756pt;width:610.05pt;height:834.2pt">
            <v:shape id="shape_0" style="position:absolute;left:10350;top:30044;width:10995;height:1760" type="shapetype_75">
              <v:fill detectmouseclick="t" r:id="rId6"/>
              <v:wrap v:type="none"/>
              <v:stroke color="gray" joinstyle="round"/>
            </v:shape>
            <v:shape id="shape_0" style="position:absolute;left:20001;top:16544;width:507;height:539" type="shapetype_75">
              <v:fill detectmouseclick="t" r:id="rId7"/>
              <v:wrap v:type="none"/>
              <v:stroke color="gray" joinstyle="round"/>
            </v:shape>
            <v:shape id="shape_0" style="position:absolute;left:9727;top:16349;width:507;height:539" type="shapetype_75">
              <v:fill detectmouseclick="t" r:id="rId8"/>
              <v:wrap v:type="none"/>
              <v:stroke color="gray" joinstyle="round"/>
            </v:shape>
            <v:shape id="shape_0" style="position:absolute;left:10313;top:15734;width:507;height:539" type="shapetype_75">
              <v:fill detectmouseclick="t" r:id="rId9"/>
              <v:wrap v:type="none"/>
              <v:stroke color="gray" joinstyle="round"/>
            </v:shape>
            <v:shape id="shape_0" style="position:absolute;left:9144;top:15120;width:497;height:528" type="shapetype_75">
              <v:fill detectmouseclick="t" r:id="rId10"/>
              <v:wrap v:type="none"/>
              <v:stroke color="gray" joinstyle="round"/>
            </v:shape>
          </v:group>
        </w:pict>
        <w:pict>
          <v:group alt="Group 56478" coordorigin="-4,1830" coordsize="7364,4809" id="shape_0" style="position:absolute;margin-left:-0.2pt;margin-top:91.5pt;width:368.2pt;height:240.45pt">
            <v:shape id="shape_0" style="position:absolute;left:-4;top:1830;width:7364;height:4809" type="shapetype_75">
              <v:fill detectmouseclick="t" r:id="rId11"/>
              <v:wrap v:type="none"/>
              <v:stroke color="gray" joinstyle="round"/>
            </v:shape>
          </v:group>
        </w:pict>
        <w:pict>
          <v:group alt="Group 56461" coordorigin="0,10285" coordsize="7935,5253" id="shape_0" style="position:absolute;margin-left:0pt;margin-top:514.25pt;width:396.75pt;height:262.65pt">
            <v:shape id="shape_0" style="position:absolute;left:0;top:10285;width:7935;height:5253" type="shapetype_75">
              <v:fill detectmouseclick="t" r:id="rId12"/>
              <v:wrap v:type="none"/>
              <v:stroke color="gray" joinstyle="round"/>
            </v:shape>
          </v:group>
        </w:pict>
      </w:r>
      <w:r>
        <w:rPr>
          <w:rFonts w:cs="Arial"/>
          <w:color w:val="000000"/>
          <w:spacing w:val="-8"/>
          <w:sz w:val="36"/>
          <w:szCs w:val="36"/>
          <w:lang w:val="el-GR"/>
        </w:rPr>
        <w:t xml:space="preserve">ι επενδύσεις στις νέες τεχνολογίες και την εκπαίδευση είναι οι βασικές προϋποθέσεις για την ανάπτυξη της χώρας. </w:t>
      </w:r>
    </w:p>
    <w:p>
      <w:pPr>
        <w:pStyle w:val="style0"/>
        <w:widowControl w:val="false"/>
        <w:spacing w:after="120" w:before="120"/>
        <w:ind w:hanging="0" w:left="0" w:right="-23"/>
        <w:contextualSpacing w:val="false"/>
      </w:pPr>
      <w:r>
        <w:rPr/>
        <w:drawing>
          <wp:inline distB="0" distL="0" distR="0" distT="0">
            <wp:extent cx="7629525" cy="10782935"/>
            <wp:effectExtent b="0" l="0" r="0" t="0"/>
            <wp:docPr descr=""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0" name="Picture"/>
                    <pic:cNvPicPr>
                      <a:picLocks noChangeArrowheads="1" noChangeAspect="1"/>
                    </pic:cNvPicPr>
                  </pic:nvPicPr>
                  <pic:blipFill>
                    <a:blip r:embed="rId13"/>
                    <a:srcRect/>
                    <a:stretch>
                      <a:fillRect/>
                    </a:stretch>
                  </pic:blipFill>
                  <pic:spPr bwMode="auto">
                    <a:xfrm>
                      <a:off x="0" y="0"/>
                      <a:ext cx="7629525" cy="10782935"/>
                    </a:xfrm>
                    <a:prstGeom prst="rect">
                      <a:avLst/>
                    </a:prstGeom>
                    <a:noFill/>
                    <a:ln w="9525">
                      <a:noFill/>
                      <a:miter lim="800000"/>
                      <a:headEnd/>
                      <a:tailEnd/>
                    </a:ln>
                  </pic:spPr>
                </pic:pic>
              </a:graphicData>
            </a:graphic>
          </wp:inline>
        </w:drawing>
      </w:r>
      <w:r>
        <w:rPr/>
        <w:drawing>
          <wp:inline distB="0" distL="0" distR="0" distT="0">
            <wp:extent cx="2734945" cy="806450"/>
            <wp:effectExtent b="0" l="0" r="0" t="0"/>
            <wp:docPr desc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 name="Picture"/>
                    <pic:cNvPicPr>
                      <a:picLocks noChangeArrowheads="1" noChangeAspect="1"/>
                    </pic:cNvPicPr>
                  </pic:nvPicPr>
                  <pic:blipFill>
                    <a:blip r:embed="rId14"/>
                    <a:srcRect/>
                    <a:stretch>
                      <a:fillRect/>
                    </a:stretch>
                  </pic:blipFill>
                  <pic:spPr bwMode="auto">
                    <a:xfrm>
                      <a:off x="0" y="0"/>
                      <a:ext cx="2734945" cy="806450"/>
                    </a:xfrm>
                    <a:prstGeom prst="rect">
                      <a:avLst/>
                    </a:prstGeom>
                    <a:noFill/>
                    <a:ln w="9525">
                      <a:noFill/>
                      <a:miter lim="800000"/>
                      <a:headEnd/>
                      <a:tailEnd/>
                    </a:ln>
                  </pic:spPr>
                </pic:pic>
              </a:graphicData>
            </a:graphic>
          </wp:inline>
        </w:drawing>
      </w:r>
      <w:r>
        <w:rPr>
          <w:rFonts w:cs="Arial"/>
          <w:b/>
          <w:color w:val="00AEEF"/>
          <w:lang w:val="el-GR"/>
        </w:rPr>
        <w:t>ΕΠΙΣΚ</w:t>
      </w:r>
      <w:r>
        <w:rPr>
          <w:rFonts w:cs="Arial"/>
          <w:b/>
          <w:color w:val="00AEEF"/>
        </w:rPr>
        <w:t>O</w:t>
      </w:r>
      <w:r>
        <w:rPr>
          <w:rFonts w:cs="Arial"/>
          <w:b/>
          <w:color w:val="00AEEF"/>
          <w:lang w:val="el-GR"/>
        </w:rPr>
        <w:t>ΠΗΣΗ</w:t>
      </w:r>
      <w:r>
        <w:rPr>
          <w:b/>
          <w:lang w:val="el-GR"/>
        </w:rPr>
        <w:t xml:space="preserve">  </w:t>
      </w:r>
    </w:p>
    <w:p>
      <w:pPr>
        <w:pStyle w:val="style59"/>
      </w:pPr>
      <w:r>
        <w:rPr>
          <w:b/>
        </w:rPr>
        <w:t xml:space="preserve">TEYXΟΣ </w:t>
      </w:r>
      <w:r>
        <w:rPr>
          <w:b/>
          <w:lang w:val="en-US"/>
        </w:rPr>
        <w:t>1</w:t>
      </w:r>
      <w:r>
        <w:rPr>
          <w:b/>
        </w:rPr>
        <w:t xml:space="preserve">75 | </w:t>
      </w:r>
      <w:r>
        <w:rPr>
          <w:lang w:val="en-US"/>
        </w:rPr>
        <w:t>21</w:t>
      </w:r>
      <w:r>
        <w:rPr/>
        <w:t xml:space="preserve"> Νοεμβρίου 2019</w:t>
      </w:r>
    </w:p>
    <w:p>
      <w:pPr>
        <w:pStyle w:val="style69"/>
        <w:numPr>
          <w:ilvl w:val="0"/>
          <w:numId w:val="2"/>
        </w:numPr>
        <w:spacing w:after="120" w:before="0"/>
        <w:ind w:hanging="284" w:left="426" w:right="0"/>
        <w:contextualSpacing w:val="false"/>
      </w:pPr>
      <w:r>
        <w:rPr>
          <w:rFonts w:ascii="Arial" w:cs="Arial" w:hAnsi="Arial"/>
          <w:spacing w:val="-4"/>
          <w:sz w:val="17"/>
          <w:szCs w:val="17"/>
          <w:lang w:val="el-GR"/>
        </w:rPr>
        <w:t>Η Ελλάδα αντιμετωπίζει αναπτυξιακές προκλήσεις στη μεσομακροπρόθεσμη περίοδο, όχι μόνο λόγω της αναμενόμενης δημογραφικής τάσης της μείωσης του εργατικού δυναμικού, που οδηγεί σε συρρίκνωση του κατά κεφαλήν εισοδήματος, αλλά και λόγω μιας πιθανής καθυστέρησης στην παρακολούθηση και στην ενσωμάτωση των ραγδαίων τεχνολογικών αλλαγών, που ήδη συμβαίνουν. Η ταχεία προσαρμογή της ελληνικής οικονομίας και η αύξηση της παραγωγικότητας που αυτή συνεπάγεται, απαιτεί ένα μίγμα επιχειρηματικών επενδύσεων και εκπαίδευσης/κατάρτισης των εργαζομένων στις νέες τεχνολογίες. Η ποιοτική διάρθρωση των επενδύσεων παραμένει, όμως, κατώτερη των περιστάσεων. Ενώ στην Ελλάδα το ποσοστό επενδύσεων στο ΑΕΠ είναι το μικρότερο στον κόσμο, μόνο το 13% των επενδύσεων κατευθύνεται σε προϊόντα πνευματικής ιδιοκτησίας (έναντι 22% στην Ευρωπαϊκή Ένωση), ενώ το 37% σε κατασκευές πλην κατοικιών (έναντι 25% στην Ευρωπαϊκή Ένωση). Σημειώνεται ότι οι επενδύσεις σε προϊόντα πνευματικής ιδιοκτησίας ενσωματώνουν, μεταξύ άλλων, και τα αποτελέσματα έρευνας και ανάπτυξης, καθώς και λογισμικό ηλεκτρονικών υπολογιστών και βάσεις δεδομένων, που είναι ενδεικτικές της εφαρμογής νέων τεχνολογιών στην παραγωγή, έναντι των επενδύσεων σε κατασκευές, που αποτυπώνουν μια περισσότερο παραδοσιακή προσέγγιση σχετικά χαμηλής τεχνολογικής έντασης. Ειδικότερα στην ελληνική μεταποίηση, τον κατ’ εξοχήν εξωστρεφή κλάδο εφαρμογής νέων τεχνολογιών, μόνο το 8,3% των επενδύσεων που γίνονται κατευθύνονται σε προϊόντα πνευματικής ιδιοκτησίας(έναντι 50% στην Ευρωπαϊκή Ένωση), με τις κατασκευές να απορροφούν το 49% των επενδύσεων που γίνονται (έναντι 9% στην Ευρωπαϊκή Ένωση). Τα στοιχεία αυτά είναι ενδεικτικά του σχετικά χαμηλού βαθμού προετοιμασίας της ελληνικής οικονομίας στις τεχνολογικές εξελίξεις που επέρχονται. Οι τελευταίες, μέσω των αυτοματισμών που εμπεριέχουν, θα μπορούσαν να οδηγήσουν σε μια υποκατάσταση ορισμένων επαγγελμάτων και θέσεων εργασίας, κυρίως  ρουτίνας και χαμηλής εξειδίκευσης. Από την άλλη, πολλά άλλα επαγγέλματα αναμένεται να αναβαθμιστούν και άλλα να δημιουργηθούν. Προκύπτει, συνεπώς, ανάγκη μαζικής εκπαίδευσης και κατάρτισης του πληθυσμού σε νέα αντικείμενα και νέες δεξιότητες, συμβατά με τις νέες τεχνολογίες. Παρόλα αυτά, στην Ελλάδα μόνο το 6,3% των εργαζομένων ηλικίας 18-64 ετών (έναντι 14,8% στην ΕΕ-28) συμμετέχουν σε προγράμματα εκπαίδευσης και κατάρτισης, με 5,5% στο εμπόριο και 3,5% στη μεταποίηση (έναντι 13,3% και 9,5% αντιστοίχως στην ΕΕ-28). Επίσης, στην Ελλάδα, σε επιχειρήσεις που εφαρμόζουν προγράμματα συνεχιζόμενης επαγγελματικής κατάρτισης, μόνο το 18% των εργαζομένων τους συμμετέχουν σ’ αυτά (έναντι 37% στην ΕΕ-28). Προκύπτουν, συνεπώς, τεράστια κενά προετοιμασίας όσον αφορά και στις επενδύσεις και στην εκπαίδευση/κατάρτιση. Στο πλαίσιο αυτό, απαιτούνται μια σειρά από παρεμβάσεις, ώστε αφενός να δοθούν κίνητρα για επενδύσεις εστιασμένες στην  καινοτομία, στην έρευνα και  στην ανάπτυξη (Ε&amp;Α), και αφετέρου να υπάρξει σύμπραξη δημοσίου και ιδιωτικού τομέα στο σχεδιασμό και την υλοποίηση μιας εθνικής στρατηγικής προσαρμογής της οικονομίας στις νέες τεχνολογίες, με εξειδικευμένες πλατφόρμες συνεργασίας, προγράμματα ανάπτυξης δεξιοτήτων, ανάπτυξη κόμβων ψηφιακής καινοτομίας, κ.ο.κ. (</w:t>
      </w:r>
      <w:hyperlink r:id="rId15">
        <w:r>
          <w:rPr>
            <w:rStyle w:val="style21"/>
            <w:rFonts w:ascii="Arial" w:cs="Arial" w:hAnsi="Arial"/>
            <w:spacing w:val="-4"/>
            <w:sz w:val="17"/>
            <w:szCs w:val="17"/>
            <w:lang w:val="el-GR"/>
          </w:rPr>
          <w:t>Βιομηχανία 4.0: Οι συμπράξεις και μια ολοκληρωμένη στρατηγική είναι τα κλειδιά της επιτυχίας</w:t>
        </w:r>
      </w:hyperlink>
      <w:r>
        <w:rPr>
          <w:rFonts w:ascii="Arial" w:cs="Arial" w:hAnsi="Arial"/>
          <w:spacing w:val="-4"/>
          <w:sz w:val="17"/>
          <w:szCs w:val="17"/>
          <w:lang w:val="el-GR"/>
        </w:rPr>
        <w:t>). Ο ΣΕΒ θα παρουσιάσει ένα συνολικό πλέγμα παρεμβάσεων στο Βιομηχανικό Συνέδριο που διοργανώνει στις 18-19 Δεκεμβρίου 2019, και καλεί την κυβέρνηση, τις επιχειρήσεις και τους εργαζόμενους να συνεργασθούν, ώστε να εξειδικευθούν προτάσεις που θα οδηγήσουν με επιτυχία, το ταχύτερο δυνατό, στον τεχνολογικό μετασχηματισμό της ελληνικής οικονομίας.</w:t>
      </w:r>
    </w:p>
    <w:p>
      <w:pPr>
        <w:pStyle w:val="style0"/>
      </w:pPr>
      <w:r>
        <w:rPr/>
        <w:drawing>
          <wp:inline distB="0" distL="0" distR="0" distT="0">
            <wp:extent cx="4606925" cy="2678430"/>
            <wp:effectExtent b="0" l="0" r="0" t="0"/>
            <wp:docPr desc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 name="Picture"/>
                    <pic:cNvPicPr>
                      <a:picLocks noChangeArrowheads="1" noChangeAspect="1"/>
                    </pic:cNvPicPr>
                  </pic:nvPicPr>
                  <pic:blipFill>
                    <a:blip r:embed="rId16"/>
                    <a:srcRect/>
                    <a:stretch>
                      <a:fillRect/>
                    </a:stretch>
                  </pic:blipFill>
                  <pic:spPr bwMode="auto">
                    <a:xfrm>
                      <a:off x="0" y="0"/>
                      <a:ext cx="4606925" cy="2678430"/>
                    </a:xfrm>
                    <a:prstGeom prst="rect">
                      <a:avLst/>
                    </a:prstGeom>
                    <a:noFill/>
                    <a:ln w="9525">
                      <a:noFill/>
                      <a:miter lim="800000"/>
                      <a:headEnd/>
                      <a:tailEnd/>
                    </a:ln>
                  </pic:spPr>
                </pic:pic>
              </a:graphicData>
            </a:graphic>
          </wp:inline>
        </w:drawing>
      </w:r>
      <w:r>
        <w:rPr>
          <w:rFonts w:cs="Arial"/>
          <w:b/>
          <w:lang w:val="el-GR"/>
        </w:rPr>
        <w:t>Ποσοστό επενδύσεων σε προϊόντα πνευματικής ιδιοκτησίας και ποσοστό συμμετοχής εργαζομένων ηλικίας 18-64 ετών στην εκπαίδευση και κατάρτιση σε χώρες της ΕΕ</w:t>
        <w:drawing>
          <wp:anchor allowOverlap="1" behindDoc="0" distB="0" distL="0" distR="0" distT="0" layoutInCell="1" locked="0" relativeHeight="23" simplePos="0">
            <wp:simplePos x="0" y="0"/>
            <wp:positionH relativeFrom="character">
              <wp:posOffset>5796915</wp:posOffset>
            </wp:positionH>
            <wp:positionV relativeFrom="line">
              <wp:posOffset>3846830</wp:posOffset>
            </wp:positionV>
            <wp:extent cx="1333500" cy="1050290"/>
            <wp:effectExtent b="0" l="0" r="0" t="0"/>
            <wp:wrapNone/>
            <wp:docPr desc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 name="Picture"/>
                    <pic:cNvPicPr>
                      <a:picLocks noChangeArrowheads="1" noChangeAspect="1"/>
                    </pic:cNvPicPr>
                  </pic:nvPicPr>
                  <pic:blipFill>
                    <a:blip r:embed="rId17"/>
                    <a:srcRect/>
                    <a:stretch>
                      <a:fillRect/>
                    </a:stretch>
                  </pic:blipFill>
                  <pic:spPr bwMode="auto">
                    <a:xfrm>
                      <a:off x="0" y="0"/>
                      <a:ext cx="1333500" cy="1050290"/>
                    </a:xfrm>
                    <a:prstGeom prst="rect">
                      <a:avLst/>
                    </a:prstGeom>
                    <a:noFill/>
                    <a:ln w="9525">
                      <a:noFill/>
                      <a:miter lim="800000"/>
                      <a:headEnd/>
                      <a:tailEnd/>
                    </a:ln>
                  </pic:spPr>
                </pic:pic>
              </a:graphicData>
            </a:graphic>
          </wp:anchor>
        </w:drawing>
      </w:r>
    </w:p>
    <w:p>
      <w:pPr>
        <w:pStyle w:val="style0"/>
        <w:spacing w:after="120" w:before="0"/>
        <w:contextualSpacing w:val="false"/>
      </w:pPr>
      <w:r>
        <w:rPr>
          <w:rFonts w:cs="Arial"/>
          <w:i/>
          <w:color w:val="00B0F0"/>
        </w:rPr>
        <w:t xml:space="preserve">(Eurostat National Accounts 2017 </w:t>
      </w:r>
      <w:r>
        <w:rPr>
          <w:rFonts w:cs="Arial"/>
          <w:i/>
          <w:color w:val="00B0F0"/>
          <w:lang w:val="el-GR"/>
        </w:rPr>
        <w:t>και</w:t>
      </w:r>
      <w:r>
        <w:rPr>
          <w:rFonts w:cs="Arial"/>
          <w:i/>
          <w:color w:val="00B0F0"/>
        </w:rPr>
        <w:t xml:space="preserve"> Labour Force Statistics 2018)</w:t>
      </w:r>
    </w:p>
    <w:p>
      <w:pPr>
        <w:pStyle w:val="style0"/>
      </w:pPr>
      <w:r>
        <w:rPr>
          <w:rFonts w:cs="Arial"/>
          <w:sz w:val="16"/>
          <w:szCs w:val="16"/>
        </w:rPr>
      </w:r>
    </w:p>
    <w:p>
      <w:pPr>
        <w:pStyle w:val="style61"/>
        <w:spacing w:after="0" w:before="0" w:line="100" w:lineRule="atLeast"/>
        <w:contextualSpacing w:val="false"/>
      </w:pPr>
      <w:r>
        <w:rPr>
          <w:rFonts w:cs="Arial"/>
          <w:b/>
          <w:color w:val="00B0F0"/>
          <w:sz w:val="24"/>
          <w:szCs w:val="24"/>
          <w:lang w:val="el-GR"/>
        </w:rPr>
        <w:t>Επενδύσεις και κατάρτιση πάνε πακέτο…</w:t>
      </w:r>
    </w:p>
    <w:p>
      <w:pPr>
        <w:pStyle w:val="style66"/>
        <w:tabs>
          <w:tab w:leader="none" w:pos="5973" w:val="left"/>
          <w:tab w:leader="none" w:pos="11020" w:val="right"/>
        </w:tabs>
        <w:jc w:val="left"/>
      </w:pPr>
      <w:r>
        <w:rPr>
          <w:rFonts w:ascii="Arial" w:cs="Arial" w:hAnsi="Arial"/>
          <w:spacing w:val="-4"/>
          <w:sz w:val="17"/>
          <w:szCs w:val="17"/>
          <w:lang w:val="el-GR"/>
        </w:rPr>
        <w:t>Σε θετικό έδαφος παρέμεινε ο κύκλος εργασιών στη μεταποίηση πλην πετρελαιοειδών τον Σεπτέμβριο του 2019 (+7,2% και +4,7% το διάστημα Ιαν – Σεπ 2019), παρά τις πτωτικές τάσεις που συνεχίζουν να επικρατούν στην Ευρώπη. Παράλληλα, μεγάλη μείωση του ρυθμού δημιουργίας νέων ληξιπρόθεσμων οφειλών προς την εφορία καταγράφουν τα στοιχεία της ΑΑΔΕ (€5,2 δισ. το διάστημα Ιαν – Σεπ 2019, έναντι €7,8 δισ. το αντίστοιχο διάστημα το 2018), ενώ οι ληξιπρόθεσμες οφειλές του κράτους προς τον ιδιωτικό τομέα δεν παρουσιάζουν άνοδο, παραμένοντας στο επίπεδο των €1,7 δισ. τον Σεπτέμβριο του 2019. Ανάλογη εικόνα καταγράφεται και στις εκκρεμείς επιστροφές φόρων, με το υπόλοιπό τους να ανέρχεται σε €874 εκατ. τον Σεπτέμβριο του 2019.</w:t>
      </w:r>
      <w:r>
        <w:rPr>
          <w:rFonts w:ascii="Arial" w:cs="Arial" w:hAnsi="Arial"/>
          <w:sz w:val="16"/>
          <w:szCs w:val="16"/>
          <w:lang w:val="el-GR"/>
        </w:rPr>
        <w:t xml:space="preserve"> </w:t>
      </w:r>
    </w:p>
    <w:p>
      <w:pPr>
        <w:pStyle w:val="style0"/>
        <w:pageBreakBefore/>
      </w:pPr>
      <w:r>
        <w:rPr>
          <w:rFonts w:cs=""/>
          <w:b/>
          <w:color w:val="00AEEF"/>
          <w:sz w:val="28"/>
          <w:szCs w:val="28"/>
          <w:lang w:val="el-GR"/>
        </w:rPr>
      </w:r>
    </w:p>
    <w:p>
      <w:pPr>
        <w:pStyle w:val="style0"/>
      </w:pPr>
      <w:r>
        <w:rPr>
          <w:rFonts w:cs=""/>
          <w:b/>
          <w:color w:val="00AEEF"/>
          <w:sz w:val="28"/>
          <w:szCs w:val="28"/>
          <w:lang w:val="el-GR"/>
        </w:rPr>
      </w:r>
    </w:p>
    <w:p>
      <w:pPr>
        <w:pStyle w:val="style0"/>
      </w:pPr>
      <w:r>
        <w:rPr>
          <w:rFonts w:cs=""/>
          <w:b/>
          <w:color w:val="00AEEF"/>
          <w:sz w:val="28"/>
          <w:szCs w:val="28"/>
          <w:lang w:val="el-GR"/>
        </w:rPr>
      </w:r>
    </w:p>
    <w:p>
      <w:pPr>
        <w:pStyle w:val="style0"/>
      </w:pPr>
      <w:r>
        <w:rPr>
          <w:rFonts w:cs=""/>
          <w:b/>
          <w:color w:val="00AEEF"/>
          <w:sz w:val="28"/>
          <w:szCs w:val="28"/>
          <w:lang w:val="el-GR"/>
        </w:rPr>
      </w:r>
    </w:p>
    <w:p>
      <w:pPr>
        <w:pStyle w:val="style0"/>
      </w:pPr>
      <w:r>
        <w:rPr>
          <w:rFonts w:cs=""/>
          <w:b/>
          <w:color w:val="00AEEF"/>
          <w:sz w:val="28"/>
          <w:szCs w:val="28"/>
          <w:lang w:val="el-GR"/>
        </w:rPr>
      </w:r>
    </w:p>
    <w:p>
      <w:pPr>
        <w:pStyle w:val="style0"/>
      </w:pPr>
      <w:r>
        <w:rPr>
          <w:rFonts w:cs=""/>
          <w:b/>
          <w:color w:val="00AEEF"/>
          <w:sz w:val="28"/>
          <w:szCs w:val="28"/>
          <w:lang w:val="el-GR"/>
        </w:rPr>
      </w:r>
    </w:p>
    <w:p>
      <w:pPr>
        <w:pStyle w:val="style0"/>
      </w:pPr>
      <w:r>
        <w:rPr>
          <w:rFonts w:cs=""/>
          <w:b/>
          <w:color w:val="00AEEF"/>
          <w:sz w:val="28"/>
          <w:szCs w:val="28"/>
          <w:lang w:val="el-GR"/>
        </w:rPr>
      </w:r>
    </w:p>
    <w:p>
      <w:pPr>
        <w:pStyle w:val="style0"/>
      </w:pPr>
      <w:r>
        <w:rPr>
          <w:rFonts w:cs=""/>
          <w:b/>
          <w:color w:val="00AEEF"/>
          <w:sz w:val="28"/>
          <w:szCs w:val="28"/>
          <w:lang w:val="el-GR"/>
        </w:rPr>
      </w:r>
    </w:p>
    <w:p>
      <w:pPr>
        <w:pStyle w:val="style0"/>
      </w:pPr>
      <w:r>
        <w:rPr>
          <w:rFonts w:cs=""/>
          <w:b/>
          <w:color w:val="00AEEF"/>
          <w:sz w:val="28"/>
          <w:szCs w:val="28"/>
          <w:lang w:val="el-GR"/>
        </w:rPr>
      </w:r>
    </w:p>
    <w:p>
      <w:pPr>
        <w:pStyle w:val="style0"/>
      </w:pPr>
      <w:r>
        <w:rPr>
          <w:rFonts w:cs=""/>
          <w:b/>
          <w:color w:val="00AEEF"/>
          <w:sz w:val="28"/>
          <w:szCs w:val="28"/>
          <w:lang w:val="el-GR"/>
        </w:rPr>
      </w:r>
    </w:p>
    <w:p>
      <w:pPr>
        <w:pStyle w:val="style0"/>
      </w:pPr>
      <w:r>
        <w:rPr>
          <w:rFonts w:cs=""/>
          <w:b/>
          <w:color w:val="00AEEF"/>
          <w:sz w:val="28"/>
          <w:szCs w:val="28"/>
          <w:lang w:val="el-GR"/>
        </w:rPr>
      </w:r>
    </w:p>
    <w:p>
      <w:pPr>
        <w:pStyle w:val="style0"/>
      </w:pPr>
      <w:r>
        <w:rPr>
          <w:rFonts w:cs=""/>
          <w:b/>
          <w:color w:val="00AEEF"/>
          <w:sz w:val="28"/>
          <w:szCs w:val="28"/>
          <w:lang w:val="el-GR"/>
        </w:rPr>
      </w:r>
    </w:p>
    <w:p>
      <w:pPr>
        <w:pStyle w:val="style0"/>
      </w:pPr>
      <w:r>
        <w:rPr>
          <w:rFonts w:cs=""/>
          <w:b/>
          <w:color w:val="00AEEF"/>
          <w:sz w:val="28"/>
          <w:szCs w:val="28"/>
          <w:lang w:val="el-GR"/>
        </w:rPr>
      </w:r>
    </w:p>
    <w:p>
      <w:pPr>
        <w:pStyle w:val="style0"/>
      </w:pPr>
      <w:r>
        <w:rPr>
          <w:rFonts w:cs=""/>
          <w:b/>
          <w:color w:val="00AEEF"/>
          <w:sz w:val="28"/>
          <w:szCs w:val="28"/>
          <w:lang w:val="el-GR"/>
        </w:rPr>
      </w:r>
    </w:p>
    <w:p>
      <w:pPr>
        <w:pStyle w:val="style0"/>
      </w:pPr>
      <w:r>
        <w:rPr>
          <w:rFonts w:cs=""/>
          <w:b/>
          <w:color w:val="00AEEF"/>
          <w:sz w:val="28"/>
          <w:szCs w:val="28"/>
          <w:lang w:val="el-GR"/>
        </w:rPr>
      </w:r>
    </w:p>
    <w:p>
      <w:pPr>
        <w:pStyle w:val="style0"/>
      </w:pPr>
      <w:r>
        <w:rPr>
          <w:rFonts w:cs=""/>
          <w:b/>
          <w:color w:val="00AEEF"/>
          <w:sz w:val="28"/>
          <w:szCs w:val="28"/>
          <w:lang w:val="el-GR"/>
        </w:rPr>
      </w:r>
    </w:p>
    <w:p>
      <w:pPr>
        <w:pStyle w:val="style0"/>
      </w:pPr>
      <w:r>
        <w:rPr>
          <w:rFonts w:cs=""/>
          <w:b/>
          <w:color w:val="00AEEF"/>
          <w:sz w:val="28"/>
          <w:szCs w:val="28"/>
          <w:lang w:val="el-GR"/>
        </w:rPr>
      </w:r>
    </w:p>
    <w:p>
      <w:pPr>
        <w:pStyle w:val="style0"/>
      </w:pPr>
      <w:r>
        <w:rPr>
          <w:rFonts w:cs=""/>
          <w:b/>
          <w:color w:val="00AEEF"/>
          <w:sz w:val="28"/>
          <w:szCs w:val="28"/>
          <w:lang w:val="el-GR"/>
        </w:rPr>
      </w:r>
    </w:p>
    <w:p>
      <w:pPr>
        <w:pStyle w:val="style0"/>
      </w:pPr>
      <w:r>
        <w:rPr>
          <w:rFonts w:cs=""/>
          <w:b/>
          <w:color w:val="00AEEF"/>
          <w:sz w:val="28"/>
          <w:szCs w:val="28"/>
          <w:lang w:val="el-GR"/>
        </w:rPr>
      </w:r>
    </w:p>
    <w:p>
      <w:pPr>
        <w:pStyle w:val="style0"/>
      </w:pPr>
      <w:r>
        <w:rPr>
          <w:rFonts w:cs=""/>
          <w:b/>
          <w:color w:val="00AEEF"/>
          <w:sz w:val="28"/>
          <w:szCs w:val="28"/>
          <w:lang w:val="el-GR"/>
        </w:rPr>
      </w:r>
    </w:p>
    <w:p>
      <w:pPr>
        <w:pStyle w:val="style0"/>
      </w:pPr>
      <w:r>
        <w:rPr>
          <w:rFonts w:cs=""/>
          <w:b/>
          <w:color w:val="00AEEF"/>
          <w:sz w:val="28"/>
          <w:szCs w:val="28"/>
          <w:lang w:val="el-GR"/>
        </w:rPr>
      </w:r>
    </w:p>
    <w:p>
      <w:pPr>
        <w:pStyle w:val="style0"/>
      </w:pPr>
      <w:r>
        <w:rPr>
          <w:rFonts w:cs=""/>
          <w:b/>
          <w:color w:val="00AEEF"/>
          <w:sz w:val="28"/>
          <w:szCs w:val="28"/>
          <w:lang w:val="el-GR"/>
        </w:rPr>
      </w:r>
    </w:p>
    <w:p>
      <w:pPr>
        <w:pStyle w:val="style0"/>
      </w:pPr>
      <w:r>
        <w:rPr>
          <w:rFonts w:cs=""/>
          <w:b/>
          <w:color w:val="00AEEF"/>
          <w:sz w:val="28"/>
          <w:szCs w:val="28"/>
          <w:lang w:val="el-GR"/>
        </w:rPr>
      </w:r>
    </w:p>
    <w:p>
      <w:pPr>
        <w:pStyle w:val="style0"/>
      </w:pPr>
      <w:r>
        <w:rPr>
          <w:rFonts w:cs=""/>
          <w:b/>
          <w:color w:val="00AEEF"/>
          <w:sz w:val="28"/>
          <w:szCs w:val="28"/>
          <w:lang w:val="el-GR"/>
        </w:rPr>
      </w:r>
    </w:p>
    <w:p>
      <w:pPr>
        <w:pStyle w:val="style0"/>
      </w:pPr>
      <w:r>
        <w:rPr>
          <w:rFonts w:cs=""/>
          <w:b/>
          <w:color w:val="00AEEF"/>
          <w:sz w:val="28"/>
          <w:szCs w:val="28"/>
          <w:lang w:val="el-GR"/>
        </w:rPr>
      </w:r>
    </w:p>
    <w:p>
      <w:pPr>
        <w:pStyle w:val="style0"/>
      </w:pPr>
      <w:r>
        <w:rPr>
          <w:rFonts w:cs=""/>
          <w:b/>
          <w:color w:val="00AEEF"/>
          <w:sz w:val="28"/>
          <w:szCs w:val="28"/>
          <w:lang w:val="el-GR"/>
        </w:rPr>
      </w:r>
    </w:p>
    <w:p>
      <w:pPr>
        <w:pStyle w:val="style0"/>
      </w:pPr>
      <w:r>
        <w:rPr>
          <w:rFonts w:cs=""/>
          <w:b/>
          <w:color w:val="00AEEF"/>
          <w:sz w:val="28"/>
          <w:szCs w:val="28"/>
          <w:lang w:val="el-GR"/>
        </w:rPr>
      </w:r>
    </w:p>
    <w:p>
      <w:pPr>
        <w:pStyle w:val="style0"/>
      </w:pPr>
      <w:r>
        <w:rPr>
          <w:rFonts w:cs=""/>
          <w:b/>
          <w:color w:val="00AEEF"/>
          <w:sz w:val="28"/>
          <w:szCs w:val="28"/>
          <w:lang w:val="el-GR"/>
        </w:rPr>
      </w:r>
    </w:p>
    <w:p>
      <w:pPr>
        <w:pStyle w:val="style0"/>
      </w:pPr>
      <w:r>
        <w:rPr>
          <w:rFonts w:cs=""/>
          <w:b/>
          <w:color w:val="00AEEF"/>
          <w:sz w:val="28"/>
          <w:szCs w:val="28"/>
          <w:lang w:val="el-GR"/>
        </w:rPr>
      </w:r>
    </w:p>
    <w:p>
      <w:pPr>
        <w:pStyle w:val="style0"/>
      </w:pPr>
      <w:r>
        <w:rPr>
          <w:rFonts w:cs=""/>
          <w:b/>
          <w:color w:val="00AEEF"/>
          <w:sz w:val="28"/>
          <w:szCs w:val="28"/>
          <w:lang w:val="el-GR"/>
        </w:rPr>
      </w:r>
    </w:p>
    <w:p>
      <w:pPr>
        <w:pStyle w:val="style0"/>
      </w:pPr>
      <w:r>
        <w:rPr>
          <w:rFonts w:cs=""/>
          <w:b/>
          <w:color w:val="00AEEF"/>
          <w:sz w:val="28"/>
          <w:szCs w:val="28"/>
          <w:lang w:val="el-GR"/>
        </w:rPr>
      </w:r>
    </w:p>
    <w:p>
      <w:pPr>
        <w:pStyle w:val="style0"/>
      </w:pPr>
      <w:r>
        <w:rPr>
          <w:rFonts w:cs=""/>
          <w:b/>
          <w:color w:val="00AEEF"/>
          <w:sz w:val="28"/>
          <w:szCs w:val="28"/>
          <w:lang w:val="el-GR"/>
        </w:rPr>
      </w:r>
    </w:p>
    <w:p>
      <w:pPr>
        <w:pStyle w:val="style0"/>
      </w:pPr>
      <w:r>
        <w:rPr>
          <w:rFonts w:cs=""/>
          <w:b/>
          <w:color w:val="00AEEF"/>
          <w:sz w:val="28"/>
          <w:szCs w:val="28"/>
          <w:lang w:val="el-GR"/>
        </w:rPr>
      </w:r>
    </w:p>
    <w:p>
      <w:pPr>
        <w:pStyle w:val="style0"/>
        <w:jc w:val="center"/>
      </w:pPr>
      <w:r>
        <w:rPr>
          <w:rFonts w:cs="Arial"/>
          <w:i/>
          <w:iCs/>
          <w:color w:val="940068"/>
          <w:sz w:val="18"/>
          <w:szCs w:val="18"/>
          <w:lang w:val="el-GR"/>
        </w:rPr>
        <w:t xml:space="preserve">Αξιοποιήθηκαν στοιχεία που παράχθηκαν στο πλαίσιο του έργου «Μηχανισμός παρακολούθησης των αλλαγών και υποστήριξης των δράσεων ανάπτυξης και προσαρμοστικότητας της βιομηχανίας», το οποίο συγχρηματοδοτείται από την Ελλάδα και την ΕΕ (Ευρωπαϊκό Κοινωνικό Ταμείο) μέσω του ΕΠ «Ανταγωνιστικότητα, Επιχειρηματικότητα και Καινοτομία». </w:t>
      </w:r>
    </w:p>
    <w:p>
      <w:pPr>
        <w:pStyle w:val="style0"/>
        <w:jc w:val="center"/>
      </w:pPr>
      <w:r>
        <w:rPr>
          <w:rFonts w:cs="Arial"/>
          <w:i/>
          <w:iCs/>
          <w:color w:val="940068"/>
          <w:sz w:val="18"/>
          <w:szCs w:val="18"/>
          <w:lang w:val="el-GR"/>
        </w:rPr>
      </w:r>
    </w:p>
    <w:p>
      <w:pPr>
        <w:pStyle w:val="style0"/>
        <w:jc w:val="center"/>
      </w:pPr>
      <w:r>
        <w:rPr/>
        <w:drawing>
          <wp:inline distB="0" distL="0" distR="0" distT="0">
            <wp:extent cx="4705350" cy="1028700"/>
            <wp:effectExtent b="0" l="0" r="0" t="0"/>
            <wp:docPr descr="cid:image003.png@01D59F97.2FBEF720"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id:image003.png@01D59F97.2FBEF720" id="4" name="Picture"/>
                    <pic:cNvPicPr>
                      <a:picLocks noChangeArrowheads="1" noChangeAspect="1"/>
                    </pic:cNvPicPr>
                  </pic:nvPicPr>
                  <pic:blipFill>
                    <a:blip r:embed="rId18"/>
                    <a:srcRect/>
                    <a:stretch>
                      <a:fillRect/>
                    </a:stretch>
                  </pic:blipFill>
                  <pic:spPr bwMode="auto">
                    <a:xfrm>
                      <a:off x="0" y="0"/>
                      <a:ext cx="4705350" cy="1028700"/>
                    </a:xfrm>
                    <a:prstGeom prst="rect">
                      <a:avLst/>
                    </a:prstGeom>
                    <a:noFill/>
                    <a:ln w="9525">
                      <a:noFill/>
                      <a:miter lim="800000"/>
                      <a:headEnd/>
                      <a:tailEnd/>
                    </a:ln>
                  </pic:spPr>
                </pic:pic>
              </a:graphicData>
            </a:graphic>
          </wp:inline>
        </w:drawing>
      </w:r>
    </w:p>
    <w:p>
      <w:pPr>
        <w:pStyle w:val="style0"/>
      </w:pPr>
      <w:r>
        <w:rPr>
          <w:rFonts w:cs=""/>
          <w:b/>
          <w:color w:val="00AEEF"/>
          <w:sz w:val="28"/>
          <w:szCs w:val="28"/>
          <w:lang w:val="el-GR"/>
        </w:rPr>
      </w:r>
    </w:p>
    <w:p>
      <w:pPr>
        <w:pStyle w:val="style0"/>
        <w:pageBreakBefore/>
      </w:pPr>
      <w:r>
        <w:rPr>
          <w:rFonts w:cs=""/>
          <w:b/>
          <w:color w:val="00AEEF"/>
          <w:sz w:val="28"/>
          <w:szCs w:val="28"/>
          <w:lang w:val="el-GR"/>
        </w:rPr>
        <w:t>Επενδύσεις και εκπαίδευση/κατάρτιση ενόψει των τεχνολογικών εξελίξεων που φέρνει η 4</w:t>
      </w:r>
      <w:r>
        <w:rPr>
          <w:rFonts w:cs=""/>
          <w:b/>
          <w:color w:val="00AEEF"/>
          <w:sz w:val="28"/>
          <w:szCs w:val="28"/>
          <w:vertAlign w:val="superscript"/>
          <w:lang w:val="el-GR"/>
        </w:rPr>
        <w:t>η</w:t>
      </w:r>
      <w:r>
        <w:rPr>
          <w:rFonts w:cs=""/>
          <w:b/>
          <w:color w:val="00AEEF"/>
          <w:sz w:val="28"/>
          <w:szCs w:val="28"/>
          <w:lang w:val="el-GR"/>
        </w:rPr>
        <w:t xml:space="preserve"> Βιομηχανική Επανάσταση</w:t>
      </w:r>
    </w:p>
    <w:p>
      <w:pPr>
        <w:pStyle w:val="style0"/>
        <w:tabs>
          <w:tab w:leader="none" w:pos="426" w:val="left"/>
        </w:tabs>
        <w:spacing w:after="0" w:before="160" w:line="300" w:lineRule="exact"/>
        <w:contextualSpacing w:val="false"/>
      </w:pPr>
      <w:r>
        <w:rPr>
          <w:rFonts w:cs="Arial"/>
          <w:sz w:val="22"/>
          <w:szCs w:val="22"/>
          <w:lang w:val="el-GR"/>
        </w:rPr>
      </w:r>
    </w:p>
    <w:p>
      <w:pPr>
        <w:pStyle w:val="style0"/>
        <w:tabs>
          <w:tab w:leader="none" w:pos="426" w:val="left"/>
        </w:tabs>
        <w:spacing w:after="0" w:before="160" w:line="300" w:lineRule="exact"/>
        <w:contextualSpacing w:val="false"/>
      </w:pPr>
      <w:r>
        <w:rPr>
          <w:rFonts w:cs="Arial"/>
          <w:sz w:val="22"/>
          <w:szCs w:val="22"/>
          <w:lang w:val="el-GR"/>
        </w:rPr>
        <w:t>Η εφαρμογή των αναδυόμενων νέων τεχνολογιών στο πλαίσιο της λεγόμενης 4</w:t>
      </w:r>
      <w:r>
        <w:rPr>
          <w:rFonts w:cs="Arial"/>
          <w:sz w:val="22"/>
          <w:szCs w:val="22"/>
          <w:vertAlign w:val="superscript"/>
          <w:lang w:val="el-GR"/>
        </w:rPr>
        <w:t>ης</w:t>
      </w:r>
      <w:r>
        <w:rPr>
          <w:rFonts w:cs="Arial"/>
          <w:sz w:val="22"/>
          <w:szCs w:val="22"/>
          <w:lang w:val="el-GR"/>
        </w:rPr>
        <w:t xml:space="preserve"> Βιομηχανικής Επανάστασης αναμένεται να αυξήσει την παραγωγικότητα και το κατά κεφαλήν εισόδημα. Αυτό είναι ιδιαίτερα σημαντικό για χώρες όπως η Ελλάδα, που αντιμετωπίζει γήρανση του πληθυσμού και μείωση του πληθυσμού στις εργάσιμες ηλικίες και, κατά συνέπεια, του εργατικού δυναμικού. Η Ελλάδα, συνεπώς, θα πρέπει να προσβλέπει σε ταχεία υιοθέτηση της αυτοματοποίησης της παραγωγής σε όλη την οικονομία, που φέρνουν οι νέες τεχνολογίες. Σε διαφορετική περίπτωση, το επίπεδο διαβίωσης του πληθυσμού δεν θα μπορεί να αυξηθεί. Στη μεταβατική περίοδο, όμως, εφαρμογής των νέων τεχνολογιών, και λόγω της υψηλής ταχύτητας με την οποία επέρχονται οι αλλαγές, όχι μόνο πρέπει να επιταχυνθούν οι επενδύσεις αλλά και να γίνει μια τεράστια προσπάθεια επανακατάρτισης των εργαζομένων στις δεξιότητες και τις τεχνολογίες της 4</w:t>
      </w:r>
      <w:r>
        <w:rPr>
          <w:rFonts w:cs="Arial"/>
          <w:sz w:val="22"/>
          <w:szCs w:val="22"/>
          <w:vertAlign w:val="superscript"/>
          <w:lang w:val="el-GR"/>
        </w:rPr>
        <w:t>ης</w:t>
      </w:r>
      <w:r>
        <w:rPr>
          <w:rFonts w:cs="Arial"/>
          <w:sz w:val="22"/>
          <w:szCs w:val="22"/>
          <w:lang w:val="el-GR"/>
        </w:rPr>
        <w:t xml:space="preserve"> Βιομηχανικής Επανάστασης, ώστε να διευκολυνθεί η αναδιάρθρωση της παραγωγής που επέρχεται. </w:t>
      </w:r>
    </w:p>
    <w:p>
      <w:pPr>
        <w:pStyle w:val="style0"/>
        <w:tabs>
          <w:tab w:leader="none" w:pos="426" w:val="left"/>
        </w:tabs>
        <w:spacing w:after="0" w:before="160" w:line="300" w:lineRule="exact"/>
        <w:contextualSpacing w:val="false"/>
      </w:pPr>
      <w:r>
        <w:rPr>
          <w:rFonts w:cs="Arial"/>
          <w:sz w:val="22"/>
          <w:szCs w:val="22"/>
          <w:lang w:val="el-GR"/>
        </w:rPr>
        <w:t xml:space="preserve">Το </w:t>
      </w:r>
      <w:r>
        <w:rPr>
          <w:rFonts w:cs="Arial"/>
          <w:sz w:val="22"/>
          <w:szCs w:val="22"/>
        </w:rPr>
        <w:t>World</w:t>
      </w:r>
      <w:r>
        <w:rPr>
          <w:rFonts w:cs="Arial"/>
          <w:sz w:val="22"/>
          <w:szCs w:val="22"/>
          <w:lang w:val="el-GR"/>
        </w:rPr>
        <w:t xml:space="preserve"> </w:t>
      </w:r>
      <w:r>
        <w:rPr>
          <w:rFonts w:cs="Arial"/>
          <w:sz w:val="22"/>
          <w:szCs w:val="22"/>
        </w:rPr>
        <w:t>Economic</w:t>
      </w:r>
      <w:r>
        <w:rPr>
          <w:rFonts w:cs="Arial"/>
          <w:sz w:val="22"/>
          <w:szCs w:val="22"/>
          <w:lang w:val="el-GR"/>
        </w:rPr>
        <w:t xml:space="preserve"> </w:t>
      </w:r>
      <w:r>
        <w:rPr>
          <w:rFonts w:cs="Arial"/>
          <w:sz w:val="22"/>
          <w:szCs w:val="22"/>
        </w:rPr>
        <w:t>Forum</w:t>
      </w:r>
      <w:r>
        <w:rPr>
          <w:rFonts w:cs="Arial"/>
          <w:sz w:val="22"/>
          <w:szCs w:val="22"/>
          <w:lang w:val="el-GR"/>
        </w:rPr>
        <w:t xml:space="preserve"> (</w:t>
      </w:r>
      <w:hyperlink r:id="rId19">
        <w:r>
          <w:rPr>
            <w:rStyle w:val="style21"/>
            <w:rFonts w:cs="Arial"/>
            <w:sz w:val="22"/>
            <w:szCs w:val="22"/>
            <w:lang w:val="el-GR"/>
          </w:rPr>
          <w:t>A Global Standard for Lifelong Learning and Worker Engagement to Support Advanced Manufacturing</w:t>
        </w:r>
      </w:hyperlink>
      <w:r>
        <w:rPr>
          <w:rFonts w:cs="Arial"/>
          <w:sz w:val="22"/>
          <w:szCs w:val="22"/>
          <w:lang w:val="el-GR"/>
        </w:rPr>
        <w:t>, Νοέμβριος 2019) υπολογίζει, με βάση ερωτηματολόγιο προς επιχειρήσεις που συνολικά απασχολούν 15 εκατ. εργαζομένους, ότι, μόνο μέχρι το 2022, 75 εκατ. θέσεις εργασίας διεθνώς θα αντικατασταθούν από μηχανές, ενώ την ίδια περίοδο αναμένεται να δημιουργηθούν 133 εκατ. νέες θέσεις εργασίας στη νέα οικονομία που διαμορφώνεται από την 4</w:t>
      </w:r>
      <w:r>
        <w:rPr>
          <w:rFonts w:cs="Arial"/>
          <w:sz w:val="22"/>
          <w:szCs w:val="22"/>
          <w:vertAlign w:val="superscript"/>
          <w:lang w:val="el-GR"/>
        </w:rPr>
        <w:t>η</w:t>
      </w:r>
      <w:r>
        <w:rPr>
          <w:rFonts w:cs="Arial"/>
          <w:sz w:val="22"/>
          <w:szCs w:val="22"/>
          <w:lang w:val="el-GR"/>
        </w:rPr>
        <w:t xml:space="preserve"> Βιομηχανική Επανάσταση (μια καθαρή αύξηση 58 εκατ. εργαζομένων). Η </w:t>
      </w:r>
      <w:r>
        <w:rPr>
          <w:rFonts w:cs="Arial"/>
          <w:sz w:val="22"/>
          <w:szCs w:val="22"/>
        </w:rPr>
        <w:t>McKinsey</w:t>
      </w:r>
      <w:r>
        <w:rPr>
          <w:rFonts w:cs="Arial"/>
          <w:sz w:val="22"/>
          <w:szCs w:val="22"/>
          <w:lang w:val="el-GR"/>
        </w:rPr>
        <w:t xml:space="preserve"> (</w:t>
      </w:r>
      <w:r>
        <w:rPr>
          <w:rFonts w:cs="Arial"/>
          <w:sz w:val="22"/>
          <w:szCs w:val="22"/>
        </w:rPr>
        <w:t>McKinsey</w:t>
      </w:r>
      <w:r>
        <w:rPr>
          <w:rFonts w:cs="Arial"/>
          <w:sz w:val="22"/>
          <w:szCs w:val="22"/>
          <w:lang w:val="el-GR"/>
        </w:rPr>
        <w:t xml:space="preserve"> </w:t>
      </w:r>
      <w:r>
        <w:rPr>
          <w:rFonts w:cs="Arial"/>
          <w:sz w:val="22"/>
          <w:szCs w:val="22"/>
        </w:rPr>
        <w:t>Global</w:t>
      </w:r>
      <w:r>
        <w:rPr>
          <w:rFonts w:cs="Arial"/>
          <w:sz w:val="22"/>
          <w:szCs w:val="22"/>
          <w:lang w:val="el-GR"/>
        </w:rPr>
        <w:t xml:space="preserve"> </w:t>
      </w:r>
      <w:r>
        <w:rPr>
          <w:rFonts w:cs="Arial"/>
          <w:sz w:val="22"/>
          <w:szCs w:val="22"/>
        </w:rPr>
        <w:t>Institute</w:t>
      </w:r>
      <w:r>
        <w:rPr>
          <w:rFonts w:cs="Arial"/>
          <w:sz w:val="22"/>
          <w:szCs w:val="22"/>
          <w:lang w:val="el-GR"/>
        </w:rPr>
        <w:t xml:space="preserve">, </w:t>
      </w:r>
      <w:r>
        <w:fldChar w:fldCharType="begin"/>
      </w:r>
      <w:r>
        <w:instrText> HYPERLINK "https://public.tableau.com/profile/mckinsey.analytics" \l "!/vizhome/InternationalAutomation/WhereMachinesCanReplaceHumans"</w:instrText>
      </w:r>
      <w:r>
        <w:fldChar w:fldCharType="separate"/>
      </w:r>
      <w:r>
        <w:rPr>
          <w:rStyle w:val="style21"/>
          <w:rFonts w:cs="Arial"/>
          <w:sz w:val="22"/>
          <w:szCs w:val="22"/>
          <w:lang w:val="el-GR"/>
        </w:rPr>
        <w:t xml:space="preserve">International Automation </w:t>
      </w:r>
      <w:r>
        <w:fldChar w:fldCharType="end"/>
      </w:r>
      <w:r>
        <w:rPr>
          <w:rStyle w:val="style21"/>
          <w:rFonts w:cs="Arial"/>
          <w:sz w:val="22"/>
          <w:szCs w:val="22"/>
        </w:rPr>
        <w:t>D</w:t>
      </w:r>
      <w:r>
        <w:rPr>
          <w:rStyle w:val="style21"/>
          <w:rFonts w:cs="Arial"/>
          <w:sz w:val="22"/>
          <w:szCs w:val="22"/>
          <w:lang w:val="el-GR"/>
        </w:rPr>
        <w:t>ata</w:t>
      </w:r>
      <w:r>
        <w:rPr>
          <w:rFonts w:cs="Arial"/>
          <w:sz w:val="22"/>
          <w:szCs w:val="22"/>
          <w:lang w:val="el-GR"/>
        </w:rPr>
        <w:t xml:space="preserve">) υπολογίζει επίσης ότι διεθνώς οι αυτοματισμοί που θα υιοθετηθούν έχουν τη δυνατότητα να οδηγήσουν σε μείωση του αριθμού των εργαζομένων κατά 41% - 56% (1,2 δισ. εργαζόμενοι σε ισοδύναμα πλήρους απασχόλησης), ποσοστό που διαρθρώνεται σε διαφορετικά επίπεδα ανά κλάδο και ανά χώρα. Σημειώνεται ότι οι υπολογισμοί βασίζονται στο μίγμα δραστηριοτήτων των εργαζομένων του κάθε κλάδου και τη δυνατότητα αυτοματισμού των δραστηριοτήτων αυτών, με τις χειρωνακτικές δραστηριότητες και εκείνες της συλλογής και διαχείρισης στοιχείων να έχουν πολύ μεγαλύτερα ποσοστά υποκατάστασης από ότι εκείνες στη διοίκηση, στην εμπειρογνωμοσύνη και στις διαπροσωπικές σχέσεις. </w:t>
      </w:r>
    </w:p>
    <w:p>
      <w:pPr>
        <w:pStyle w:val="style0"/>
        <w:tabs>
          <w:tab w:leader="none" w:pos="426" w:val="left"/>
        </w:tabs>
        <w:spacing w:after="0" w:before="160" w:line="300" w:lineRule="exact"/>
        <w:contextualSpacing w:val="false"/>
      </w:pPr>
      <w:r>
        <w:rPr>
          <w:rFonts w:cs="Arial"/>
          <w:sz w:val="22"/>
          <w:szCs w:val="22"/>
          <w:lang w:val="el-GR"/>
        </w:rPr>
      </w:r>
    </w:p>
    <w:p>
      <w:pPr>
        <w:pStyle w:val="style61"/>
      </w:pPr>
      <w:r>
        <w:rPr/>
        <w:drawing>
          <wp:inline distB="0" distL="0" distR="0" distT="0">
            <wp:extent cx="1896745" cy="67945"/>
            <wp:effectExtent b="0" l="0" r="0" t="0"/>
            <wp:docPr desc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5" name="Picture"/>
                    <pic:cNvPicPr>
                      <a:picLocks noChangeArrowheads="1" noChangeAspect="1"/>
                    </pic:cNvPicPr>
                  </pic:nvPicPr>
                  <pic:blipFill>
                    <a:blip r:embed="rId20"/>
                    <a:srcRect/>
                    <a:stretch>
                      <a:fillRect/>
                    </a:stretch>
                  </pic:blipFill>
                  <pic:spPr bwMode="auto">
                    <a:xfrm>
                      <a:off x="0" y="0"/>
                      <a:ext cx="1896745" cy="67945"/>
                    </a:xfrm>
                    <a:prstGeom prst="rect">
                      <a:avLst/>
                    </a:prstGeom>
                    <a:noFill/>
                    <a:ln w="9525">
                      <a:noFill/>
                      <a:miter lim="800000"/>
                      <a:headEnd/>
                      <a:tailEnd/>
                    </a:ln>
                  </pic:spPr>
                </pic:pic>
              </a:graphicData>
            </a:graphic>
          </wp:inline>
        </w:drawing>
      </w:r>
    </w:p>
    <w:p>
      <w:pPr>
        <w:pStyle w:val="style61"/>
      </w:pPr>
      <w:r>
        <w:rPr>
          <w:rFonts w:cs="Arial"/>
          <w:lang w:val="el-GR"/>
        </w:rPr>
        <w:t>Η Ελλάδα θα πρέπει να προσβλέπει σε ταχεία υιοθέτηση της αυτοματοποίησης της παραγωγής σε όλη την οικονομία, που φέρνουν οι νέες τεχνολογίες. Σε διαφορετική περίπτωση, το επίπεδο διαβίωσης του πληθυσμού δεν θα μπορεί να αυξηθεί. Στη μεταβατική περίοδο, όμως, εφαρμογής των νέων τεχνολογιών, και λόγω της υψηλής ταχύτητας με την οποία επέρχονται οι αλλαγές, όχι μόνο πρέπει να επιταχυνθούν οι επενδύσεις αλλά και να γίνει μια τεράστια προσπάθεια επανακατάρτισης των εργαζομένων στις δεξιότητες και τις τεχνολογίες της 4ης Βιομηχανικής Επανάστασης.</w:t>
      </w:r>
    </w:p>
    <w:p>
      <w:pPr>
        <w:pStyle w:val="style61"/>
      </w:pPr>
      <w:r>
        <w:rPr/>
        <w:drawing>
          <wp:inline distB="0" distL="0" distR="0" distT="0">
            <wp:extent cx="1896745" cy="67945"/>
            <wp:effectExtent b="0" l="0" r="0" t="0"/>
            <wp:docPr desc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6" name="Picture"/>
                    <pic:cNvPicPr>
                      <a:picLocks noChangeArrowheads="1" noChangeAspect="1"/>
                    </pic:cNvPicPr>
                  </pic:nvPicPr>
                  <pic:blipFill>
                    <a:blip r:embed="rId21"/>
                    <a:srcRect/>
                    <a:stretch>
                      <a:fillRect/>
                    </a:stretch>
                  </pic:blipFill>
                  <pic:spPr bwMode="auto">
                    <a:xfrm>
                      <a:off x="0" y="0"/>
                      <a:ext cx="1896745" cy="67945"/>
                    </a:xfrm>
                    <a:prstGeom prst="rect">
                      <a:avLst/>
                    </a:prstGeom>
                    <a:noFill/>
                    <a:ln w="9525">
                      <a:noFill/>
                      <a:miter lim="800000"/>
                      <a:headEnd/>
                      <a:tailEnd/>
                    </a:ln>
                  </pic:spPr>
                </pic:pic>
              </a:graphicData>
            </a:graphic>
          </wp:inline>
        </w:drawing>
      </w:r>
    </w:p>
    <w:p>
      <w:pPr>
        <w:pStyle w:val="style0"/>
        <w:tabs>
          <w:tab w:leader="none" w:pos="426" w:val="left"/>
        </w:tabs>
        <w:spacing w:after="0" w:before="160" w:line="300" w:lineRule="exact"/>
        <w:contextualSpacing w:val="false"/>
      </w:pPr>
      <w:r>
        <w:rPr>
          <w:rFonts w:cs="Arial"/>
          <w:sz w:val="22"/>
          <w:szCs w:val="22"/>
          <w:lang w:val="el-GR"/>
        </w:rPr>
      </w:r>
    </w:p>
    <w:p>
      <w:pPr>
        <w:pStyle w:val="style0"/>
      </w:pPr>
      <w:r>
        <w:rPr>
          <w:rFonts w:cs="Arial"/>
          <w:sz w:val="22"/>
          <w:szCs w:val="22"/>
          <w:lang w:val="el-GR"/>
        </w:rPr>
        <w:t xml:space="preserve">Στην Ελλάδα, ειδικότερα, υπολογίζεται από τη </w:t>
      </w:r>
      <w:r>
        <w:rPr>
          <w:rFonts w:cs="Arial"/>
          <w:sz w:val="22"/>
          <w:szCs w:val="22"/>
        </w:rPr>
        <w:t>McKinsey</w:t>
      </w:r>
      <w:r>
        <w:rPr>
          <w:rFonts w:cs="Arial"/>
          <w:sz w:val="22"/>
          <w:szCs w:val="22"/>
          <w:lang w:val="el-GR"/>
        </w:rPr>
        <w:t xml:space="preserve">, ότι οι αυτοματισμοί μπορούν να επηρεάσουν την απασχόληση σε ποσοστό 48% (μεσοσταθμικά) και κυρίως ως προς τις εργασίες ρουτίνας και χαμηλής εξειδίκευσης. Στο διάγραμμα </w:t>
      </w:r>
      <w:r>
        <w:rPr>
          <w:rFonts w:cs="Arial"/>
          <w:b/>
          <w:color w:val="00B0F0"/>
          <w:sz w:val="22"/>
          <w:szCs w:val="22"/>
          <w:lang w:val="el-GR"/>
        </w:rPr>
        <w:t>Δ01</w:t>
      </w:r>
      <w:r>
        <w:rPr>
          <w:rFonts w:cs="Arial"/>
          <w:sz w:val="22"/>
          <w:szCs w:val="22"/>
          <w:lang w:val="el-GR"/>
        </w:rPr>
        <w:t xml:space="preserve">, καταγράφονται οι κλάδοι που αντιμετωπίζουν τις μεγαλύτερες δυνητικές απώλειες λόγω της δυνατότητας αυτοματισμού των εργασιακών καθηκόντων που επιτελούν, οι εργαζόμενοι, με τους κλάδους του εμπορίου, της γεωργίας, της μεταποίησης, και του τουρισμού, να αντιμετωπίζουν δυνητική εκτόπιση θέσεων εργασίας κατά 331 χιλ., 240 χιλ., 236 χιλ. και 210 χιλ. αντιστοίχως. Πρόκειται για ενδεικτικές προσεγγίσεις που, παρόλη την αβεβαιότητα των υπολογισμών, παρουσιάζουν ανάγλυφα το μέγεθος της πρόκλησης που αντιμετωπίζει κάθε επιχείρηση, κάθε κλάδος και κάθε χώρα, ανάλογα με την κλαδική διάρθρωση της παραγωγής. Η διοχέτευση του εργατικού δυναμικού σε άλλες παραγωγικές δραστηριότητες με κατάρτιση σε νέες δεξιότητες, και με νέα θεσμική οργάνωση της εργασίας ενδεχομένως, είναι το μεγάλο στοίχημα της νέας εποχής που ανατέλλει. Όπως συνέβη και σε άλλες φάσεις εισαγωγής τεχνολογιών στην παγκόσμια οικονομική ιστορία, δεν έχει ποτέ προκύψει πρόκληση μαζικής και μόνιμης ανεργίας, καθώς αργότερα ή γρηγορότερα, η ανάπτυξη νέων προϊόντων και υπηρεσιών από την εφαρμογή των νέων τεχνολογιών απορροφά το διαθέσιμο εργατικό δυναμικό, υπό την προϋπόθεση ότι το τελευταίο αποκτά στη διαδικασία το κατάλληλο σετ δεξιοτήτων, σε χρόνους συμβατούς με τον ομαλό μετασχηματισμό της παραγωγικής βάσης. Αυτό δεν αποκλείει μεταβατικά προβλήματα απορρόφησης ανθρώπων που εκτοπίζονται από την παραγωγική διαδικασία, αν και αυτά εκτιμώνται ως μη </w:t>
      </w:r>
      <w:r>
        <w:rPr/>
        <w:drawing>
          <wp:inline distB="0" distL="0" distR="0" distT="0">
            <wp:extent cx="4799965" cy="3138805"/>
            <wp:effectExtent b="0" l="0" r="0" t="0"/>
            <wp:docPr desc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7" name="Picture"/>
                    <pic:cNvPicPr>
                      <a:picLocks noChangeArrowheads="1" noChangeAspect="1"/>
                    </pic:cNvPicPr>
                  </pic:nvPicPr>
                  <pic:blipFill>
                    <a:blip r:embed="rId22"/>
                    <a:srcRect/>
                    <a:stretch>
                      <a:fillRect/>
                    </a:stretch>
                  </pic:blipFill>
                  <pic:spPr bwMode="auto">
                    <a:xfrm>
                      <a:off x="0" y="0"/>
                      <a:ext cx="4799965" cy="3138805"/>
                    </a:xfrm>
                    <a:prstGeom prst="rect">
                      <a:avLst/>
                    </a:prstGeom>
                    <a:noFill/>
                    <a:ln w="9525">
                      <a:noFill/>
                      <a:miter lim="800000"/>
                      <a:headEnd/>
                      <a:tailEnd/>
                    </a:ln>
                  </pic:spPr>
                </pic:pic>
              </a:graphicData>
            </a:graphic>
          </wp:inline>
        </w:drawing>
      </w:r>
      <w:r>
        <w:rPr>
          <w:rFonts w:cs="Arial"/>
          <w:b/>
          <w:color w:val="00B0F0"/>
          <w:lang w:val="el-GR"/>
        </w:rPr>
        <w:t>Δ01:</w:t>
      </w:r>
      <w:r>
        <w:rPr>
          <w:rFonts w:cs="Arial"/>
          <w:lang w:val="el-GR"/>
        </w:rPr>
        <w:t xml:space="preserve"> </w:t>
      </w:r>
      <w:r>
        <w:rPr>
          <w:rFonts w:cs="Arial"/>
          <w:b/>
          <w:lang w:val="el-GR"/>
        </w:rPr>
        <w:t>Αριθμός εργαζομένων που θα μπορούσε να υποκατασταθεί από μηχανές στην Ελλάδα κατά κλάδο</w:t>
      </w:r>
    </w:p>
    <w:p>
      <w:pPr>
        <w:pStyle w:val="style0"/>
      </w:pPr>
      <w:r>
        <w:rPr>
          <w:rFonts w:cs="Arial"/>
          <w:i/>
          <w:color w:val="00B0F0"/>
        </w:rPr>
        <w:t xml:space="preserve">(McKinsey Global Institute, </w:t>
      </w:r>
      <w:r>
        <w:fldChar w:fldCharType="begin"/>
      </w:r>
      <w:r>
        <w:instrText> HYPERLINK "https://public.tableau.com/profile/mckinsey.analytics" \l "!/vizhome/InternationalAutomation/WhereMachinesCanReplaceHumans"</w:instrText>
      </w:r>
      <w:r>
        <w:fldChar w:fldCharType="separate"/>
      </w:r>
      <w:r>
        <w:rPr>
          <w:rStyle w:val="style21"/>
          <w:rFonts w:cs="Arial"/>
          <w:i/>
        </w:rPr>
        <w:t>International Automation data</w:t>
      </w:r>
      <w:r>
        <w:fldChar w:fldCharType="end"/>
      </w:r>
      <w:r>
        <w:rPr>
          <w:rFonts w:cs="Arial"/>
          <w:i/>
          <w:color w:val="00B0F0"/>
        </w:rPr>
        <w:t xml:space="preserve"> </w:t>
      </w:r>
      <w:r>
        <w:rPr>
          <w:rFonts w:cs="Arial"/>
          <w:i/>
          <w:color w:val="00B0F0"/>
          <w:lang w:val="el-GR"/>
        </w:rPr>
        <w:t>και</w:t>
      </w:r>
      <w:r>
        <w:rPr>
          <w:rFonts w:cs="Arial"/>
          <w:i/>
          <w:color w:val="00B0F0"/>
        </w:rPr>
        <w:t xml:space="preserve"> </w:t>
      </w:r>
      <w:r>
        <w:rPr>
          <w:rFonts w:cs="Arial"/>
          <w:i/>
          <w:color w:val="00B0F0"/>
          <w:lang w:val="el-GR"/>
        </w:rPr>
        <w:t>ΕΛΣΤΑΤ</w:t>
      </w:r>
      <w:r>
        <w:rPr>
          <w:rFonts w:cs="Arial"/>
          <w:i/>
          <w:color w:val="00B0F0"/>
        </w:rPr>
        <w:t xml:space="preserve">, </w:t>
      </w:r>
      <w:r>
        <w:rPr>
          <w:rFonts w:cs="Arial"/>
          <w:i/>
          <w:color w:val="00B0F0"/>
          <w:lang w:val="el-GR"/>
        </w:rPr>
        <w:t>Έρευνα</w:t>
      </w:r>
      <w:r>
        <w:rPr>
          <w:rFonts w:cs="Arial"/>
          <w:i/>
          <w:color w:val="00B0F0"/>
        </w:rPr>
        <w:t xml:space="preserve"> </w:t>
      </w:r>
      <w:r>
        <w:rPr>
          <w:rFonts w:cs="Arial"/>
          <w:i/>
          <w:color w:val="00B0F0"/>
          <w:lang w:val="el-GR"/>
        </w:rPr>
        <w:t>Εργατικού</w:t>
      </w:r>
      <w:r>
        <w:rPr>
          <w:rFonts w:cs="Arial"/>
          <w:i/>
          <w:color w:val="00B0F0"/>
        </w:rPr>
        <w:t xml:space="preserve"> </w:t>
      </w:r>
      <w:r>
        <w:rPr>
          <w:rFonts w:cs="Arial"/>
          <w:i/>
          <w:color w:val="00B0F0"/>
          <w:lang w:val="el-GR"/>
        </w:rPr>
        <w:t>Δυναμικού</w:t>
      </w:r>
      <w:r>
        <w:rPr>
          <w:rFonts w:cs="Arial"/>
          <w:i/>
          <w:color w:val="00B0F0"/>
        </w:rPr>
        <w:t xml:space="preserve"> 2018) </w:t>
      </w:r>
    </w:p>
    <w:p>
      <w:pPr>
        <w:pStyle w:val="style0"/>
      </w:pPr>
      <w:r>
        <w:rPr>
          <w:rFonts w:cs="Arial"/>
        </w:rPr>
      </w:r>
    </w:p>
    <w:p>
      <w:pPr>
        <w:pStyle w:val="style0"/>
        <w:tabs>
          <w:tab w:leader="none" w:pos="426" w:val="left"/>
        </w:tabs>
        <w:spacing w:after="0" w:before="160" w:line="300" w:lineRule="exact"/>
        <w:contextualSpacing w:val="false"/>
      </w:pPr>
      <w:r>
        <w:rPr>
          <w:rFonts w:cs="Arial"/>
          <w:sz w:val="22"/>
          <w:szCs w:val="22"/>
          <w:lang w:val="el-GR"/>
        </w:rPr>
        <w:t xml:space="preserve">σημαντικά σε βάθος χρόνου. </w:t>
      </w:r>
    </w:p>
    <w:p>
      <w:pPr>
        <w:pStyle w:val="style0"/>
        <w:tabs>
          <w:tab w:leader="none" w:pos="426" w:val="left"/>
        </w:tabs>
        <w:spacing w:after="0" w:before="160" w:line="300" w:lineRule="exact"/>
        <w:contextualSpacing w:val="false"/>
      </w:pPr>
      <w:r>
        <w:rPr>
          <w:rFonts w:cs="Arial"/>
          <w:b/>
          <w:sz w:val="22"/>
          <w:szCs w:val="22"/>
          <w:lang w:val="el-GR"/>
        </w:rPr>
        <w:t>Στην Ελλάδα σήμερα, με δεδομένη την κλαδική διάρθρωση της οικονομίας, απαιτούνται επενδύσεις συμβατές με τις επερχόμενες τεχνολογικές εξελίξεις και κατάρτιση εργαζομένων σε μαζική κλίμακα.</w:t>
      </w:r>
      <w:r>
        <w:rPr>
          <w:rFonts w:cs="Arial"/>
          <w:sz w:val="22"/>
          <w:szCs w:val="22"/>
          <w:lang w:val="el-GR"/>
        </w:rPr>
        <w:t xml:space="preserve"> Στον Πίνακα </w:t>
      </w:r>
      <w:r>
        <w:rPr>
          <w:rFonts w:cs="Arial"/>
          <w:b/>
          <w:color w:val="00B0F0"/>
          <w:sz w:val="22"/>
          <w:szCs w:val="22"/>
          <w:lang w:val="el-GR"/>
        </w:rPr>
        <w:t>Δ02</w:t>
      </w:r>
      <w:r>
        <w:rPr>
          <w:rFonts w:cs="Arial"/>
          <w:sz w:val="22"/>
          <w:szCs w:val="22"/>
          <w:lang w:val="el-GR"/>
        </w:rPr>
        <w:t xml:space="preserve"> παρουσιάζονται οι κλάδοι της οικονομίας καταταγμένοι με βάση τη δυνατότητα αυτοματισμών, μαζί με πρόσφατα στοιχεία για τις επενδύσεις που γίνονται σε κλαδικό επίπεδο. Αντιστοίχως, στον Πίνακα </w:t>
      </w:r>
      <w:r>
        <w:rPr>
          <w:rFonts w:cs="Arial"/>
          <w:b/>
          <w:color w:val="00B0F0"/>
          <w:sz w:val="22"/>
          <w:szCs w:val="22"/>
          <w:lang w:val="el-GR"/>
        </w:rPr>
        <w:t>Δ03</w:t>
      </w:r>
      <w:r>
        <w:rPr>
          <w:rFonts w:cs="Arial"/>
          <w:sz w:val="22"/>
          <w:szCs w:val="22"/>
          <w:lang w:val="el-GR"/>
        </w:rPr>
        <w:t xml:space="preserve"> παρουσιάζονται οι κλάδοι της οικονομίας καταταγμένοι με βάση τη μείωση της κλαδικής απασχόλησης λόγω δυνητικής υιοθέτησης αυτοματισμών, μαζί με το επίπεδο ποιότητας δεξιοτήτων και εκπαιδευτικών βαθμίδος των εργαζομένων στον κλάδο, και με στοιχεία καταρτιζόμενων μέσω προγραμμάτων δια βίου εκπαίδευσης. Και στις δύο περιπτώσεις ως ανωτέρω, επιχειρούνται και συγκρίσεις με την ΕΕ-28 ώστε να αποτυπωθεί το χάσμα ετοιμότητας ενδεχομένως όσον αφορά στη μετάβαση στη νέα ισορροπία. </w:t>
      </w:r>
    </w:p>
    <w:p>
      <w:pPr>
        <w:pStyle w:val="style0"/>
      </w:pPr>
      <w:r>
        <w:rPr>
          <w:rFonts w:cs="Arial"/>
          <w:sz w:val="22"/>
          <w:szCs w:val="22"/>
          <w:lang w:val="el-GR"/>
        </w:rPr>
      </w:r>
    </w:p>
    <w:p>
      <w:pPr>
        <w:pStyle w:val="style0"/>
        <w:pageBreakBefore/>
      </w:pPr>
      <w:r>
        <w:rPr>
          <w:rFonts w:cs="Arial"/>
          <w:sz w:val="22"/>
          <w:szCs w:val="22"/>
          <w:lang w:val="el-GR"/>
        </w:rPr>
      </w:r>
    </w:p>
    <w:p>
      <w:pPr>
        <w:pStyle w:val="style86"/>
        <w:spacing w:after="120" w:before="0"/>
        <w:contextualSpacing w:val="false"/>
      </w:pPr>
      <w:r>
        <w:rPr>
          <w:rFonts w:cs="Arial"/>
          <w:b/>
          <w:color w:val="00B0F0"/>
          <w:lang w:val="el-GR"/>
        </w:rPr>
        <w:t xml:space="preserve">Δ03: </w:t>
      </w:r>
      <w:r>
        <w:rPr>
          <w:rFonts w:cs="Arial"/>
          <w:b/>
          <w:lang w:val="el-GR"/>
        </w:rPr>
        <w:t xml:space="preserve">Δυνητική απώλεια θέσεων εργασίας και ποσοστό συμμετοχής εργαζομένων ηλικίας 18-64 ετών στην εκπαίδευση και κατάρτιση κατά κλάδο </w:t>
      </w:r>
      <w:r>
        <w:rPr>
          <w:rFonts w:cs="Arial"/>
          <w:i/>
          <w:color w:val="00B0F0"/>
          <w:lang w:val="el-GR"/>
        </w:rPr>
        <w:t>(</w:t>
      </w:r>
      <w:r>
        <w:rPr>
          <w:rFonts w:cs="Arial"/>
          <w:i/>
          <w:color w:val="00B0F0"/>
        </w:rPr>
        <w:t>McKinsey</w:t>
      </w:r>
      <w:r>
        <w:rPr>
          <w:rFonts w:cs="Arial"/>
          <w:i/>
          <w:color w:val="00B0F0"/>
          <w:lang w:val="el-GR"/>
        </w:rPr>
        <w:t xml:space="preserve"> </w:t>
      </w:r>
      <w:r>
        <w:rPr>
          <w:rFonts w:cs="Arial"/>
          <w:i/>
          <w:color w:val="00B0F0"/>
        </w:rPr>
        <w:t>Global</w:t>
      </w:r>
      <w:r>
        <w:rPr>
          <w:rFonts w:cs="Arial"/>
          <w:i/>
          <w:color w:val="00B0F0"/>
          <w:lang w:val="el-GR"/>
        </w:rPr>
        <w:t xml:space="preserve"> </w:t>
      </w:r>
      <w:r>
        <w:rPr>
          <w:rFonts w:cs="Arial"/>
          <w:i/>
          <w:color w:val="00B0F0"/>
        </w:rPr>
        <w:t>Institute</w:t>
      </w:r>
      <w:r>
        <w:rPr>
          <w:rFonts w:cs="Arial"/>
          <w:i/>
          <w:color w:val="00B0F0"/>
          <w:lang w:val="el-GR"/>
        </w:rPr>
        <w:t xml:space="preserve">, </w:t>
      </w:r>
      <w:r>
        <w:fldChar w:fldCharType="begin"/>
      </w:r>
      <w:r>
        <w:instrText> HYPERLINK "https://public.tableau.com/profile/mckinsey.analytics" \l "!/vizhome/InternationalAutomation/WhereMachinesCanReplaceHumans"</w:instrText>
      </w:r>
      <w:r>
        <w:fldChar w:fldCharType="separate"/>
      </w:r>
      <w:r>
        <w:rPr>
          <w:rStyle w:val="style21"/>
          <w:rFonts w:cs="Arial"/>
          <w:i/>
        </w:rPr>
        <w:t>International</w:t>
      </w:r>
      <w:r>
        <w:fldChar w:fldCharType="end"/>
      </w:r>
      <w:r>
        <w:rPr>
          <w:rStyle w:val="style21"/>
          <w:rFonts w:cs="Arial"/>
          <w:i/>
          <w:lang w:val="el-GR"/>
        </w:rPr>
        <w:t xml:space="preserve"> </w:t>
      </w:r>
      <w:r>
        <w:rPr>
          <w:rStyle w:val="style21"/>
          <w:rFonts w:cs="Arial"/>
          <w:i/>
        </w:rPr>
        <w:t>Automation</w:t>
      </w:r>
      <w:r>
        <w:rPr>
          <w:rStyle w:val="style21"/>
          <w:rFonts w:cs="Arial"/>
          <w:i/>
          <w:lang w:val="el-GR"/>
        </w:rPr>
        <w:t xml:space="preserve"> </w:t>
      </w:r>
      <w:r>
        <w:rPr>
          <w:rStyle w:val="style21"/>
          <w:rFonts w:cs="Arial"/>
          <w:i/>
        </w:rPr>
        <w:t>data</w:t>
      </w:r>
      <w:r>
        <w:rPr>
          <w:rFonts w:cs="Arial"/>
          <w:i/>
          <w:color w:val="00B0F0"/>
          <w:lang w:val="el-GR"/>
        </w:rPr>
        <w:t xml:space="preserve"> 2017, </w:t>
      </w:r>
      <w:r>
        <w:rPr>
          <w:rFonts w:cs="Arial"/>
          <w:i/>
          <w:color w:val="00B0F0"/>
        </w:rPr>
        <w:t>Eurostat</w:t>
      </w:r>
      <w:r>
        <w:rPr>
          <w:rFonts w:cs="Arial"/>
          <w:i/>
          <w:color w:val="00B0F0"/>
          <w:lang w:val="el-GR"/>
        </w:rPr>
        <w:t>, 2018 και ΕΛΣΤΑΤ, Έρευνα Εργατικού Δυναμικού, 2018)</w:t>
      </w:r>
    </w:p>
    <w:p>
      <w:pPr>
        <w:pStyle w:val="style86"/>
        <w:jc w:val="center"/>
      </w:pPr>
      <w:r>
        <w:rPr>
          <w:rFonts w:cs="Arial"/>
          <w:b/>
          <w:color w:val="FFFFFF"/>
          <w:sz w:val="16"/>
          <w:szCs w:val="16"/>
          <w:lang w:val="el-GR"/>
        </w:rPr>
      </w:r>
    </w:p>
    <w:p>
      <w:pPr>
        <w:pStyle w:val="style86"/>
        <w:jc w:val="center"/>
      </w:pPr>
      <w:r>
        <w:rPr>
          <w:rFonts w:cs="Arial"/>
          <w:b/>
          <w:color w:val="FFFFFF"/>
          <w:sz w:val="16"/>
          <w:szCs w:val="16"/>
          <w:lang w:val="el-GR"/>
        </w:rPr>
        <w:t>% εργασίας που μπορεί να αυτοματοποιηθεί</w:t>
      </w:r>
    </w:p>
    <w:p>
      <w:pPr>
        <w:pStyle w:val="style86"/>
        <w:jc w:val="center"/>
      </w:pPr>
      <w:r>
        <w:rPr>
          <w:rFonts w:cs="Arial"/>
          <w:b/>
          <w:color w:val="FFFFFF"/>
          <w:sz w:val="16"/>
          <w:szCs w:val="16"/>
        </w:rPr>
        <w:t>Σύνολο εργαζομένων 2018</w:t>
      </w:r>
    </w:p>
    <w:p>
      <w:pPr>
        <w:pStyle w:val="style86"/>
        <w:jc w:val="center"/>
      </w:pPr>
      <w:r>
        <w:rPr>
          <w:rFonts w:cs="Arial"/>
          <w:b/>
          <w:color w:val="FFFFFF"/>
          <w:sz w:val="16"/>
          <w:szCs w:val="16"/>
          <w:lang w:val="el-GR"/>
        </w:rPr>
        <w:t>Δυνητική απώλεια θέσεων εργασίας (σε χιλ.)</w:t>
      </w:r>
    </w:p>
    <w:p>
      <w:pPr>
        <w:pStyle w:val="style86"/>
        <w:jc w:val="center"/>
      </w:pPr>
      <w:r>
        <w:rPr>
          <w:rFonts w:cs="Arial"/>
          <w:b/>
          <w:color w:val="FFFFFF"/>
          <w:sz w:val="16"/>
          <w:szCs w:val="16"/>
          <w:lang w:val="el-GR"/>
        </w:rPr>
        <w:t>Ποσοστό συμμετοχής εργαζομένων</w:t>
      </w:r>
    </w:p>
    <w:p>
      <w:pPr>
        <w:pStyle w:val="style86"/>
        <w:jc w:val="center"/>
      </w:pPr>
      <w:r>
        <w:rPr>
          <w:rFonts w:cs="Arial"/>
          <w:b/>
          <w:color w:val="FFFFFF"/>
          <w:sz w:val="16"/>
          <w:szCs w:val="16"/>
          <w:lang w:val="el-GR"/>
        </w:rPr>
        <w:t>18-64 ετών στην εκπαίδευση και κατάρτιση</w:t>
      </w:r>
    </w:p>
    <w:p>
      <w:pPr>
        <w:pStyle w:val="style86"/>
        <w:jc w:val="center"/>
      </w:pPr>
      <w:r>
        <w:rPr>
          <w:rFonts w:cs="Arial"/>
          <w:b/>
          <w:color w:val="FFFFFF"/>
          <w:sz w:val="16"/>
          <w:szCs w:val="16"/>
          <w:lang w:val="el-GR"/>
        </w:rPr>
      </w:r>
    </w:p>
    <w:p>
      <w:pPr>
        <w:pStyle w:val="style86"/>
        <w:jc w:val="center"/>
      </w:pPr>
      <w:r>
        <w:rPr>
          <w:rFonts w:cs="Arial"/>
          <w:b/>
          <w:color w:val="FFFFFF"/>
          <w:sz w:val="16"/>
          <w:szCs w:val="16"/>
          <w:lang w:val="el-GR"/>
        </w:rPr>
      </w:r>
    </w:p>
    <w:p>
      <w:pPr>
        <w:pStyle w:val="style86"/>
        <w:jc w:val="center"/>
      </w:pPr>
      <w:r>
        <w:rPr>
          <w:rFonts w:cs="Arial"/>
          <w:b/>
          <w:color w:val="FFFFFF"/>
          <w:sz w:val="16"/>
          <w:szCs w:val="16"/>
          <w:lang w:val="el-GR"/>
        </w:rPr>
      </w:r>
    </w:p>
    <w:p>
      <w:pPr>
        <w:pStyle w:val="style86"/>
        <w:jc w:val="center"/>
      </w:pPr>
      <w:r>
        <w:rPr>
          <w:rFonts w:cs="Arial"/>
          <w:b/>
          <w:color w:val="FFFFFF"/>
          <w:sz w:val="16"/>
          <w:szCs w:val="16"/>
          <w:lang w:val="el-GR"/>
        </w:rPr>
      </w:r>
    </w:p>
    <w:p>
      <w:pPr>
        <w:pStyle w:val="style86"/>
        <w:jc w:val="center"/>
      </w:pPr>
      <w:r>
        <w:rPr>
          <w:rFonts w:cs="Arial"/>
          <w:b/>
          <w:color w:val="FFFFFF"/>
          <w:sz w:val="16"/>
          <w:szCs w:val="16"/>
          <w:lang w:val="el-GR"/>
        </w:rPr>
        <w:t>Ελλάδα</w:t>
      </w:r>
    </w:p>
    <w:p>
      <w:pPr>
        <w:pStyle w:val="style86"/>
        <w:jc w:val="center"/>
      </w:pPr>
      <w:r>
        <w:rPr>
          <w:rFonts w:cs="Arial"/>
          <w:b/>
          <w:color w:val="FFFFFF"/>
          <w:sz w:val="16"/>
          <w:szCs w:val="16"/>
          <w:lang w:val="el-GR"/>
        </w:rPr>
        <w:t>ΕΕ-28</w:t>
      </w:r>
    </w:p>
    <w:p>
      <w:pPr>
        <w:pStyle w:val="style86"/>
        <w:jc w:val="center"/>
      </w:pPr>
      <w:r>
        <w:rPr>
          <w:rFonts w:cs="Arial"/>
          <w:b/>
          <w:color w:val="FFFFFF"/>
          <w:sz w:val="16"/>
          <w:szCs w:val="16"/>
          <w:lang w:val="el-GR"/>
        </w:rPr>
      </w:r>
    </w:p>
    <w:p>
      <w:pPr>
        <w:pStyle w:val="style86"/>
        <w:jc w:val="center"/>
      </w:pPr>
      <w:r>
        <w:rPr>
          <w:rFonts w:cs="Arial"/>
          <w:b/>
          <w:color w:val="FFFFFF"/>
          <w:sz w:val="16"/>
          <w:szCs w:val="16"/>
          <w:lang w:val="el-GR"/>
        </w:rPr>
      </w:r>
    </w:p>
    <w:p>
      <w:pPr>
        <w:pStyle w:val="style86"/>
        <w:jc w:val="center"/>
      </w:pPr>
      <w:r>
        <w:rPr>
          <w:rFonts w:cs="Arial"/>
          <w:b/>
          <w:color w:val="FFFFFF"/>
          <w:sz w:val="16"/>
          <w:szCs w:val="16"/>
          <w:lang w:val="el-GR"/>
        </w:rPr>
      </w:r>
    </w:p>
    <w:p>
      <w:pPr>
        <w:pStyle w:val="style86"/>
        <w:jc w:val="center"/>
      </w:pPr>
      <w:r>
        <w:rPr>
          <w:rFonts w:cs="Arial"/>
          <w:b/>
          <w:color w:val="FFFFFF"/>
          <w:sz w:val="16"/>
          <w:szCs w:val="16"/>
          <w:lang w:val="el-GR"/>
        </w:rPr>
      </w:r>
    </w:p>
    <w:p>
      <w:pPr>
        <w:pStyle w:val="style86"/>
        <w:jc w:val="center"/>
      </w:pPr>
      <w:r>
        <w:rPr>
          <w:rFonts w:cs="Arial"/>
          <w:b/>
          <w:color w:val="FFFFFF"/>
          <w:sz w:val="16"/>
          <w:szCs w:val="16"/>
          <w:lang w:val="el-GR"/>
        </w:rPr>
        <w:t>Σύνολο</w:t>
      </w:r>
    </w:p>
    <w:p>
      <w:pPr>
        <w:pStyle w:val="style86"/>
        <w:jc w:val="center"/>
      </w:pPr>
      <w:r>
        <w:rPr>
          <w:rFonts w:cs="Arial"/>
          <w:b/>
          <w:color w:val="FFFFFF"/>
          <w:sz w:val="16"/>
          <w:szCs w:val="16"/>
          <w:lang w:val="el-GR"/>
        </w:rPr>
        <w:t>Υψηλών δεξιοτήτων*</w:t>
      </w:r>
    </w:p>
    <w:p>
      <w:pPr>
        <w:pStyle w:val="style86"/>
        <w:jc w:val="center"/>
      </w:pPr>
      <w:r>
        <w:rPr>
          <w:rFonts w:cs="Arial"/>
          <w:b/>
          <w:color w:val="FFFFFF"/>
          <w:sz w:val="16"/>
          <w:szCs w:val="16"/>
          <w:lang w:val="el-GR"/>
        </w:rPr>
        <w:t>Χαμηλών και μεσαίων δεξιοτήτων*</w:t>
      </w:r>
    </w:p>
    <w:p>
      <w:pPr>
        <w:pStyle w:val="style86"/>
        <w:jc w:val="center"/>
      </w:pPr>
      <w:r>
        <w:rPr>
          <w:rFonts w:cs="Arial"/>
          <w:b/>
          <w:color w:val="FFFFFF"/>
          <w:sz w:val="16"/>
          <w:szCs w:val="16"/>
          <w:lang w:val="el-GR"/>
        </w:rPr>
        <w:t>Σύνολο</w:t>
      </w:r>
    </w:p>
    <w:p>
      <w:pPr>
        <w:pStyle w:val="style86"/>
      </w:pPr>
      <w:r>
        <w:rPr>
          <w:rFonts w:cs="Arial"/>
          <w:b/>
          <w:color w:val="FFFFFF"/>
          <w:sz w:val="16"/>
          <w:szCs w:val="16"/>
        </w:rPr>
        <w:t>Σύνολο</w:t>
      </w:r>
    </w:p>
    <w:p>
      <w:pPr>
        <w:pStyle w:val="style86"/>
        <w:ind w:hanging="0" w:left="0" w:right="369"/>
        <w:jc w:val="right"/>
      </w:pPr>
      <w:r>
        <w:rPr>
          <w:rFonts w:cs="Arial"/>
          <w:b/>
          <w:color w:val="FFFFFF"/>
          <w:sz w:val="16"/>
          <w:szCs w:val="16"/>
        </w:rPr>
        <w:t>48</w:t>
      </w:r>
    </w:p>
    <w:p>
      <w:pPr>
        <w:pStyle w:val="style86"/>
        <w:ind w:hanging="0" w:left="0" w:right="123"/>
        <w:jc w:val="right"/>
      </w:pPr>
      <w:r>
        <w:rPr>
          <w:rFonts w:cs="Arial"/>
          <w:b/>
          <w:color w:val="FFFFFF"/>
          <w:sz w:val="16"/>
          <w:szCs w:val="16"/>
        </w:rPr>
        <w:t>3.828,0</w:t>
      </w:r>
    </w:p>
    <w:p>
      <w:pPr>
        <w:pStyle w:val="style86"/>
        <w:ind w:hanging="0" w:left="0" w:right="123"/>
        <w:jc w:val="right"/>
      </w:pPr>
      <w:r>
        <w:rPr>
          <w:rFonts w:cs="Arial"/>
          <w:b/>
          <w:color w:val="FFFFFF"/>
          <w:sz w:val="16"/>
          <w:szCs w:val="16"/>
        </w:rPr>
        <w:t>1.837,4</w:t>
      </w:r>
    </w:p>
    <w:p>
      <w:pPr>
        <w:pStyle w:val="style86"/>
        <w:ind w:hanging="0" w:left="0" w:right="123"/>
        <w:jc w:val="right"/>
      </w:pPr>
      <w:r>
        <w:rPr>
          <w:rFonts w:cs="Arial"/>
          <w:b/>
          <w:color w:val="FFFFFF"/>
          <w:sz w:val="16"/>
          <w:szCs w:val="16"/>
        </w:rPr>
        <w:t>6,3%</w:t>
      </w:r>
    </w:p>
    <w:p>
      <w:pPr>
        <w:pStyle w:val="style86"/>
        <w:ind w:hanging="0" w:left="0" w:right="123"/>
        <w:jc w:val="right"/>
      </w:pPr>
      <w:r>
        <w:rPr>
          <w:rFonts w:cs="Arial"/>
          <w:b/>
          <w:color w:val="FFFFFF"/>
          <w:sz w:val="16"/>
          <w:szCs w:val="16"/>
        </w:rPr>
        <w:t>2,4%</w:t>
      </w:r>
    </w:p>
    <w:p>
      <w:pPr>
        <w:pStyle w:val="style86"/>
        <w:ind w:hanging="0" w:left="0" w:right="123"/>
        <w:jc w:val="right"/>
      </w:pPr>
      <w:r>
        <w:rPr>
          <w:rFonts w:cs="Arial"/>
          <w:b/>
          <w:color w:val="FFFFFF"/>
          <w:sz w:val="16"/>
          <w:szCs w:val="16"/>
        </w:rPr>
        <w:t>3,9%</w:t>
      </w:r>
    </w:p>
    <w:p>
      <w:pPr>
        <w:pStyle w:val="style86"/>
        <w:ind w:hanging="0" w:left="0" w:right="123"/>
        <w:jc w:val="right"/>
      </w:pPr>
      <w:r>
        <w:rPr>
          <w:rFonts w:cs="Arial"/>
          <w:b/>
          <w:color w:val="FFFFFF"/>
          <w:sz w:val="16"/>
          <w:szCs w:val="16"/>
          <w:lang w:val="el-GR"/>
        </w:rPr>
        <w:t>14,8%</w:t>
      </w:r>
    </w:p>
    <w:p>
      <w:pPr>
        <w:pStyle w:val="style86"/>
      </w:pPr>
      <w:r>
        <w:rPr>
          <w:rFonts w:cs="Arial"/>
          <w:sz w:val="16"/>
          <w:szCs w:val="16"/>
        </w:rPr>
        <w:t>Εμπόριο</w:t>
      </w:r>
    </w:p>
    <w:p>
      <w:pPr>
        <w:pStyle w:val="style86"/>
        <w:ind w:hanging="0" w:left="0" w:right="369"/>
        <w:jc w:val="right"/>
      </w:pPr>
      <w:r>
        <w:rPr>
          <w:rFonts w:cs="Arial"/>
          <w:sz w:val="16"/>
          <w:szCs w:val="16"/>
        </w:rPr>
        <w:t>48</w:t>
      </w:r>
    </w:p>
    <w:p>
      <w:pPr>
        <w:pStyle w:val="style86"/>
        <w:ind w:hanging="0" w:left="0" w:right="123"/>
        <w:jc w:val="right"/>
      </w:pPr>
      <w:r>
        <w:rPr>
          <w:rFonts w:cs="Arial"/>
          <w:sz w:val="16"/>
          <w:szCs w:val="16"/>
        </w:rPr>
        <w:t>688,5</w:t>
      </w:r>
    </w:p>
    <w:p>
      <w:pPr>
        <w:pStyle w:val="style86"/>
        <w:ind w:hanging="0" w:left="0" w:right="123"/>
        <w:jc w:val="right"/>
      </w:pPr>
      <w:r>
        <w:rPr>
          <w:rFonts w:cs="Arial"/>
          <w:sz w:val="16"/>
          <w:szCs w:val="16"/>
        </w:rPr>
        <w:t>330,5</w:t>
      </w:r>
    </w:p>
    <w:p>
      <w:pPr>
        <w:pStyle w:val="style86"/>
        <w:ind w:hanging="0" w:left="0" w:right="123"/>
        <w:jc w:val="right"/>
      </w:pPr>
      <w:r>
        <w:rPr>
          <w:rFonts w:cs="Arial"/>
          <w:sz w:val="16"/>
          <w:szCs w:val="16"/>
        </w:rPr>
        <w:t>5,5%</w:t>
      </w:r>
    </w:p>
    <w:p>
      <w:pPr>
        <w:pStyle w:val="style86"/>
        <w:ind w:hanging="0" w:left="0" w:right="123"/>
        <w:jc w:val="right"/>
      </w:pPr>
      <w:r>
        <w:rPr>
          <w:rFonts w:cs="Arial"/>
          <w:sz w:val="16"/>
          <w:szCs w:val="16"/>
        </w:rPr>
        <w:t>0,8%</w:t>
      </w:r>
    </w:p>
    <w:p>
      <w:pPr>
        <w:pStyle w:val="style86"/>
        <w:ind w:hanging="0" w:left="0" w:right="123"/>
        <w:jc w:val="right"/>
      </w:pPr>
      <w:r>
        <w:rPr>
          <w:rFonts w:cs="Arial"/>
          <w:sz w:val="16"/>
          <w:szCs w:val="16"/>
        </w:rPr>
        <w:t>4,7%</w:t>
      </w:r>
    </w:p>
    <w:p>
      <w:pPr>
        <w:pStyle w:val="style86"/>
        <w:ind w:hanging="0" w:left="0" w:right="123"/>
        <w:jc w:val="right"/>
      </w:pPr>
      <w:r>
        <w:rPr>
          <w:rFonts w:cs="Arial"/>
          <w:sz w:val="16"/>
          <w:szCs w:val="16"/>
          <w:lang w:val="el-GR"/>
        </w:rPr>
        <w:t>13,3%</w:t>
      </w:r>
    </w:p>
    <w:p>
      <w:pPr>
        <w:pStyle w:val="style86"/>
      </w:pPr>
      <w:r>
        <w:rPr>
          <w:rFonts w:cs="Arial"/>
          <w:sz w:val="16"/>
          <w:szCs w:val="16"/>
        </w:rPr>
        <w:t>Γεωργία</w:t>
      </w:r>
    </w:p>
    <w:p>
      <w:pPr>
        <w:pStyle w:val="style86"/>
        <w:ind w:hanging="0" w:left="0" w:right="369"/>
        <w:jc w:val="right"/>
      </w:pPr>
      <w:r>
        <w:rPr>
          <w:rFonts w:cs="Arial"/>
          <w:sz w:val="16"/>
          <w:szCs w:val="16"/>
        </w:rPr>
        <w:t>51</w:t>
      </w:r>
    </w:p>
    <w:p>
      <w:pPr>
        <w:pStyle w:val="style86"/>
        <w:ind w:hanging="0" w:left="0" w:right="123"/>
        <w:jc w:val="right"/>
      </w:pPr>
      <w:r>
        <w:rPr>
          <w:rFonts w:cs="Arial"/>
          <w:sz w:val="16"/>
          <w:szCs w:val="16"/>
        </w:rPr>
        <w:t>469,6</w:t>
      </w:r>
    </w:p>
    <w:p>
      <w:pPr>
        <w:pStyle w:val="style86"/>
        <w:ind w:hanging="0" w:left="0" w:right="123"/>
        <w:jc w:val="right"/>
      </w:pPr>
      <w:r>
        <w:rPr>
          <w:rFonts w:cs="Arial"/>
          <w:sz w:val="16"/>
          <w:szCs w:val="16"/>
        </w:rPr>
        <w:t>239,5</w:t>
      </w:r>
    </w:p>
    <w:p>
      <w:pPr>
        <w:pStyle w:val="style86"/>
        <w:ind w:hanging="0" w:left="0" w:right="123"/>
        <w:jc w:val="right"/>
      </w:pPr>
      <w:r>
        <w:rPr>
          <w:rFonts w:cs="Arial"/>
          <w:sz w:val="16"/>
          <w:szCs w:val="16"/>
          <w:lang w:val="el-GR"/>
        </w:rPr>
        <w:t>…</w:t>
      </w:r>
    </w:p>
    <w:p>
      <w:pPr>
        <w:pStyle w:val="style86"/>
        <w:ind w:hanging="0" w:left="0" w:right="123"/>
        <w:jc w:val="right"/>
      </w:pPr>
      <w:r>
        <w:rPr>
          <w:rFonts w:cs="Arial"/>
          <w:sz w:val="16"/>
          <w:szCs w:val="16"/>
          <w:lang w:val="el-GR"/>
        </w:rPr>
        <w:t>…</w:t>
      </w:r>
    </w:p>
    <w:p>
      <w:pPr>
        <w:pStyle w:val="style86"/>
        <w:ind w:hanging="0" w:left="0" w:right="123"/>
        <w:jc w:val="right"/>
      </w:pPr>
      <w:r>
        <w:rPr>
          <w:lang w:val="el-GR"/>
        </w:rPr>
        <w:t>…</w:t>
      </w:r>
    </w:p>
    <w:p>
      <w:pPr>
        <w:pStyle w:val="style86"/>
        <w:ind w:hanging="0" w:left="0" w:right="123"/>
        <w:jc w:val="right"/>
      </w:pPr>
      <w:r>
        <w:rPr>
          <w:rFonts w:cs="Arial"/>
          <w:sz w:val="16"/>
          <w:szCs w:val="16"/>
          <w:lang w:val="el-GR"/>
        </w:rPr>
        <w:t>6,0%</w:t>
      </w:r>
    </w:p>
    <w:p>
      <w:pPr>
        <w:pStyle w:val="style86"/>
      </w:pPr>
      <w:r>
        <w:rPr>
          <w:rFonts w:cs="Arial"/>
          <w:sz w:val="16"/>
          <w:szCs w:val="16"/>
        </w:rPr>
        <w:t>Μεταποίηση</w:t>
      </w:r>
    </w:p>
    <w:p>
      <w:pPr>
        <w:pStyle w:val="style86"/>
        <w:ind w:hanging="0" w:left="0" w:right="369"/>
        <w:jc w:val="right"/>
      </w:pPr>
      <w:r>
        <w:rPr>
          <w:rFonts w:cs="Arial"/>
          <w:sz w:val="16"/>
          <w:szCs w:val="16"/>
        </w:rPr>
        <w:t>66</w:t>
      </w:r>
    </w:p>
    <w:p>
      <w:pPr>
        <w:pStyle w:val="style86"/>
        <w:ind w:hanging="0" w:left="0" w:right="123"/>
        <w:jc w:val="right"/>
      </w:pPr>
      <w:r>
        <w:rPr>
          <w:rFonts w:cs="Arial"/>
          <w:sz w:val="16"/>
          <w:szCs w:val="16"/>
        </w:rPr>
        <w:t>357,8</w:t>
      </w:r>
    </w:p>
    <w:p>
      <w:pPr>
        <w:pStyle w:val="style86"/>
        <w:ind w:hanging="0" w:left="0" w:right="123"/>
        <w:jc w:val="right"/>
      </w:pPr>
      <w:r>
        <w:rPr>
          <w:rFonts w:cs="Arial"/>
          <w:sz w:val="16"/>
          <w:szCs w:val="16"/>
        </w:rPr>
        <w:t>236,1</w:t>
      </w:r>
    </w:p>
    <w:p>
      <w:pPr>
        <w:pStyle w:val="style86"/>
        <w:ind w:hanging="0" w:left="0" w:right="123"/>
        <w:jc w:val="right"/>
      </w:pPr>
      <w:r>
        <w:rPr>
          <w:rFonts w:cs="Arial"/>
          <w:sz w:val="16"/>
          <w:szCs w:val="16"/>
        </w:rPr>
        <w:t>3,5%</w:t>
      </w:r>
    </w:p>
    <w:p>
      <w:pPr>
        <w:pStyle w:val="style86"/>
        <w:ind w:hanging="0" w:left="0" w:right="123"/>
        <w:jc w:val="right"/>
      </w:pPr>
      <w:r>
        <w:rPr>
          <w:rFonts w:cs="Arial"/>
          <w:sz w:val="16"/>
          <w:szCs w:val="16"/>
        </w:rPr>
        <w:t>0,5%</w:t>
      </w:r>
    </w:p>
    <w:p>
      <w:pPr>
        <w:pStyle w:val="style86"/>
        <w:ind w:hanging="0" w:left="0" w:right="123"/>
        <w:jc w:val="right"/>
      </w:pPr>
      <w:r>
        <w:rPr>
          <w:rFonts w:cs="Arial"/>
          <w:sz w:val="16"/>
          <w:szCs w:val="16"/>
        </w:rPr>
        <w:t>3,0%</w:t>
      </w:r>
    </w:p>
    <w:p>
      <w:pPr>
        <w:pStyle w:val="style86"/>
        <w:ind w:hanging="0" w:left="0" w:right="123"/>
        <w:jc w:val="right"/>
      </w:pPr>
      <w:r>
        <w:rPr>
          <w:rFonts w:cs="Arial"/>
          <w:sz w:val="16"/>
          <w:szCs w:val="16"/>
          <w:lang w:val="el-GR"/>
        </w:rPr>
        <w:t>9,5%</w:t>
      </w:r>
    </w:p>
    <w:p>
      <w:pPr>
        <w:pStyle w:val="style86"/>
      </w:pPr>
      <w:r>
        <w:rPr>
          <w:rFonts w:cs="Arial"/>
          <w:sz w:val="16"/>
          <w:szCs w:val="16"/>
        </w:rPr>
        <w:t>Τουρισμός</w:t>
      </w:r>
    </w:p>
    <w:p>
      <w:pPr>
        <w:pStyle w:val="style86"/>
        <w:ind w:hanging="0" w:left="0" w:right="369"/>
        <w:jc w:val="right"/>
      </w:pPr>
      <w:r>
        <w:rPr>
          <w:rFonts w:cs="Arial"/>
          <w:sz w:val="16"/>
          <w:szCs w:val="16"/>
        </w:rPr>
        <w:t>58</w:t>
      </w:r>
    </w:p>
    <w:p>
      <w:pPr>
        <w:pStyle w:val="style86"/>
        <w:ind w:hanging="0" w:left="0" w:right="123"/>
        <w:jc w:val="right"/>
      </w:pPr>
      <w:r>
        <w:rPr>
          <w:rFonts w:cs="Arial"/>
          <w:sz w:val="16"/>
          <w:szCs w:val="16"/>
        </w:rPr>
        <w:t>361,7</w:t>
      </w:r>
    </w:p>
    <w:p>
      <w:pPr>
        <w:pStyle w:val="style86"/>
        <w:ind w:hanging="0" w:left="0" w:right="123"/>
        <w:jc w:val="right"/>
      </w:pPr>
      <w:r>
        <w:rPr>
          <w:rFonts w:cs="Arial"/>
          <w:sz w:val="16"/>
          <w:szCs w:val="16"/>
        </w:rPr>
        <w:t>209,8</w:t>
      </w:r>
    </w:p>
    <w:p>
      <w:pPr>
        <w:pStyle w:val="style86"/>
        <w:ind w:hanging="0" w:left="0" w:right="123"/>
        <w:jc w:val="right"/>
      </w:pPr>
      <w:r>
        <w:rPr>
          <w:rFonts w:cs="Arial"/>
          <w:sz w:val="16"/>
          <w:szCs w:val="16"/>
        </w:rPr>
        <w:t>9,4%</w:t>
      </w:r>
    </w:p>
    <w:p>
      <w:pPr>
        <w:pStyle w:val="style86"/>
        <w:ind w:hanging="0" w:left="0" w:right="123"/>
        <w:jc w:val="right"/>
      </w:pPr>
      <w:r>
        <w:rPr>
          <w:rFonts w:cs="Arial"/>
          <w:sz w:val="16"/>
          <w:szCs w:val="16"/>
        </w:rPr>
        <w:t>0,4%</w:t>
      </w:r>
    </w:p>
    <w:p>
      <w:pPr>
        <w:pStyle w:val="style86"/>
        <w:ind w:hanging="0" w:left="0" w:right="123"/>
        <w:jc w:val="right"/>
      </w:pPr>
      <w:r>
        <w:rPr>
          <w:rFonts w:cs="Arial"/>
          <w:sz w:val="16"/>
          <w:szCs w:val="16"/>
        </w:rPr>
        <w:t>9,0%</w:t>
      </w:r>
    </w:p>
    <w:p>
      <w:pPr>
        <w:pStyle w:val="style86"/>
        <w:ind w:hanging="0" w:left="0" w:right="123"/>
        <w:jc w:val="right"/>
      </w:pPr>
      <w:r>
        <w:rPr>
          <w:rFonts w:cs="Arial"/>
          <w:sz w:val="16"/>
          <w:szCs w:val="16"/>
          <w:lang w:val="el-GR"/>
        </w:rPr>
        <w:t>16,1%</w:t>
      </w:r>
    </w:p>
    <w:p>
      <w:pPr>
        <w:pStyle w:val="style86"/>
      </w:pPr>
      <w:r>
        <w:rPr>
          <w:rFonts w:cs="Arial"/>
          <w:sz w:val="16"/>
          <w:szCs w:val="16"/>
        </w:rPr>
        <w:t>Δημόσια διοίκηση</w:t>
      </w:r>
    </w:p>
    <w:p>
      <w:pPr>
        <w:pStyle w:val="style86"/>
        <w:ind w:hanging="0" w:left="0" w:right="369"/>
        <w:jc w:val="right"/>
      </w:pPr>
      <w:r>
        <w:rPr>
          <w:rFonts w:cs="Arial"/>
          <w:sz w:val="16"/>
          <w:szCs w:val="16"/>
        </w:rPr>
        <w:t>47</w:t>
      </w:r>
    </w:p>
    <w:p>
      <w:pPr>
        <w:pStyle w:val="style86"/>
        <w:ind w:hanging="0" w:left="0" w:right="123"/>
        <w:jc w:val="right"/>
      </w:pPr>
      <w:r>
        <w:rPr>
          <w:rFonts w:cs="Arial"/>
          <w:sz w:val="16"/>
          <w:szCs w:val="16"/>
        </w:rPr>
        <w:t>336,7</w:t>
      </w:r>
    </w:p>
    <w:p>
      <w:pPr>
        <w:pStyle w:val="style86"/>
        <w:ind w:hanging="0" w:left="0" w:right="123"/>
        <w:jc w:val="right"/>
      </w:pPr>
      <w:r>
        <w:rPr>
          <w:rFonts w:cs="Arial"/>
          <w:sz w:val="16"/>
          <w:szCs w:val="16"/>
        </w:rPr>
        <w:t>158,2</w:t>
      </w:r>
    </w:p>
    <w:p>
      <w:pPr>
        <w:pStyle w:val="style86"/>
        <w:ind w:hanging="0" w:left="0" w:right="123"/>
        <w:jc w:val="right"/>
      </w:pPr>
      <w:r>
        <w:rPr>
          <w:rFonts w:cs="Arial"/>
          <w:sz w:val="16"/>
          <w:szCs w:val="16"/>
        </w:rPr>
        <w:t>6,4%</w:t>
      </w:r>
    </w:p>
    <w:p>
      <w:pPr>
        <w:pStyle w:val="style86"/>
        <w:ind w:hanging="0" w:left="0" w:right="123"/>
        <w:jc w:val="right"/>
      </w:pPr>
      <w:r>
        <w:rPr>
          <w:rFonts w:cs="Arial"/>
          <w:sz w:val="16"/>
          <w:szCs w:val="16"/>
        </w:rPr>
        <w:t>2,7%</w:t>
      </w:r>
    </w:p>
    <w:p>
      <w:pPr>
        <w:pStyle w:val="style86"/>
        <w:ind w:hanging="0" w:left="0" w:right="123"/>
        <w:jc w:val="right"/>
      </w:pPr>
      <w:r>
        <w:rPr>
          <w:rFonts w:cs="Arial"/>
          <w:sz w:val="16"/>
          <w:szCs w:val="16"/>
        </w:rPr>
        <w:t>3,7%</w:t>
      </w:r>
    </w:p>
    <w:p>
      <w:pPr>
        <w:pStyle w:val="style86"/>
        <w:ind w:hanging="0" w:left="0" w:right="123"/>
        <w:jc w:val="right"/>
      </w:pPr>
      <w:r>
        <w:rPr>
          <w:rFonts w:cs="Arial"/>
          <w:sz w:val="16"/>
          <w:szCs w:val="16"/>
          <w:lang w:val="el-GR"/>
        </w:rPr>
        <w:t>16,8%</w:t>
      </w:r>
    </w:p>
    <w:p>
      <w:pPr>
        <w:pStyle w:val="style86"/>
      </w:pPr>
      <w:r>
        <w:rPr>
          <w:rFonts w:cs="Arial"/>
          <w:sz w:val="16"/>
          <w:szCs w:val="16"/>
        </w:rPr>
        <w:t>Μεταφορές και αποθήκευση</w:t>
      </w:r>
    </w:p>
    <w:p>
      <w:pPr>
        <w:pStyle w:val="style86"/>
        <w:ind w:hanging="0" w:left="0" w:right="369"/>
        <w:jc w:val="right"/>
      </w:pPr>
      <w:r>
        <w:rPr>
          <w:rFonts w:cs="Arial"/>
          <w:sz w:val="16"/>
          <w:szCs w:val="16"/>
        </w:rPr>
        <w:t>66</w:t>
      </w:r>
    </w:p>
    <w:p>
      <w:pPr>
        <w:pStyle w:val="style86"/>
        <w:ind w:hanging="0" w:left="0" w:right="123"/>
        <w:jc w:val="right"/>
      </w:pPr>
      <w:r>
        <w:rPr>
          <w:rFonts w:cs="Arial"/>
          <w:sz w:val="16"/>
          <w:szCs w:val="16"/>
        </w:rPr>
        <w:t>184,7</w:t>
      </w:r>
    </w:p>
    <w:p>
      <w:pPr>
        <w:pStyle w:val="style86"/>
        <w:ind w:hanging="0" w:left="0" w:right="123"/>
        <w:jc w:val="right"/>
      </w:pPr>
      <w:r>
        <w:rPr>
          <w:rFonts w:cs="Arial"/>
          <w:sz w:val="16"/>
          <w:szCs w:val="16"/>
        </w:rPr>
        <w:t>121,9</w:t>
      </w:r>
    </w:p>
    <w:p>
      <w:pPr>
        <w:pStyle w:val="style86"/>
        <w:ind w:hanging="0" w:left="0" w:right="123"/>
        <w:jc w:val="right"/>
      </w:pPr>
      <w:r>
        <w:rPr>
          <w:rFonts w:cs="Arial"/>
          <w:sz w:val="16"/>
          <w:szCs w:val="16"/>
        </w:rPr>
        <w:t>2,6%</w:t>
      </w:r>
    </w:p>
    <w:p>
      <w:pPr>
        <w:pStyle w:val="style86"/>
        <w:ind w:hanging="0" w:left="0" w:right="123"/>
        <w:jc w:val="right"/>
      </w:pPr>
      <w:r>
        <w:rPr>
          <w:rFonts w:cs="Arial"/>
          <w:sz w:val="16"/>
          <w:szCs w:val="16"/>
        </w:rPr>
        <w:t>0,3%</w:t>
      </w:r>
    </w:p>
    <w:p>
      <w:pPr>
        <w:pStyle w:val="style86"/>
        <w:ind w:hanging="0" w:left="0" w:right="123"/>
        <w:jc w:val="right"/>
      </w:pPr>
      <w:r>
        <w:rPr>
          <w:rFonts w:cs="Arial"/>
          <w:sz w:val="16"/>
          <w:szCs w:val="16"/>
        </w:rPr>
        <w:t>2,3%</w:t>
      </w:r>
    </w:p>
    <w:p>
      <w:pPr>
        <w:pStyle w:val="style86"/>
        <w:ind w:hanging="0" w:left="0" w:right="123"/>
        <w:jc w:val="right"/>
      </w:pPr>
      <w:r>
        <w:rPr>
          <w:rFonts w:cs="Arial"/>
          <w:sz w:val="16"/>
          <w:szCs w:val="16"/>
          <w:lang w:val="el-GR"/>
        </w:rPr>
        <w:t>9,6%</w:t>
      </w:r>
    </w:p>
    <w:p>
      <w:pPr>
        <w:pStyle w:val="style86"/>
      </w:pPr>
      <w:r>
        <w:rPr>
          <w:rFonts w:cs="Arial"/>
          <w:sz w:val="16"/>
          <w:szCs w:val="16"/>
        </w:rPr>
        <w:t>Υγεία</w:t>
      </w:r>
    </w:p>
    <w:p>
      <w:pPr>
        <w:pStyle w:val="style86"/>
        <w:ind w:hanging="0" w:left="0" w:right="369"/>
        <w:jc w:val="right"/>
      </w:pPr>
      <w:r>
        <w:rPr>
          <w:rFonts w:cs="Arial"/>
          <w:sz w:val="16"/>
          <w:szCs w:val="16"/>
        </w:rPr>
        <w:t>37</w:t>
      </w:r>
    </w:p>
    <w:p>
      <w:pPr>
        <w:pStyle w:val="style86"/>
        <w:ind w:hanging="0" w:left="0" w:right="123"/>
        <w:jc w:val="right"/>
      </w:pPr>
      <w:r>
        <w:rPr>
          <w:rFonts w:cs="Arial"/>
          <w:sz w:val="16"/>
          <w:szCs w:val="16"/>
        </w:rPr>
        <w:t>242,5</w:t>
      </w:r>
    </w:p>
    <w:p>
      <w:pPr>
        <w:pStyle w:val="style86"/>
        <w:ind w:hanging="0" w:left="0" w:right="123"/>
        <w:jc w:val="right"/>
      </w:pPr>
      <w:r>
        <w:rPr>
          <w:rFonts w:cs="Arial"/>
          <w:sz w:val="16"/>
          <w:szCs w:val="16"/>
        </w:rPr>
        <w:t>89,7</w:t>
      </w:r>
    </w:p>
    <w:p>
      <w:pPr>
        <w:pStyle w:val="style86"/>
        <w:ind w:hanging="0" w:left="0" w:right="123"/>
        <w:jc w:val="right"/>
      </w:pPr>
      <w:r>
        <w:rPr>
          <w:rFonts w:cs="Arial"/>
          <w:sz w:val="16"/>
          <w:szCs w:val="16"/>
        </w:rPr>
        <w:t>7,2%</w:t>
      </w:r>
    </w:p>
    <w:p>
      <w:pPr>
        <w:pStyle w:val="style86"/>
        <w:ind w:hanging="0" w:left="0" w:right="123"/>
        <w:jc w:val="right"/>
      </w:pPr>
      <w:r>
        <w:rPr>
          <w:rFonts w:cs="Arial"/>
          <w:sz w:val="16"/>
          <w:szCs w:val="16"/>
        </w:rPr>
        <w:t>5,7%</w:t>
      </w:r>
    </w:p>
    <w:p>
      <w:pPr>
        <w:pStyle w:val="style86"/>
        <w:ind w:hanging="0" w:left="0" w:right="123"/>
        <w:jc w:val="right"/>
      </w:pPr>
      <w:r>
        <w:rPr>
          <w:rFonts w:cs="Arial"/>
          <w:sz w:val="16"/>
          <w:szCs w:val="16"/>
        </w:rPr>
        <w:t>1,5%</w:t>
      </w:r>
    </w:p>
    <w:p>
      <w:pPr>
        <w:pStyle w:val="style86"/>
        <w:ind w:hanging="0" w:left="0" w:right="123"/>
        <w:jc w:val="right"/>
      </w:pPr>
      <w:r>
        <w:rPr>
          <w:rFonts w:cs="Arial"/>
          <w:sz w:val="16"/>
          <w:szCs w:val="16"/>
          <w:lang w:val="el-GR"/>
        </w:rPr>
        <w:t>20,8%</w:t>
      </w:r>
    </w:p>
    <w:p>
      <w:pPr>
        <w:pStyle w:val="style86"/>
      </w:pPr>
      <w:r>
        <w:rPr>
          <w:rFonts w:cs="Arial"/>
          <w:sz w:val="16"/>
          <w:szCs w:val="16"/>
        </w:rPr>
        <w:t>Κατασκευές</w:t>
      </w:r>
    </w:p>
    <w:p>
      <w:pPr>
        <w:pStyle w:val="style86"/>
        <w:ind w:hanging="0" w:left="0" w:right="369"/>
        <w:jc w:val="right"/>
      </w:pPr>
      <w:r>
        <w:rPr>
          <w:rFonts w:cs="Arial"/>
          <w:sz w:val="16"/>
          <w:szCs w:val="16"/>
        </w:rPr>
        <w:t>54</w:t>
      </w:r>
    </w:p>
    <w:p>
      <w:pPr>
        <w:pStyle w:val="style86"/>
        <w:ind w:hanging="0" w:left="0" w:right="123"/>
        <w:jc w:val="right"/>
      </w:pPr>
      <w:r>
        <w:rPr>
          <w:rFonts w:cs="Arial"/>
          <w:sz w:val="16"/>
          <w:szCs w:val="16"/>
        </w:rPr>
        <w:t>151,6</w:t>
      </w:r>
    </w:p>
    <w:p>
      <w:pPr>
        <w:pStyle w:val="style86"/>
        <w:ind w:hanging="0" w:left="0" w:right="123"/>
        <w:jc w:val="right"/>
      </w:pPr>
      <w:r>
        <w:rPr>
          <w:rFonts w:cs="Arial"/>
          <w:sz w:val="16"/>
          <w:szCs w:val="16"/>
        </w:rPr>
        <w:t>81,9</w:t>
      </w:r>
    </w:p>
    <w:p>
      <w:pPr>
        <w:pStyle w:val="style86"/>
        <w:ind w:hanging="0" w:left="0" w:right="123"/>
        <w:jc w:val="right"/>
      </w:pPr>
      <w:r>
        <w:rPr>
          <w:rFonts w:cs="Arial"/>
          <w:sz w:val="16"/>
          <w:szCs w:val="16"/>
        </w:rPr>
        <w:t>3,0%</w:t>
      </w:r>
    </w:p>
    <w:p>
      <w:pPr>
        <w:pStyle w:val="style86"/>
        <w:ind w:hanging="0" w:left="0" w:right="123"/>
        <w:jc w:val="right"/>
      </w:pPr>
      <w:r>
        <w:rPr>
          <w:rFonts w:cs="Arial"/>
          <w:sz w:val="16"/>
          <w:szCs w:val="16"/>
        </w:rPr>
        <w:t>0,6%</w:t>
      </w:r>
    </w:p>
    <w:p>
      <w:pPr>
        <w:pStyle w:val="style86"/>
        <w:ind w:hanging="0" w:left="0" w:right="123"/>
        <w:jc w:val="right"/>
      </w:pPr>
      <w:r>
        <w:rPr>
          <w:rFonts w:cs="Arial"/>
          <w:sz w:val="16"/>
          <w:szCs w:val="16"/>
        </w:rPr>
        <w:t>2,4%</w:t>
      </w:r>
    </w:p>
    <w:p>
      <w:pPr>
        <w:pStyle w:val="style86"/>
        <w:ind w:hanging="0" w:left="0" w:right="123"/>
        <w:jc w:val="right"/>
      </w:pPr>
      <w:r>
        <w:rPr>
          <w:rFonts w:cs="Arial"/>
          <w:sz w:val="16"/>
          <w:szCs w:val="16"/>
          <w:lang w:val="el-GR"/>
        </w:rPr>
        <w:t>9,5%</w:t>
      </w:r>
    </w:p>
    <w:p>
      <w:pPr>
        <w:pStyle w:val="style86"/>
      </w:pPr>
      <w:r>
        <w:rPr>
          <w:rFonts w:cs="Arial"/>
          <w:sz w:val="16"/>
          <w:szCs w:val="16"/>
          <w:lang w:val="el-GR"/>
        </w:rPr>
        <w:t>Επαγγελματικές υπηρεσίες</w:t>
      </w:r>
    </w:p>
    <w:p>
      <w:pPr>
        <w:pStyle w:val="style86"/>
        <w:ind w:hanging="0" w:left="0" w:right="369"/>
        <w:jc w:val="right"/>
      </w:pPr>
      <w:r>
        <w:rPr>
          <w:rFonts w:cs="Arial"/>
          <w:sz w:val="16"/>
          <w:szCs w:val="16"/>
        </w:rPr>
        <w:t>35</w:t>
      </w:r>
    </w:p>
    <w:p>
      <w:pPr>
        <w:pStyle w:val="style86"/>
        <w:ind w:hanging="0" w:left="0" w:right="123"/>
        <w:jc w:val="right"/>
      </w:pPr>
      <w:r>
        <w:rPr>
          <w:rFonts w:cs="Arial"/>
          <w:sz w:val="16"/>
          <w:szCs w:val="16"/>
        </w:rPr>
        <w:t>214,5</w:t>
      </w:r>
    </w:p>
    <w:p>
      <w:pPr>
        <w:pStyle w:val="style86"/>
        <w:ind w:hanging="0" w:left="0" w:right="123"/>
        <w:jc w:val="right"/>
      </w:pPr>
      <w:r>
        <w:rPr>
          <w:rFonts w:cs="Arial"/>
          <w:sz w:val="16"/>
          <w:szCs w:val="16"/>
        </w:rPr>
        <w:t>75,1</w:t>
      </w:r>
    </w:p>
    <w:p>
      <w:pPr>
        <w:pStyle w:val="style86"/>
        <w:ind w:hanging="0" w:left="0" w:right="123"/>
        <w:jc w:val="right"/>
      </w:pPr>
      <w:r>
        <w:rPr>
          <w:rFonts w:cs="Arial"/>
          <w:sz w:val="16"/>
          <w:szCs w:val="16"/>
        </w:rPr>
        <w:t>8,8%</w:t>
      </w:r>
    </w:p>
    <w:p>
      <w:pPr>
        <w:pStyle w:val="style86"/>
        <w:ind w:hanging="0" w:left="0" w:right="123"/>
        <w:jc w:val="right"/>
      </w:pPr>
      <w:r>
        <w:rPr>
          <w:rFonts w:cs="Arial"/>
          <w:sz w:val="16"/>
          <w:szCs w:val="16"/>
        </w:rPr>
        <w:t>7,5%</w:t>
      </w:r>
    </w:p>
    <w:p>
      <w:pPr>
        <w:pStyle w:val="style86"/>
        <w:ind w:hanging="0" w:left="0" w:right="123"/>
        <w:jc w:val="right"/>
      </w:pPr>
      <w:r>
        <w:rPr>
          <w:rFonts w:cs="Arial"/>
          <w:sz w:val="16"/>
          <w:szCs w:val="16"/>
        </w:rPr>
        <w:t>1,3%</w:t>
      </w:r>
    </w:p>
    <w:p>
      <w:pPr>
        <w:pStyle w:val="style86"/>
        <w:ind w:hanging="0" w:left="0" w:right="123"/>
        <w:jc w:val="right"/>
      </w:pPr>
      <w:r>
        <w:rPr>
          <w:rFonts w:cs="Arial"/>
          <w:sz w:val="16"/>
          <w:szCs w:val="16"/>
          <w:lang w:val="el-GR"/>
        </w:rPr>
        <w:t>19,7%</w:t>
      </w:r>
    </w:p>
    <w:p>
      <w:pPr>
        <w:pStyle w:val="style86"/>
      </w:pPr>
      <w:r>
        <w:rPr>
          <w:rFonts w:cs="Arial"/>
          <w:sz w:val="16"/>
          <w:szCs w:val="16"/>
        </w:rPr>
        <w:t>Εκπαίδευση</w:t>
      </w:r>
    </w:p>
    <w:p>
      <w:pPr>
        <w:pStyle w:val="style86"/>
        <w:ind w:hanging="0" w:left="0" w:right="369"/>
        <w:jc w:val="right"/>
      </w:pPr>
      <w:r>
        <w:rPr>
          <w:rFonts w:cs="Arial"/>
          <w:sz w:val="16"/>
          <w:szCs w:val="16"/>
        </w:rPr>
        <w:t>22</w:t>
      </w:r>
    </w:p>
    <w:p>
      <w:pPr>
        <w:pStyle w:val="style86"/>
        <w:ind w:hanging="0" w:left="0" w:right="123"/>
        <w:jc w:val="right"/>
      </w:pPr>
      <w:r>
        <w:rPr>
          <w:rFonts w:cs="Arial"/>
          <w:sz w:val="16"/>
          <w:szCs w:val="16"/>
        </w:rPr>
        <w:t>303,2</w:t>
      </w:r>
    </w:p>
    <w:p>
      <w:pPr>
        <w:pStyle w:val="style86"/>
        <w:ind w:hanging="0" w:left="0" w:right="123"/>
        <w:jc w:val="right"/>
      </w:pPr>
      <w:r>
        <w:rPr>
          <w:rFonts w:cs="Arial"/>
          <w:sz w:val="16"/>
          <w:szCs w:val="16"/>
        </w:rPr>
        <w:t>66,7</w:t>
      </w:r>
    </w:p>
    <w:p>
      <w:pPr>
        <w:pStyle w:val="style86"/>
        <w:ind w:hanging="0" w:left="0" w:right="123"/>
        <w:jc w:val="right"/>
      </w:pPr>
      <w:r>
        <w:rPr>
          <w:rFonts w:cs="Arial"/>
          <w:sz w:val="16"/>
          <w:szCs w:val="16"/>
        </w:rPr>
        <w:t>7,9%</w:t>
      </w:r>
    </w:p>
    <w:p>
      <w:pPr>
        <w:pStyle w:val="style86"/>
        <w:ind w:hanging="0" w:left="0" w:right="123"/>
        <w:jc w:val="right"/>
      </w:pPr>
      <w:r>
        <w:rPr>
          <w:rFonts w:cs="Arial"/>
          <w:sz w:val="16"/>
          <w:szCs w:val="16"/>
        </w:rPr>
        <w:t>6,4%</w:t>
      </w:r>
    </w:p>
    <w:p>
      <w:pPr>
        <w:pStyle w:val="style86"/>
        <w:ind w:hanging="0" w:left="0" w:right="123"/>
        <w:jc w:val="right"/>
      </w:pPr>
      <w:r>
        <w:rPr>
          <w:rFonts w:cs="Arial"/>
          <w:sz w:val="16"/>
          <w:szCs w:val="16"/>
        </w:rPr>
        <w:t>1,5%</w:t>
      </w:r>
    </w:p>
    <w:p>
      <w:pPr>
        <w:pStyle w:val="style86"/>
        <w:ind w:hanging="0" w:left="0" w:right="123"/>
        <w:jc w:val="right"/>
      </w:pPr>
      <w:r>
        <w:rPr>
          <w:rFonts w:cs="Arial"/>
          <w:sz w:val="16"/>
          <w:szCs w:val="16"/>
          <w:lang w:val="el-GR"/>
        </w:rPr>
        <w:t>22,2%</w:t>
      </w:r>
    </w:p>
    <w:p>
      <w:pPr>
        <w:pStyle w:val="style86"/>
      </w:pPr>
      <w:r>
        <w:rPr>
          <w:rFonts w:cs="Arial"/>
          <w:sz w:val="16"/>
          <w:szCs w:val="16"/>
        </w:rPr>
        <w:t>Ενημέρωση και επικοινωνία</w:t>
      </w:r>
    </w:p>
    <w:p>
      <w:pPr>
        <w:pStyle w:val="style86"/>
        <w:ind w:hanging="0" w:left="0" w:right="369"/>
        <w:jc w:val="right"/>
      </w:pPr>
      <w:r>
        <w:rPr>
          <w:rFonts w:cs="Arial"/>
          <w:sz w:val="16"/>
          <w:szCs w:val="16"/>
        </w:rPr>
        <w:t>42</w:t>
      </w:r>
    </w:p>
    <w:p>
      <w:pPr>
        <w:pStyle w:val="style86"/>
        <w:ind w:hanging="0" w:left="0" w:right="123"/>
        <w:jc w:val="right"/>
      </w:pPr>
      <w:r>
        <w:rPr>
          <w:rFonts w:cs="Arial"/>
          <w:sz w:val="16"/>
          <w:szCs w:val="16"/>
        </w:rPr>
        <w:t>96,7</w:t>
      </w:r>
    </w:p>
    <w:p>
      <w:pPr>
        <w:pStyle w:val="style86"/>
        <w:ind w:hanging="0" w:left="0" w:right="123"/>
        <w:jc w:val="right"/>
      </w:pPr>
      <w:r>
        <w:rPr>
          <w:rFonts w:cs="Arial"/>
          <w:sz w:val="16"/>
          <w:szCs w:val="16"/>
        </w:rPr>
        <w:t>40,6</w:t>
      </w:r>
    </w:p>
    <w:p>
      <w:pPr>
        <w:pStyle w:val="style86"/>
        <w:ind w:hanging="0" w:left="0" w:right="123"/>
        <w:jc w:val="right"/>
      </w:pPr>
      <w:r>
        <w:rPr>
          <w:rFonts w:cs="Arial"/>
          <w:sz w:val="16"/>
          <w:szCs w:val="16"/>
        </w:rPr>
        <w:t>12,7%</w:t>
      </w:r>
    </w:p>
    <w:p>
      <w:pPr>
        <w:pStyle w:val="style86"/>
        <w:ind w:hanging="0" w:left="0" w:right="123"/>
        <w:jc w:val="right"/>
      </w:pPr>
      <w:r>
        <w:rPr>
          <w:rFonts w:cs="Arial"/>
          <w:sz w:val="16"/>
          <w:szCs w:val="16"/>
        </w:rPr>
        <w:t>7,1%</w:t>
      </w:r>
    </w:p>
    <w:p>
      <w:pPr>
        <w:pStyle w:val="style86"/>
        <w:ind w:hanging="0" w:left="0" w:right="123"/>
        <w:jc w:val="right"/>
      </w:pPr>
      <w:r>
        <w:rPr>
          <w:rFonts w:cs="Arial"/>
          <w:sz w:val="16"/>
          <w:szCs w:val="16"/>
        </w:rPr>
        <w:t>5,6%</w:t>
      </w:r>
    </w:p>
    <w:p>
      <w:pPr>
        <w:pStyle w:val="style86"/>
        <w:ind w:hanging="0" w:left="0" w:right="123"/>
        <w:jc w:val="right"/>
      </w:pPr>
      <w:r>
        <w:rPr>
          <w:rFonts w:cs="Arial"/>
          <w:sz w:val="16"/>
          <w:szCs w:val="16"/>
          <w:lang w:val="el-GR"/>
        </w:rPr>
        <w:t>17,8%</w:t>
      </w:r>
    </w:p>
    <w:p>
      <w:pPr>
        <w:pStyle w:val="style86"/>
      </w:pPr>
      <w:r>
        <w:rPr>
          <w:rFonts w:cs="Arial"/>
          <w:sz w:val="16"/>
          <w:szCs w:val="16"/>
        </w:rPr>
        <w:t>Τράπεζες, ασφάλειες</w:t>
      </w:r>
    </w:p>
    <w:p>
      <w:pPr>
        <w:pStyle w:val="style86"/>
        <w:ind w:hanging="0" w:left="0" w:right="369"/>
        <w:jc w:val="right"/>
      </w:pPr>
      <w:r>
        <w:rPr>
          <w:rFonts w:cs="Arial"/>
          <w:sz w:val="16"/>
          <w:szCs w:val="16"/>
        </w:rPr>
        <w:t>45</w:t>
      </w:r>
    </w:p>
    <w:p>
      <w:pPr>
        <w:pStyle w:val="style86"/>
        <w:ind w:hanging="0" w:left="0" w:right="123"/>
        <w:jc w:val="right"/>
      </w:pPr>
      <w:r>
        <w:rPr>
          <w:rFonts w:cs="Arial"/>
          <w:sz w:val="16"/>
          <w:szCs w:val="16"/>
        </w:rPr>
        <w:t>87,6</w:t>
      </w:r>
    </w:p>
    <w:p>
      <w:pPr>
        <w:pStyle w:val="style86"/>
        <w:ind w:hanging="0" w:left="0" w:right="123"/>
        <w:jc w:val="right"/>
      </w:pPr>
      <w:r>
        <w:rPr>
          <w:rFonts w:cs="Arial"/>
          <w:sz w:val="16"/>
          <w:szCs w:val="16"/>
        </w:rPr>
        <w:t>39,4</w:t>
      </w:r>
    </w:p>
    <w:p>
      <w:pPr>
        <w:pStyle w:val="style86"/>
        <w:ind w:hanging="0" w:left="0" w:right="123"/>
        <w:jc w:val="right"/>
      </w:pPr>
      <w:r>
        <w:rPr>
          <w:rFonts w:cs="Arial"/>
          <w:sz w:val="16"/>
          <w:szCs w:val="16"/>
        </w:rPr>
        <w:t>7,1%</w:t>
      </w:r>
    </w:p>
    <w:p>
      <w:pPr>
        <w:pStyle w:val="style86"/>
        <w:ind w:hanging="0" w:left="0" w:right="123"/>
        <w:jc w:val="right"/>
      </w:pPr>
      <w:r>
        <w:rPr>
          <w:rFonts w:cs="Arial"/>
          <w:sz w:val="16"/>
          <w:szCs w:val="16"/>
        </w:rPr>
        <w:t>2,4%</w:t>
      </w:r>
    </w:p>
    <w:p>
      <w:pPr>
        <w:pStyle w:val="style86"/>
        <w:ind w:hanging="0" w:left="0" w:right="123"/>
        <w:jc w:val="right"/>
      </w:pPr>
      <w:r>
        <w:rPr>
          <w:rFonts w:cs="Arial"/>
          <w:sz w:val="16"/>
          <w:szCs w:val="16"/>
        </w:rPr>
        <w:t>4,7%</w:t>
      </w:r>
    </w:p>
    <w:p>
      <w:pPr>
        <w:pStyle w:val="style86"/>
        <w:ind w:hanging="0" w:left="0" w:right="123"/>
        <w:jc w:val="right"/>
      </w:pPr>
      <w:r>
        <w:rPr>
          <w:rFonts w:cs="Arial"/>
          <w:sz w:val="16"/>
          <w:szCs w:val="16"/>
          <w:lang w:val="el-GR"/>
        </w:rPr>
        <w:t>20,2%</w:t>
      </w:r>
    </w:p>
    <w:p>
      <w:pPr>
        <w:pStyle w:val="style86"/>
      </w:pPr>
      <w:r>
        <w:rPr>
          <w:rFonts w:cs="Arial"/>
          <w:sz w:val="16"/>
          <w:szCs w:val="16"/>
        </w:rPr>
        <w:t>Λοιπές υπηρεσίες</w:t>
      </w:r>
    </w:p>
    <w:p>
      <w:pPr>
        <w:pStyle w:val="style86"/>
        <w:ind w:hanging="0" w:left="0" w:right="369"/>
        <w:jc w:val="right"/>
      </w:pPr>
      <w:r>
        <w:rPr>
          <w:rFonts w:cs="Arial"/>
          <w:sz w:val="16"/>
          <w:szCs w:val="16"/>
        </w:rPr>
        <w:t>48</w:t>
      </w:r>
    </w:p>
    <w:p>
      <w:pPr>
        <w:pStyle w:val="style86"/>
        <w:ind w:hanging="0" w:left="0" w:right="123"/>
        <w:jc w:val="right"/>
      </w:pPr>
      <w:r>
        <w:rPr>
          <w:rFonts w:cs="Arial"/>
          <w:sz w:val="16"/>
          <w:szCs w:val="16"/>
        </w:rPr>
        <w:t>81,0</w:t>
      </w:r>
    </w:p>
    <w:p>
      <w:pPr>
        <w:pStyle w:val="style86"/>
        <w:ind w:hanging="0" w:left="0" w:right="123"/>
        <w:jc w:val="right"/>
      </w:pPr>
      <w:r>
        <w:rPr>
          <w:rFonts w:cs="Arial"/>
          <w:sz w:val="16"/>
          <w:szCs w:val="16"/>
        </w:rPr>
        <w:t>38,9</w:t>
      </w:r>
    </w:p>
    <w:p>
      <w:pPr>
        <w:pStyle w:val="style86"/>
        <w:ind w:hanging="0" w:left="0" w:right="123"/>
        <w:jc w:val="right"/>
      </w:pPr>
      <w:r>
        <w:rPr>
          <w:rFonts w:cs="Arial"/>
          <w:sz w:val="16"/>
          <w:szCs w:val="16"/>
        </w:rPr>
        <w:t>5,2%</w:t>
      </w:r>
    </w:p>
    <w:p>
      <w:pPr>
        <w:pStyle w:val="style86"/>
        <w:ind w:hanging="0" w:left="0" w:right="123"/>
        <w:jc w:val="right"/>
      </w:pPr>
      <w:r>
        <w:rPr>
          <w:rFonts w:cs="Arial"/>
          <w:sz w:val="16"/>
          <w:szCs w:val="16"/>
        </w:rPr>
        <w:t>3,1%</w:t>
      </w:r>
    </w:p>
    <w:p>
      <w:pPr>
        <w:pStyle w:val="style86"/>
        <w:ind w:hanging="0" w:left="0" w:right="123"/>
        <w:jc w:val="right"/>
      </w:pPr>
      <w:r>
        <w:rPr>
          <w:rFonts w:cs="Arial"/>
          <w:sz w:val="16"/>
          <w:szCs w:val="16"/>
        </w:rPr>
        <w:t>2,1%</w:t>
      </w:r>
    </w:p>
    <w:p>
      <w:pPr>
        <w:pStyle w:val="style86"/>
        <w:ind w:hanging="0" w:left="0" w:right="123"/>
        <w:jc w:val="right"/>
      </w:pPr>
      <w:r>
        <w:rPr>
          <w:rFonts w:cs="Arial"/>
          <w:sz w:val="16"/>
          <w:szCs w:val="16"/>
          <w:lang w:val="el-GR"/>
        </w:rPr>
        <w:t>15,7%</w:t>
      </w:r>
    </w:p>
    <w:p>
      <w:pPr>
        <w:pStyle w:val="style86"/>
      </w:pPr>
      <w:r>
        <w:rPr>
          <w:rFonts w:cs="Arial"/>
          <w:sz w:val="16"/>
          <w:szCs w:val="16"/>
          <w:lang w:val="el-GR"/>
        </w:rPr>
        <w:t>Υπηρεσίες προς επιχειρήσεις</w:t>
      </w:r>
    </w:p>
    <w:p>
      <w:pPr>
        <w:pStyle w:val="style86"/>
        <w:ind w:hanging="0" w:left="0" w:right="369"/>
        <w:jc w:val="right"/>
      </w:pPr>
      <w:r>
        <w:rPr>
          <w:rFonts w:cs="Arial"/>
          <w:sz w:val="16"/>
          <w:szCs w:val="16"/>
          <w:lang w:val="el-GR"/>
        </w:rPr>
        <w:t>38</w:t>
      </w:r>
    </w:p>
    <w:p>
      <w:pPr>
        <w:pStyle w:val="style86"/>
        <w:ind w:hanging="0" w:left="0" w:right="123"/>
        <w:jc w:val="right"/>
      </w:pPr>
      <w:r>
        <w:rPr>
          <w:rFonts w:cs="Arial"/>
          <w:sz w:val="16"/>
          <w:szCs w:val="16"/>
          <w:lang w:val="el-GR"/>
        </w:rPr>
        <w:t>88,4</w:t>
      </w:r>
    </w:p>
    <w:p>
      <w:pPr>
        <w:pStyle w:val="style86"/>
        <w:ind w:hanging="0" w:left="0" w:right="123"/>
        <w:jc w:val="right"/>
      </w:pPr>
      <w:r>
        <w:rPr>
          <w:rFonts w:cs="Arial"/>
          <w:sz w:val="16"/>
          <w:szCs w:val="16"/>
          <w:lang w:val="el-GR"/>
        </w:rPr>
        <w:t>33,6</w:t>
      </w:r>
    </w:p>
    <w:p>
      <w:pPr>
        <w:pStyle w:val="style86"/>
        <w:ind w:hanging="0" w:left="0" w:right="123"/>
        <w:jc w:val="right"/>
      </w:pPr>
      <w:r>
        <w:rPr>
          <w:rFonts w:cs="Arial"/>
          <w:sz w:val="16"/>
          <w:szCs w:val="16"/>
          <w:lang w:val="el-GR"/>
        </w:rPr>
        <w:t>6,1%</w:t>
      </w:r>
    </w:p>
    <w:p>
      <w:pPr>
        <w:pStyle w:val="style86"/>
        <w:ind w:hanging="0" w:left="0" w:right="123"/>
        <w:jc w:val="right"/>
      </w:pPr>
      <w:r>
        <w:rPr>
          <w:rFonts w:cs="Arial"/>
          <w:sz w:val="16"/>
          <w:szCs w:val="16"/>
          <w:lang w:val="el-GR"/>
        </w:rPr>
        <w:t>0,0%</w:t>
      </w:r>
    </w:p>
    <w:p>
      <w:pPr>
        <w:pStyle w:val="style86"/>
        <w:ind w:hanging="0" w:left="0" w:right="123"/>
        <w:jc w:val="right"/>
      </w:pPr>
      <w:r>
        <w:rPr>
          <w:rFonts w:cs="Arial"/>
          <w:sz w:val="16"/>
          <w:szCs w:val="16"/>
          <w:lang w:val="el-GR"/>
        </w:rPr>
        <w:t>6,1%</w:t>
      </w:r>
    </w:p>
    <w:p>
      <w:pPr>
        <w:pStyle w:val="style86"/>
        <w:ind w:hanging="0" w:left="0" w:right="123"/>
        <w:jc w:val="right"/>
      </w:pPr>
      <w:r>
        <w:rPr>
          <w:rFonts w:cs="Arial"/>
          <w:sz w:val="16"/>
          <w:szCs w:val="16"/>
          <w:lang w:val="el-GR"/>
        </w:rPr>
        <w:t>11,2%</w:t>
      </w:r>
    </w:p>
    <w:p>
      <w:pPr>
        <w:pStyle w:val="style86"/>
      </w:pPr>
      <w:r>
        <w:rPr>
          <w:rFonts w:cs="Arial"/>
          <w:sz w:val="16"/>
          <w:szCs w:val="16"/>
        </w:rPr>
        <w:t>Τέχνες, διασκέδαση</w:t>
      </w:r>
    </w:p>
    <w:p>
      <w:pPr>
        <w:pStyle w:val="style86"/>
        <w:ind w:hanging="0" w:left="0" w:right="369"/>
        <w:jc w:val="right"/>
      </w:pPr>
      <w:r>
        <w:rPr>
          <w:rFonts w:cs="Arial"/>
          <w:sz w:val="16"/>
          <w:szCs w:val="16"/>
        </w:rPr>
        <w:t>41</w:t>
      </w:r>
    </w:p>
    <w:p>
      <w:pPr>
        <w:pStyle w:val="style86"/>
        <w:ind w:hanging="0" w:left="0" w:right="123"/>
        <w:jc w:val="right"/>
      </w:pPr>
      <w:r>
        <w:rPr>
          <w:rFonts w:cs="Arial"/>
          <w:sz w:val="16"/>
          <w:szCs w:val="16"/>
        </w:rPr>
        <w:t>52,4</w:t>
      </w:r>
    </w:p>
    <w:p>
      <w:pPr>
        <w:pStyle w:val="style86"/>
        <w:ind w:hanging="0" w:left="0" w:right="123"/>
        <w:jc w:val="right"/>
      </w:pPr>
      <w:r>
        <w:rPr>
          <w:rFonts w:cs="Arial"/>
          <w:sz w:val="16"/>
          <w:szCs w:val="16"/>
        </w:rPr>
        <w:t>21,5</w:t>
      </w:r>
    </w:p>
    <w:p>
      <w:pPr>
        <w:pStyle w:val="style86"/>
        <w:ind w:hanging="0" w:left="0" w:right="123"/>
        <w:jc w:val="right"/>
      </w:pPr>
      <w:r>
        <w:rPr>
          <w:rFonts w:cs="Arial"/>
          <w:sz w:val="16"/>
          <w:szCs w:val="16"/>
        </w:rPr>
        <w:t>11,6%</w:t>
      </w:r>
    </w:p>
    <w:p>
      <w:pPr>
        <w:pStyle w:val="style86"/>
        <w:ind w:hanging="0" w:left="0" w:right="123"/>
        <w:jc w:val="right"/>
      </w:pPr>
      <w:r>
        <w:rPr>
          <w:rFonts w:cs="Arial"/>
          <w:sz w:val="16"/>
          <w:szCs w:val="16"/>
        </w:rPr>
        <w:t>7,1%</w:t>
      </w:r>
    </w:p>
    <w:p>
      <w:pPr>
        <w:pStyle w:val="style86"/>
        <w:ind w:hanging="0" w:left="0" w:right="123"/>
        <w:jc w:val="right"/>
      </w:pPr>
      <w:r>
        <w:rPr>
          <w:rFonts w:cs="Arial"/>
          <w:sz w:val="16"/>
          <w:szCs w:val="16"/>
        </w:rPr>
        <w:t>4,5%</w:t>
      </w:r>
    </w:p>
    <w:p>
      <w:pPr>
        <w:pStyle w:val="style86"/>
        <w:ind w:hanging="0" w:left="0" w:right="123"/>
        <w:jc w:val="right"/>
      </w:pPr>
      <w:r>
        <w:rPr>
          <w:rFonts w:cs="Arial"/>
          <w:sz w:val="16"/>
          <w:szCs w:val="16"/>
          <w:lang w:val="el-GR"/>
        </w:rPr>
        <w:t>20,8%</w:t>
      </w:r>
    </w:p>
    <w:p>
      <w:pPr>
        <w:pStyle w:val="style86"/>
      </w:pPr>
      <w:r>
        <w:rPr>
          <w:rFonts w:cs="Arial"/>
          <w:sz w:val="16"/>
          <w:szCs w:val="16"/>
        </w:rPr>
        <w:t>Παροχή νερού</w:t>
      </w:r>
    </w:p>
    <w:p>
      <w:pPr>
        <w:pStyle w:val="style86"/>
        <w:ind w:hanging="0" w:left="0" w:right="369"/>
        <w:jc w:val="right"/>
      </w:pPr>
      <w:r>
        <w:rPr>
          <w:rFonts w:cs="Arial"/>
          <w:sz w:val="16"/>
          <w:szCs w:val="16"/>
        </w:rPr>
        <w:t>49</w:t>
      </w:r>
    </w:p>
    <w:p>
      <w:pPr>
        <w:pStyle w:val="style86"/>
        <w:ind w:hanging="0" w:left="0" w:right="123"/>
        <w:jc w:val="right"/>
      </w:pPr>
      <w:r>
        <w:rPr>
          <w:rFonts w:cs="Arial"/>
          <w:sz w:val="16"/>
          <w:szCs w:val="16"/>
        </w:rPr>
        <w:t>32,3</w:t>
      </w:r>
    </w:p>
    <w:p>
      <w:pPr>
        <w:pStyle w:val="style86"/>
        <w:ind w:hanging="0" w:left="0" w:right="123"/>
        <w:jc w:val="right"/>
      </w:pPr>
      <w:r>
        <w:rPr>
          <w:rFonts w:cs="Arial"/>
          <w:sz w:val="16"/>
          <w:szCs w:val="16"/>
        </w:rPr>
        <w:t>15,8</w:t>
      </w:r>
    </w:p>
    <w:p>
      <w:pPr>
        <w:pStyle w:val="style86"/>
        <w:ind w:hanging="0" w:left="0" w:right="123"/>
        <w:jc w:val="right"/>
      </w:pPr>
      <w:r>
        <w:rPr>
          <w:rFonts w:cs="Arial"/>
          <w:sz w:val="16"/>
          <w:szCs w:val="16"/>
        </w:rPr>
        <w:t>4,5%</w:t>
      </w:r>
    </w:p>
    <w:p>
      <w:pPr>
        <w:pStyle w:val="style86"/>
        <w:ind w:hanging="0" w:left="0" w:right="123"/>
        <w:jc w:val="right"/>
      </w:pPr>
      <w:r>
        <w:rPr>
          <w:rFonts w:cs="Arial"/>
          <w:sz w:val="16"/>
          <w:szCs w:val="16"/>
        </w:rPr>
        <w:t>0,0%</w:t>
      </w:r>
    </w:p>
    <w:p>
      <w:pPr>
        <w:pStyle w:val="style86"/>
        <w:ind w:hanging="0" w:left="0" w:right="123"/>
        <w:jc w:val="right"/>
      </w:pPr>
      <w:r>
        <w:rPr>
          <w:rFonts w:cs="Arial"/>
          <w:sz w:val="16"/>
          <w:szCs w:val="16"/>
        </w:rPr>
        <w:t>4,5%</w:t>
      </w:r>
    </w:p>
    <w:p>
      <w:pPr>
        <w:pStyle w:val="style86"/>
        <w:ind w:hanging="0" w:left="0" w:right="123"/>
        <w:jc w:val="right"/>
      </w:pPr>
      <w:r>
        <w:rPr>
          <w:rFonts w:cs="Arial"/>
          <w:sz w:val="16"/>
          <w:szCs w:val="16"/>
          <w:lang w:val="el-GR"/>
        </w:rPr>
        <w:t>8,6%</w:t>
      </w:r>
    </w:p>
    <w:p>
      <w:pPr>
        <w:pStyle w:val="style86"/>
      </w:pPr>
      <w:r>
        <w:rPr>
          <w:rFonts w:cs="Arial"/>
          <w:sz w:val="16"/>
          <w:szCs w:val="16"/>
        </w:rPr>
        <w:t>Ηλεκτρισμός, Φ/Α</w:t>
      </w:r>
    </w:p>
    <w:p>
      <w:pPr>
        <w:pStyle w:val="style86"/>
        <w:ind w:hanging="0" w:left="0" w:right="369"/>
        <w:jc w:val="right"/>
      </w:pPr>
      <w:r>
        <w:rPr>
          <w:rFonts w:cs="Arial"/>
          <w:sz w:val="16"/>
          <w:szCs w:val="16"/>
        </w:rPr>
        <w:t>49</w:t>
      </w:r>
    </w:p>
    <w:p>
      <w:pPr>
        <w:pStyle w:val="style86"/>
        <w:ind w:hanging="0" w:left="0" w:right="123"/>
        <w:jc w:val="right"/>
      </w:pPr>
      <w:r>
        <w:rPr>
          <w:rFonts w:cs="Arial"/>
          <w:sz w:val="16"/>
          <w:szCs w:val="16"/>
        </w:rPr>
        <w:t>30,7</w:t>
      </w:r>
    </w:p>
    <w:p>
      <w:pPr>
        <w:pStyle w:val="style86"/>
        <w:ind w:hanging="0" w:left="0" w:right="123"/>
        <w:jc w:val="right"/>
      </w:pPr>
      <w:r>
        <w:rPr>
          <w:rFonts w:cs="Arial"/>
          <w:sz w:val="16"/>
          <w:szCs w:val="16"/>
        </w:rPr>
        <w:t>15,0</w:t>
      </w:r>
    </w:p>
    <w:p>
      <w:pPr>
        <w:pStyle w:val="style86"/>
        <w:ind w:hanging="0" w:left="0" w:right="123"/>
        <w:jc w:val="right"/>
      </w:pPr>
      <w:r>
        <w:rPr>
          <w:rFonts w:cs="Arial"/>
          <w:sz w:val="16"/>
          <w:szCs w:val="16"/>
        </w:rPr>
        <w:t>6,0%</w:t>
      </w:r>
    </w:p>
    <w:p>
      <w:pPr>
        <w:pStyle w:val="style86"/>
        <w:ind w:hanging="0" w:left="0" w:right="123"/>
        <w:jc w:val="right"/>
      </w:pPr>
      <w:r>
        <w:rPr>
          <w:rFonts w:cs="Arial"/>
          <w:sz w:val="16"/>
          <w:szCs w:val="16"/>
        </w:rPr>
        <w:t>2,0%</w:t>
      </w:r>
    </w:p>
    <w:p>
      <w:pPr>
        <w:pStyle w:val="style86"/>
        <w:ind w:hanging="0" w:left="0" w:right="123"/>
        <w:jc w:val="right"/>
      </w:pPr>
      <w:r>
        <w:rPr>
          <w:rFonts w:cs="Arial"/>
          <w:sz w:val="16"/>
          <w:szCs w:val="16"/>
        </w:rPr>
        <w:t>4,0%</w:t>
      </w:r>
    </w:p>
    <w:p>
      <w:pPr>
        <w:pStyle w:val="style86"/>
        <w:ind w:hanging="0" w:left="0" w:right="123"/>
        <w:jc w:val="right"/>
      </w:pPr>
      <w:r>
        <w:rPr>
          <w:rFonts w:cs="Arial"/>
          <w:sz w:val="16"/>
          <w:szCs w:val="16"/>
          <w:lang w:val="el-GR"/>
        </w:rPr>
        <w:t>15,3%</w:t>
      </w:r>
    </w:p>
    <w:p>
      <w:pPr>
        <w:pStyle w:val="style86"/>
      </w:pPr>
      <w:r>
        <w:rPr>
          <w:rFonts w:cs="Arial"/>
          <w:sz w:val="16"/>
          <w:szCs w:val="16"/>
        </w:rPr>
        <w:t>Ορυχεία, λατομεία</w:t>
      </w:r>
    </w:p>
    <w:p>
      <w:pPr>
        <w:pStyle w:val="style86"/>
        <w:ind w:hanging="0" w:left="0" w:right="369"/>
        <w:jc w:val="right"/>
      </w:pPr>
      <w:r>
        <w:rPr>
          <w:rFonts w:cs="Arial"/>
          <w:sz w:val="16"/>
          <w:szCs w:val="16"/>
        </w:rPr>
        <w:t>61</w:t>
      </w:r>
    </w:p>
    <w:p>
      <w:pPr>
        <w:pStyle w:val="style86"/>
        <w:ind w:hanging="0" w:left="0" w:right="123"/>
        <w:jc w:val="right"/>
      </w:pPr>
      <w:r>
        <w:rPr>
          <w:rFonts w:cs="Arial"/>
          <w:sz w:val="16"/>
          <w:szCs w:val="16"/>
        </w:rPr>
        <w:t>11,3</w:t>
      </w:r>
    </w:p>
    <w:p>
      <w:pPr>
        <w:pStyle w:val="style86"/>
        <w:ind w:hanging="0" w:left="0" w:right="123"/>
        <w:jc w:val="right"/>
      </w:pPr>
      <w:r>
        <w:rPr>
          <w:rFonts w:cs="Arial"/>
          <w:sz w:val="16"/>
          <w:szCs w:val="16"/>
        </w:rPr>
        <w:t>6,9</w:t>
      </w:r>
    </w:p>
    <w:p>
      <w:pPr>
        <w:pStyle w:val="style86"/>
        <w:ind w:hanging="0" w:left="0" w:right="123"/>
        <w:jc w:val="right"/>
      </w:pPr>
      <w:r>
        <w:rPr>
          <w:rFonts w:cs="Arial"/>
          <w:sz w:val="16"/>
          <w:szCs w:val="16"/>
          <w:lang w:val="el-GR"/>
        </w:rPr>
        <w:t>…</w:t>
      </w:r>
    </w:p>
    <w:p>
      <w:pPr>
        <w:pStyle w:val="style86"/>
        <w:ind w:hanging="0" w:left="0" w:right="123"/>
        <w:jc w:val="right"/>
      </w:pPr>
      <w:r>
        <w:rPr>
          <w:rFonts w:cs="Arial"/>
          <w:sz w:val="16"/>
          <w:szCs w:val="16"/>
          <w:lang w:val="el-GR"/>
        </w:rPr>
        <w:t>…</w:t>
      </w:r>
    </w:p>
    <w:p>
      <w:pPr>
        <w:pStyle w:val="style86"/>
        <w:ind w:hanging="0" w:left="0" w:right="123"/>
        <w:jc w:val="right"/>
      </w:pPr>
      <w:r>
        <w:rPr>
          <w:lang w:val="el-GR"/>
        </w:rPr>
        <w:t>…</w:t>
      </w:r>
    </w:p>
    <w:p>
      <w:pPr>
        <w:pStyle w:val="style86"/>
        <w:ind w:hanging="0" w:left="0" w:right="123"/>
        <w:jc w:val="right"/>
      </w:pPr>
      <w:r>
        <w:rPr>
          <w:rFonts w:cs="Arial"/>
          <w:sz w:val="16"/>
          <w:szCs w:val="16"/>
          <w:lang w:val="el-GR"/>
        </w:rPr>
        <w:t>7,7%</w:t>
      </w:r>
    </w:p>
    <w:p>
      <w:pPr>
        <w:pStyle w:val="style86"/>
      </w:pPr>
      <w:r>
        <w:rPr>
          <w:rFonts w:cs="Arial"/>
          <w:sz w:val="16"/>
          <w:szCs w:val="16"/>
        </w:rPr>
        <w:t>Αγορά ακινήτων</w:t>
      </w:r>
    </w:p>
    <w:p>
      <w:pPr>
        <w:pStyle w:val="style86"/>
        <w:ind w:hanging="0" w:left="0" w:right="369"/>
        <w:jc w:val="right"/>
      </w:pPr>
      <w:r>
        <w:rPr>
          <w:rFonts w:cs="Arial"/>
          <w:sz w:val="16"/>
          <w:szCs w:val="16"/>
        </w:rPr>
        <w:t>38</w:t>
      </w:r>
    </w:p>
    <w:p>
      <w:pPr>
        <w:pStyle w:val="style86"/>
        <w:ind w:hanging="0" w:left="0" w:right="123"/>
        <w:jc w:val="right"/>
      </w:pPr>
      <w:r>
        <w:rPr>
          <w:rFonts w:cs="Arial"/>
          <w:sz w:val="16"/>
          <w:szCs w:val="16"/>
        </w:rPr>
        <w:t>4,9</w:t>
      </w:r>
    </w:p>
    <w:p>
      <w:pPr>
        <w:pStyle w:val="style86"/>
        <w:ind w:hanging="0" w:left="0" w:right="123"/>
        <w:jc w:val="right"/>
      </w:pPr>
      <w:r>
        <w:rPr>
          <w:rFonts w:cs="Arial"/>
          <w:sz w:val="16"/>
          <w:szCs w:val="16"/>
        </w:rPr>
        <w:t>1,9</w:t>
      </w:r>
    </w:p>
    <w:p>
      <w:pPr>
        <w:pStyle w:val="style86"/>
        <w:ind w:hanging="0" w:left="0" w:right="123"/>
        <w:jc w:val="right"/>
      </w:pPr>
      <w:r>
        <w:rPr>
          <w:rFonts w:cs="Arial"/>
          <w:sz w:val="16"/>
          <w:szCs w:val="16"/>
          <w:lang w:val="el-GR"/>
        </w:rPr>
        <w:t>…</w:t>
      </w:r>
    </w:p>
    <w:p>
      <w:pPr>
        <w:pStyle w:val="style86"/>
        <w:ind w:hanging="0" w:left="0" w:right="123"/>
        <w:jc w:val="right"/>
      </w:pPr>
      <w:r>
        <w:rPr>
          <w:rFonts w:cs="Arial"/>
          <w:sz w:val="16"/>
          <w:szCs w:val="16"/>
          <w:lang w:val="el-GR"/>
        </w:rPr>
        <w:t>…</w:t>
      </w:r>
    </w:p>
    <w:p>
      <w:pPr>
        <w:pStyle w:val="style86"/>
        <w:ind w:hanging="0" w:left="0" w:right="123"/>
        <w:jc w:val="right"/>
      </w:pPr>
      <w:r>
        <w:rPr>
          <w:lang w:val="el-GR"/>
        </w:rPr>
        <w:t>…</w:t>
      </w:r>
    </w:p>
    <w:p>
      <w:pPr>
        <w:pStyle w:val="style86"/>
        <w:ind w:hanging="0" w:left="0" w:right="123"/>
        <w:jc w:val="right"/>
      </w:pPr>
      <w:r>
        <w:rPr>
          <w:rFonts w:cs="Arial"/>
          <w:sz w:val="16"/>
          <w:szCs w:val="16"/>
          <w:lang w:val="el-GR"/>
        </w:rPr>
        <w:t>16,2%</w:t>
      </w:r>
    </w:p>
    <w:p>
      <w:pPr>
        <w:pStyle w:val="style86"/>
        <w:spacing w:after="0" w:before="120"/>
        <w:contextualSpacing w:val="false"/>
      </w:pPr>
      <w:r>
        <w:rPr>
          <w:rFonts w:cs="Arial"/>
          <w:sz w:val="16"/>
          <w:szCs w:val="16"/>
          <w:lang w:val="el-GR"/>
        </w:rPr>
        <w:t xml:space="preserve">* Υψηλών δεξιοτήτων: Ανώτερα διευθυντικά και διοικητικά στελέχη, Επαγγελματίες και Τεχνικοί και ασκούντες συναφή επαγγέλματα (επαγγέλματα ταξινόμησης </w:t>
      </w:r>
      <w:r>
        <w:rPr>
          <w:rFonts w:cs="Arial"/>
          <w:sz w:val="16"/>
          <w:szCs w:val="16"/>
        </w:rPr>
        <w:t>ISCO</w:t>
      </w:r>
      <w:r>
        <w:rPr>
          <w:rFonts w:cs="Arial"/>
          <w:sz w:val="16"/>
          <w:szCs w:val="16"/>
          <w:lang w:val="el-GR"/>
        </w:rPr>
        <w:t xml:space="preserve"> 08 στις ομάδες 1, 2 και 3). Χαμηλών και μεσαίων δεξιοτήτων: Υπάλληλοι γραφείου, Απασχολούμενοι στην παροχή υπηρεσιών και πωλητές, Ειδικευμένοι γεωργοί, κτηνοτρόφοι, δασοκόμοι και αλιείς, Ειδικευμένοι τεχνίτες και ασκούντες συναφή επαγγέλματα, Χειριστές βιομηχανικών εγκαταστάσεων, μηχανημάτων και εξοπλισμού και συναρμολογητές (μονταδόροι), Ανειδίκευτοι εργάτες, χειρωνάκτες και μικροεπαγγελματίες (επαγγέλματα ταξινόμησης </w:t>
      </w:r>
      <w:r>
        <w:rPr>
          <w:rFonts w:cs="Arial"/>
          <w:sz w:val="16"/>
          <w:szCs w:val="16"/>
        </w:rPr>
        <w:t>ISCO</w:t>
      </w:r>
      <w:r>
        <w:rPr>
          <w:rFonts w:cs="Arial"/>
          <w:sz w:val="16"/>
          <w:szCs w:val="16"/>
          <w:lang w:val="el-GR"/>
        </w:rPr>
        <w:t xml:space="preserve"> 08 στις ομάδες 4 έως 9). Τα ποσοστά συμμετοχής στην εκπαίδευση και κατάρτιση κατά κλάδο και επάγγελμα έχουν υπολογιστεί με βάση τα μικροδεδομένα της Έρευνας Εργατικού Δυναμικού της ΕΛΣΤΑΤ για το 2</w:t>
      </w:r>
      <w:r>
        <w:rPr>
          <w:rFonts w:cs="Arial"/>
          <w:sz w:val="16"/>
          <w:szCs w:val="16"/>
          <w:vertAlign w:val="superscript"/>
          <w:lang w:val="el-GR"/>
        </w:rPr>
        <w:t>ο</w:t>
      </w:r>
      <w:r>
        <w:rPr>
          <w:rFonts w:cs="Arial"/>
          <w:sz w:val="16"/>
          <w:szCs w:val="16"/>
          <w:lang w:val="el-GR"/>
        </w:rPr>
        <w:t xml:space="preserve"> τρίμηνο του 2018.</w:t>
      </w:r>
    </w:p>
    <w:p>
      <w:pPr>
        <w:pStyle w:val="style0"/>
        <w:pageBreakBefore/>
        <w:tabs>
          <w:tab w:leader="none" w:pos="426" w:val="left"/>
        </w:tabs>
        <w:spacing w:after="0" w:before="160" w:line="300" w:lineRule="exact"/>
        <w:contextualSpacing w:val="false"/>
      </w:pPr>
      <w:r>
        <w:rPr>
          <w:rFonts w:cs="Arial"/>
          <w:sz w:val="22"/>
          <w:szCs w:val="22"/>
          <w:lang w:val="el-GR"/>
        </w:rPr>
        <w:t>Η ετοιμότητα των κλάδων της ελληνικής οικονομίας για να ανταποκριθούν στις προκλήσεις των επενδύσεων σε τεχνολογίες της 4</w:t>
      </w:r>
      <w:r>
        <w:rPr>
          <w:rFonts w:cs="Arial"/>
          <w:sz w:val="22"/>
          <w:szCs w:val="22"/>
          <w:vertAlign w:val="superscript"/>
          <w:lang w:val="el-GR"/>
        </w:rPr>
        <w:t>ης</w:t>
      </w:r>
      <w:r>
        <w:rPr>
          <w:rFonts w:cs="Arial"/>
          <w:sz w:val="22"/>
          <w:szCs w:val="22"/>
          <w:lang w:val="el-GR"/>
        </w:rPr>
        <w:t xml:space="preserve"> Βιομηχανικής Επανάστασης τεκμαίρεται και από το είδος των επενδύσεων που επιχειρούν, σε σχέση με τα αντίστοιχα μεγέθη των χωρών της ΕΕ-28, και πιο συγκεκριμένα, επενδύσεις σε μηχανολογικό εξοπλισμό (περιλαμβανομένου εξοπλισμού Τεχνολογιών Πληροφορικής και Επικοινωνιών - ΤΠΕ) και προϊόντα πνευματικής ιδιοκτησίας (</w:t>
      </w:r>
      <w:r>
        <w:rPr>
          <w:rFonts w:cs="Arial"/>
          <w:b/>
          <w:color w:val="00B0F0"/>
          <w:sz w:val="22"/>
          <w:szCs w:val="22"/>
          <w:lang w:val="el-GR"/>
        </w:rPr>
        <w:t>Δ04</w:t>
      </w:r>
      <w:r>
        <w:rPr>
          <w:rFonts w:cs="Arial"/>
          <w:sz w:val="22"/>
          <w:szCs w:val="22"/>
          <w:lang w:val="el-GR"/>
        </w:rPr>
        <w:t>). Τα τελευταία περιλαμβάνουν πάγια περιουσιακά στοιχεία που ενσωματώνουν τα αποτελέσματα έρευνας και ανάπτυξης, τα αποτελέσματα μεταλλευτικών ερευνών και αξιολογήσεων, το λογισμικό ηλεκτρονικών υπολογιστών και βάσεις δεδομένων, ψυχαγωγικά, λογοτεχνικά πρωτότυπα και λοιπά προϊόντα πνευματικής ιδιοκτησίας, τα οποία προορίζονται για χρήση διάρκειας μεγαλύτερης του έτους.</w:t>
      </w:r>
    </w:p>
    <w:p>
      <w:pPr>
        <w:pStyle w:val="style86"/>
        <w:spacing w:after="120" w:before="0"/>
        <w:contextualSpacing w:val="false"/>
      </w:pPr>
      <w:r>
        <w:rPr>
          <w:rFonts w:cs="Arial"/>
          <w:b/>
          <w:color w:val="00B0F0"/>
          <w:lang w:val="el-GR"/>
        </w:rPr>
        <w:t xml:space="preserve">Δ04: </w:t>
      </w:r>
      <w:r>
        <w:rPr>
          <w:rFonts w:cs="Arial"/>
          <w:b/>
          <w:lang w:val="el-GR"/>
        </w:rPr>
        <w:t xml:space="preserve">Ποσοστό εργασίας που θα μπορούσε να αυτοματοποιηθεί και ποσοστό επενδύσεων σε μηχανήματα προϊόντα πνευματικής ιδιοκτησίας κατά κλάδο </w:t>
      </w:r>
      <w:r>
        <w:rPr>
          <w:rFonts w:cs="Arial"/>
          <w:i/>
          <w:color w:val="00B0F0"/>
          <w:lang w:val="el-GR"/>
        </w:rPr>
        <w:t>(</w:t>
      </w:r>
      <w:r>
        <w:rPr>
          <w:rFonts w:cs="Arial"/>
          <w:i/>
          <w:color w:val="00B0F0"/>
        </w:rPr>
        <w:t>McKinsey</w:t>
      </w:r>
      <w:r>
        <w:rPr>
          <w:rFonts w:cs="Arial"/>
          <w:i/>
          <w:color w:val="00B0F0"/>
          <w:lang w:val="el-GR"/>
        </w:rPr>
        <w:t xml:space="preserve"> </w:t>
      </w:r>
      <w:r>
        <w:rPr>
          <w:rFonts w:cs="Arial"/>
          <w:i/>
          <w:color w:val="00B0F0"/>
        </w:rPr>
        <w:t>Global</w:t>
      </w:r>
      <w:r>
        <w:rPr>
          <w:rFonts w:cs="Arial"/>
          <w:i/>
          <w:color w:val="00B0F0"/>
          <w:lang w:val="el-GR"/>
        </w:rPr>
        <w:t xml:space="preserve"> </w:t>
      </w:r>
      <w:r>
        <w:rPr>
          <w:rFonts w:cs="Arial"/>
          <w:i/>
          <w:color w:val="00B0F0"/>
        </w:rPr>
        <w:t>Institute</w:t>
      </w:r>
      <w:r>
        <w:rPr>
          <w:rFonts w:cs="Arial"/>
          <w:i/>
          <w:color w:val="00B0F0"/>
          <w:lang w:val="el-GR"/>
        </w:rPr>
        <w:t xml:space="preserve">, </w:t>
      </w:r>
      <w:r>
        <w:fldChar w:fldCharType="begin"/>
      </w:r>
      <w:r>
        <w:instrText> HYPERLINK "https://public.tableau.com/profile/mckinsey.analytics" \l "!/vizhome/InternationalAutomation/WhereMachinesCanReplaceHumans"</w:instrText>
      </w:r>
      <w:r>
        <w:fldChar w:fldCharType="separate"/>
      </w:r>
      <w:r>
        <w:rPr>
          <w:rStyle w:val="style21"/>
          <w:rFonts w:cs="Arial"/>
          <w:i/>
        </w:rPr>
        <w:t>International</w:t>
      </w:r>
      <w:r>
        <w:fldChar w:fldCharType="end"/>
      </w:r>
      <w:r>
        <w:rPr>
          <w:rStyle w:val="style21"/>
          <w:rFonts w:cs="Arial"/>
          <w:i/>
          <w:lang w:val="el-GR"/>
        </w:rPr>
        <w:t xml:space="preserve"> </w:t>
      </w:r>
      <w:r>
        <w:rPr>
          <w:rStyle w:val="style21"/>
          <w:rFonts w:cs="Arial"/>
          <w:i/>
        </w:rPr>
        <w:t>Automation</w:t>
      </w:r>
      <w:r>
        <w:rPr>
          <w:rStyle w:val="style21"/>
          <w:rFonts w:cs="Arial"/>
          <w:i/>
          <w:lang w:val="el-GR"/>
        </w:rPr>
        <w:t xml:space="preserve"> </w:t>
      </w:r>
      <w:r>
        <w:rPr>
          <w:rStyle w:val="style21"/>
          <w:rFonts w:cs="Arial"/>
          <w:i/>
        </w:rPr>
        <w:t>data</w:t>
      </w:r>
      <w:r>
        <w:rPr>
          <w:rFonts w:cs="Arial"/>
          <w:i/>
          <w:color w:val="00B0F0"/>
          <w:lang w:val="el-GR"/>
        </w:rPr>
        <w:t xml:space="preserve">, 2017 και </w:t>
      </w:r>
      <w:r>
        <w:rPr>
          <w:rFonts w:cs="Arial"/>
          <w:i/>
          <w:color w:val="00B0F0"/>
        </w:rPr>
        <w:t>Eurostat</w:t>
      </w:r>
      <w:r>
        <w:rPr>
          <w:rFonts w:cs="Arial"/>
          <w:i/>
          <w:color w:val="00B0F0"/>
          <w:lang w:val="el-GR"/>
        </w:rPr>
        <w:t>, 2017)</w:t>
      </w:r>
    </w:p>
    <w:p>
      <w:pPr>
        <w:pStyle w:val="style86"/>
        <w:spacing w:after="40" w:before="40"/>
        <w:contextualSpacing w:val="false"/>
        <w:jc w:val="center"/>
      </w:pPr>
      <w:r>
        <w:rPr>
          <w:rFonts w:cs="Arial"/>
          <w:b/>
          <w:color w:val="FFFFFF"/>
          <w:sz w:val="22"/>
          <w:szCs w:val="22"/>
        </w:rPr>
        <w:t>Ελλάδα</w:t>
      </w:r>
    </w:p>
    <w:p>
      <w:pPr>
        <w:pStyle w:val="style86"/>
        <w:spacing w:after="0" w:before="120"/>
        <w:contextualSpacing w:val="false"/>
      </w:pPr>
      <w:r>
        <w:rPr/>
        <w:drawing>
          <wp:inline distB="0" distL="0" distR="0" distT="0">
            <wp:extent cx="3420110" cy="2661285"/>
            <wp:effectExtent b="0" l="0" r="0" t="0"/>
            <wp:docPr desc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8" name="Picture"/>
                    <pic:cNvPicPr>
                      <a:picLocks noChangeArrowheads="1" noChangeAspect="1"/>
                    </pic:cNvPicPr>
                  </pic:nvPicPr>
                  <pic:blipFill>
                    <a:blip r:embed="rId23"/>
                    <a:srcRect/>
                    <a:stretch>
                      <a:fillRect/>
                    </a:stretch>
                  </pic:blipFill>
                  <pic:spPr bwMode="auto">
                    <a:xfrm>
                      <a:off x="0" y="0"/>
                      <a:ext cx="3420110" cy="2661285"/>
                    </a:xfrm>
                    <a:prstGeom prst="rect">
                      <a:avLst/>
                    </a:prstGeom>
                    <a:noFill/>
                    <a:ln w="9525">
                      <a:noFill/>
                      <a:miter lim="800000"/>
                      <a:headEnd/>
                      <a:tailEnd/>
                    </a:ln>
                  </pic:spPr>
                </pic:pic>
              </a:graphicData>
            </a:graphic>
          </wp:inline>
        </w:drawing>
      </w:r>
    </w:p>
    <w:p>
      <w:pPr>
        <w:pStyle w:val="style86"/>
        <w:spacing w:after="0" w:before="120"/>
        <w:contextualSpacing w:val="false"/>
      </w:pPr>
      <w:r>
        <w:rPr/>
        <w:drawing>
          <wp:inline distB="0" distL="0" distR="0" distT="0">
            <wp:extent cx="3420110" cy="2658110"/>
            <wp:effectExtent b="0" l="0" r="0" t="0"/>
            <wp:docPr desc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9" name="Picture"/>
                    <pic:cNvPicPr>
                      <a:picLocks noChangeArrowheads="1" noChangeAspect="1"/>
                    </pic:cNvPicPr>
                  </pic:nvPicPr>
                  <pic:blipFill>
                    <a:blip r:embed="rId24"/>
                    <a:srcRect/>
                    <a:stretch>
                      <a:fillRect/>
                    </a:stretch>
                  </pic:blipFill>
                  <pic:spPr bwMode="auto">
                    <a:xfrm>
                      <a:off x="0" y="0"/>
                      <a:ext cx="3420110" cy="2658110"/>
                    </a:xfrm>
                    <a:prstGeom prst="rect">
                      <a:avLst/>
                    </a:prstGeom>
                    <a:noFill/>
                    <a:ln w="9525">
                      <a:noFill/>
                      <a:miter lim="800000"/>
                      <a:headEnd/>
                      <a:tailEnd/>
                    </a:ln>
                  </pic:spPr>
                </pic:pic>
              </a:graphicData>
            </a:graphic>
          </wp:inline>
        </w:drawing>
      </w:r>
    </w:p>
    <w:p>
      <w:pPr>
        <w:pStyle w:val="style86"/>
      </w:pPr>
      <w:r>
        <w:rPr>
          <w:rFonts w:cs="Arial"/>
        </w:rPr>
      </w:r>
    </w:p>
    <w:p>
      <w:pPr>
        <w:pStyle w:val="style86"/>
      </w:pPr>
      <w:r>
        <w:rPr>
          <w:rFonts w:cs="Arial"/>
        </w:rPr>
      </w:r>
    </w:p>
    <w:p>
      <w:pPr>
        <w:pStyle w:val="style86"/>
        <w:spacing w:after="40" w:before="40"/>
        <w:contextualSpacing w:val="false"/>
        <w:jc w:val="center"/>
      </w:pPr>
      <w:r>
        <w:rPr>
          <w:rFonts w:cs="Arial"/>
          <w:b/>
          <w:color w:val="FFFFFF"/>
          <w:sz w:val="22"/>
          <w:szCs w:val="22"/>
          <w:lang w:val="el-GR"/>
        </w:rPr>
        <w:t>ΕΕ*</w:t>
      </w:r>
    </w:p>
    <w:p>
      <w:pPr>
        <w:pStyle w:val="style86"/>
        <w:spacing w:after="0" w:before="120"/>
        <w:contextualSpacing w:val="false"/>
      </w:pPr>
      <w:r>
        <w:rPr/>
        <w:drawing>
          <wp:inline distB="0" distL="0" distR="0" distT="0">
            <wp:extent cx="3420110" cy="2661285"/>
            <wp:effectExtent b="0" l="0" r="0" t="0"/>
            <wp:docPr desc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0" name="Picture"/>
                    <pic:cNvPicPr>
                      <a:picLocks noChangeArrowheads="1" noChangeAspect="1"/>
                    </pic:cNvPicPr>
                  </pic:nvPicPr>
                  <pic:blipFill>
                    <a:blip r:embed="rId25"/>
                    <a:srcRect/>
                    <a:stretch>
                      <a:fillRect/>
                    </a:stretch>
                  </pic:blipFill>
                  <pic:spPr bwMode="auto">
                    <a:xfrm>
                      <a:off x="0" y="0"/>
                      <a:ext cx="3420110" cy="2661285"/>
                    </a:xfrm>
                    <a:prstGeom prst="rect">
                      <a:avLst/>
                    </a:prstGeom>
                    <a:noFill/>
                    <a:ln w="9525">
                      <a:noFill/>
                      <a:miter lim="800000"/>
                      <a:headEnd/>
                      <a:tailEnd/>
                    </a:ln>
                  </pic:spPr>
                </pic:pic>
              </a:graphicData>
            </a:graphic>
          </wp:inline>
        </w:drawing>
      </w:r>
    </w:p>
    <w:p>
      <w:pPr>
        <w:pStyle w:val="style86"/>
        <w:spacing w:after="0" w:before="120"/>
        <w:contextualSpacing w:val="false"/>
      </w:pPr>
      <w:r>
        <w:rPr/>
        <w:drawing>
          <wp:inline distB="0" distL="0" distR="0" distT="0">
            <wp:extent cx="3420110" cy="2661285"/>
            <wp:effectExtent b="0" l="0" r="0" t="0"/>
            <wp:docPr desc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1" name="Picture"/>
                    <pic:cNvPicPr>
                      <a:picLocks noChangeArrowheads="1" noChangeAspect="1"/>
                    </pic:cNvPicPr>
                  </pic:nvPicPr>
                  <pic:blipFill>
                    <a:blip r:embed="rId26"/>
                    <a:srcRect/>
                    <a:stretch>
                      <a:fillRect/>
                    </a:stretch>
                  </pic:blipFill>
                  <pic:spPr bwMode="auto">
                    <a:xfrm>
                      <a:off x="0" y="0"/>
                      <a:ext cx="3420110" cy="2661285"/>
                    </a:xfrm>
                    <a:prstGeom prst="rect">
                      <a:avLst/>
                    </a:prstGeom>
                    <a:noFill/>
                    <a:ln w="9525">
                      <a:noFill/>
                      <a:miter lim="800000"/>
                      <a:headEnd/>
                      <a:tailEnd/>
                    </a:ln>
                  </pic:spPr>
                </pic:pic>
              </a:graphicData>
            </a:graphic>
          </wp:inline>
        </w:drawing>
      </w:r>
    </w:p>
    <w:p>
      <w:pPr>
        <w:pStyle w:val="style86"/>
      </w:pPr>
      <w:r>
        <w:rPr>
          <w:rFonts w:cs="Arial"/>
          <w:sz w:val="16"/>
          <w:szCs w:val="16"/>
          <w:lang w:val="el-GR"/>
        </w:rPr>
        <w:t>* Για το μέσο ποσοστό εργασίας που θα μπορούσε να αυτοματοποιηθεί στην ΕΕ έχουν υπολογιστεί τα αντίστοιχα ποσοστά 11 χωρών για τις οποίες υπάρχουν στοιχεία: Αυστρία, Τσεχία, Γαλλία, Γερμανία, Ελλάδα, Ιταλία, Ολλανδία, Πολωνία, Ισπανία, Σουηδία, Ην. Βασίλειο. Για το μέσο ποσοστό επενδύσεων σε προϊόντα πνευματικής ιδιοκτησίας στην ΕΕ έχουν υπολογιστεί τα αντίστοιχα ποσοστά 15 χωρών για τις οποίες υπάρχουν επαρκή στοιχεία: Τσεχία, Γερμανία, Εσθονία, Ιρλανδία, Ελλάδα, Γαλλία, Λετονία, Λουξεμβούργο, Ουγγαρία, Μάλτα, Αυστρία, Σλοβακία, Φιλανδία, Σουηδία, Ην Βασίλειο.</w:t>
      </w:r>
    </w:p>
    <w:p>
      <w:pPr>
        <w:pStyle w:val="style0"/>
        <w:tabs>
          <w:tab w:leader="none" w:pos="426" w:val="left"/>
        </w:tabs>
        <w:spacing w:after="0" w:before="160" w:line="300" w:lineRule="exact"/>
        <w:contextualSpacing w:val="false"/>
      </w:pPr>
      <w:r>
        <w:rPr>
          <w:rFonts w:cs="Arial"/>
          <w:sz w:val="22"/>
          <w:szCs w:val="22"/>
          <w:lang w:val="el-GR"/>
        </w:rPr>
      </w:r>
    </w:p>
    <w:p>
      <w:pPr>
        <w:pStyle w:val="style0"/>
      </w:pPr>
      <w:r>
        <w:rPr/>
        <w:drawing>
          <wp:inline distB="0" distL="0" distR="0" distT="0">
            <wp:extent cx="1896745" cy="67945"/>
            <wp:effectExtent b="0" l="0" r="0" t="0"/>
            <wp:docPr desc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2" name="Picture"/>
                    <pic:cNvPicPr>
                      <a:picLocks noChangeArrowheads="1" noChangeAspect="1"/>
                    </pic:cNvPicPr>
                  </pic:nvPicPr>
                  <pic:blipFill>
                    <a:blip r:embed="rId27"/>
                    <a:srcRect/>
                    <a:stretch>
                      <a:fillRect/>
                    </a:stretch>
                  </pic:blipFill>
                  <pic:spPr bwMode="auto">
                    <a:xfrm>
                      <a:off x="0" y="0"/>
                      <a:ext cx="1896745" cy="67945"/>
                    </a:xfrm>
                    <a:prstGeom prst="rect">
                      <a:avLst/>
                    </a:prstGeom>
                    <a:noFill/>
                    <a:ln w="9525">
                      <a:noFill/>
                      <a:miter lim="800000"/>
                      <a:headEnd/>
                      <a:tailEnd/>
                    </a:ln>
                  </pic:spPr>
                </pic:pic>
              </a:graphicData>
            </a:graphic>
          </wp:inline>
        </w:drawing>
      </w:r>
    </w:p>
    <w:p>
      <w:pPr>
        <w:pStyle w:val="style61"/>
      </w:pPr>
      <w:r>
        <w:rPr>
          <w:rFonts w:cs="Arial"/>
          <w:lang w:val="el-GR"/>
        </w:rPr>
        <w:t>Η διοχέτευση του εργατικού δυναμικού σε άλλες παραγωγικές δραστηριότητες με κατάρτιση σε νέες δεξιότητες, και με νέα θεσμική οργάνωση της εργασίας ενδεχομένως, είναι το μεγάλο στοίχημα της νέας εποχής που ανατέλλει.</w:t>
      </w:r>
    </w:p>
    <w:p>
      <w:pPr>
        <w:pStyle w:val="style61"/>
      </w:pPr>
      <w:r>
        <w:rPr/>
        <w:drawing>
          <wp:inline distB="0" distL="0" distR="0" distT="0">
            <wp:extent cx="1896745" cy="67945"/>
            <wp:effectExtent b="0" l="0" r="0" t="0"/>
            <wp:docPr desc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3" name="Picture"/>
                    <pic:cNvPicPr>
                      <a:picLocks noChangeArrowheads="1" noChangeAspect="1"/>
                    </pic:cNvPicPr>
                  </pic:nvPicPr>
                  <pic:blipFill>
                    <a:blip r:embed="rId28"/>
                    <a:srcRect/>
                    <a:stretch>
                      <a:fillRect/>
                    </a:stretch>
                  </pic:blipFill>
                  <pic:spPr bwMode="auto">
                    <a:xfrm>
                      <a:off x="0" y="0"/>
                      <a:ext cx="1896745" cy="67945"/>
                    </a:xfrm>
                    <a:prstGeom prst="rect">
                      <a:avLst/>
                    </a:prstGeom>
                    <a:noFill/>
                    <a:ln w="9525">
                      <a:noFill/>
                      <a:miter lim="800000"/>
                      <a:headEnd/>
                      <a:tailEnd/>
                    </a:ln>
                  </pic:spPr>
                </pic:pic>
              </a:graphicData>
            </a:graphic>
          </wp:inline>
        </w:drawing>
      </w:r>
    </w:p>
    <w:p>
      <w:pPr>
        <w:pStyle w:val="style0"/>
        <w:tabs>
          <w:tab w:leader="none" w:pos="426" w:val="left"/>
        </w:tabs>
        <w:spacing w:after="0" w:before="160" w:line="300" w:lineRule="exact"/>
        <w:contextualSpacing w:val="false"/>
      </w:pPr>
      <w:r>
        <w:rPr>
          <w:rFonts w:cs="Arial"/>
          <w:sz w:val="22"/>
          <w:szCs w:val="22"/>
          <w:lang w:val="el-GR"/>
        </w:rPr>
      </w:r>
    </w:p>
    <w:p>
      <w:pPr>
        <w:pStyle w:val="style0"/>
        <w:tabs>
          <w:tab w:leader="none" w:pos="426" w:val="left"/>
        </w:tabs>
        <w:spacing w:after="0" w:before="160" w:line="300" w:lineRule="exact"/>
        <w:contextualSpacing w:val="false"/>
      </w:pPr>
      <w:r>
        <w:rPr>
          <w:rFonts w:cs="Arial"/>
          <w:sz w:val="22"/>
          <w:szCs w:val="22"/>
          <w:lang w:val="el-GR"/>
        </w:rPr>
        <w:t xml:space="preserve">Στην ελληνική μεταποίηση (τον κατ’ εξοχήν κλάδο εφαρμογής των νέων τεχνολογιών, αν και όχι μόνο) κατευθύνεται το 20,7% των συνολικών επενδύσεων σε μηχανολογικό εξοπλισμό (έναντι 28,2% στην ΕΕ), το 7,9% των συνολικών επενδύσεων σε προϊόντα πνευματικής ιδιοκτησίας (έναντι 34% στην ΕΕ), το 16,3% των συνολικών επενδύσεων σε κατασκευές πλην κατοικιών (έναντι 5,4% στην ΕΕ) και το 0,5% των συνολικών επενδύσεων σε μεταφορικά μέσα (έναντι 6,2% στην ΕΕ, </w:t>
      </w:r>
      <w:r>
        <w:rPr>
          <w:rFonts w:cs="Arial"/>
          <w:b/>
          <w:color w:val="00B0F0"/>
          <w:sz w:val="22"/>
          <w:szCs w:val="22"/>
          <w:lang w:val="el-GR"/>
        </w:rPr>
        <w:t>Δ05</w:t>
      </w:r>
      <w:r>
        <w:rPr>
          <w:rFonts w:cs="Arial"/>
          <w:sz w:val="22"/>
          <w:szCs w:val="22"/>
          <w:lang w:val="el-GR"/>
        </w:rPr>
        <w:t xml:space="preserve">, </w:t>
      </w:r>
      <w:r>
        <w:rPr>
          <w:rFonts w:cs="Arial"/>
          <w:b/>
          <w:color w:val="00B0F0"/>
          <w:sz w:val="22"/>
          <w:szCs w:val="22"/>
          <w:lang w:val="el-GR"/>
        </w:rPr>
        <w:t>Δ06</w:t>
      </w:r>
      <w:r>
        <w:rPr>
          <w:rFonts w:cs="Arial"/>
          <w:sz w:val="22"/>
          <w:szCs w:val="22"/>
          <w:lang w:val="el-GR"/>
        </w:rPr>
        <w:t xml:space="preserve">, </w:t>
      </w:r>
      <w:r>
        <w:rPr>
          <w:rFonts w:cs="Arial"/>
          <w:b/>
          <w:color w:val="00B0F0"/>
          <w:sz w:val="22"/>
          <w:szCs w:val="22"/>
          <w:lang w:val="el-GR"/>
        </w:rPr>
        <w:t>Δ07</w:t>
      </w:r>
      <w:r>
        <w:rPr>
          <w:rFonts w:cs="Arial"/>
          <w:sz w:val="22"/>
          <w:szCs w:val="22"/>
          <w:lang w:val="el-GR"/>
        </w:rPr>
        <w:t xml:space="preserve"> και </w:t>
      </w:r>
      <w:r>
        <w:rPr>
          <w:rFonts w:cs="Arial"/>
          <w:b/>
          <w:color w:val="00B0F0"/>
          <w:sz w:val="22"/>
          <w:szCs w:val="22"/>
          <w:lang w:val="el-GR"/>
        </w:rPr>
        <w:t>Δ08</w:t>
      </w:r>
      <w:r>
        <w:rPr>
          <w:rFonts w:cs="Arial"/>
          <w:sz w:val="22"/>
          <w:szCs w:val="22"/>
          <w:lang w:val="el-GR"/>
        </w:rPr>
        <w:t>). Επίσης, στην ελληνική μεταποίηση, το 42,4% των επενδύσεων κατευθύνεται σε επενδύσεις σε μηχανολογικό εξοπλισμό (έναντι 37,8% στην ΕΕ), το 8,3% σε επενδύσεις σε προϊόντα πνευματικής ιδιοκτησίας (έναντι 49,6% στην ΕΕ), το 48,5% σε επενδύσεις σε κατασκευές πλην κατοικιών (έναντι 9% στην ΕΕ) και το 0,8% σε επενδύσεις σε μεταφορικά μέσα (έναντι 3,6% στην ΕΕ). Ακόμη και αν ληφθεί υπόψη ότι η ελληνική μεταποίηση σε μέγεθος είναι τα 2/3 περίπου της ευρωπαϊκής μεταποίησης, το μίγμα αυτό επενδύσεων (ντουβάρια και μηχανήματα και όχι προϊόντα πνευματικής ιδιοκτησίας) δεν αφήνει σαφή περιθώρια για να ισχυρισθεί κανείς ότι η ελληνική μεταποίηση προετοιμάζεται για την επέλαση της 4</w:t>
      </w:r>
      <w:r>
        <w:rPr>
          <w:rFonts w:cs="Arial"/>
          <w:sz w:val="22"/>
          <w:szCs w:val="22"/>
          <w:vertAlign w:val="superscript"/>
          <w:lang w:val="el-GR"/>
        </w:rPr>
        <w:t>ης</w:t>
      </w:r>
      <w:r>
        <w:rPr>
          <w:rFonts w:cs="Arial"/>
          <w:sz w:val="22"/>
          <w:szCs w:val="22"/>
          <w:lang w:val="el-GR"/>
        </w:rPr>
        <w:t xml:space="preserve"> Βιομηχανικής Επανάστασης. Σημειώνεται ότι στην ελληνική μεταποίηση δυνητικά θα υποκατασταθούν μηχανές στο 66% του εργατικού δυναμικού και, συνεπώς, η προετοιμασία θα έπρεπε, σε όρους συμβατών επενδύσεων, να είναι ταχύτερη. Ο κίνδυνος των καθυστερήσεων είναι ορατός, με αποτέλεσμα να μην μπορέσει η ελληνική μεταποίηση να παρακολουθήσει τις εξελίξεις στις διεθνείς τάσεις ανταγωνιστικότητας και να συρρικνωθεί. </w:t>
      </w:r>
    </w:p>
    <w:p>
      <w:pPr>
        <w:pStyle w:val="style0"/>
        <w:tabs>
          <w:tab w:leader="none" w:pos="426" w:val="left"/>
        </w:tabs>
        <w:spacing w:after="0" w:before="160" w:line="300" w:lineRule="exact"/>
        <w:contextualSpacing w:val="false"/>
      </w:pPr>
      <w:r>
        <w:rPr>
          <w:rFonts w:cs="Arial"/>
          <w:sz w:val="22"/>
          <w:szCs w:val="22"/>
          <w:lang w:val="el-GR"/>
        </w:rPr>
        <w:t>Το θέμα, βεβαίως, είναι γενικότερο και αφορά σε όλους τους μεγάλους κλάδους της ελληνικής οικονομίας, όπως στη γεωργία, στον τουρισμό, στις μεταφορές και αποθήκευση, στο εμπόριο, κλπ. (</w:t>
      </w:r>
      <w:r>
        <w:rPr>
          <w:rFonts w:cs="Arial"/>
          <w:b/>
          <w:color w:val="00B0F0"/>
          <w:sz w:val="22"/>
          <w:szCs w:val="22"/>
          <w:lang w:val="el-GR"/>
        </w:rPr>
        <w:t>Δ04</w:t>
      </w:r>
      <w:r>
        <w:rPr>
          <w:rFonts w:cs="Arial"/>
          <w:sz w:val="22"/>
          <w:szCs w:val="22"/>
          <w:lang w:val="el-GR"/>
        </w:rPr>
        <w:t xml:space="preserve"> και </w:t>
      </w:r>
      <w:r>
        <w:rPr>
          <w:rFonts w:cs="Arial"/>
          <w:b/>
          <w:color w:val="00B0F0"/>
          <w:sz w:val="22"/>
          <w:szCs w:val="22"/>
          <w:lang w:val="el-GR"/>
        </w:rPr>
        <w:t>Δ05</w:t>
      </w:r>
      <w:r>
        <w:rPr>
          <w:rFonts w:cs="Arial"/>
          <w:sz w:val="22"/>
          <w:szCs w:val="22"/>
          <w:lang w:val="el-GR"/>
        </w:rPr>
        <w:t xml:space="preserve">). Χαρακτηριστικό είναι το παράδειγμα του κλάδου των </w:t>
      </w:r>
      <w:r>
        <w:rPr>
          <w:rFonts w:cs="Arial"/>
          <w:sz w:val="22"/>
          <w:szCs w:val="22"/>
        </w:rPr>
        <w:t>logistics</w:t>
      </w:r>
      <w:r>
        <w:rPr>
          <w:rFonts w:cs="Arial"/>
          <w:sz w:val="22"/>
          <w:szCs w:val="22"/>
          <w:lang w:val="el-GR"/>
        </w:rPr>
        <w:t xml:space="preserve"> (μεταφορές και αποθήκευση), όπου παρά του ότι το δυνητικό αποτέλεσμα υποκατάστασης μηχανών σε εργατικό δυναμικό είναι τόσο υψηλό όσο στη μεταποίηση (66%), ο κλάδος υστερεί απελπιστικά όχι μόνο σε επενδύσεις σε προϊόντα πνευματικής ιδιοκτησίας αλλά και σε επενδύσεις σε μηχανολογικό εξοπλισμό. </w:t>
      </w:r>
    </w:p>
    <w:p>
      <w:pPr>
        <w:pStyle w:val="style0"/>
        <w:tabs>
          <w:tab w:leader="none" w:pos="426" w:val="left"/>
        </w:tabs>
        <w:spacing w:after="0" w:before="160" w:line="300" w:lineRule="exact"/>
        <w:contextualSpacing w:val="false"/>
      </w:pPr>
      <w:r>
        <w:rPr>
          <w:rFonts w:cs="Arial"/>
          <w:sz w:val="22"/>
          <w:szCs w:val="22"/>
          <w:lang w:val="el-GR"/>
        </w:rPr>
        <w:t xml:space="preserve">Προκαλεί, επίσης, θλιβερή, αν και όχι μη αναμενόμενη, εντύπωση η σχετικά υψηλή υστέρηση σε επενδύσεις συμβατές με τις επερχόμενες τεχνολογικές εξελίξεις, σε κλάδους όπου κυριαρχούν επιχειρήσεις κοινής ωφέλειας υπό κρατικό έλεγχο, όπως ο ηλεκτρισμός και το φυσικό αέριο, η παροχή νερού, αλλά και η δημόσια διοίκηση στο σύνολο της. </w:t>
      </w:r>
    </w:p>
    <w:p>
      <w:pPr>
        <w:pStyle w:val="style61"/>
      </w:pPr>
      <w:r>
        <w:rPr>
          <w:rFonts w:cs="Arial"/>
          <w:lang w:val="el-GR"/>
        </w:rPr>
      </w:r>
    </w:p>
    <w:p>
      <w:pPr>
        <w:pStyle w:val="style61"/>
      </w:pPr>
      <w:r>
        <w:rPr/>
        <w:drawing>
          <wp:inline distB="0" distL="0" distR="0" distT="0">
            <wp:extent cx="1896745" cy="67945"/>
            <wp:effectExtent b="0" l="0" r="0" t="0"/>
            <wp:docPr desc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4" name="Picture"/>
                    <pic:cNvPicPr>
                      <a:picLocks noChangeArrowheads="1" noChangeAspect="1"/>
                    </pic:cNvPicPr>
                  </pic:nvPicPr>
                  <pic:blipFill>
                    <a:blip r:embed="rId29"/>
                    <a:srcRect/>
                    <a:stretch>
                      <a:fillRect/>
                    </a:stretch>
                  </pic:blipFill>
                  <pic:spPr bwMode="auto">
                    <a:xfrm>
                      <a:off x="0" y="0"/>
                      <a:ext cx="1896745" cy="67945"/>
                    </a:xfrm>
                    <a:prstGeom prst="rect">
                      <a:avLst/>
                    </a:prstGeom>
                    <a:noFill/>
                    <a:ln w="9525">
                      <a:noFill/>
                      <a:miter lim="800000"/>
                      <a:headEnd/>
                      <a:tailEnd/>
                    </a:ln>
                  </pic:spPr>
                </pic:pic>
              </a:graphicData>
            </a:graphic>
          </wp:inline>
        </w:drawing>
      </w:r>
    </w:p>
    <w:p>
      <w:pPr>
        <w:pStyle w:val="style61"/>
      </w:pPr>
      <w:r>
        <w:rPr>
          <w:rFonts w:cs="Arial"/>
          <w:lang w:val="el-GR"/>
        </w:rPr>
        <w:t xml:space="preserve">Στην ελληνική μεταποίηση δυνητικά θα υποκατασταθούν μηχανές στο 66% του εργατικού δυναμικού και, συνεπώς, η προετοιμασία θα έπρεπε, σε όρους συμβατών επενδύσεων, να είναι ταχύτερη. </w:t>
      </w:r>
    </w:p>
    <w:p>
      <w:pPr>
        <w:pStyle w:val="style61"/>
      </w:pPr>
      <w:r>
        <w:rPr/>
        <w:drawing>
          <wp:inline distB="0" distL="0" distR="0" distT="0">
            <wp:extent cx="1896745" cy="67945"/>
            <wp:effectExtent b="0" l="0" r="0" t="0"/>
            <wp:docPr desc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5" name="Picture"/>
                    <pic:cNvPicPr>
                      <a:picLocks noChangeArrowheads="1" noChangeAspect="1"/>
                    </pic:cNvPicPr>
                  </pic:nvPicPr>
                  <pic:blipFill>
                    <a:blip r:embed="rId30"/>
                    <a:srcRect/>
                    <a:stretch>
                      <a:fillRect/>
                    </a:stretch>
                  </pic:blipFill>
                  <pic:spPr bwMode="auto">
                    <a:xfrm>
                      <a:off x="0" y="0"/>
                      <a:ext cx="1896745" cy="67945"/>
                    </a:xfrm>
                    <a:prstGeom prst="rect">
                      <a:avLst/>
                    </a:prstGeom>
                    <a:noFill/>
                    <a:ln w="9525">
                      <a:noFill/>
                      <a:miter lim="800000"/>
                      <a:headEnd/>
                      <a:tailEnd/>
                    </a:ln>
                  </pic:spPr>
                </pic:pic>
              </a:graphicData>
            </a:graphic>
          </wp:inline>
        </w:drawing>
      </w:r>
    </w:p>
    <w:p>
      <w:pPr>
        <w:pStyle w:val="style0"/>
        <w:tabs>
          <w:tab w:leader="none" w:pos="426" w:val="left"/>
        </w:tabs>
        <w:spacing w:after="0" w:before="160" w:line="300" w:lineRule="exact"/>
        <w:contextualSpacing w:val="false"/>
      </w:pPr>
      <w:r>
        <w:rPr>
          <w:rFonts w:cs="Arial"/>
          <w:sz w:val="22"/>
          <w:szCs w:val="22"/>
          <w:lang w:val="el-GR"/>
        </w:rPr>
      </w:r>
    </w:p>
    <w:p>
      <w:pPr>
        <w:pStyle w:val="style0"/>
      </w:pPr>
      <w:r>
        <w:rPr>
          <w:rFonts w:cs="Arial"/>
          <w:sz w:val="22"/>
          <w:szCs w:val="22"/>
          <w:lang w:val="el-GR"/>
        </w:rPr>
      </w:r>
    </w:p>
    <w:p>
      <w:pPr>
        <w:pStyle w:val="style0"/>
        <w:pageBreakBefore/>
      </w:pPr>
      <w:r>
        <w:rPr>
          <w:rFonts w:cs="Arial"/>
          <w:sz w:val="22"/>
          <w:szCs w:val="22"/>
          <w:lang w:val="el-GR"/>
        </w:rPr>
      </w:r>
    </w:p>
    <w:p>
      <w:pPr>
        <w:pStyle w:val="style86"/>
        <w:spacing w:after="120" w:before="0"/>
        <w:contextualSpacing w:val="false"/>
      </w:pPr>
      <w:r>
        <w:rPr>
          <w:rFonts w:cs="Arial"/>
          <w:b/>
          <w:color w:val="00B0F0"/>
          <w:lang w:val="el-GR"/>
        </w:rPr>
        <w:t xml:space="preserve">Δ05: </w:t>
      </w:r>
      <w:r>
        <w:rPr>
          <w:rFonts w:cs="Arial"/>
          <w:b/>
          <w:lang w:val="el-GR"/>
        </w:rPr>
        <w:t xml:space="preserve">Κατανομή ακαθάριστων επενδύσεων σε προϊόντα πνευματικής ιδιοκτησίας κατά κλάδο </w:t>
      </w:r>
      <w:r>
        <w:rPr>
          <w:rFonts w:cs="Arial"/>
          <w:i/>
          <w:color w:val="00B0F0"/>
          <w:lang w:val="el-GR"/>
        </w:rPr>
        <w:t>(</w:t>
      </w:r>
      <w:r>
        <w:rPr>
          <w:rFonts w:cs="Arial"/>
          <w:i/>
          <w:color w:val="00B0F0"/>
        </w:rPr>
        <w:t>Eurostat</w:t>
      </w:r>
      <w:r>
        <w:rPr>
          <w:rFonts w:cs="Arial"/>
          <w:i/>
          <w:color w:val="00B0F0"/>
          <w:lang w:val="el-GR"/>
        </w:rPr>
        <w:t>, 2017)</w:t>
      </w:r>
    </w:p>
    <w:p>
      <w:pPr>
        <w:pStyle w:val="style86"/>
        <w:jc w:val="center"/>
      </w:pPr>
      <w:r>
        <w:rPr>
          <w:rFonts w:cs="Arial"/>
          <w:b/>
          <w:color w:val="FFFFFF"/>
          <w:sz w:val="16"/>
          <w:szCs w:val="16"/>
          <w:lang w:val="el-GR"/>
        </w:rPr>
      </w:r>
    </w:p>
    <w:p>
      <w:pPr>
        <w:pStyle w:val="style86"/>
        <w:jc w:val="center"/>
      </w:pPr>
      <w:r>
        <w:rPr>
          <w:rFonts w:cs="Arial"/>
          <w:b/>
          <w:color w:val="FFFFFF"/>
          <w:sz w:val="16"/>
          <w:szCs w:val="16"/>
        </w:rPr>
        <w:t>Ελλάδα</w:t>
      </w:r>
    </w:p>
    <w:p>
      <w:pPr>
        <w:pStyle w:val="style86"/>
        <w:jc w:val="center"/>
      </w:pPr>
      <w:r>
        <w:rPr>
          <w:rFonts w:cs="Arial"/>
          <w:b/>
          <w:color w:val="FFFFFF"/>
          <w:sz w:val="16"/>
          <w:szCs w:val="16"/>
        </w:rPr>
        <w:t>ΕΕ</w:t>
      </w:r>
      <w:r>
        <w:rPr>
          <w:rFonts w:cs="Arial"/>
          <w:b/>
          <w:color w:val="FFFFFF"/>
          <w:sz w:val="16"/>
          <w:szCs w:val="16"/>
          <w:lang w:val="el-GR"/>
        </w:rPr>
        <w:t>*</w:t>
      </w:r>
    </w:p>
    <w:p>
      <w:pPr>
        <w:pStyle w:val="style86"/>
        <w:jc w:val="center"/>
      </w:pPr>
      <w:r>
        <w:rPr>
          <w:rFonts w:cs="Arial"/>
          <w:b/>
          <w:color w:val="FFFFFF"/>
          <w:sz w:val="16"/>
          <w:szCs w:val="16"/>
        </w:rPr>
      </w:r>
    </w:p>
    <w:p>
      <w:pPr>
        <w:pStyle w:val="style86"/>
        <w:jc w:val="center"/>
      </w:pPr>
      <w:r>
        <w:rPr>
          <w:rFonts w:cs="Arial"/>
          <w:b/>
          <w:color w:val="FFFFFF"/>
          <w:sz w:val="16"/>
          <w:szCs w:val="16"/>
        </w:rPr>
        <w:t xml:space="preserve">€ </w:t>
      </w:r>
      <w:r>
        <w:rPr>
          <w:rFonts w:cs="Arial"/>
          <w:b/>
          <w:color w:val="FFFFFF"/>
          <w:sz w:val="16"/>
          <w:szCs w:val="16"/>
        </w:rPr>
        <w:t>εκατ.</w:t>
      </w:r>
    </w:p>
    <w:p>
      <w:pPr>
        <w:pStyle w:val="style86"/>
        <w:jc w:val="center"/>
      </w:pPr>
      <w:r>
        <w:rPr>
          <w:rFonts w:cs="Arial"/>
          <w:b/>
          <w:color w:val="FFFFFF"/>
          <w:sz w:val="16"/>
          <w:szCs w:val="16"/>
        </w:rPr>
        <w:t>Μερίδιο στο σύνολο επενδύσεων</w:t>
      </w:r>
    </w:p>
    <w:p>
      <w:pPr>
        <w:pStyle w:val="style86"/>
        <w:jc w:val="center"/>
      </w:pPr>
      <w:r>
        <w:rPr>
          <w:rFonts w:cs="Arial"/>
          <w:b/>
          <w:color w:val="FFFFFF"/>
          <w:sz w:val="16"/>
          <w:szCs w:val="16"/>
          <w:lang w:val="el-GR"/>
        </w:rPr>
        <w:t>Μερίδιο σε προϊόντα πνευματικής ιδικτησίας</w:t>
      </w:r>
    </w:p>
    <w:p>
      <w:pPr>
        <w:pStyle w:val="style86"/>
        <w:jc w:val="center"/>
      </w:pPr>
      <w:r>
        <w:rPr>
          <w:rFonts w:cs="Arial"/>
          <w:b/>
          <w:color w:val="FFFFFF"/>
          <w:sz w:val="16"/>
          <w:szCs w:val="16"/>
        </w:rPr>
        <w:t>Μερίδιο στο σύνολο επενδύσεων</w:t>
      </w:r>
    </w:p>
    <w:p>
      <w:pPr>
        <w:pStyle w:val="style86"/>
        <w:jc w:val="center"/>
      </w:pPr>
      <w:r>
        <w:rPr>
          <w:rFonts w:cs="Arial"/>
          <w:b/>
          <w:color w:val="FFFFFF"/>
          <w:sz w:val="16"/>
          <w:szCs w:val="16"/>
          <w:lang w:val="el-GR"/>
        </w:rPr>
        <w:t>Μερίδιο σε προϊόντα πνευματικής ιδικτησίας</w:t>
      </w:r>
    </w:p>
    <w:p>
      <w:pPr>
        <w:pStyle w:val="style86"/>
      </w:pPr>
      <w:r>
        <w:rPr>
          <w:rFonts w:cs="Arial"/>
          <w:b/>
          <w:color w:val="FFFFFF"/>
          <w:sz w:val="16"/>
          <w:szCs w:val="16"/>
        </w:rPr>
        <w:t>Σύνολο</w:t>
      </w:r>
    </w:p>
    <w:p>
      <w:pPr>
        <w:pStyle w:val="style86"/>
        <w:jc w:val="right"/>
      </w:pPr>
      <w:r>
        <w:rPr>
          <w:rFonts w:cs="Arial"/>
          <w:b/>
          <w:color w:val="FFFFFF"/>
          <w:sz w:val="16"/>
          <w:szCs w:val="16"/>
        </w:rPr>
        <w:t>3.038,8</w:t>
      </w:r>
    </w:p>
    <w:p>
      <w:pPr>
        <w:pStyle w:val="style86"/>
        <w:ind w:hanging="0" w:left="0" w:right="317"/>
        <w:jc w:val="right"/>
      </w:pPr>
      <w:r>
        <w:rPr>
          <w:rFonts w:cs="Arial"/>
          <w:b/>
          <w:color w:val="FFFFFF"/>
          <w:sz w:val="16"/>
          <w:szCs w:val="16"/>
        </w:rPr>
        <w:t>13,1%</w:t>
      </w:r>
    </w:p>
    <w:p>
      <w:pPr>
        <w:pStyle w:val="style86"/>
        <w:ind w:hanging="0" w:left="0" w:right="494"/>
        <w:jc w:val="right"/>
      </w:pPr>
      <w:r>
        <w:rPr>
          <w:rFonts w:cs="Arial"/>
          <w:b/>
          <w:color w:val="FFFFFF"/>
          <w:sz w:val="16"/>
          <w:szCs w:val="16"/>
        </w:rPr>
        <w:t>100,0%</w:t>
      </w:r>
    </w:p>
    <w:p>
      <w:pPr>
        <w:pStyle w:val="style86"/>
        <w:ind w:hanging="0" w:left="0" w:right="352"/>
        <w:jc w:val="right"/>
      </w:pPr>
      <w:r>
        <w:rPr>
          <w:rFonts w:cs="Arial"/>
          <w:b/>
          <w:color w:val="FFFFFF"/>
          <w:sz w:val="16"/>
          <w:szCs w:val="16"/>
        </w:rPr>
        <w:t>21,7%</w:t>
      </w:r>
    </w:p>
    <w:p>
      <w:pPr>
        <w:pStyle w:val="style86"/>
        <w:ind w:hanging="0" w:left="0" w:right="428"/>
        <w:jc w:val="right"/>
      </w:pPr>
      <w:r>
        <w:rPr>
          <w:rFonts w:cs="Arial"/>
          <w:b/>
          <w:color w:val="FFFFFF"/>
          <w:sz w:val="16"/>
          <w:szCs w:val="16"/>
        </w:rPr>
        <w:t>100,0%</w:t>
      </w:r>
    </w:p>
    <w:p>
      <w:pPr>
        <w:pStyle w:val="style86"/>
      </w:pPr>
      <w:r>
        <w:rPr>
          <w:rFonts w:cs="Arial"/>
          <w:sz w:val="16"/>
          <w:szCs w:val="16"/>
        </w:rPr>
        <w:t>Γεωργία</w:t>
      </w:r>
    </w:p>
    <w:p>
      <w:pPr>
        <w:pStyle w:val="style86"/>
        <w:jc w:val="right"/>
      </w:pPr>
      <w:r>
        <w:rPr>
          <w:rFonts w:cs="Arial"/>
          <w:sz w:val="16"/>
          <w:szCs w:val="16"/>
        </w:rPr>
        <w:t>35,8</w:t>
      </w:r>
    </w:p>
    <w:p>
      <w:pPr>
        <w:pStyle w:val="style86"/>
        <w:ind w:hanging="0" w:left="0" w:right="317"/>
        <w:jc w:val="right"/>
      </w:pPr>
      <w:r>
        <w:rPr>
          <w:rFonts w:cs="Arial"/>
          <w:sz w:val="16"/>
          <w:szCs w:val="16"/>
        </w:rPr>
        <w:t>2,5%</w:t>
      </w:r>
    </w:p>
    <w:p>
      <w:pPr>
        <w:pStyle w:val="style86"/>
        <w:ind w:hanging="0" w:left="0" w:right="494"/>
        <w:jc w:val="right"/>
      </w:pPr>
      <w:r>
        <w:rPr>
          <w:rFonts w:cs="Arial"/>
          <w:sz w:val="16"/>
          <w:szCs w:val="16"/>
        </w:rPr>
        <w:t>1,2%</w:t>
      </w:r>
    </w:p>
    <w:p>
      <w:pPr>
        <w:pStyle w:val="style86"/>
        <w:ind w:hanging="0" w:left="0" w:right="352"/>
        <w:jc w:val="right"/>
      </w:pPr>
      <w:r>
        <w:rPr>
          <w:rFonts w:cs="Arial"/>
          <w:sz w:val="16"/>
          <w:szCs w:val="16"/>
        </w:rPr>
        <w:t>2,7%</w:t>
      </w:r>
    </w:p>
    <w:p>
      <w:pPr>
        <w:pStyle w:val="style86"/>
        <w:ind w:hanging="0" w:left="0" w:right="428"/>
        <w:jc w:val="right"/>
      </w:pPr>
      <w:r>
        <w:rPr>
          <w:rFonts w:cs="Arial"/>
          <w:sz w:val="16"/>
          <w:szCs w:val="16"/>
        </w:rPr>
        <w:t>0,2%</w:t>
      </w:r>
    </w:p>
    <w:p>
      <w:pPr>
        <w:pStyle w:val="style86"/>
      </w:pPr>
      <w:r>
        <w:rPr>
          <w:rFonts w:cs="Arial"/>
          <w:sz w:val="16"/>
          <w:szCs w:val="16"/>
        </w:rPr>
        <w:t>Ορυχεία, λατομεία</w:t>
      </w:r>
    </w:p>
    <w:p>
      <w:pPr>
        <w:pStyle w:val="style86"/>
        <w:jc w:val="right"/>
      </w:pPr>
      <w:r>
        <w:rPr>
          <w:rFonts w:cs="Arial"/>
          <w:sz w:val="16"/>
          <w:szCs w:val="16"/>
        </w:rPr>
        <w:t>14,8</w:t>
      </w:r>
    </w:p>
    <w:p>
      <w:pPr>
        <w:pStyle w:val="style86"/>
        <w:ind w:hanging="0" w:left="0" w:right="317"/>
        <w:jc w:val="right"/>
      </w:pPr>
      <w:r>
        <w:rPr>
          <w:rFonts w:cs="Arial"/>
          <w:sz w:val="16"/>
          <w:szCs w:val="16"/>
        </w:rPr>
        <w:t>14,1%</w:t>
      </w:r>
    </w:p>
    <w:p>
      <w:pPr>
        <w:pStyle w:val="style86"/>
        <w:ind w:hanging="0" w:left="0" w:right="494"/>
        <w:jc w:val="right"/>
      </w:pPr>
      <w:r>
        <w:rPr>
          <w:rFonts w:cs="Arial"/>
          <w:sz w:val="16"/>
          <w:szCs w:val="16"/>
        </w:rPr>
        <w:t>0,5%</w:t>
      </w:r>
    </w:p>
    <w:p>
      <w:pPr>
        <w:pStyle w:val="style86"/>
        <w:ind w:hanging="0" w:left="0" w:right="352"/>
        <w:jc w:val="right"/>
      </w:pPr>
      <w:r>
        <w:rPr>
          <w:rFonts w:cs="Arial"/>
          <w:sz w:val="16"/>
          <w:szCs w:val="16"/>
        </w:rPr>
        <w:t>20,4%</w:t>
      </w:r>
    </w:p>
    <w:p>
      <w:pPr>
        <w:pStyle w:val="style86"/>
        <w:ind w:hanging="0" w:left="0" w:right="428"/>
        <w:jc w:val="right"/>
      </w:pPr>
      <w:r>
        <w:rPr>
          <w:rFonts w:cs="Arial"/>
          <w:sz w:val="16"/>
          <w:szCs w:val="16"/>
        </w:rPr>
        <w:t>0,4%</w:t>
      </w:r>
    </w:p>
    <w:p>
      <w:pPr>
        <w:pStyle w:val="style86"/>
      </w:pPr>
      <w:r>
        <w:rPr>
          <w:rFonts w:cs="Arial"/>
          <w:sz w:val="16"/>
          <w:szCs w:val="16"/>
        </w:rPr>
        <w:t>Μεταποίηση</w:t>
      </w:r>
    </w:p>
    <w:p>
      <w:pPr>
        <w:pStyle w:val="style86"/>
        <w:jc w:val="right"/>
      </w:pPr>
      <w:r>
        <w:rPr>
          <w:rFonts w:cs="Arial"/>
          <w:sz w:val="16"/>
          <w:szCs w:val="16"/>
        </w:rPr>
        <w:t>239,2</w:t>
      </w:r>
    </w:p>
    <w:p>
      <w:pPr>
        <w:pStyle w:val="style86"/>
        <w:ind w:hanging="0" w:left="0" w:right="317"/>
        <w:jc w:val="right"/>
      </w:pPr>
      <w:r>
        <w:rPr>
          <w:rFonts w:cs="Arial"/>
          <w:sz w:val="16"/>
          <w:szCs w:val="16"/>
        </w:rPr>
        <w:t>8,3%</w:t>
      </w:r>
    </w:p>
    <w:p>
      <w:pPr>
        <w:pStyle w:val="style86"/>
        <w:ind w:hanging="0" w:left="0" w:right="494"/>
        <w:jc w:val="right"/>
      </w:pPr>
      <w:r>
        <w:rPr>
          <w:rFonts w:cs="Arial"/>
          <w:sz w:val="16"/>
          <w:szCs w:val="16"/>
        </w:rPr>
        <w:t>7,9%</w:t>
      </w:r>
    </w:p>
    <w:p>
      <w:pPr>
        <w:pStyle w:val="style86"/>
        <w:ind w:hanging="0" w:left="0" w:right="352"/>
        <w:jc w:val="right"/>
      </w:pPr>
      <w:r>
        <w:rPr>
          <w:rFonts w:cs="Arial"/>
          <w:sz w:val="16"/>
          <w:szCs w:val="16"/>
        </w:rPr>
        <w:t>49,6%</w:t>
      </w:r>
    </w:p>
    <w:p>
      <w:pPr>
        <w:pStyle w:val="style86"/>
        <w:ind w:hanging="0" w:left="0" w:right="428"/>
        <w:jc w:val="right"/>
      </w:pPr>
      <w:r>
        <w:rPr>
          <w:rFonts w:cs="Arial"/>
          <w:sz w:val="16"/>
          <w:szCs w:val="16"/>
        </w:rPr>
        <w:t>34,0%</w:t>
      </w:r>
    </w:p>
    <w:p>
      <w:pPr>
        <w:pStyle w:val="style86"/>
        <w:ind w:firstLine="176" w:left="0" w:right="0"/>
      </w:pPr>
      <w:r>
        <w:rPr>
          <w:rFonts w:cs="Arial"/>
          <w:sz w:val="16"/>
          <w:szCs w:val="16"/>
        </w:rPr>
        <w:t>Μεταποίηση πλην πετρελαιοειδών</w:t>
      </w:r>
    </w:p>
    <w:p>
      <w:pPr>
        <w:pStyle w:val="style86"/>
        <w:jc w:val="right"/>
      </w:pPr>
      <w:r>
        <w:rPr>
          <w:rFonts w:cs="Arial"/>
          <w:sz w:val="16"/>
          <w:szCs w:val="16"/>
        </w:rPr>
        <w:t>214,0</w:t>
      </w:r>
    </w:p>
    <w:p>
      <w:pPr>
        <w:pStyle w:val="style86"/>
        <w:ind w:hanging="0" w:left="0" w:right="317"/>
        <w:jc w:val="right"/>
      </w:pPr>
      <w:r>
        <w:rPr>
          <w:rFonts w:cs="Arial"/>
          <w:sz w:val="16"/>
          <w:szCs w:val="16"/>
        </w:rPr>
        <w:t>11,3%</w:t>
      </w:r>
    </w:p>
    <w:p>
      <w:pPr>
        <w:pStyle w:val="style86"/>
        <w:ind w:hanging="0" w:left="0" w:right="494"/>
        <w:jc w:val="right"/>
      </w:pPr>
      <w:r>
        <w:rPr>
          <w:rFonts w:cs="Arial"/>
          <w:sz w:val="16"/>
          <w:szCs w:val="16"/>
        </w:rPr>
        <w:t>7,0%</w:t>
      </w:r>
    </w:p>
    <w:p>
      <w:pPr>
        <w:pStyle w:val="style86"/>
        <w:ind w:hanging="0" w:left="0" w:right="352"/>
        <w:jc w:val="right"/>
      </w:pPr>
      <w:r>
        <w:rPr>
          <w:rFonts w:cs="Arial"/>
          <w:sz w:val="16"/>
          <w:szCs w:val="16"/>
        </w:rPr>
        <w:t>50,0%</w:t>
      </w:r>
    </w:p>
    <w:p>
      <w:pPr>
        <w:pStyle w:val="style86"/>
        <w:ind w:hanging="0" w:left="0" w:right="428"/>
        <w:jc w:val="right"/>
      </w:pPr>
      <w:r>
        <w:rPr>
          <w:rFonts w:cs="Arial"/>
          <w:sz w:val="16"/>
          <w:szCs w:val="16"/>
        </w:rPr>
        <w:t>33,8%</w:t>
      </w:r>
    </w:p>
    <w:p>
      <w:pPr>
        <w:pStyle w:val="style86"/>
        <w:ind w:firstLine="176" w:left="0" w:right="0"/>
      </w:pPr>
      <w:r>
        <w:rPr>
          <w:rFonts w:cs="Arial"/>
          <w:sz w:val="16"/>
          <w:szCs w:val="16"/>
        </w:rPr>
        <w:t>Πετρελαιοειδή</w:t>
      </w:r>
    </w:p>
    <w:p>
      <w:pPr>
        <w:pStyle w:val="style86"/>
        <w:jc w:val="right"/>
      </w:pPr>
      <w:r>
        <w:rPr>
          <w:rFonts w:cs="Arial"/>
          <w:sz w:val="16"/>
          <w:szCs w:val="16"/>
        </w:rPr>
        <w:t>25,2</w:t>
      </w:r>
    </w:p>
    <w:p>
      <w:pPr>
        <w:pStyle w:val="style86"/>
        <w:ind w:hanging="0" w:left="0" w:right="317"/>
        <w:jc w:val="right"/>
      </w:pPr>
      <w:r>
        <w:rPr>
          <w:rFonts w:cs="Arial"/>
          <w:sz w:val="16"/>
          <w:szCs w:val="16"/>
        </w:rPr>
        <w:t>2,6%</w:t>
      </w:r>
    </w:p>
    <w:p>
      <w:pPr>
        <w:pStyle w:val="style86"/>
        <w:ind w:hanging="0" w:left="0" w:right="494"/>
        <w:jc w:val="right"/>
      </w:pPr>
      <w:r>
        <w:rPr>
          <w:rFonts w:cs="Arial"/>
          <w:sz w:val="16"/>
          <w:szCs w:val="16"/>
        </w:rPr>
        <w:t>0,8%</w:t>
      </w:r>
    </w:p>
    <w:p>
      <w:pPr>
        <w:pStyle w:val="style86"/>
        <w:ind w:hanging="0" w:left="0" w:right="352"/>
        <w:jc w:val="right"/>
      </w:pPr>
      <w:r>
        <w:rPr>
          <w:rFonts w:cs="Arial"/>
          <w:sz w:val="16"/>
          <w:szCs w:val="16"/>
        </w:rPr>
        <w:t>15,5%</w:t>
      </w:r>
    </w:p>
    <w:p>
      <w:pPr>
        <w:pStyle w:val="style86"/>
        <w:ind w:hanging="0" w:left="0" w:right="428"/>
        <w:jc w:val="right"/>
      </w:pPr>
      <w:r>
        <w:rPr>
          <w:rFonts w:cs="Arial"/>
          <w:sz w:val="16"/>
          <w:szCs w:val="16"/>
        </w:rPr>
        <w:t>0,1%</w:t>
      </w:r>
    </w:p>
    <w:p>
      <w:pPr>
        <w:pStyle w:val="style86"/>
      </w:pPr>
      <w:r>
        <w:rPr>
          <w:rFonts w:cs="Arial"/>
          <w:sz w:val="16"/>
          <w:szCs w:val="16"/>
        </w:rPr>
        <w:t>Ηλεκτρισμός, Φ/Α</w:t>
      </w:r>
    </w:p>
    <w:p>
      <w:pPr>
        <w:pStyle w:val="style86"/>
        <w:jc w:val="right"/>
      </w:pPr>
      <w:r>
        <w:rPr>
          <w:rFonts w:cs="Arial"/>
          <w:sz w:val="16"/>
          <w:szCs w:val="16"/>
        </w:rPr>
        <w:t>32,9</w:t>
      </w:r>
    </w:p>
    <w:p>
      <w:pPr>
        <w:pStyle w:val="style86"/>
        <w:ind w:hanging="0" w:left="0" w:right="317"/>
        <w:jc w:val="right"/>
      </w:pPr>
      <w:r>
        <w:rPr>
          <w:rFonts w:cs="Arial"/>
          <w:sz w:val="16"/>
          <w:szCs w:val="16"/>
        </w:rPr>
        <w:t>9,1%</w:t>
      </w:r>
    </w:p>
    <w:p>
      <w:pPr>
        <w:pStyle w:val="style86"/>
        <w:ind w:hanging="0" w:left="0" w:right="494"/>
        <w:jc w:val="right"/>
      </w:pPr>
      <w:r>
        <w:rPr>
          <w:rFonts w:cs="Arial"/>
          <w:sz w:val="16"/>
          <w:szCs w:val="16"/>
        </w:rPr>
        <w:t>1,1%</w:t>
      </w:r>
    </w:p>
    <w:p>
      <w:pPr>
        <w:pStyle w:val="style86"/>
        <w:ind w:hanging="0" w:left="0" w:right="352"/>
        <w:jc w:val="right"/>
      </w:pPr>
      <w:r>
        <w:rPr>
          <w:rFonts w:cs="Arial"/>
          <w:sz w:val="16"/>
          <w:szCs w:val="16"/>
        </w:rPr>
        <w:t>7,1%</w:t>
      </w:r>
    </w:p>
    <w:p>
      <w:pPr>
        <w:pStyle w:val="style86"/>
        <w:ind w:hanging="0" w:left="0" w:right="428"/>
        <w:jc w:val="right"/>
      </w:pPr>
      <w:r>
        <w:rPr>
          <w:rFonts w:cs="Arial"/>
          <w:sz w:val="16"/>
          <w:szCs w:val="16"/>
        </w:rPr>
        <w:t>1,0%</w:t>
      </w:r>
    </w:p>
    <w:p>
      <w:pPr>
        <w:pStyle w:val="style86"/>
      </w:pPr>
      <w:r>
        <w:rPr>
          <w:rFonts w:cs="Arial"/>
          <w:sz w:val="16"/>
          <w:szCs w:val="16"/>
        </w:rPr>
        <w:t>Παροχή νερού</w:t>
      </w:r>
    </w:p>
    <w:p>
      <w:pPr>
        <w:pStyle w:val="style86"/>
        <w:jc w:val="right"/>
      </w:pPr>
      <w:r>
        <w:rPr>
          <w:rFonts w:cs="Arial"/>
          <w:sz w:val="16"/>
          <w:szCs w:val="16"/>
        </w:rPr>
        <w:t>6,6</w:t>
      </w:r>
    </w:p>
    <w:p>
      <w:pPr>
        <w:pStyle w:val="style86"/>
        <w:ind w:hanging="0" w:left="0" w:right="317"/>
        <w:jc w:val="right"/>
      </w:pPr>
      <w:r>
        <w:rPr>
          <w:rFonts w:cs="Arial"/>
          <w:sz w:val="16"/>
          <w:szCs w:val="16"/>
        </w:rPr>
        <w:t>4,7%</w:t>
      </w:r>
    </w:p>
    <w:p>
      <w:pPr>
        <w:pStyle w:val="style86"/>
        <w:ind w:hanging="0" w:left="0" w:right="494"/>
        <w:jc w:val="right"/>
      </w:pPr>
      <w:r>
        <w:rPr>
          <w:rFonts w:cs="Arial"/>
          <w:sz w:val="16"/>
          <w:szCs w:val="16"/>
        </w:rPr>
        <w:t>0,2%</w:t>
      </w:r>
    </w:p>
    <w:p>
      <w:pPr>
        <w:pStyle w:val="style86"/>
        <w:ind w:hanging="0" w:left="0" w:right="352"/>
        <w:jc w:val="right"/>
      </w:pPr>
      <w:r>
        <w:rPr>
          <w:rFonts w:cs="Arial"/>
          <w:sz w:val="16"/>
          <w:szCs w:val="16"/>
        </w:rPr>
        <w:t>3,6%</w:t>
      </w:r>
    </w:p>
    <w:p>
      <w:pPr>
        <w:pStyle w:val="style86"/>
        <w:ind w:hanging="0" w:left="0" w:right="428"/>
        <w:jc w:val="right"/>
      </w:pPr>
      <w:r>
        <w:rPr>
          <w:rFonts w:cs="Arial"/>
          <w:sz w:val="16"/>
          <w:szCs w:val="16"/>
        </w:rPr>
        <w:t>0,3%</w:t>
      </w:r>
    </w:p>
    <w:p>
      <w:pPr>
        <w:pStyle w:val="style86"/>
      </w:pPr>
      <w:r>
        <w:rPr>
          <w:rFonts w:cs="Arial"/>
          <w:sz w:val="16"/>
          <w:szCs w:val="16"/>
        </w:rPr>
        <w:t>Κατασκευές</w:t>
      </w:r>
    </w:p>
    <w:p>
      <w:pPr>
        <w:pStyle w:val="style86"/>
        <w:jc w:val="right"/>
      </w:pPr>
      <w:r>
        <w:rPr>
          <w:rFonts w:cs="Arial"/>
          <w:sz w:val="16"/>
          <w:szCs w:val="16"/>
        </w:rPr>
        <w:t>9,6</w:t>
      </w:r>
    </w:p>
    <w:p>
      <w:pPr>
        <w:pStyle w:val="style86"/>
        <w:ind w:hanging="0" w:left="0" w:right="317"/>
        <w:jc w:val="right"/>
      </w:pPr>
      <w:r>
        <w:rPr>
          <w:rFonts w:cs="Arial"/>
          <w:sz w:val="16"/>
          <w:szCs w:val="16"/>
        </w:rPr>
        <w:t>1,5%</w:t>
      </w:r>
    </w:p>
    <w:p>
      <w:pPr>
        <w:pStyle w:val="style86"/>
        <w:ind w:hanging="0" w:left="0" w:right="494"/>
        <w:jc w:val="right"/>
      </w:pPr>
      <w:r>
        <w:rPr>
          <w:rFonts w:cs="Arial"/>
          <w:sz w:val="16"/>
          <w:szCs w:val="16"/>
        </w:rPr>
        <w:t>0,3%</w:t>
      </w:r>
    </w:p>
    <w:p>
      <w:pPr>
        <w:pStyle w:val="style86"/>
        <w:ind w:hanging="0" w:left="0" w:right="352"/>
        <w:jc w:val="right"/>
      </w:pPr>
      <w:r>
        <w:rPr>
          <w:rFonts w:cs="Arial"/>
          <w:sz w:val="16"/>
          <w:szCs w:val="16"/>
        </w:rPr>
        <w:t>5,7%</w:t>
      </w:r>
    </w:p>
    <w:p>
      <w:pPr>
        <w:pStyle w:val="style86"/>
        <w:ind w:hanging="0" w:left="0" w:right="428"/>
        <w:jc w:val="right"/>
      </w:pPr>
      <w:r>
        <w:rPr>
          <w:rFonts w:cs="Arial"/>
          <w:sz w:val="16"/>
          <w:szCs w:val="16"/>
        </w:rPr>
        <w:t>0,7%</w:t>
      </w:r>
    </w:p>
    <w:p>
      <w:pPr>
        <w:pStyle w:val="style86"/>
      </w:pPr>
      <w:r>
        <w:rPr>
          <w:rFonts w:cs="Arial"/>
          <w:sz w:val="16"/>
          <w:szCs w:val="16"/>
        </w:rPr>
        <w:t>Εμπόριο</w:t>
      </w:r>
    </w:p>
    <w:p>
      <w:pPr>
        <w:pStyle w:val="style86"/>
        <w:jc w:val="right"/>
      </w:pPr>
      <w:r>
        <w:rPr>
          <w:rFonts w:cs="Arial"/>
          <w:sz w:val="16"/>
          <w:szCs w:val="16"/>
        </w:rPr>
        <w:t>273,5</w:t>
      </w:r>
    </w:p>
    <w:p>
      <w:pPr>
        <w:pStyle w:val="style86"/>
        <w:ind w:hanging="0" w:left="0" w:right="317"/>
        <w:jc w:val="right"/>
      </w:pPr>
      <w:r>
        <w:rPr>
          <w:rFonts w:cs="Arial"/>
          <w:sz w:val="16"/>
          <w:szCs w:val="16"/>
        </w:rPr>
        <w:t>16,8%</w:t>
      </w:r>
    </w:p>
    <w:p>
      <w:pPr>
        <w:pStyle w:val="style86"/>
        <w:ind w:hanging="0" w:left="0" w:right="494"/>
        <w:jc w:val="right"/>
      </w:pPr>
      <w:r>
        <w:rPr>
          <w:rFonts w:cs="Arial"/>
          <w:sz w:val="16"/>
          <w:szCs w:val="16"/>
        </w:rPr>
        <w:t>9,0%</w:t>
      </w:r>
    </w:p>
    <w:p>
      <w:pPr>
        <w:pStyle w:val="style86"/>
        <w:ind w:hanging="0" w:left="0" w:right="352"/>
        <w:jc w:val="right"/>
      </w:pPr>
      <w:r>
        <w:rPr>
          <w:rFonts w:cs="Arial"/>
          <w:sz w:val="16"/>
          <w:szCs w:val="16"/>
        </w:rPr>
        <w:t>20,0%</w:t>
      </w:r>
    </w:p>
    <w:p>
      <w:pPr>
        <w:pStyle w:val="style86"/>
        <w:ind w:hanging="0" w:left="0" w:right="428"/>
        <w:jc w:val="right"/>
      </w:pPr>
      <w:r>
        <w:rPr>
          <w:rFonts w:cs="Arial"/>
          <w:sz w:val="16"/>
          <w:szCs w:val="16"/>
        </w:rPr>
        <w:t>4,1%</w:t>
      </w:r>
    </w:p>
    <w:p>
      <w:pPr>
        <w:pStyle w:val="style86"/>
      </w:pPr>
      <w:r>
        <w:rPr>
          <w:rFonts w:cs="Arial"/>
          <w:sz w:val="16"/>
          <w:szCs w:val="16"/>
        </w:rPr>
        <w:t>Μεταφορές και αποθήκευση</w:t>
      </w:r>
    </w:p>
    <w:p>
      <w:pPr>
        <w:pStyle w:val="style86"/>
        <w:jc w:val="right"/>
      </w:pPr>
      <w:r>
        <w:rPr>
          <w:rFonts w:cs="Arial"/>
          <w:sz w:val="16"/>
          <w:szCs w:val="16"/>
        </w:rPr>
        <w:t>31,6</w:t>
      </w:r>
    </w:p>
    <w:p>
      <w:pPr>
        <w:pStyle w:val="style86"/>
        <w:ind w:hanging="0" w:left="0" w:right="317"/>
        <w:jc w:val="right"/>
      </w:pPr>
      <w:r>
        <w:rPr>
          <w:rFonts w:cs="Arial"/>
          <w:sz w:val="16"/>
          <w:szCs w:val="16"/>
        </w:rPr>
        <w:t>1,0%</w:t>
      </w:r>
    </w:p>
    <w:p>
      <w:pPr>
        <w:pStyle w:val="style86"/>
        <w:ind w:hanging="0" w:left="0" w:right="494"/>
        <w:jc w:val="right"/>
      </w:pPr>
      <w:r>
        <w:rPr>
          <w:rFonts w:cs="Arial"/>
          <w:sz w:val="16"/>
          <w:szCs w:val="16"/>
        </w:rPr>
        <w:t>1,0%</w:t>
      </w:r>
    </w:p>
    <w:p>
      <w:pPr>
        <w:pStyle w:val="style86"/>
        <w:ind w:hanging="0" w:left="0" w:right="352"/>
        <w:jc w:val="right"/>
      </w:pPr>
      <w:r>
        <w:rPr>
          <w:rFonts w:cs="Arial"/>
          <w:sz w:val="16"/>
          <w:szCs w:val="16"/>
        </w:rPr>
        <w:t>4,9%</w:t>
      </w:r>
    </w:p>
    <w:p>
      <w:pPr>
        <w:pStyle w:val="style86"/>
        <w:ind w:hanging="0" w:left="0" w:right="428"/>
        <w:jc w:val="right"/>
      </w:pPr>
      <w:r>
        <w:rPr>
          <w:rFonts w:cs="Arial"/>
          <w:sz w:val="16"/>
          <w:szCs w:val="16"/>
        </w:rPr>
        <w:t>1,4%</w:t>
      </w:r>
    </w:p>
    <w:p>
      <w:pPr>
        <w:pStyle w:val="style86"/>
      </w:pPr>
      <w:r>
        <w:rPr>
          <w:rFonts w:cs="Arial"/>
          <w:sz w:val="16"/>
          <w:szCs w:val="16"/>
        </w:rPr>
        <w:t>Τουρισμός</w:t>
      </w:r>
    </w:p>
    <w:p>
      <w:pPr>
        <w:pStyle w:val="style86"/>
        <w:jc w:val="right"/>
      </w:pPr>
      <w:r>
        <w:rPr>
          <w:rFonts w:cs="Arial"/>
          <w:sz w:val="16"/>
          <w:szCs w:val="16"/>
        </w:rPr>
        <w:t>36,3</w:t>
      </w:r>
    </w:p>
    <w:p>
      <w:pPr>
        <w:pStyle w:val="style86"/>
        <w:ind w:hanging="0" w:left="0" w:right="317"/>
        <w:jc w:val="right"/>
      </w:pPr>
      <w:r>
        <w:rPr>
          <w:rFonts w:cs="Arial"/>
          <w:sz w:val="16"/>
          <w:szCs w:val="16"/>
        </w:rPr>
        <w:t>6,3%</w:t>
      </w:r>
    </w:p>
    <w:p>
      <w:pPr>
        <w:pStyle w:val="style86"/>
        <w:ind w:hanging="0" w:left="0" w:right="494"/>
        <w:jc w:val="right"/>
      </w:pPr>
      <w:r>
        <w:rPr>
          <w:rFonts w:cs="Arial"/>
          <w:sz w:val="16"/>
          <w:szCs w:val="16"/>
        </w:rPr>
        <w:t>1,2%</w:t>
      </w:r>
    </w:p>
    <w:p>
      <w:pPr>
        <w:pStyle w:val="style86"/>
        <w:ind w:hanging="0" w:left="0" w:right="352"/>
        <w:jc w:val="right"/>
      </w:pPr>
      <w:r>
        <w:rPr>
          <w:rFonts w:cs="Arial"/>
          <w:sz w:val="16"/>
          <w:szCs w:val="16"/>
        </w:rPr>
        <w:t>3,7%</w:t>
      </w:r>
    </w:p>
    <w:p>
      <w:pPr>
        <w:pStyle w:val="style86"/>
        <w:ind w:hanging="0" w:left="0" w:right="428"/>
        <w:jc w:val="right"/>
      </w:pPr>
      <w:r>
        <w:rPr>
          <w:rFonts w:cs="Arial"/>
          <w:sz w:val="16"/>
          <w:szCs w:val="16"/>
        </w:rPr>
        <w:t>0,2%</w:t>
      </w:r>
    </w:p>
    <w:p>
      <w:pPr>
        <w:pStyle w:val="style86"/>
      </w:pPr>
      <w:r>
        <w:rPr>
          <w:rFonts w:cs="Arial"/>
          <w:sz w:val="16"/>
          <w:szCs w:val="16"/>
        </w:rPr>
        <w:t>Ενημέρωση και επικοινωνία</w:t>
      </w:r>
    </w:p>
    <w:p>
      <w:pPr>
        <w:pStyle w:val="style86"/>
        <w:jc w:val="right"/>
      </w:pPr>
      <w:r>
        <w:rPr>
          <w:rFonts w:cs="Arial"/>
          <w:sz w:val="16"/>
          <w:szCs w:val="16"/>
        </w:rPr>
        <w:t>390,0</w:t>
      </w:r>
    </w:p>
    <w:p>
      <w:pPr>
        <w:pStyle w:val="style86"/>
        <w:ind w:hanging="0" w:left="0" w:right="317"/>
        <w:jc w:val="right"/>
      </w:pPr>
      <w:r>
        <w:rPr>
          <w:rFonts w:cs="Arial"/>
          <w:sz w:val="16"/>
          <w:szCs w:val="16"/>
        </w:rPr>
        <w:t>46,3%</w:t>
      </w:r>
    </w:p>
    <w:p>
      <w:pPr>
        <w:pStyle w:val="style86"/>
        <w:ind w:hanging="0" w:left="0" w:right="494"/>
        <w:jc w:val="right"/>
      </w:pPr>
      <w:r>
        <w:rPr>
          <w:rFonts w:cs="Arial"/>
          <w:sz w:val="16"/>
          <w:szCs w:val="16"/>
        </w:rPr>
        <w:t>12,8%</w:t>
      </w:r>
    </w:p>
    <w:p>
      <w:pPr>
        <w:pStyle w:val="style86"/>
        <w:ind w:hanging="0" w:left="0" w:right="352"/>
        <w:jc w:val="right"/>
      </w:pPr>
      <w:r>
        <w:rPr>
          <w:rFonts w:cs="Arial"/>
          <w:sz w:val="16"/>
          <w:szCs w:val="16"/>
        </w:rPr>
        <w:t>69,1%</w:t>
      </w:r>
    </w:p>
    <w:p>
      <w:pPr>
        <w:pStyle w:val="style86"/>
        <w:ind w:hanging="0" w:left="0" w:right="428"/>
        <w:jc w:val="right"/>
      </w:pPr>
      <w:r>
        <w:rPr>
          <w:rFonts w:cs="Arial"/>
          <w:sz w:val="16"/>
          <w:szCs w:val="16"/>
        </w:rPr>
        <w:t>23,0%</w:t>
      </w:r>
    </w:p>
    <w:p>
      <w:pPr>
        <w:pStyle w:val="style86"/>
      </w:pPr>
      <w:r>
        <w:rPr>
          <w:rFonts w:cs="Arial"/>
          <w:sz w:val="16"/>
          <w:szCs w:val="16"/>
        </w:rPr>
        <w:t>Τράπεζες, ασφάλειες</w:t>
      </w:r>
    </w:p>
    <w:p>
      <w:pPr>
        <w:pStyle w:val="style86"/>
        <w:jc w:val="right"/>
      </w:pPr>
      <w:r>
        <w:rPr>
          <w:rFonts w:cs="Arial"/>
          <w:sz w:val="16"/>
          <w:szCs w:val="16"/>
        </w:rPr>
        <w:t>545,8</w:t>
      </w:r>
    </w:p>
    <w:p>
      <w:pPr>
        <w:pStyle w:val="style86"/>
        <w:ind w:hanging="0" w:left="0" w:right="317"/>
        <w:jc w:val="right"/>
      </w:pPr>
      <w:r>
        <w:rPr>
          <w:rFonts w:cs="Arial"/>
          <w:sz w:val="16"/>
          <w:szCs w:val="16"/>
        </w:rPr>
        <w:t>51,4%</w:t>
      </w:r>
    </w:p>
    <w:p>
      <w:pPr>
        <w:pStyle w:val="style86"/>
        <w:ind w:hanging="0" w:left="0" w:right="494"/>
        <w:jc w:val="right"/>
      </w:pPr>
      <w:r>
        <w:rPr>
          <w:rFonts w:cs="Arial"/>
          <w:sz w:val="16"/>
          <w:szCs w:val="16"/>
        </w:rPr>
        <w:t>18,0%</w:t>
      </w:r>
    </w:p>
    <w:p>
      <w:pPr>
        <w:pStyle w:val="style86"/>
        <w:ind w:hanging="0" w:left="0" w:right="352"/>
        <w:jc w:val="right"/>
      </w:pPr>
      <w:r>
        <w:rPr>
          <w:rFonts w:cs="Arial"/>
          <w:sz w:val="16"/>
          <w:szCs w:val="16"/>
        </w:rPr>
        <w:t>33,5%</w:t>
      </w:r>
    </w:p>
    <w:p>
      <w:pPr>
        <w:pStyle w:val="style86"/>
        <w:ind w:hanging="0" w:left="0" w:right="428"/>
        <w:jc w:val="right"/>
      </w:pPr>
      <w:r>
        <w:rPr>
          <w:rFonts w:cs="Arial"/>
          <w:sz w:val="16"/>
          <w:szCs w:val="16"/>
        </w:rPr>
        <w:t>4,3%</w:t>
      </w:r>
    </w:p>
    <w:p>
      <w:pPr>
        <w:pStyle w:val="style86"/>
      </w:pPr>
      <w:r>
        <w:rPr>
          <w:rFonts w:cs="Arial"/>
          <w:sz w:val="16"/>
          <w:szCs w:val="16"/>
        </w:rPr>
        <w:t>Αγορά ακινήτων</w:t>
      </w:r>
    </w:p>
    <w:p>
      <w:pPr>
        <w:pStyle w:val="style86"/>
        <w:jc w:val="right"/>
      </w:pPr>
      <w:r>
        <w:rPr>
          <w:rFonts w:cs="Arial"/>
          <w:sz w:val="16"/>
          <w:szCs w:val="16"/>
        </w:rPr>
        <w:t>48,8</w:t>
      </w:r>
    </w:p>
    <w:p>
      <w:pPr>
        <w:pStyle w:val="style86"/>
        <w:ind w:hanging="0" w:left="0" w:right="317"/>
        <w:jc w:val="right"/>
      </w:pPr>
      <w:r>
        <w:rPr>
          <w:rFonts w:cs="Arial"/>
          <w:sz w:val="16"/>
          <w:szCs w:val="16"/>
        </w:rPr>
        <w:t>4,3%</w:t>
      </w:r>
    </w:p>
    <w:p>
      <w:pPr>
        <w:pStyle w:val="style86"/>
        <w:ind w:hanging="0" w:left="0" w:right="494"/>
        <w:jc w:val="right"/>
      </w:pPr>
      <w:r>
        <w:rPr>
          <w:rFonts w:cs="Arial"/>
          <w:sz w:val="16"/>
          <w:szCs w:val="16"/>
        </w:rPr>
        <w:t>1,6%</w:t>
      </w:r>
    </w:p>
    <w:p>
      <w:pPr>
        <w:pStyle w:val="style86"/>
        <w:ind w:hanging="0" w:left="0" w:right="352"/>
        <w:jc w:val="right"/>
      </w:pPr>
      <w:r>
        <w:rPr>
          <w:rFonts w:cs="Arial"/>
          <w:sz w:val="16"/>
          <w:szCs w:val="16"/>
        </w:rPr>
        <w:t>0,2%</w:t>
      </w:r>
    </w:p>
    <w:p>
      <w:pPr>
        <w:pStyle w:val="style86"/>
        <w:ind w:hanging="0" w:left="0" w:right="428"/>
        <w:jc w:val="right"/>
      </w:pPr>
      <w:r>
        <w:rPr>
          <w:rFonts w:cs="Arial"/>
          <w:sz w:val="16"/>
          <w:szCs w:val="16"/>
        </w:rPr>
        <w:t>0,3%</w:t>
      </w:r>
    </w:p>
    <w:p>
      <w:pPr>
        <w:pStyle w:val="style86"/>
      </w:pPr>
      <w:r>
        <w:rPr>
          <w:rFonts w:cs="Arial"/>
          <w:sz w:val="16"/>
          <w:szCs w:val="16"/>
          <w:lang w:val="el-GR"/>
        </w:rPr>
        <w:t>Επαγγελματικές υπηρεσίες</w:t>
      </w:r>
    </w:p>
    <w:p>
      <w:pPr>
        <w:pStyle w:val="style86"/>
        <w:jc w:val="right"/>
      </w:pPr>
      <w:r>
        <w:rPr>
          <w:rFonts w:cs="Arial"/>
          <w:sz w:val="16"/>
          <w:szCs w:val="16"/>
        </w:rPr>
        <w:t>371,5</w:t>
      </w:r>
    </w:p>
    <w:p>
      <w:pPr>
        <w:pStyle w:val="style86"/>
        <w:ind w:hanging="0" w:left="0" w:right="317"/>
        <w:jc w:val="right"/>
      </w:pPr>
      <w:r>
        <w:rPr>
          <w:rFonts w:cs="Arial"/>
          <w:sz w:val="16"/>
          <w:szCs w:val="16"/>
        </w:rPr>
        <w:t>59,8%</w:t>
      </w:r>
    </w:p>
    <w:p>
      <w:pPr>
        <w:pStyle w:val="style86"/>
        <w:ind w:hanging="0" w:left="0" w:right="494"/>
        <w:jc w:val="right"/>
      </w:pPr>
      <w:r>
        <w:rPr>
          <w:rFonts w:cs="Arial"/>
          <w:sz w:val="16"/>
          <w:szCs w:val="16"/>
        </w:rPr>
        <w:t>12,2%</w:t>
      </w:r>
    </w:p>
    <w:p>
      <w:pPr>
        <w:pStyle w:val="style86"/>
        <w:ind w:hanging="0" w:left="0" w:right="352"/>
        <w:jc w:val="right"/>
      </w:pPr>
      <w:r>
        <w:rPr>
          <w:rFonts w:cs="Arial"/>
          <w:sz w:val="16"/>
          <w:szCs w:val="16"/>
        </w:rPr>
        <w:t>65,7%</w:t>
      </w:r>
    </w:p>
    <w:p>
      <w:pPr>
        <w:pStyle w:val="style86"/>
        <w:ind w:hanging="0" w:left="0" w:right="428"/>
        <w:jc w:val="right"/>
      </w:pPr>
      <w:r>
        <w:rPr>
          <w:rFonts w:cs="Arial"/>
          <w:sz w:val="16"/>
          <w:szCs w:val="16"/>
        </w:rPr>
        <w:t>14,9%</w:t>
      </w:r>
    </w:p>
    <w:p>
      <w:pPr>
        <w:pStyle w:val="style86"/>
      </w:pPr>
      <w:r>
        <w:rPr>
          <w:rFonts w:cs="Arial"/>
          <w:sz w:val="16"/>
          <w:szCs w:val="16"/>
        </w:rPr>
        <w:t>Υπηρεσίες προς επιχειρήσεις</w:t>
      </w:r>
    </w:p>
    <w:p>
      <w:pPr>
        <w:pStyle w:val="style86"/>
        <w:jc w:val="right"/>
      </w:pPr>
      <w:r>
        <w:rPr>
          <w:rFonts w:cs="Arial"/>
          <w:sz w:val="16"/>
          <w:szCs w:val="16"/>
        </w:rPr>
        <w:t>17,2</w:t>
      </w:r>
    </w:p>
    <w:p>
      <w:pPr>
        <w:pStyle w:val="style86"/>
        <w:ind w:hanging="0" w:left="0" w:right="317"/>
        <w:jc w:val="right"/>
      </w:pPr>
      <w:r>
        <w:rPr>
          <w:rFonts w:cs="Arial"/>
          <w:sz w:val="16"/>
          <w:szCs w:val="16"/>
        </w:rPr>
        <w:t>5,8%</w:t>
      </w:r>
    </w:p>
    <w:p>
      <w:pPr>
        <w:pStyle w:val="style86"/>
        <w:ind w:hanging="0" w:left="0" w:right="494"/>
        <w:jc w:val="right"/>
      </w:pPr>
      <w:r>
        <w:rPr>
          <w:rFonts w:cs="Arial"/>
          <w:sz w:val="16"/>
          <w:szCs w:val="16"/>
        </w:rPr>
        <w:t>0,6%</w:t>
      </w:r>
    </w:p>
    <w:p>
      <w:pPr>
        <w:pStyle w:val="style86"/>
        <w:ind w:hanging="0" w:left="0" w:right="352"/>
        <w:jc w:val="right"/>
      </w:pPr>
      <w:r>
        <w:rPr>
          <w:rFonts w:cs="Arial"/>
          <w:sz w:val="16"/>
          <w:szCs w:val="16"/>
        </w:rPr>
        <w:t>7,0%</w:t>
      </w:r>
    </w:p>
    <w:p>
      <w:pPr>
        <w:pStyle w:val="style86"/>
        <w:ind w:hanging="0" w:left="0" w:right="428"/>
        <w:jc w:val="right"/>
      </w:pPr>
      <w:r>
        <w:rPr>
          <w:rFonts w:cs="Arial"/>
          <w:sz w:val="16"/>
          <w:szCs w:val="16"/>
        </w:rPr>
        <w:t>1,5%</w:t>
      </w:r>
    </w:p>
    <w:p>
      <w:pPr>
        <w:pStyle w:val="style86"/>
      </w:pPr>
      <w:r>
        <w:rPr>
          <w:rFonts w:cs="Arial"/>
          <w:sz w:val="16"/>
          <w:szCs w:val="16"/>
        </w:rPr>
        <w:t>Δημόσια διοίκηση</w:t>
      </w:r>
    </w:p>
    <w:p>
      <w:pPr>
        <w:pStyle w:val="style86"/>
        <w:jc w:val="right"/>
      </w:pPr>
      <w:r>
        <w:rPr>
          <w:rFonts w:cs="Arial"/>
          <w:sz w:val="16"/>
          <w:szCs w:val="16"/>
        </w:rPr>
        <w:t>234,5</w:t>
      </w:r>
    </w:p>
    <w:p>
      <w:pPr>
        <w:pStyle w:val="style86"/>
        <w:ind w:hanging="0" w:left="0" w:right="317"/>
        <w:jc w:val="right"/>
      </w:pPr>
      <w:r>
        <w:rPr>
          <w:rFonts w:cs="Arial"/>
          <w:sz w:val="16"/>
          <w:szCs w:val="16"/>
        </w:rPr>
        <w:t>3,8%</w:t>
      </w:r>
    </w:p>
    <w:p>
      <w:pPr>
        <w:pStyle w:val="style86"/>
        <w:ind w:hanging="0" w:left="0" w:right="494"/>
        <w:jc w:val="right"/>
      </w:pPr>
      <w:r>
        <w:rPr>
          <w:rFonts w:cs="Arial"/>
          <w:sz w:val="16"/>
          <w:szCs w:val="16"/>
        </w:rPr>
        <w:t>7,7%</w:t>
      </w:r>
    </w:p>
    <w:p>
      <w:pPr>
        <w:pStyle w:val="style86"/>
        <w:ind w:hanging="0" w:left="0" w:right="352"/>
        <w:jc w:val="right"/>
      </w:pPr>
      <w:r>
        <w:rPr>
          <w:rFonts w:cs="Arial"/>
          <w:sz w:val="16"/>
          <w:szCs w:val="16"/>
        </w:rPr>
        <w:t>13,6%</w:t>
      </w:r>
    </w:p>
    <w:p>
      <w:pPr>
        <w:pStyle w:val="style86"/>
        <w:ind w:hanging="0" w:left="0" w:right="428"/>
        <w:jc w:val="right"/>
      </w:pPr>
      <w:r>
        <w:rPr>
          <w:rFonts w:cs="Arial"/>
          <w:sz w:val="16"/>
          <w:szCs w:val="16"/>
        </w:rPr>
        <w:t>3,8%</w:t>
      </w:r>
    </w:p>
    <w:p>
      <w:pPr>
        <w:pStyle w:val="style86"/>
      </w:pPr>
      <w:r>
        <w:rPr>
          <w:rFonts w:cs="Arial"/>
          <w:sz w:val="16"/>
          <w:szCs w:val="16"/>
        </w:rPr>
        <w:t>Εκπαίδευση</w:t>
      </w:r>
    </w:p>
    <w:p>
      <w:pPr>
        <w:pStyle w:val="style86"/>
        <w:jc w:val="right"/>
      </w:pPr>
      <w:r>
        <w:rPr>
          <w:rFonts w:cs="Arial"/>
          <w:sz w:val="16"/>
          <w:szCs w:val="16"/>
        </w:rPr>
        <w:t>578,7</w:t>
      </w:r>
    </w:p>
    <w:p>
      <w:pPr>
        <w:pStyle w:val="style86"/>
        <w:ind w:hanging="0" w:left="0" w:right="317"/>
        <w:jc w:val="right"/>
      </w:pPr>
      <w:r>
        <w:rPr>
          <w:rFonts w:cs="Arial"/>
          <w:sz w:val="16"/>
          <w:szCs w:val="16"/>
        </w:rPr>
        <w:t>68,0%</w:t>
      </w:r>
    </w:p>
    <w:p>
      <w:pPr>
        <w:pStyle w:val="style86"/>
        <w:ind w:hanging="0" w:left="0" w:right="494"/>
        <w:jc w:val="right"/>
      </w:pPr>
      <w:r>
        <w:rPr>
          <w:rFonts w:cs="Arial"/>
          <w:sz w:val="16"/>
          <w:szCs w:val="16"/>
        </w:rPr>
        <w:t>19,0%</w:t>
      </w:r>
    </w:p>
    <w:p>
      <w:pPr>
        <w:pStyle w:val="style86"/>
        <w:ind w:hanging="0" w:left="0" w:right="352"/>
        <w:jc w:val="right"/>
      </w:pPr>
      <w:r>
        <w:rPr>
          <w:rFonts w:cs="Arial"/>
          <w:sz w:val="16"/>
          <w:szCs w:val="16"/>
        </w:rPr>
        <w:t>41,5%</w:t>
      </w:r>
    </w:p>
    <w:p>
      <w:pPr>
        <w:pStyle w:val="style86"/>
        <w:ind w:hanging="0" w:left="0" w:right="428"/>
        <w:jc w:val="right"/>
      </w:pPr>
      <w:r>
        <w:rPr>
          <w:rFonts w:cs="Arial"/>
          <w:sz w:val="16"/>
          <w:szCs w:val="16"/>
        </w:rPr>
        <w:t>6,4%</w:t>
      </w:r>
    </w:p>
    <w:p>
      <w:pPr>
        <w:pStyle w:val="style86"/>
      </w:pPr>
      <w:r>
        <w:rPr>
          <w:rFonts w:cs="Arial"/>
          <w:sz w:val="16"/>
          <w:szCs w:val="16"/>
        </w:rPr>
        <w:t>Υγεία</w:t>
      </w:r>
    </w:p>
    <w:p>
      <w:pPr>
        <w:pStyle w:val="style86"/>
        <w:jc w:val="right"/>
      </w:pPr>
      <w:r>
        <w:rPr>
          <w:rFonts w:cs="Arial"/>
          <w:sz w:val="16"/>
          <w:szCs w:val="16"/>
        </w:rPr>
        <w:t>125,6</w:t>
      </w:r>
    </w:p>
    <w:p>
      <w:pPr>
        <w:pStyle w:val="style86"/>
        <w:ind w:hanging="0" w:left="0" w:right="317"/>
        <w:jc w:val="right"/>
      </w:pPr>
      <w:r>
        <w:rPr>
          <w:rFonts w:cs="Arial"/>
          <w:sz w:val="16"/>
          <w:szCs w:val="16"/>
        </w:rPr>
        <w:t>23,9%</w:t>
      </w:r>
    </w:p>
    <w:p>
      <w:pPr>
        <w:pStyle w:val="style86"/>
        <w:ind w:hanging="0" w:left="0" w:right="494"/>
        <w:jc w:val="right"/>
      </w:pPr>
      <w:r>
        <w:rPr>
          <w:rFonts w:cs="Arial"/>
          <w:sz w:val="16"/>
          <w:szCs w:val="16"/>
        </w:rPr>
        <w:t>4,1%</w:t>
      </w:r>
    </w:p>
    <w:p>
      <w:pPr>
        <w:pStyle w:val="style86"/>
        <w:ind w:hanging="0" w:left="0" w:right="352"/>
        <w:jc w:val="right"/>
      </w:pPr>
      <w:r>
        <w:rPr>
          <w:rFonts w:cs="Arial"/>
          <w:sz w:val="16"/>
          <w:szCs w:val="16"/>
        </w:rPr>
        <w:t>12,4%</w:t>
      </w:r>
    </w:p>
    <w:p>
      <w:pPr>
        <w:pStyle w:val="style86"/>
        <w:ind w:hanging="0" w:left="0" w:right="428"/>
        <w:jc w:val="right"/>
      </w:pPr>
      <w:r>
        <w:rPr>
          <w:rFonts w:cs="Arial"/>
          <w:sz w:val="16"/>
          <w:szCs w:val="16"/>
        </w:rPr>
        <w:t>1,9%</w:t>
      </w:r>
    </w:p>
    <w:p>
      <w:pPr>
        <w:pStyle w:val="style86"/>
      </w:pPr>
      <w:r>
        <w:rPr>
          <w:rFonts w:cs="Arial"/>
          <w:sz w:val="16"/>
          <w:szCs w:val="16"/>
        </w:rPr>
        <w:t>Τέχνες, διασκέδαση</w:t>
      </w:r>
    </w:p>
    <w:p>
      <w:pPr>
        <w:pStyle w:val="style86"/>
        <w:jc w:val="right"/>
      </w:pPr>
      <w:r>
        <w:rPr>
          <w:rFonts w:cs="Arial"/>
          <w:sz w:val="16"/>
          <w:szCs w:val="16"/>
        </w:rPr>
        <w:t>7,5</w:t>
      </w:r>
    </w:p>
    <w:p>
      <w:pPr>
        <w:pStyle w:val="style86"/>
        <w:ind w:hanging="0" w:left="0" w:right="317"/>
        <w:jc w:val="right"/>
      </w:pPr>
      <w:r>
        <w:rPr>
          <w:rFonts w:cs="Arial"/>
          <w:sz w:val="16"/>
          <w:szCs w:val="16"/>
        </w:rPr>
        <w:t>4,3%</w:t>
      </w:r>
    </w:p>
    <w:p>
      <w:pPr>
        <w:pStyle w:val="style86"/>
        <w:ind w:hanging="0" w:left="0" w:right="494"/>
        <w:jc w:val="right"/>
      </w:pPr>
      <w:r>
        <w:rPr>
          <w:rFonts w:cs="Arial"/>
          <w:sz w:val="16"/>
          <w:szCs w:val="16"/>
        </w:rPr>
        <w:t>0,2%</w:t>
      </w:r>
    </w:p>
    <w:p>
      <w:pPr>
        <w:pStyle w:val="style86"/>
        <w:ind w:hanging="0" w:left="0" w:right="352"/>
        <w:jc w:val="right"/>
      </w:pPr>
      <w:r>
        <w:rPr>
          <w:rFonts w:cs="Arial"/>
          <w:sz w:val="16"/>
          <w:szCs w:val="16"/>
        </w:rPr>
        <w:t>15,6%</w:t>
      </w:r>
    </w:p>
    <w:p>
      <w:pPr>
        <w:pStyle w:val="style86"/>
        <w:ind w:hanging="0" w:left="0" w:right="428"/>
        <w:jc w:val="right"/>
      </w:pPr>
      <w:r>
        <w:rPr>
          <w:rFonts w:cs="Arial"/>
          <w:sz w:val="16"/>
          <w:szCs w:val="16"/>
        </w:rPr>
        <w:t>1,0%</w:t>
      </w:r>
    </w:p>
    <w:p>
      <w:pPr>
        <w:pStyle w:val="style86"/>
      </w:pPr>
      <w:r>
        <w:rPr>
          <w:rFonts w:cs="Arial"/>
          <w:sz w:val="16"/>
          <w:szCs w:val="16"/>
        </w:rPr>
        <w:t>Λοιπές υπηρεσίες</w:t>
      </w:r>
    </w:p>
    <w:p>
      <w:pPr>
        <w:pStyle w:val="style86"/>
        <w:jc w:val="right"/>
      </w:pPr>
      <w:r>
        <w:rPr>
          <w:rFonts w:cs="Arial"/>
          <w:sz w:val="16"/>
          <w:szCs w:val="16"/>
        </w:rPr>
        <w:t>38,9</w:t>
      </w:r>
    </w:p>
    <w:p>
      <w:pPr>
        <w:pStyle w:val="style86"/>
        <w:ind w:hanging="0" w:left="0" w:right="317"/>
        <w:jc w:val="right"/>
      </w:pPr>
      <w:r>
        <w:rPr>
          <w:rFonts w:cs="Arial"/>
          <w:sz w:val="16"/>
          <w:szCs w:val="16"/>
        </w:rPr>
        <w:t>7,8%</w:t>
      </w:r>
    </w:p>
    <w:p>
      <w:pPr>
        <w:pStyle w:val="style86"/>
        <w:ind w:hanging="0" w:left="0" w:right="494"/>
        <w:jc w:val="right"/>
      </w:pPr>
      <w:r>
        <w:rPr>
          <w:rFonts w:cs="Arial"/>
          <w:sz w:val="16"/>
          <w:szCs w:val="16"/>
        </w:rPr>
        <w:t>1,3%</w:t>
      </w:r>
    </w:p>
    <w:p>
      <w:pPr>
        <w:pStyle w:val="style86"/>
        <w:ind w:hanging="0" w:left="0" w:right="352"/>
        <w:jc w:val="right"/>
      </w:pPr>
      <w:r>
        <w:rPr>
          <w:rFonts w:cs="Arial"/>
          <w:sz w:val="16"/>
          <w:szCs w:val="16"/>
        </w:rPr>
        <w:t>26,9%</w:t>
      </w:r>
    </w:p>
    <w:p>
      <w:pPr>
        <w:pStyle w:val="style86"/>
        <w:ind w:hanging="0" w:left="0" w:right="428"/>
        <w:jc w:val="right"/>
      </w:pPr>
      <w:r>
        <w:rPr>
          <w:rFonts w:cs="Arial"/>
          <w:sz w:val="16"/>
          <w:szCs w:val="16"/>
        </w:rPr>
        <w:t>0,7%</w:t>
      </w:r>
    </w:p>
    <w:p>
      <w:pPr>
        <w:pStyle w:val="style86"/>
        <w:spacing w:after="0" w:before="120"/>
        <w:contextualSpacing w:val="false"/>
      </w:pPr>
      <w:r>
        <w:rPr>
          <w:rFonts w:cs="Arial"/>
          <w:sz w:val="16"/>
          <w:szCs w:val="16"/>
          <w:lang w:val="el-GR"/>
        </w:rPr>
      </w:r>
    </w:p>
    <w:p>
      <w:pPr>
        <w:pStyle w:val="style86"/>
        <w:spacing w:after="120" w:before="0"/>
        <w:contextualSpacing w:val="false"/>
      </w:pPr>
      <w:r>
        <w:rPr>
          <w:rFonts w:cs="Arial"/>
          <w:b/>
          <w:color w:val="00B0F0"/>
          <w:lang w:val="el-GR"/>
        </w:rPr>
        <w:t xml:space="preserve">Δ06: </w:t>
      </w:r>
      <w:r>
        <w:rPr>
          <w:rFonts w:cs="Arial"/>
          <w:b/>
          <w:lang w:val="el-GR"/>
        </w:rPr>
        <w:t xml:space="preserve">Κατανομή ακαθάριστων επενδύσεων σε μηχανήματα κατά κλάδο </w:t>
      </w:r>
      <w:r>
        <w:rPr>
          <w:rFonts w:cs="Arial"/>
          <w:i/>
          <w:color w:val="00B0F0"/>
          <w:lang w:val="el-GR"/>
        </w:rPr>
        <w:t>(</w:t>
      </w:r>
      <w:r>
        <w:rPr>
          <w:rFonts w:cs="Arial"/>
          <w:i/>
          <w:color w:val="00B0F0"/>
        </w:rPr>
        <w:t>Eurostat</w:t>
      </w:r>
      <w:r>
        <w:rPr>
          <w:rFonts w:cs="Arial"/>
          <w:i/>
          <w:color w:val="00B0F0"/>
          <w:lang w:val="el-GR"/>
        </w:rPr>
        <w:t>, 2017)</w:t>
      </w:r>
    </w:p>
    <w:p>
      <w:pPr>
        <w:pStyle w:val="style86"/>
        <w:jc w:val="center"/>
      </w:pPr>
      <w:r>
        <w:rPr>
          <w:rFonts w:cs="Arial"/>
          <w:b/>
          <w:color w:val="FFFFFF"/>
          <w:sz w:val="16"/>
          <w:szCs w:val="16"/>
          <w:lang w:val="el-GR"/>
        </w:rPr>
      </w:r>
    </w:p>
    <w:p>
      <w:pPr>
        <w:pStyle w:val="style86"/>
        <w:jc w:val="center"/>
      </w:pPr>
      <w:r>
        <w:rPr>
          <w:rFonts w:cs="Arial"/>
          <w:b/>
          <w:color w:val="FFFFFF"/>
          <w:sz w:val="16"/>
          <w:szCs w:val="16"/>
        </w:rPr>
        <w:t>Ελλάδα</w:t>
      </w:r>
    </w:p>
    <w:p>
      <w:pPr>
        <w:pStyle w:val="style86"/>
        <w:jc w:val="center"/>
      </w:pPr>
      <w:r>
        <w:rPr>
          <w:rFonts w:cs="Arial"/>
          <w:b/>
          <w:color w:val="FFFFFF"/>
          <w:sz w:val="16"/>
          <w:szCs w:val="16"/>
        </w:rPr>
        <w:t>ΕΕ</w:t>
      </w:r>
      <w:r>
        <w:rPr>
          <w:rFonts w:cs="Arial"/>
          <w:b/>
          <w:color w:val="FFFFFF"/>
          <w:sz w:val="16"/>
          <w:szCs w:val="16"/>
          <w:lang w:val="el-GR"/>
        </w:rPr>
        <w:t>*</w:t>
      </w:r>
    </w:p>
    <w:p>
      <w:pPr>
        <w:pStyle w:val="style86"/>
        <w:jc w:val="center"/>
      </w:pPr>
      <w:r>
        <w:rPr>
          <w:rFonts w:cs="Arial"/>
          <w:b/>
          <w:color w:val="FFFFFF"/>
          <w:sz w:val="16"/>
          <w:szCs w:val="16"/>
        </w:rPr>
      </w:r>
    </w:p>
    <w:p>
      <w:pPr>
        <w:pStyle w:val="style86"/>
        <w:jc w:val="center"/>
      </w:pPr>
      <w:r>
        <w:rPr>
          <w:rFonts w:cs="Arial"/>
          <w:b/>
          <w:color w:val="FFFFFF"/>
          <w:sz w:val="16"/>
          <w:szCs w:val="16"/>
        </w:rPr>
        <w:t xml:space="preserve">€ </w:t>
      </w:r>
      <w:r>
        <w:rPr>
          <w:rFonts w:cs="Arial"/>
          <w:b/>
          <w:color w:val="FFFFFF"/>
          <w:sz w:val="16"/>
          <w:szCs w:val="16"/>
        </w:rPr>
        <w:t>εκατ.</w:t>
      </w:r>
    </w:p>
    <w:p>
      <w:pPr>
        <w:pStyle w:val="style86"/>
        <w:jc w:val="center"/>
      </w:pPr>
      <w:r>
        <w:rPr>
          <w:rFonts w:cs="Arial"/>
          <w:b/>
          <w:color w:val="FFFFFF"/>
          <w:sz w:val="16"/>
          <w:szCs w:val="16"/>
        </w:rPr>
        <w:t>Μερίδιο στο σύνολο επενδύσεων</w:t>
      </w:r>
    </w:p>
    <w:p>
      <w:pPr>
        <w:pStyle w:val="style86"/>
        <w:jc w:val="center"/>
      </w:pPr>
      <w:r>
        <w:rPr>
          <w:rFonts w:cs="Arial"/>
          <w:b/>
          <w:color w:val="FFFFFF"/>
          <w:sz w:val="16"/>
          <w:szCs w:val="16"/>
        </w:rPr>
        <w:t xml:space="preserve">Μερίδιο σε </w:t>
      </w:r>
      <w:r>
        <w:rPr>
          <w:rFonts w:cs="Arial"/>
          <w:b/>
          <w:color w:val="FFFFFF"/>
          <w:sz w:val="16"/>
          <w:szCs w:val="16"/>
          <w:lang w:val="el-GR"/>
        </w:rPr>
        <w:t>μηχανήματα</w:t>
      </w:r>
    </w:p>
    <w:p>
      <w:pPr>
        <w:pStyle w:val="style86"/>
        <w:jc w:val="center"/>
      </w:pPr>
      <w:r>
        <w:rPr>
          <w:rFonts w:cs="Arial"/>
          <w:b/>
          <w:color w:val="FFFFFF"/>
          <w:sz w:val="16"/>
          <w:szCs w:val="16"/>
        </w:rPr>
        <w:t>Μερίδιο στο σύνολο επενδύσεων</w:t>
      </w:r>
    </w:p>
    <w:p>
      <w:pPr>
        <w:pStyle w:val="style86"/>
        <w:jc w:val="center"/>
      </w:pPr>
      <w:r>
        <w:rPr>
          <w:rFonts w:cs="Arial"/>
          <w:b/>
          <w:color w:val="FFFFFF"/>
          <w:sz w:val="16"/>
          <w:szCs w:val="16"/>
        </w:rPr>
        <w:t xml:space="preserve">Μερίδιο σε </w:t>
      </w:r>
      <w:r>
        <w:rPr>
          <w:rFonts w:cs="Arial"/>
          <w:b/>
          <w:color w:val="FFFFFF"/>
          <w:sz w:val="16"/>
          <w:szCs w:val="16"/>
          <w:lang w:val="el-GR"/>
        </w:rPr>
        <w:t>μηχανήματα</w:t>
      </w:r>
    </w:p>
    <w:p>
      <w:pPr>
        <w:pStyle w:val="style86"/>
      </w:pPr>
      <w:r>
        <w:rPr>
          <w:rFonts w:cs="Arial"/>
          <w:b/>
          <w:color w:val="FFFFFF"/>
          <w:sz w:val="16"/>
          <w:szCs w:val="16"/>
        </w:rPr>
        <w:t>Σύνολο</w:t>
      </w:r>
    </w:p>
    <w:p>
      <w:pPr>
        <w:pStyle w:val="style86"/>
        <w:jc w:val="right"/>
      </w:pPr>
      <w:r>
        <w:rPr>
          <w:rFonts w:cs="Arial"/>
          <w:b/>
          <w:color w:val="FFFFFF"/>
          <w:sz w:val="16"/>
          <w:szCs w:val="16"/>
        </w:rPr>
        <w:t>5.877,0</w:t>
      </w:r>
    </w:p>
    <w:p>
      <w:pPr>
        <w:pStyle w:val="style86"/>
        <w:ind w:hanging="0" w:left="0" w:right="282"/>
        <w:jc w:val="right"/>
      </w:pPr>
      <w:r>
        <w:rPr>
          <w:rFonts w:cs="Arial"/>
          <w:b/>
          <w:color w:val="FFFFFF"/>
          <w:sz w:val="16"/>
          <w:szCs w:val="16"/>
        </w:rPr>
        <w:t>25,3%</w:t>
      </w:r>
    </w:p>
    <w:p>
      <w:pPr>
        <w:pStyle w:val="style86"/>
        <w:ind w:hanging="0" w:left="0" w:right="282"/>
        <w:jc w:val="right"/>
      </w:pPr>
      <w:r>
        <w:rPr>
          <w:rFonts w:cs="Arial"/>
          <w:b/>
          <w:color w:val="FFFFFF"/>
          <w:sz w:val="16"/>
          <w:szCs w:val="16"/>
        </w:rPr>
        <w:t>100,0%</w:t>
      </w:r>
    </w:p>
    <w:p>
      <w:pPr>
        <w:pStyle w:val="style86"/>
        <w:ind w:hanging="0" w:left="0" w:right="282"/>
        <w:jc w:val="right"/>
      </w:pPr>
      <w:r>
        <w:rPr>
          <w:rFonts w:cs="Arial"/>
          <w:b/>
          <w:color w:val="FFFFFF"/>
          <w:sz w:val="16"/>
          <w:szCs w:val="16"/>
        </w:rPr>
        <w:t>19,9%</w:t>
      </w:r>
    </w:p>
    <w:p>
      <w:pPr>
        <w:pStyle w:val="style86"/>
        <w:ind w:hanging="0" w:left="0" w:right="282"/>
        <w:jc w:val="right"/>
      </w:pPr>
      <w:r>
        <w:rPr>
          <w:rFonts w:cs="Arial"/>
          <w:b/>
          <w:color w:val="FFFFFF"/>
          <w:sz w:val="16"/>
          <w:szCs w:val="16"/>
        </w:rPr>
        <w:t>100,0%</w:t>
      </w:r>
    </w:p>
    <w:p>
      <w:pPr>
        <w:pStyle w:val="style86"/>
      </w:pPr>
      <w:r>
        <w:rPr>
          <w:rFonts w:cs="Arial"/>
          <w:sz w:val="16"/>
          <w:szCs w:val="16"/>
        </w:rPr>
        <w:t>Γεωργία</w:t>
      </w:r>
    </w:p>
    <w:p>
      <w:pPr>
        <w:pStyle w:val="style86"/>
        <w:jc w:val="right"/>
      </w:pPr>
      <w:r>
        <w:rPr>
          <w:rFonts w:cs="Arial"/>
          <w:sz w:val="16"/>
          <w:szCs w:val="16"/>
        </w:rPr>
        <w:t>795,6</w:t>
      </w:r>
    </w:p>
    <w:p>
      <w:pPr>
        <w:pStyle w:val="style86"/>
        <w:ind w:hanging="0" w:left="0" w:right="282"/>
        <w:jc w:val="right"/>
      </w:pPr>
      <w:r>
        <w:rPr>
          <w:rFonts w:cs="Arial"/>
          <w:sz w:val="16"/>
          <w:szCs w:val="16"/>
        </w:rPr>
        <w:t>55,9%</w:t>
      </w:r>
    </w:p>
    <w:p>
      <w:pPr>
        <w:pStyle w:val="style86"/>
        <w:ind w:hanging="0" w:left="0" w:right="282"/>
        <w:jc w:val="right"/>
      </w:pPr>
      <w:r>
        <w:rPr>
          <w:rFonts w:cs="Arial"/>
          <w:sz w:val="16"/>
          <w:szCs w:val="16"/>
        </w:rPr>
        <w:t>13,5%</w:t>
      </w:r>
    </w:p>
    <w:p>
      <w:pPr>
        <w:pStyle w:val="style86"/>
        <w:ind w:hanging="0" w:left="0" w:right="282"/>
        <w:jc w:val="right"/>
      </w:pPr>
      <w:r>
        <w:rPr>
          <w:rFonts w:cs="Arial"/>
          <w:sz w:val="16"/>
          <w:szCs w:val="16"/>
        </w:rPr>
        <w:t>50,4%</w:t>
      </w:r>
    </w:p>
    <w:p>
      <w:pPr>
        <w:pStyle w:val="style86"/>
        <w:ind w:hanging="0" w:left="0" w:right="282"/>
        <w:jc w:val="right"/>
      </w:pPr>
      <w:r>
        <w:rPr>
          <w:rFonts w:cs="Arial"/>
          <w:sz w:val="16"/>
          <w:szCs w:val="16"/>
        </w:rPr>
        <w:t>4,7%</w:t>
      </w:r>
    </w:p>
    <w:p>
      <w:pPr>
        <w:pStyle w:val="style86"/>
      </w:pPr>
      <w:r>
        <w:rPr>
          <w:rFonts w:cs="Arial"/>
          <w:sz w:val="16"/>
          <w:szCs w:val="16"/>
        </w:rPr>
        <w:t>Ορυχεία, λατομεία</w:t>
      </w:r>
    </w:p>
    <w:p>
      <w:pPr>
        <w:pStyle w:val="style86"/>
        <w:jc w:val="right"/>
      </w:pPr>
      <w:r>
        <w:rPr>
          <w:rFonts w:cs="Arial"/>
          <w:sz w:val="16"/>
          <w:szCs w:val="16"/>
        </w:rPr>
        <w:t>41,6</w:t>
      </w:r>
    </w:p>
    <w:p>
      <w:pPr>
        <w:pStyle w:val="style86"/>
        <w:ind w:hanging="0" w:left="0" w:right="282"/>
        <w:jc w:val="right"/>
      </w:pPr>
      <w:r>
        <w:rPr>
          <w:rFonts w:cs="Arial"/>
          <w:sz w:val="16"/>
          <w:szCs w:val="16"/>
        </w:rPr>
        <w:t>39,7%</w:t>
      </w:r>
    </w:p>
    <w:p>
      <w:pPr>
        <w:pStyle w:val="style86"/>
        <w:ind w:hanging="0" w:left="0" w:right="282"/>
        <w:jc w:val="right"/>
      </w:pPr>
      <w:r>
        <w:rPr>
          <w:rFonts w:cs="Arial"/>
          <w:sz w:val="16"/>
          <w:szCs w:val="16"/>
        </w:rPr>
        <w:t>0,7%</w:t>
      </w:r>
    </w:p>
    <w:p>
      <w:pPr>
        <w:pStyle w:val="style86"/>
        <w:ind w:hanging="0" w:left="0" w:right="282"/>
        <w:jc w:val="right"/>
      </w:pPr>
      <w:r>
        <w:rPr>
          <w:rFonts w:cs="Arial"/>
          <w:sz w:val="16"/>
          <w:szCs w:val="16"/>
        </w:rPr>
        <w:t>36,8%</w:t>
      </w:r>
    </w:p>
    <w:p>
      <w:pPr>
        <w:pStyle w:val="style86"/>
        <w:ind w:hanging="0" w:left="0" w:right="282"/>
        <w:jc w:val="right"/>
      </w:pPr>
      <w:r>
        <w:rPr>
          <w:rFonts w:cs="Arial"/>
          <w:sz w:val="16"/>
          <w:szCs w:val="16"/>
        </w:rPr>
        <w:t>0,7%</w:t>
      </w:r>
    </w:p>
    <w:p>
      <w:pPr>
        <w:pStyle w:val="style86"/>
      </w:pPr>
      <w:r>
        <w:rPr>
          <w:rFonts w:cs="Arial"/>
          <w:sz w:val="16"/>
          <w:szCs w:val="16"/>
        </w:rPr>
        <w:t>Μεταποίηση</w:t>
      </w:r>
    </w:p>
    <w:p>
      <w:pPr>
        <w:pStyle w:val="style86"/>
        <w:jc w:val="right"/>
      </w:pPr>
      <w:r>
        <w:rPr>
          <w:rFonts w:cs="Arial"/>
          <w:sz w:val="16"/>
          <w:szCs w:val="16"/>
        </w:rPr>
        <w:t>1.216,1</w:t>
      </w:r>
    </w:p>
    <w:p>
      <w:pPr>
        <w:pStyle w:val="style86"/>
        <w:ind w:hanging="0" w:left="0" w:right="282"/>
        <w:jc w:val="right"/>
      </w:pPr>
      <w:r>
        <w:rPr>
          <w:rFonts w:cs="Arial"/>
          <w:sz w:val="16"/>
          <w:szCs w:val="16"/>
        </w:rPr>
        <w:t>42,4%</w:t>
      </w:r>
    </w:p>
    <w:p>
      <w:pPr>
        <w:pStyle w:val="style86"/>
        <w:ind w:hanging="0" w:left="0" w:right="282"/>
        <w:jc w:val="right"/>
      </w:pPr>
      <w:r>
        <w:rPr>
          <w:rFonts w:cs="Arial"/>
          <w:sz w:val="16"/>
          <w:szCs w:val="16"/>
        </w:rPr>
        <w:t>20,7%</w:t>
      </w:r>
    </w:p>
    <w:p>
      <w:pPr>
        <w:pStyle w:val="style86"/>
        <w:ind w:hanging="0" w:left="0" w:right="282"/>
        <w:jc w:val="right"/>
      </w:pPr>
      <w:r>
        <w:rPr>
          <w:rFonts w:cs="Arial"/>
          <w:sz w:val="16"/>
          <w:szCs w:val="16"/>
        </w:rPr>
        <w:t>37,8%</w:t>
      </w:r>
    </w:p>
    <w:p>
      <w:pPr>
        <w:pStyle w:val="style86"/>
        <w:ind w:hanging="0" w:left="0" w:right="282"/>
        <w:jc w:val="right"/>
      </w:pPr>
      <w:r>
        <w:rPr>
          <w:rFonts w:cs="Arial"/>
          <w:sz w:val="16"/>
          <w:szCs w:val="16"/>
        </w:rPr>
        <w:t>28,2%</w:t>
      </w:r>
    </w:p>
    <w:p>
      <w:pPr>
        <w:pStyle w:val="style86"/>
        <w:ind w:firstLine="176" w:left="0" w:right="0"/>
      </w:pPr>
      <w:r>
        <w:rPr>
          <w:rFonts w:cs="Arial"/>
          <w:sz w:val="16"/>
          <w:szCs w:val="16"/>
        </w:rPr>
        <w:t>Μεταποίηση πλην πετρελαιοειδών</w:t>
      </w:r>
    </w:p>
    <w:p>
      <w:pPr>
        <w:pStyle w:val="style86"/>
        <w:jc w:val="right"/>
      </w:pPr>
      <w:r>
        <w:rPr>
          <w:rFonts w:cs="Arial"/>
          <w:sz w:val="16"/>
          <w:szCs w:val="16"/>
        </w:rPr>
        <w:t>973,1</w:t>
      </w:r>
    </w:p>
    <w:p>
      <w:pPr>
        <w:pStyle w:val="style86"/>
        <w:ind w:hanging="0" w:left="0" w:right="282"/>
        <w:jc w:val="right"/>
      </w:pPr>
      <w:r>
        <w:rPr>
          <w:rFonts w:cs="Arial"/>
          <w:sz w:val="16"/>
          <w:szCs w:val="16"/>
        </w:rPr>
        <w:t>51,3%</w:t>
      </w:r>
    </w:p>
    <w:p>
      <w:pPr>
        <w:pStyle w:val="style86"/>
        <w:ind w:hanging="0" w:left="0" w:right="282"/>
        <w:jc w:val="right"/>
      </w:pPr>
      <w:r>
        <w:rPr>
          <w:rFonts w:cs="Arial"/>
          <w:sz w:val="16"/>
          <w:szCs w:val="16"/>
        </w:rPr>
        <w:t>16,6%</w:t>
      </w:r>
    </w:p>
    <w:p>
      <w:pPr>
        <w:pStyle w:val="style86"/>
        <w:ind w:hanging="0" w:left="0" w:right="282"/>
        <w:jc w:val="right"/>
      </w:pPr>
      <w:r>
        <w:rPr>
          <w:rFonts w:cs="Arial"/>
          <w:sz w:val="16"/>
          <w:szCs w:val="16"/>
        </w:rPr>
        <w:t>37,6%</w:t>
      </w:r>
    </w:p>
    <w:p>
      <w:pPr>
        <w:pStyle w:val="style86"/>
        <w:ind w:hanging="0" w:left="0" w:right="282"/>
        <w:jc w:val="right"/>
      </w:pPr>
      <w:r>
        <w:rPr>
          <w:rFonts w:cs="Arial"/>
          <w:sz w:val="16"/>
          <w:szCs w:val="16"/>
        </w:rPr>
        <w:t>27,7%</w:t>
      </w:r>
    </w:p>
    <w:p>
      <w:pPr>
        <w:pStyle w:val="style86"/>
        <w:ind w:firstLine="176" w:left="0" w:right="0"/>
      </w:pPr>
      <w:r>
        <w:rPr>
          <w:rFonts w:cs="Arial"/>
          <w:sz w:val="16"/>
          <w:szCs w:val="16"/>
        </w:rPr>
        <w:t>Πετρελαιοειδή</w:t>
      </w:r>
    </w:p>
    <w:p>
      <w:pPr>
        <w:pStyle w:val="style86"/>
        <w:jc w:val="right"/>
      </w:pPr>
      <w:r>
        <w:rPr>
          <w:rFonts w:cs="Arial"/>
          <w:sz w:val="16"/>
          <w:szCs w:val="16"/>
        </w:rPr>
        <w:t>243,0</w:t>
      </w:r>
    </w:p>
    <w:p>
      <w:pPr>
        <w:pStyle w:val="style86"/>
        <w:ind w:hanging="0" w:left="0" w:right="282"/>
        <w:jc w:val="right"/>
      </w:pPr>
      <w:r>
        <w:rPr>
          <w:rFonts w:cs="Arial"/>
          <w:sz w:val="16"/>
          <w:szCs w:val="16"/>
        </w:rPr>
        <w:t>25,1%</w:t>
      </w:r>
    </w:p>
    <w:p>
      <w:pPr>
        <w:pStyle w:val="style86"/>
        <w:ind w:hanging="0" w:left="0" w:right="282"/>
        <w:jc w:val="right"/>
      </w:pPr>
      <w:r>
        <w:rPr>
          <w:rFonts w:cs="Arial"/>
          <w:sz w:val="16"/>
          <w:szCs w:val="16"/>
        </w:rPr>
        <w:t>4,1%</w:t>
      </w:r>
    </w:p>
    <w:p>
      <w:pPr>
        <w:pStyle w:val="style86"/>
        <w:ind w:hanging="0" w:left="0" w:right="282"/>
        <w:jc w:val="right"/>
      </w:pPr>
      <w:r>
        <w:rPr>
          <w:rFonts w:cs="Arial"/>
          <w:sz w:val="16"/>
          <w:szCs w:val="16"/>
        </w:rPr>
        <w:t>53,3%</w:t>
      </w:r>
    </w:p>
    <w:p>
      <w:pPr>
        <w:pStyle w:val="style86"/>
        <w:ind w:hanging="0" w:left="0" w:right="282"/>
        <w:jc w:val="right"/>
      </w:pPr>
      <w:r>
        <w:rPr>
          <w:rFonts w:cs="Arial"/>
          <w:sz w:val="16"/>
          <w:szCs w:val="16"/>
        </w:rPr>
        <w:t>0,5%</w:t>
      </w:r>
    </w:p>
    <w:p>
      <w:pPr>
        <w:pStyle w:val="style86"/>
      </w:pPr>
      <w:r>
        <w:rPr>
          <w:rFonts w:cs="Arial"/>
          <w:sz w:val="16"/>
          <w:szCs w:val="16"/>
        </w:rPr>
        <w:t>Ηλεκτρισμός, Φ/Α</w:t>
      </w:r>
    </w:p>
    <w:p>
      <w:pPr>
        <w:pStyle w:val="style86"/>
        <w:jc w:val="right"/>
      </w:pPr>
      <w:r>
        <w:rPr>
          <w:rFonts w:cs="Arial"/>
          <w:sz w:val="16"/>
          <w:szCs w:val="16"/>
        </w:rPr>
        <w:t>39,7</w:t>
      </w:r>
    </w:p>
    <w:p>
      <w:pPr>
        <w:pStyle w:val="style86"/>
        <w:ind w:hanging="0" w:left="0" w:right="282"/>
        <w:jc w:val="right"/>
      </w:pPr>
      <w:r>
        <w:rPr>
          <w:rFonts w:cs="Arial"/>
          <w:sz w:val="16"/>
          <w:szCs w:val="16"/>
        </w:rPr>
        <w:t>11,0%</w:t>
      </w:r>
    </w:p>
    <w:p>
      <w:pPr>
        <w:pStyle w:val="style86"/>
        <w:ind w:hanging="0" w:left="0" w:right="282"/>
        <w:jc w:val="right"/>
      </w:pPr>
      <w:r>
        <w:rPr>
          <w:rFonts w:cs="Arial"/>
          <w:sz w:val="16"/>
          <w:szCs w:val="16"/>
        </w:rPr>
        <w:t>0,7%</w:t>
      </w:r>
    </w:p>
    <w:p>
      <w:pPr>
        <w:pStyle w:val="style86"/>
        <w:ind w:hanging="0" w:left="0" w:right="282"/>
        <w:jc w:val="right"/>
      </w:pPr>
      <w:r>
        <w:rPr>
          <w:rFonts w:cs="Arial"/>
          <w:sz w:val="16"/>
          <w:szCs w:val="16"/>
        </w:rPr>
        <w:t>42,1%</w:t>
      </w:r>
    </w:p>
    <w:p>
      <w:pPr>
        <w:pStyle w:val="style86"/>
        <w:ind w:hanging="0" w:left="0" w:right="282"/>
        <w:jc w:val="right"/>
      </w:pPr>
      <w:r>
        <w:rPr>
          <w:rFonts w:cs="Arial"/>
          <w:sz w:val="16"/>
          <w:szCs w:val="16"/>
        </w:rPr>
        <w:t>6,3%</w:t>
      </w:r>
    </w:p>
    <w:p>
      <w:pPr>
        <w:pStyle w:val="style86"/>
      </w:pPr>
      <w:r>
        <w:rPr>
          <w:rFonts w:cs="Arial"/>
          <w:sz w:val="16"/>
          <w:szCs w:val="16"/>
        </w:rPr>
        <w:t>Παροχή νερού</w:t>
      </w:r>
    </w:p>
    <w:p>
      <w:pPr>
        <w:pStyle w:val="style86"/>
        <w:jc w:val="right"/>
      </w:pPr>
      <w:r>
        <w:rPr>
          <w:rFonts w:cs="Arial"/>
          <w:sz w:val="16"/>
          <w:szCs w:val="16"/>
        </w:rPr>
        <w:t>33,3</w:t>
      </w:r>
    </w:p>
    <w:p>
      <w:pPr>
        <w:pStyle w:val="style86"/>
        <w:ind w:hanging="0" w:left="0" w:right="282"/>
        <w:jc w:val="right"/>
      </w:pPr>
      <w:r>
        <w:rPr>
          <w:rFonts w:cs="Arial"/>
          <w:sz w:val="16"/>
          <w:szCs w:val="16"/>
        </w:rPr>
        <w:t>23,6%</w:t>
      </w:r>
    </w:p>
    <w:p>
      <w:pPr>
        <w:pStyle w:val="style86"/>
        <w:ind w:hanging="0" w:left="0" w:right="282"/>
        <w:jc w:val="right"/>
      </w:pPr>
      <w:r>
        <w:rPr>
          <w:rFonts w:cs="Arial"/>
          <w:sz w:val="16"/>
          <w:szCs w:val="16"/>
        </w:rPr>
        <w:t>0,6%</w:t>
      </w:r>
    </w:p>
    <w:p>
      <w:pPr>
        <w:pStyle w:val="style86"/>
        <w:ind w:hanging="0" w:left="0" w:right="282"/>
        <w:jc w:val="right"/>
      </w:pPr>
      <w:r>
        <w:rPr>
          <w:rFonts w:cs="Arial"/>
          <w:sz w:val="16"/>
          <w:szCs w:val="16"/>
        </w:rPr>
        <w:t>31,1%</w:t>
      </w:r>
    </w:p>
    <w:p>
      <w:pPr>
        <w:pStyle w:val="style86"/>
        <w:ind w:hanging="0" w:left="0" w:right="282"/>
        <w:jc w:val="right"/>
      </w:pPr>
      <w:r>
        <w:rPr>
          <w:rFonts w:cs="Arial"/>
          <w:sz w:val="16"/>
          <w:szCs w:val="16"/>
        </w:rPr>
        <w:t>2,4%</w:t>
      </w:r>
    </w:p>
    <w:p>
      <w:pPr>
        <w:pStyle w:val="style86"/>
      </w:pPr>
      <w:r>
        <w:rPr>
          <w:rFonts w:cs="Arial"/>
          <w:sz w:val="16"/>
          <w:szCs w:val="16"/>
        </w:rPr>
        <w:t>Κατασκευές</w:t>
      </w:r>
    </w:p>
    <w:p>
      <w:pPr>
        <w:pStyle w:val="style86"/>
        <w:jc w:val="right"/>
      </w:pPr>
      <w:r>
        <w:rPr>
          <w:rFonts w:cs="Arial"/>
          <w:sz w:val="16"/>
          <w:szCs w:val="16"/>
        </w:rPr>
        <w:t>116,9</w:t>
      </w:r>
    </w:p>
    <w:p>
      <w:pPr>
        <w:pStyle w:val="style86"/>
        <w:ind w:hanging="0" w:left="0" w:right="282"/>
        <w:jc w:val="right"/>
      </w:pPr>
      <w:r>
        <w:rPr>
          <w:rFonts w:cs="Arial"/>
          <w:sz w:val="16"/>
          <w:szCs w:val="16"/>
        </w:rPr>
        <w:t>18,5%</w:t>
      </w:r>
    </w:p>
    <w:p>
      <w:pPr>
        <w:pStyle w:val="style86"/>
        <w:ind w:hanging="0" w:left="0" w:right="282"/>
        <w:jc w:val="right"/>
      </w:pPr>
      <w:r>
        <w:rPr>
          <w:rFonts w:cs="Arial"/>
          <w:sz w:val="16"/>
          <w:szCs w:val="16"/>
        </w:rPr>
        <w:t>2,0%</w:t>
      </w:r>
    </w:p>
    <w:p>
      <w:pPr>
        <w:pStyle w:val="style86"/>
        <w:ind w:hanging="0" w:left="0" w:right="282"/>
        <w:jc w:val="right"/>
      </w:pPr>
      <w:r>
        <w:rPr>
          <w:rFonts w:cs="Arial"/>
          <w:sz w:val="16"/>
          <w:szCs w:val="16"/>
        </w:rPr>
        <w:t>25,2%</w:t>
      </w:r>
    </w:p>
    <w:p>
      <w:pPr>
        <w:pStyle w:val="style86"/>
        <w:ind w:hanging="0" w:left="0" w:right="282"/>
        <w:jc w:val="right"/>
      </w:pPr>
      <w:r>
        <w:rPr>
          <w:rFonts w:cs="Arial"/>
          <w:sz w:val="16"/>
          <w:szCs w:val="16"/>
        </w:rPr>
        <w:t>3,2%</w:t>
      </w:r>
    </w:p>
    <w:p>
      <w:pPr>
        <w:pStyle w:val="style86"/>
      </w:pPr>
      <w:r>
        <w:rPr>
          <w:rFonts w:cs="Arial"/>
          <w:sz w:val="16"/>
          <w:szCs w:val="16"/>
        </w:rPr>
        <w:t>Εμπόριο</w:t>
      </w:r>
    </w:p>
    <w:p>
      <w:pPr>
        <w:pStyle w:val="style86"/>
        <w:jc w:val="right"/>
      </w:pPr>
      <w:r>
        <w:rPr>
          <w:rFonts w:cs="Arial"/>
          <w:sz w:val="16"/>
          <w:szCs w:val="16"/>
        </w:rPr>
        <w:t>866,5</w:t>
      </w:r>
    </w:p>
    <w:p>
      <w:pPr>
        <w:pStyle w:val="style86"/>
        <w:ind w:hanging="0" w:left="0" w:right="282"/>
        <w:jc w:val="right"/>
      </w:pPr>
      <w:r>
        <w:rPr>
          <w:rFonts w:cs="Arial"/>
          <w:sz w:val="16"/>
          <w:szCs w:val="16"/>
        </w:rPr>
        <w:t>53,4%</w:t>
      </w:r>
    </w:p>
    <w:p>
      <w:pPr>
        <w:pStyle w:val="style86"/>
        <w:ind w:hanging="0" w:left="0" w:right="282"/>
        <w:jc w:val="right"/>
      </w:pPr>
      <w:r>
        <w:rPr>
          <w:rFonts w:cs="Arial"/>
          <w:sz w:val="16"/>
          <w:szCs w:val="16"/>
        </w:rPr>
        <w:t>14,7%</w:t>
      </w:r>
    </w:p>
    <w:p>
      <w:pPr>
        <w:pStyle w:val="style86"/>
        <w:ind w:hanging="0" w:left="0" w:right="282"/>
        <w:jc w:val="right"/>
      </w:pPr>
      <w:r>
        <w:rPr>
          <w:rFonts w:cs="Arial"/>
          <w:sz w:val="16"/>
          <w:szCs w:val="16"/>
        </w:rPr>
        <w:t>32,8%</w:t>
      </w:r>
    </w:p>
    <w:p>
      <w:pPr>
        <w:pStyle w:val="style86"/>
        <w:ind w:hanging="0" w:left="0" w:right="282"/>
        <w:jc w:val="right"/>
      </w:pPr>
      <w:r>
        <w:rPr>
          <w:rFonts w:cs="Arial"/>
          <w:sz w:val="16"/>
          <w:szCs w:val="16"/>
        </w:rPr>
        <w:t>7,3%</w:t>
      </w:r>
    </w:p>
    <w:p>
      <w:pPr>
        <w:pStyle w:val="style86"/>
      </w:pPr>
      <w:r>
        <w:rPr>
          <w:rFonts w:cs="Arial"/>
          <w:sz w:val="16"/>
          <w:szCs w:val="16"/>
        </w:rPr>
        <w:t>Μεταφορές και αποθήκευση</w:t>
      </w:r>
    </w:p>
    <w:p>
      <w:pPr>
        <w:pStyle w:val="style86"/>
        <w:jc w:val="right"/>
      </w:pPr>
      <w:r>
        <w:rPr>
          <w:rFonts w:cs="Arial"/>
          <w:sz w:val="16"/>
          <w:szCs w:val="16"/>
        </w:rPr>
        <w:t>30,0</w:t>
      </w:r>
    </w:p>
    <w:p>
      <w:pPr>
        <w:pStyle w:val="style86"/>
        <w:ind w:hanging="0" w:left="0" w:right="282"/>
        <w:jc w:val="right"/>
      </w:pPr>
      <w:r>
        <w:rPr>
          <w:rFonts w:cs="Arial"/>
          <w:sz w:val="16"/>
          <w:szCs w:val="16"/>
        </w:rPr>
        <w:t>0,9%</w:t>
      </w:r>
    </w:p>
    <w:p>
      <w:pPr>
        <w:pStyle w:val="style86"/>
        <w:ind w:hanging="0" w:left="0" w:right="282"/>
        <w:jc w:val="right"/>
      </w:pPr>
      <w:r>
        <w:rPr>
          <w:rFonts w:cs="Arial"/>
          <w:sz w:val="16"/>
          <w:szCs w:val="16"/>
        </w:rPr>
        <w:t>0,5%</w:t>
      </w:r>
    </w:p>
    <w:p>
      <w:pPr>
        <w:pStyle w:val="style86"/>
        <w:ind w:hanging="0" w:left="0" w:right="282"/>
        <w:jc w:val="right"/>
      </w:pPr>
      <w:r>
        <w:rPr>
          <w:rFonts w:cs="Arial"/>
          <w:sz w:val="16"/>
          <w:szCs w:val="16"/>
        </w:rPr>
        <w:t>16,3%</w:t>
      </w:r>
    </w:p>
    <w:p>
      <w:pPr>
        <w:pStyle w:val="style86"/>
        <w:ind w:hanging="0" w:left="0" w:right="282"/>
        <w:jc w:val="right"/>
      </w:pPr>
      <w:r>
        <w:rPr>
          <w:rFonts w:cs="Arial"/>
          <w:sz w:val="16"/>
          <w:szCs w:val="16"/>
        </w:rPr>
        <w:t>5,0%</w:t>
      </w:r>
    </w:p>
    <w:p>
      <w:pPr>
        <w:pStyle w:val="style86"/>
      </w:pPr>
      <w:r>
        <w:rPr>
          <w:rFonts w:cs="Arial"/>
          <w:sz w:val="16"/>
          <w:szCs w:val="16"/>
        </w:rPr>
        <w:t>Τουρισμός</w:t>
      </w:r>
    </w:p>
    <w:p>
      <w:pPr>
        <w:pStyle w:val="style86"/>
        <w:jc w:val="right"/>
      </w:pPr>
      <w:r>
        <w:rPr>
          <w:rFonts w:cs="Arial"/>
          <w:sz w:val="16"/>
          <w:szCs w:val="16"/>
        </w:rPr>
        <w:t>378,7</w:t>
      </w:r>
    </w:p>
    <w:p>
      <w:pPr>
        <w:pStyle w:val="style86"/>
        <w:ind w:hanging="0" w:left="0" w:right="282"/>
        <w:jc w:val="right"/>
      </w:pPr>
      <w:r>
        <w:rPr>
          <w:rFonts w:cs="Arial"/>
          <w:sz w:val="16"/>
          <w:szCs w:val="16"/>
        </w:rPr>
        <w:t>66,2%</w:t>
      </w:r>
    </w:p>
    <w:p>
      <w:pPr>
        <w:pStyle w:val="style86"/>
        <w:ind w:hanging="0" w:left="0" w:right="282"/>
        <w:jc w:val="right"/>
      </w:pPr>
      <w:r>
        <w:rPr>
          <w:rFonts w:cs="Arial"/>
          <w:sz w:val="16"/>
          <w:szCs w:val="16"/>
        </w:rPr>
        <w:t>6,4%</w:t>
      </w:r>
    </w:p>
    <w:p>
      <w:pPr>
        <w:pStyle w:val="style86"/>
        <w:ind w:hanging="0" w:left="0" w:right="282"/>
        <w:jc w:val="right"/>
      </w:pPr>
      <w:r>
        <w:rPr>
          <w:rFonts w:cs="Arial"/>
          <w:sz w:val="16"/>
          <w:szCs w:val="16"/>
        </w:rPr>
        <w:t>35,7%</w:t>
      </w:r>
    </w:p>
    <w:p>
      <w:pPr>
        <w:pStyle w:val="style86"/>
        <w:ind w:hanging="0" w:left="0" w:right="282"/>
        <w:jc w:val="right"/>
      </w:pPr>
      <w:r>
        <w:rPr>
          <w:rFonts w:cs="Arial"/>
          <w:sz w:val="16"/>
          <w:szCs w:val="16"/>
        </w:rPr>
        <w:t>2,1%</w:t>
      </w:r>
    </w:p>
    <w:p>
      <w:pPr>
        <w:pStyle w:val="style86"/>
      </w:pPr>
      <w:r>
        <w:rPr>
          <w:rFonts w:cs="Arial"/>
          <w:sz w:val="16"/>
          <w:szCs w:val="16"/>
        </w:rPr>
        <w:t>Ενημέρωση και επικοινωνία</w:t>
      </w:r>
    </w:p>
    <w:p>
      <w:pPr>
        <w:pStyle w:val="style86"/>
        <w:jc w:val="right"/>
      </w:pPr>
      <w:r>
        <w:rPr>
          <w:rFonts w:cs="Arial"/>
          <w:sz w:val="16"/>
          <w:szCs w:val="16"/>
        </w:rPr>
        <w:t>369,1</w:t>
      </w:r>
    </w:p>
    <w:p>
      <w:pPr>
        <w:pStyle w:val="style86"/>
        <w:ind w:hanging="0" w:left="0" w:right="282"/>
        <w:jc w:val="right"/>
      </w:pPr>
      <w:r>
        <w:rPr>
          <w:rFonts w:cs="Arial"/>
          <w:sz w:val="16"/>
          <w:szCs w:val="16"/>
        </w:rPr>
        <w:t>43,8%</w:t>
      </w:r>
    </w:p>
    <w:p>
      <w:pPr>
        <w:pStyle w:val="style86"/>
        <w:ind w:hanging="0" w:left="0" w:right="282"/>
        <w:jc w:val="right"/>
      </w:pPr>
      <w:r>
        <w:rPr>
          <w:rFonts w:cs="Arial"/>
          <w:sz w:val="16"/>
          <w:szCs w:val="16"/>
        </w:rPr>
        <w:t>6,3%</w:t>
      </w:r>
    </w:p>
    <w:p>
      <w:pPr>
        <w:pStyle w:val="style86"/>
        <w:ind w:hanging="0" w:left="0" w:right="282"/>
        <w:jc w:val="right"/>
      </w:pPr>
      <w:r>
        <w:rPr>
          <w:rFonts w:cs="Arial"/>
          <w:sz w:val="16"/>
          <w:szCs w:val="16"/>
        </w:rPr>
        <w:t>20,7%</w:t>
      </w:r>
    </w:p>
    <w:p>
      <w:pPr>
        <w:pStyle w:val="style86"/>
        <w:ind w:hanging="0" w:left="0" w:right="282"/>
        <w:jc w:val="right"/>
      </w:pPr>
      <w:r>
        <w:rPr>
          <w:rFonts w:cs="Arial"/>
          <w:sz w:val="16"/>
          <w:szCs w:val="16"/>
        </w:rPr>
        <w:t>7,5%</w:t>
      </w:r>
    </w:p>
    <w:p>
      <w:pPr>
        <w:pStyle w:val="style86"/>
      </w:pPr>
      <w:r>
        <w:rPr>
          <w:rFonts w:cs="Arial"/>
          <w:sz w:val="16"/>
          <w:szCs w:val="16"/>
        </w:rPr>
        <w:t>Τράπεζες, ασφάλειες</w:t>
      </w:r>
    </w:p>
    <w:p>
      <w:pPr>
        <w:pStyle w:val="style86"/>
        <w:jc w:val="right"/>
      </w:pPr>
      <w:r>
        <w:rPr>
          <w:rFonts w:cs="Arial"/>
          <w:sz w:val="16"/>
          <w:szCs w:val="16"/>
        </w:rPr>
        <w:t>170,5</w:t>
      </w:r>
    </w:p>
    <w:p>
      <w:pPr>
        <w:pStyle w:val="style86"/>
        <w:ind w:hanging="0" w:left="0" w:right="282"/>
        <w:jc w:val="right"/>
      </w:pPr>
      <w:r>
        <w:rPr>
          <w:rFonts w:cs="Arial"/>
          <w:sz w:val="16"/>
          <w:szCs w:val="16"/>
        </w:rPr>
        <w:t>16,1%</w:t>
      </w:r>
    </w:p>
    <w:p>
      <w:pPr>
        <w:pStyle w:val="style86"/>
        <w:ind w:hanging="0" w:left="0" w:right="282"/>
        <w:jc w:val="right"/>
      </w:pPr>
      <w:r>
        <w:rPr>
          <w:rFonts w:cs="Arial"/>
          <w:sz w:val="16"/>
          <w:szCs w:val="16"/>
        </w:rPr>
        <w:t>2,9%</w:t>
      </w:r>
    </w:p>
    <w:p>
      <w:pPr>
        <w:pStyle w:val="style86"/>
        <w:ind w:hanging="0" w:left="0" w:right="282"/>
        <w:jc w:val="right"/>
      </w:pPr>
      <w:r>
        <w:rPr>
          <w:rFonts w:cs="Arial"/>
          <w:sz w:val="16"/>
          <w:szCs w:val="16"/>
        </w:rPr>
        <w:t>25,7%</w:t>
      </w:r>
    </w:p>
    <w:p>
      <w:pPr>
        <w:pStyle w:val="style86"/>
        <w:ind w:hanging="0" w:left="0" w:right="282"/>
        <w:jc w:val="right"/>
      </w:pPr>
      <w:r>
        <w:rPr>
          <w:rFonts w:cs="Arial"/>
          <w:sz w:val="16"/>
          <w:szCs w:val="16"/>
        </w:rPr>
        <w:t>3,6%</w:t>
      </w:r>
    </w:p>
    <w:p>
      <w:pPr>
        <w:pStyle w:val="style86"/>
      </w:pPr>
      <w:r>
        <w:rPr>
          <w:rFonts w:cs="Arial"/>
          <w:sz w:val="16"/>
          <w:szCs w:val="16"/>
        </w:rPr>
        <w:t>Αγορά ακινήτων</w:t>
      </w:r>
    </w:p>
    <w:p>
      <w:pPr>
        <w:pStyle w:val="style86"/>
        <w:jc w:val="right"/>
      </w:pPr>
      <w:r>
        <w:rPr>
          <w:rFonts w:cs="Arial"/>
          <w:sz w:val="16"/>
          <w:szCs w:val="16"/>
        </w:rPr>
        <w:t>6,8</w:t>
      </w:r>
    </w:p>
    <w:p>
      <w:pPr>
        <w:pStyle w:val="style86"/>
        <w:ind w:hanging="0" w:left="0" w:right="282"/>
        <w:jc w:val="right"/>
      </w:pPr>
      <w:r>
        <w:rPr>
          <w:rFonts w:cs="Arial"/>
          <w:sz w:val="16"/>
          <w:szCs w:val="16"/>
        </w:rPr>
        <w:t>0,6%</w:t>
      </w:r>
    </w:p>
    <w:p>
      <w:pPr>
        <w:pStyle w:val="style86"/>
        <w:ind w:hanging="0" w:left="0" w:right="282"/>
        <w:jc w:val="right"/>
      </w:pPr>
      <w:r>
        <w:rPr>
          <w:rFonts w:cs="Arial"/>
          <w:sz w:val="16"/>
          <w:szCs w:val="16"/>
        </w:rPr>
        <w:t>0,1%</w:t>
      </w:r>
    </w:p>
    <w:p>
      <w:pPr>
        <w:pStyle w:val="style86"/>
        <w:ind w:hanging="0" w:left="0" w:right="282"/>
        <w:jc w:val="right"/>
      </w:pPr>
      <w:r>
        <w:rPr>
          <w:rFonts w:cs="Arial"/>
          <w:sz w:val="16"/>
          <w:szCs w:val="16"/>
        </w:rPr>
        <w:t>0,9%</w:t>
      </w:r>
    </w:p>
    <w:p>
      <w:pPr>
        <w:pStyle w:val="style86"/>
        <w:ind w:hanging="0" w:left="0" w:right="282"/>
        <w:jc w:val="right"/>
      </w:pPr>
      <w:r>
        <w:rPr>
          <w:rFonts w:cs="Arial"/>
          <w:sz w:val="16"/>
          <w:szCs w:val="16"/>
        </w:rPr>
        <w:t>1,3%</w:t>
      </w:r>
    </w:p>
    <w:p>
      <w:pPr>
        <w:pStyle w:val="style86"/>
      </w:pPr>
      <w:r>
        <w:rPr>
          <w:rFonts w:cs="Arial"/>
          <w:sz w:val="16"/>
          <w:szCs w:val="16"/>
          <w:lang w:val="el-GR"/>
        </w:rPr>
        <w:t>Επαγγελματικές υπηρεσίες</w:t>
      </w:r>
    </w:p>
    <w:p>
      <w:pPr>
        <w:pStyle w:val="style86"/>
        <w:jc w:val="right"/>
      </w:pPr>
      <w:r>
        <w:rPr>
          <w:rFonts w:cs="Arial"/>
          <w:sz w:val="16"/>
          <w:szCs w:val="16"/>
        </w:rPr>
        <w:t>188,6</w:t>
      </w:r>
    </w:p>
    <w:p>
      <w:pPr>
        <w:pStyle w:val="style86"/>
        <w:ind w:hanging="0" w:left="0" w:right="282"/>
        <w:jc w:val="right"/>
      </w:pPr>
      <w:r>
        <w:rPr>
          <w:rFonts w:cs="Arial"/>
          <w:sz w:val="16"/>
          <w:szCs w:val="16"/>
        </w:rPr>
        <w:t>30,4%</w:t>
      </w:r>
    </w:p>
    <w:p>
      <w:pPr>
        <w:pStyle w:val="style86"/>
        <w:ind w:hanging="0" w:left="0" w:right="282"/>
        <w:jc w:val="right"/>
      </w:pPr>
      <w:r>
        <w:rPr>
          <w:rFonts w:cs="Arial"/>
          <w:sz w:val="16"/>
          <w:szCs w:val="16"/>
        </w:rPr>
        <w:t>3,2%</w:t>
      </w:r>
    </w:p>
    <w:p>
      <w:pPr>
        <w:pStyle w:val="style86"/>
        <w:ind w:hanging="0" w:left="0" w:right="282"/>
        <w:jc w:val="right"/>
      </w:pPr>
      <w:r>
        <w:rPr>
          <w:rFonts w:cs="Arial"/>
          <w:sz w:val="16"/>
          <w:szCs w:val="16"/>
        </w:rPr>
        <w:t>13,8%</w:t>
      </w:r>
    </w:p>
    <w:p>
      <w:pPr>
        <w:pStyle w:val="style86"/>
        <w:ind w:hanging="0" w:left="0" w:right="282"/>
        <w:jc w:val="right"/>
      </w:pPr>
      <w:r>
        <w:rPr>
          <w:rFonts w:cs="Arial"/>
          <w:sz w:val="16"/>
          <w:szCs w:val="16"/>
        </w:rPr>
        <w:t>3,4%</w:t>
      </w:r>
    </w:p>
    <w:p>
      <w:pPr>
        <w:pStyle w:val="style86"/>
      </w:pPr>
      <w:r>
        <w:rPr>
          <w:rFonts w:cs="Arial"/>
          <w:sz w:val="16"/>
          <w:szCs w:val="16"/>
        </w:rPr>
        <w:t>Υπηρεσίες προς επιχειρήσεις</w:t>
      </w:r>
    </w:p>
    <w:p>
      <w:pPr>
        <w:pStyle w:val="style86"/>
        <w:jc w:val="right"/>
      </w:pPr>
      <w:r>
        <w:rPr>
          <w:rFonts w:cs="Arial"/>
          <w:sz w:val="16"/>
          <w:szCs w:val="16"/>
        </w:rPr>
        <w:t>221,0</w:t>
      </w:r>
    </w:p>
    <w:p>
      <w:pPr>
        <w:pStyle w:val="style86"/>
        <w:ind w:hanging="0" w:left="0" w:right="282"/>
        <w:jc w:val="right"/>
      </w:pPr>
      <w:r>
        <w:rPr>
          <w:rFonts w:cs="Arial"/>
          <w:sz w:val="16"/>
          <w:szCs w:val="16"/>
        </w:rPr>
        <w:t>74,3%</w:t>
      </w:r>
    </w:p>
    <w:p>
      <w:pPr>
        <w:pStyle w:val="style86"/>
        <w:ind w:hanging="0" w:left="0" w:right="282"/>
        <w:jc w:val="right"/>
      </w:pPr>
      <w:r>
        <w:rPr>
          <w:rFonts w:cs="Arial"/>
          <w:sz w:val="16"/>
          <w:szCs w:val="16"/>
        </w:rPr>
        <w:t>3,8%</w:t>
      </w:r>
    </w:p>
    <w:p>
      <w:pPr>
        <w:pStyle w:val="style86"/>
        <w:ind w:hanging="0" w:left="0" w:right="282"/>
        <w:jc w:val="right"/>
      </w:pPr>
      <w:r>
        <w:rPr>
          <w:rFonts w:cs="Arial"/>
          <w:sz w:val="16"/>
          <w:szCs w:val="16"/>
        </w:rPr>
        <w:t>33,8%</w:t>
      </w:r>
    </w:p>
    <w:p>
      <w:pPr>
        <w:pStyle w:val="style86"/>
        <w:ind w:hanging="0" w:left="0" w:right="282"/>
        <w:jc w:val="right"/>
      </w:pPr>
      <w:r>
        <w:rPr>
          <w:rFonts w:cs="Arial"/>
          <w:sz w:val="16"/>
          <w:szCs w:val="16"/>
        </w:rPr>
        <w:t>8,1%</w:t>
      </w:r>
    </w:p>
    <w:p>
      <w:pPr>
        <w:pStyle w:val="style86"/>
      </w:pPr>
      <w:r>
        <w:rPr>
          <w:rFonts w:cs="Arial"/>
          <w:sz w:val="16"/>
          <w:szCs w:val="16"/>
        </w:rPr>
        <w:t>Δημόσια διοίκηση</w:t>
      </w:r>
    </w:p>
    <w:p>
      <w:pPr>
        <w:pStyle w:val="style86"/>
        <w:jc w:val="right"/>
      </w:pPr>
      <w:r>
        <w:rPr>
          <w:rFonts w:cs="Arial"/>
          <w:sz w:val="16"/>
          <w:szCs w:val="16"/>
        </w:rPr>
        <w:t>508,7</w:t>
      </w:r>
    </w:p>
    <w:p>
      <w:pPr>
        <w:pStyle w:val="style86"/>
        <w:ind w:hanging="0" w:left="0" w:right="282"/>
        <w:jc w:val="right"/>
      </w:pPr>
      <w:r>
        <w:rPr>
          <w:rFonts w:cs="Arial"/>
          <w:sz w:val="16"/>
          <w:szCs w:val="16"/>
        </w:rPr>
        <w:t>8,2%</w:t>
      </w:r>
    </w:p>
    <w:p>
      <w:pPr>
        <w:pStyle w:val="style86"/>
        <w:ind w:hanging="0" w:left="0" w:right="282"/>
        <w:jc w:val="right"/>
      </w:pPr>
      <w:r>
        <w:rPr>
          <w:rFonts w:cs="Arial"/>
          <w:sz w:val="16"/>
          <w:szCs w:val="16"/>
        </w:rPr>
        <w:t>8,7%</w:t>
      </w:r>
    </w:p>
    <w:p>
      <w:pPr>
        <w:pStyle w:val="style86"/>
        <w:ind w:hanging="0" w:left="0" w:right="282"/>
        <w:jc w:val="right"/>
      </w:pPr>
      <w:r>
        <w:rPr>
          <w:rFonts w:cs="Arial"/>
          <w:sz w:val="16"/>
          <w:szCs w:val="16"/>
        </w:rPr>
        <w:t>22,0%</w:t>
      </w:r>
    </w:p>
    <w:p>
      <w:pPr>
        <w:pStyle w:val="style86"/>
        <w:ind w:hanging="0" w:left="0" w:right="282"/>
        <w:jc w:val="right"/>
      </w:pPr>
      <w:r>
        <w:rPr>
          <w:rFonts w:cs="Arial"/>
          <w:sz w:val="16"/>
          <w:szCs w:val="16"/>
        </w:rPr>
        <w:t>6,6%</w:t>
      </w:r>
    </w:p>
    <w:p>
      <w:pPr>
        <w:pStyle w:val="style86"/>
      </w:pPr>
      <w:r>
        <w:rPr>
          <w:rFonts w:cs="Arial"/>
          <w:sz w:val="16"/>
          <w:szCs w:val="16"/>
        </w:rPr>
        <w:t>Εκπαίδευση</w:t>
      </w:r>
    </w:p>
    <w:p>
      <w:pPr>
        <w:pStyle w:val="style86"/>
        <w:jc w:val="right"/>
      </w:pPr>
      <w:r>
        <w:rPr>
          <w:rFonts w:cs="Arial"/>
          <w:sz w:val="16"/>
          <w:szCs w:val="16"/>
        </w:rPr>
        <w:t>161,4</w:t>
      </w:r>
    </w:p>
    <w:p>
      <w:pPr>
        <w:pStyle w:val="style86"/>
        <w:ind w:hanging="0" w:left="0" w:right="282"/>
        <w:jc w:val="right"/>
      </w:pPr>
      <w:r>
        <w:rPr>
          <w:rFonts w:cs="Arial"/>
          <w:sz w:val="16"/>
          <w:szCs w:val="16"/>
        </w:rPr>
        <w:t>19,0%</w:t>
      </w:r>
    </w:p>
    <w:p>
      <w:pPr>
        <w:pStyle w:val="style86"/>
        <w:ind w:hanging="0" w:left="0" w:right="282"/>
        <w:jc w:val="right"/>
      </w:pPr>
      <w:r>
        <w:rPr>
          <w:rFonts w:cs="Arial"/>
          <w:sz w:val="16"/>
          <w:szCs w:val="16"/>
        </w:rPr>
        <w:t>2,7%</w:t>
      </w:r>
    </w:p>
    <w:p>
      <w:pPr>
        <w:pStyle w:val="style86"/>
        <w:ind w:hanging="0" w:left="0" w:right="282"/>
        <w:jc w:val="right"/>
      </w:pPr>
      <w:r>
        <w:rPr>
          <w:rFonts w:cs="Arial"/>
          <w:sz w:val="16"/>
          <w:szCs w:val="16"/>
        </w:rPr>
        <w:t>9,8%</w:t>
      </w:r>
    </w:p>
    <w:p>
      <w:pPr>
        <w:pStyle w:val="style86"/>
        <w:ind w:hanging="0" w:left="0" w:right="282"/>
        <w:jc w:val="right"/>
      </w:pPr>
      <w:r>
        <w:rPr>
          <w:rFonts w:cs="Arial"/>
          <w:sz w:val="16"/>
          <w:szCs w:val="16"/>
        </w:rPr>
        <w:t>1,7%</w:t>
      </w:r>
    </w:p>
    <w:p>
      <w:pPr>
        <w:pStyle w:val="style86"/>
      </w:pPr>
      <w:r>
        <w:rPr>
          <w:rFonts w:cs="Arial"/>
          <w:sz w:val="16"/>
          <w:szCs w:val="16"/>
        </w:rPr>
        <w:t>Υγεία</w:t>
      </w:r>
    </w:p>
    <w:p>
      <w:pPr>
        <w:pStyle w:val="style86"/>
        <w:jc w:val="right"/>
      </w:pPr>
      <w:r>
        <w:rPr>
          <w:rFonts w:cs="Arial"/>
          <w:sz w:val="16"/>
          <w:szCs w:val="16"/>
        </w:rPr>
        <w:t>367,5</w:t>
      </w:r>
    </w:p>
    <w:p>
      <w:pPr>
        <w:pStyle w:val="style86"/>
        <w:ind w:hanging="0" w:left="0" w:right="282"/>
        <w:jc w:val="right"/>
      </w:pPr>
      <w:r>
        <w:rPr>
          <w:rFonts w:cs="Arial"/>
          <w:sz w:val="16"/>
          <w:szCs w:val="16"/>
        </w:rPr>
        <w:t>69,9%</w:t>
      </w:r>
    </w:p>
    <w:p>
      <w:pPr>
        <w:pStyle w:val="style86"/>
        <w:ind w:hanging="0" w:left="0" w:right="282"/>
        <w:jc w:val="right"/>
      </w:pPr>
      <w:r>
        <w:rPr>
          <w:rFonts w:cs="Arial"/>
          <w:sz w:val="16"/>
          <w:szCs w:val="16"/>
        </w:rPr>
        <w:t>6,3%</w:t>
      </w:r>
    </w:p>
    <w:p>
      <w:pPr>
        <w:pStyle w:val="style86"/>
        <w:ind w:hanging="0" w:left="0" w:right="282"/>
        <w:jc w:val="right"/>
      </w:pPr>
      <w:r>
        <w:rPr>
          <w:rFonts w:cs="Arial"/>
          <w:sz w:val="16"/>
          <w:szCs w:val="16"/>
        </w:rPr>
        <w:t>35,3%</w:t>
      </w:r>
    </w:p>
    <w:p>
      <w:pPr>
        <w:pStyle w:val="style86"/>
        <w:ind w:hanging="0" w:left="0" w:right="282"/>
        <w:jc w:val="right"/>
      </w:pPr>
      <w:r>
        <w:rPr>
          <w:rFonts w:cs="Arial"/>
          <w:sz w:val="16"/>
          <w:szCs w:val="16"/>
        </w:rPr>
        <w:t>6,0%</w:t>
      </w:r>
    </w:p>
    <w:p>
      <w:pPr>
        <w:pStyle w:val="style86"/>
      </w:pPr>
      <w:r>
        <w:rPr>
          <w:rFonts w:cs="Arial"/>
          <w:sz w:val="16"/>
          <w:szCs w:val="16"/>
        </w:rPr>
        <w:t>Τέχνες, διασκέδαση</w:t>
      </w:r>
    </w:p>
    <w:p>
      <w:pPr>
        <w:pStyle w:val="style86"/>
        <w:jc w:val="right"/>
      </w:pPr>
      <w:r>
        <w:rPr>
          <w:rFonts w:cs="Arial"/>
          <w:sz w:val="16"/>
          <w:szCs w:val="16"/>
        </w:rPr>
        <w:t>117,3</w:t>
      </w:r>
    </w:p>
    <w:p>
      <w:pPr>
        <w:pStyle w:val="style86"/>
        <w:ind w:hanging="0" w:left="0" w:right="282"/>
        <w:jc w:val="right"/>
      </w:pPr>
      <w:r>
        <w:rPr>
          <w:rFonts w:cs="Arial"/>
          <w:sz w:val="16"/>
          <w:szCs w:val="16"/>
        </w:rPr>
        <w:t>67,0%</w:t>
      </w:r>
    </w:p>
    <w:p>
      <w:pPr>
        <w:pStyle w:val="style86"/>
        <w:ind w:hanging="0" w:left="0" w:right="282"/>
        <w:jc w:val="right"/>
      </w:pPr>
      <w:r>
        <w:rPr>
          <w:rFonts w:cs="Arial"/>
          <w:sz w:val="16"/>
          <w:szCs w:val="16"/>
        </w:rPr>
        <w:t>2,0%</w:t>
      </w:r>
    </w:p>
    <w:p>
      <w:pPr>
        <w:pStyle w:val="style86"/>
        <w:ind w:hanging="0" w:left="0" w:right="282"/>
        <w:jc w:val="right"/>
      </w:pPr>
      <w:r>
        <w:rPr>
          <w:rFonts w:cs="Arial"/>
          <w:sz w:val="16"/>
          <w:szCs w:val="16"/>
        </w:rPr>
        <w:t>17,5%</w:t>
      </w:r>
    </w:p>
    <w:p>
      <w:pPr>
        <w:pStyle w:val="style86"/>
        <w:ind w:hanging="0" w:left="0" w:right="282"/>
        <w:jc w:val="right"/>
      </w:pPr>
      <w:r>
        <w:rPr>
          <w:rFonts w:cs="Arial"/>
          <w:sz w:val="16"/>
          <w:szCs w:val="16"/>
        </w:rPr>
        <w:t>1,2%</w:t>
      </w:r>
    </w:p>
    <w:p>
      <w:pPr>
        <w:pStyle w:val="style86"/>
      </w:pPr>
      <w:r>
        <w:rPr>
          <w:rFonts w:cs="Arial"/>
          <w:sz w:val="16"/>
          <w:szCs w:val="16"/>
        </w:rPr>
        <w:t>Λοιπές υπηρεσίες</w:t>
      </w:r>
    </w:p>
    <w:p>
      <w:pPr>
        <w:pStyle w:val="style86"/>
        <w:jc w:val="right"/>
      </w:pPr>
      <w:r>
        <w:rPr>
          <w:rFonts w:cs="Arial"/>
          <w:sz w:val="16"/>
          <w:szCs w:val="16"/>
        </w:rPr>
        <w:t>247,7</w:t>
      </w:r>
    </w:p>
    <w:p>
      <w:pPr>
        <w:pStyle w:val="style86"/>
        <w:ind w:hanging="0" w:left="0" w:right="282"/>
        <w:jc w:val="right"/>
      </w:pPr>
      <w:r>
        <w:rPr>
          <w:rFonts w:cs="Arial"/>
          <w:sz w:val="16"/>
          <w:szCs w:val="16"/>
        </w:rPr>
        <w:t>49,4%</w:t>
      </w:r>
    </w:p>
    <w:p>
      <w:pPr>
        <w:pStyle w:val="style86"/>
        <w:ind w:hanging="0" w:left="0" w:right="282"/>
        <w:jc w:val="right"/>
      </w:pPr>
      <w:r>
        <w:rPr>
          <w:rFonts w:cs="Arial"/>
          <w:sz w:val="16"/>
          <w:szCs w:val="16"/>
        </w:rPr>
        <w:t>4,2%</w:t>
      </w:r>
    </w:p>
    <w:p>
      <w:pPr>
        <w:pStyle w:val="style86"/>
        <w:ind w:hanging="0" w:left="0" w:right="282"/>
        <w:jc w:val="right"/>
      </w:pPr>
      <w:r>
        <w:rPr>
          <w:rFonts w:cs="Arial"/>
          <w:sz w:val="16"/>
          <w:szCs w:val="16"/>
        </w:rPr>
        <w:t>23,2%</w:t>
      </w:r>
    </w:p>
    <w:p>
      <w:pPr>
        <w:pStyle w:val="style86"/>
        <w:ind w:hanging="0" w:left="0" w:right="282"/>
        <w:jc w:val="right"/>
      </w:pPr>
      <w:r>
        <w:rPr>
          <w:rFonts w:cs="Arial"/>
          <w:sz w:val="16"/>
          <w:szCs w:val="16"/>
        </w:rPr>
        <w:t>0,7%</w:t>
      </w:r>
    </w:p>
    <w:p>
      <w:pPr>
        <w:pStyle w:val="style86"/>
        <w:spacing w:after="0" w:before="120"/>
        <w:contextualSpacing w:val="false"/>
      </w:pPr>
      <w:r>
        <w:rPr>
          <w:rFonts w:cs="Arial"/>
          <w:sz w:val="16"/>
          <w:szCs w:val="16"/>
          <w:lang w:val="el-GR"/>
        </w:rPr>
        <w:t>* 15 χώρες για τις οποίες υπάρχουν επαρκή στοιχεία: Τσεχία, Γερμανία, Εσθονία, Ιρλανδία, Ελλάδα, Γαλλία, Λετονία, Λουξεμβούργο, Ουγγαρία, Μάλτα, Αυστρία, Σλοβακία, Φιλανδία, Σουηδία, Ην Βασίλειο.</w:t>
      </w:r>
    </w:p>
    <w:p>
      <w:pPr>
        <w:pStyle w:val="style86"/>
      </w:pPr>
      <w:r>
        <w:rPr/>
      </w:r>
    </w:p>
    <w:p>
      <w:pPr>
        <w:pStyle w:val="style0"/>
        <w:pageBreakBefore/>
      </w:pPr>
      <w:r>
        <w:rPr>
          <w:rFonts w:cs="Arial"/>
          <w:sz w:val="22"/>
          <w:szCs w:val="22"/>
          <w:lang w:val="el-GR"/>
        </w:rPr>
      </w:r>
    </w:p>
    <w:p>
      <w:pPr>
        <w:pStyle w:val="style86"/>
        <w:spacing w:after="120" w:before="0"/>
        <w:contextualSpacing w:val="false"/>
      </w:pPr>
      <w:r>
        <w:rPr>
          <w:rFonts w:cs="Arial"/>
          <w:b/>
          <w:color w:val="00B0F0"/>
          <w:lang w:val="el-GR"/>
        </w:rPr>
        <w:t xml:space="preserve">Δ07: </w:t>
      </w:r>
      <w:r>
        <w:rPr>
          <w:rFonts w:cs="Arial"/>
          <w:b/>
          <w:lang w:val="el-GR"/>
        </w:rPr>
        <w:t xml:space="preserve">Κατανομή ακαθάριστων επενδύσεων σε κατασκευές πλην κατοικιών κατά κλάδο </w:t>
      </w:r>
      <w:r>
        <w:rPr>
          <w:rFonts w:cs="Arial"/>
          <w:i/>
          <w:color w:val="00B0F0"/>
          <w:lang w:val="el-GR"/>
        </w:rPr>
        <w:t>(</w:t>
      </w:r>
      <w:r>
        <w:rPr>
          <w:rFonts w:cs="Arial"/>
          <w:i/>
          <w:color w:val="00B0F0"/>
        </w:rPr>
        <w:t>Eurostat</w:t>
      </w:r>
      <w:r>
        <w:rPr>
          <w:rFonts w:cs="Arial"/>
          <w:i/>
          <w:color w:val="00B0F0"/>
          <w:lang w:val="el-GR"/>
        </w:rPr>
        <w:t>, 2017)</w:t>
      </w:r>
    </w:p>
    <w:p>
      <w:pPr>
        <w:pStyle w:val="style86"/>
        <w:jc w:val="center"/>
      </w:pPr>
      <w:r>
        <w:rPr>
          <w:rFonts w:cs="Arial"/>
          <w:b/>
          <w:color w:val="FFFFFF"/>
          <w:sz w:val="16"/>
          <w:szCs w:val="16"/>
          <w:lang w:val="el-GR"/>
        </w:rPr>
      </w:r>
    </w:p>
    <w:p>
      <w:pPr>
        <w:pStyle w:val="style86"/>
        <w:jc w:val="center"/>
      </w:pPr>
      <w:r>
        <w:rPr>
          <w:rFonts w:cs="Arial"/>
          <w:b/>
          <w:color w:val="FFFFFF"/>
          <w:sz w:val="16"/>
          <w:szCs w:val="16"/>
        </w:rPr>
        <w:t>Ελλάδα</w:t>
      </w:r>
    </w:p>
    <w:p>
      <w:pPr>
        <w:pStyle w:val="style86"/>
        <w:jc w:val="center"/>
      </w:pPr>
      <w:r>
        <w:rPr>
          <w:rFonts w:cs="Arial"/>
          <w:b/>
          <w:color w:val="FFFFFF"/>
          <w:sz w:val="16"/>
          <w:szCs w:val="16"/>
        </w:rPr>
        <w:t>ΕΕ</w:t>
      </w:r>
      <w:r>
        <w:rPr>
          <w:rFonts w:cs="Arial"/>
          <w:b/>
          <w:color w:val="FFFFFF"/>
          <w:sz w:val="16"/>
          <w:szCs w:val="16"/>
          <w:lang w:val="el-GR"/>
        </w:rPr>
        <w:t>*</w:t>
      </w:r>
    </w:p>
    <w:p>
      <w:pPr>
        <w:pStyle w:val="style86"/>
        <w:jc w:val="center"/>
      </w:pPr>
      <w:r>
        <w:rPr>
          <w:rFonts w:cs="Arial"/>
          <w:b/>
          <w:color w:val="FFFFFF"/>
          <w:sz w:val="16"/>
          <w:szCs w:val="16"/>
        </w:rPr>
      </w:r>
    </w:p>
    <w:p>
      <w:pPr>
        <w:pStyle w:val="style86"/>
        <w:jc w:val="center"/>
      </w:pPr>
      <w:r>
        <w:rPr>
          <w:rFonts w:cs="Arial"/>
          <w:b/>
          <w:color w:val="FFFFFF"/>
          <w:sz w:val="16"/>
          <w:szCs w:val="16"/>
        </w:rPr>
        <w:t xml:space="preserve">€ </w:t>
      </w:r>
      <w:r>
        <w:rPr>
          <w:rFonts w:cs="Arial"/>
          <w:b/>
          <w:color w:val="FFFFFF"/>
          <w:sz w:val="16"/>
          <w:szCs w:val="16"/>
        </w:rPr>
        <w:t>εκατ.</w:t>
      </w:r>
    </w:p>
    <w:p>
      <w:pPr>
        <w:pStyle w:val="style86"/>
        <w:jc w:val="center"/>
      </w:pPr>
      <w:r>
        <w:rPr>
          <w:rFonts w:cs="Arial"/>
          <w:b/>
          <w:color w:val="FFFFFF"/>
          <w:sz w:val="16"/>
          <w:szCs w:val="16"/>
        </w:rPr>
        <w:t>Μερίδιο στο σύνολο επενδύσεων</w:t>
      </w:r>
    </w:p>
    <w:p>
      <w:pPr>
        <w:pStyle w:val="style86"/>
        <w:jc w:val="center"/>
      </w:pPr>
      <w:r>
        <w:rPr>
          <w:rFonts w:cs="Arial"/>
          <w:b/>
          <w:color w:val="FFFFFF"/>
          <w:sz w:val="16"/>
          <w:szCs w:val="16"/>
          <w:lang w:val="el-GR"/>
        </w:rPr>
        <w:t>Μερίδιο σε κατασκευές πλην κατοικιών</w:t>
      </w:r>
    </w:p>
    <w:p>
      <w:pPr>
        <w:pStyle w:val="style86"/>
        <w:jc w:val="center"/>
      </w:pPr>
      <w:r>
        <w:rPr>
          <w:rFonts w:cs="Arial"/>
          <w:b/>
          <w:color w:val="FFFFFF"/>
          <w:sz w:val="16"/>
          <w:szCs w:val="16"/>
        </w:rPr>
        <w:t>Μερίδιο στο σύνολο επενδύσεων</w:t>
      </w:r>
    </w:p>
    <w:p>
      <w:pPr>
        <w:pStyle w:val="style86"/>
        <w:jc w:val="center"/>
      </w:pPr>
      <w:r>
        <w:rPr>
          <w:rFonts w:cs="Arial"/>
          <w:b/>
          <w:color w:val="FFFFFF"/>
          <w:sz w:val="16"/>
          <w:szCs w:val="16"/>
          <w:lang w:val="el-GR"/>
        </w:rPr>
        <w:t>Μερίδιο σε κατασκευές πλην κατοικιών</w:t>
      </w:r>
    </w:p>
    <w:p>
      <w:pPr>
        <w:pStyle w:val="style86"/>
      </w:pPr>
      <w:r>
        <w:rPr>
          <w:rFonts w:cs="Arial"/>
          <w:b/>
          <w:color w:val="FFFFFF"/>
          <w:sz w:val="16"/>
          <w:szCs w:val="16"/>
        </w:rPr>
        <w:t>Σύνολο</w:t>
      </w:r>
    </w:p>
    <w:p>
      <w:pPr>
        <w:pStyle w:val="style86"/>
        <w:jc w:val="right"/>
      </w:pPr>
      <w:r>
        <w:rPr>
          <w:rFonts w:cs="Arial"/>
          <w:b/>
          <w:color w:val="FFFFFF"/>
          <w:sz w:val="16"/>
          <w:szCs w:val="16"/>
        </w:rPr>
        <w:t>8.545,5</w:t>
      </w:r>
    </w:p>
    <w:p>
      <w:pPr>
        <w:pStyle w:val="style86"/>
        <w:ind w:hanging="0" w:left="0" w:right="282"/>
        <w:jc w:val="right"/>
      </w:pPr>
      <w:r>
        <w:rPr>
          <w:rFonts w:cs="Arial"/>
          <w:b/>
          <w:color w:val="FFFFFF"/>
          <w:sz w:val="16"/>
          <w:szCs w:val="16"/>
        </w:rPr>
        <w:t>36,8%</w:t>
      </w:r>
    </w:p>
    <w:p>
      <w:pPr>
        <w:pStyle w:val="style86"/>
        <w:ind w:hanging="0" w:left="0" w:right="282"/>
        <w:jc w:val="right"/>
      </w:pPr>
      <w:r>
        <w:rPr>
          <w:rFonts w:cs="Arial"/>
          <w:b/>
          <w:color w:val="FFFFFF"/>
          <w:sz w:val="16"/>
          <w:szCs w:val="16"/>
        </w:rPr>
        <w:t>100,0%</w:t>
      </w:r>
    </w:p>
    <w:p>
      <w:pPr>
        <w:pStyle w:val="style86"/>
        <w:ind w:hanging="0" w:left="0" w:right="282"/>
        <w:jc w:val="right"/>
      </w:pPr>
      <w:r>
        <w:rPr>
          <w:rFonts w:cs="Arial"/>
          <w:b/>
          <w:color w:val="FFFFFF"/>
          <w:sz w:val="16"/>
          <w:szCs w:val="16"/>
        </w:rPr>
        <w:t>24,6%</w:t>
      </w:r>
    </w:p>
    <w:p>
      <w:pPr>
        <w:pStyle w:val="style86"/>
        <w:ind w:hanging="0" w:left="0" w:right="282"/>
        <w:jc w:val="right"/>
      </w:pPr>
      <w:r>
        <w:rPr>
          <w:rFonts w:cs="Arial"/>
          <w:b/>
          <w:color w:val="FFFFFF"/>
          <w:sz w:val="16"/>
          <w:szCs w:val="16"/>
        </w:rPr>
        <w:t>100,0%</w:t>
      </w:r>
    </w:p>
    <w:p>
      <w:pPr>
        <w:pStyle w:val="style86"/>
      </w:pPr>
      <w:r>
        <w:rPr>
          <w:rFonts w:cs="Arial"/>
          <w:sz w:val="16"/>
          <w:szCs w:val="16"/>
        </w:rPr>
        <w:t>Γεωργία</w:t>
      </w:r>
    </w:p>
    <w:p>
      <w:pPr>
        <w:pStyle w:val="style86"/>
        <w:jc w:val="right"/>
      </w:pPr>
      <w:r>
        <w:rPr>
          <w:rFonts w:cs="Arial"/>
          <w:sz w:val="16"/>
          <w:szCs w:val="16"/>
        </w:rPr>
        <w:t>130,0</w:t>
      </w:r>
    </w:p>
    <w:p>
      <w:pPr>
        <w:pStyle w:val="style86"/>
        <w:ind w:hanging="0" w:left="0" w:right="282"/>
        <w:jc w:val="right"/>
      </w:pPr>
      <w:r>
        <w:rPr>
          <w:rFonts w:cs="Arial"/>
          <w:sz w:val="16"/>
          <w:szCs w:val="16"/>
        </w:rPr>
        <w:t>9,1%</w:t>
      </w:r>
    </w:p>
    <w:p>
      <w:pPr>
        <w:pStyle w:val="style86"/>
        <w:ind w:hanging="0" w:left="0" w:right="282"/>
        <w:jc w:val="right"/>
      </w:pPr>
      <w:r>
        <w:rPr>
          <w:rFonts w:cs="Arial"/>
          <w:sz w:val="16"/>
          <w:szCs w:val="16"/>
        </w:rPr>
        <w:t>1,5%</w:t>
      </w:r>
    </w:p>
    <w:p>
      <w:pPr>
        <w:pStyle w:val="style86"/>
        <w:ind w:hanging="0" w:left="0" w:right="282"/>
        <w:jc w:val="right"/>
      </w:pPr>
      <w:r>
        <w:rPr>
          <w:rFonts w:cs="Arial"/>
          <w:sz w:val="16"/>
          <w:szCs w:val="16"/>
        </w:rPr>
        <w:t>28,0%</w:t>
      </w:r>
    </w:p>
    <w:p>
      <w:pPr>
        <w:pStyle w:val="style86"/>
        <w:ind w:hanging="0" w:left="0" w:right="282"/>
        <w:jc w:val="right"/>
      </w:pPr>
      <w:r>
        <w:rPr>
          <w:rFonts w:cs="Arial"/>
          <w:sz w:val="16"/>
          <w:szCs w:val="16"/>
        </w:rPr>
        <w:t>2,1%</w:t>
      </w:r>
    </w:p>
    <w:p>
      <w:pPr>
        <w:pStyle w:val="style86"/>
      </w:pPr>
      <w:r>
        <w:rPr>
          <w:rFonts w:cs="Arial"/>
          <w:sz w:val="16"/>
          <w:szCs w:val="16"/>
        </w:rPr>
        <w:t>Ορυχεία, λατομεία</w:t>
      </w:r>
    </w:p>
    <w:p>
      <w:pPr>
        <w:pStyle w:val="style86"/>
        <w:jc w:val="right"/>
      </w:pPr>
      <w:r>
        <w:rPr>
          <w:rFonts w:cs="Arial"/>
          <w:sz w:val="16"/>
          <w:szCs w:val="16"/>
        </w:rPr>
        <w:t>38,5</w:t>
      </w:r>
    </w:p>
    <w:p>
      <w:pPr>
        <w:pStyle w:val="style86"/>
        <w:ind w:hanging="0" w:left="0" w:right="282"/>
        <w:jc w:val="right"/>
      </w:pPr>
      <w:r>
        <w:rPr>
          <w:rFonts w:cs="Arial"/>
          <w:sz w:val="16"/>
          <w:szCs w:val="16"/>
        </w:rPr>
        <w:t>36,8%</w:t>
      </w:r>
    </w:p>
    <w:p>
      <w:pPr>
        <w:pStyle w:val="style86"/>
        <w:ind w:hanging="0" w:left="0" w:right="282"/>
        <w:jc w:val="right"/>
      </w:pPr>
      <w:r>
        <w:rPr>
          <w:rFonts w:cs="Arial"/>
          <w:sz w:val="16"/>
          <w:szCs w:val="16"/>
        </w:rPr>
        <w:t>0,5%</w:t>
      </w:r>
    </w:p>
    <w:p>
      <w:pPr>
        <w:pStyle w:val="style86"/>
        <w:ind w:hanging="0" w:left="0" w:right="282"/>
        <w:jc w:val="right"/>
      </w:pPr>
      <w:r>
        <w:rPr>
          <w:rFonts w:cs="Arial"/>
          <w:sz w:val="16"/>
          <w:szCs w:val="16"/>
        </w:rPr>
        <w:t>51,6%</w:t>
      </w:r>
    </w:p>
    <w:p>
      <w:pPr>
        <w:pStyle w:val="style86"/>
        <w:ind w:hanging="0" w:left="0" w:right="282"/>
        <w:jc w:val="right"/>
      </w:pPr>
      <w:r>
        <w:rPr>
          <w:rFonts w:cs="Arial"/>
          <w:sz w:val="16"/>
          <w:szCs w:val="16"/>
        </w:rPr>
        <w:t>0,8%</w:t>
      </w:r>
    </w:p>
    <w:p>
      <w:pPr>
        <w:pStyle w:val="style86"/>
      </w:pPr>
      <w:r>
        <w:rPr>
          <w:rFonts w:cs="Arial"/>
          <w:sz w:val="16"/>
          <w:szCs w:val="16"/>
        </w:rPr>
        <w:t>Μεταποίηση</w:t>
      </w:r>
    </w:p>
    <w:p>
      <w:pPr>
        <w:pStyle w:val="style86"/>
        <w:jc w:val="right"/>
      </w:pPr>
      <w:r>
        <w:rPr>
          <w:rFonts w:cs="Arial"/>
          <w:sz w:val="16"/>
          <w:szCs w:val="16"/>
        </w:rPr>
        <w:t>1.389,1</w:t>
      </w:r>
    </w:p>
    <w:p>
      <w:pPr>
        <w:pStyle w:val="style86"/>
        <w:ind w:hanging="0" w:left="0" w:right="282"/>
        <w:jc w:val="right"/>
      </w:pPr>
      <w:r>
        <w:rPr>
          <w:rFonts w:cs="Arial"/>
          <w:sz w:val="16"/>
          <w:szCs w:val="16"/>
        </w:rPr>
        <w:t>48,5%</w:t>
      </w:r>
    </w:p>
    <w:p>
      <w:pPr>
        <w:pStyle w:val="style86"/>
        <w:ind w:hanging="0" w:left="0" w:right="282"/>
        <w:jc w:val="right"/>
      </w:pPr>
      <w:r>
        <w:rPr>
          <w:rFonts w:cs="Arial"/>
          <w:sz w:val="16"/>
          <w:szCs w:val="16"/>
        </w:rPr>
        <w:t>16,3%</w:t>
      </w:r>
    </w:p>
    <w:p>
      <w:pPr>
        <w:pStyle w:val="style86"/>
        <w:ind w:hanging="0" w:left="0" w:right="282"/>
        <w:jc w:val="right"/>
      </w:pPr>
      <w:r>
        <w:rPr>
          <w:rFonts w:cs="Arial"/>
          <w:sz w:val="16"/>
          <w:szCs w:val="16"/>
        </w:rPr>
        <w:t>9,0%</w:t>
      </w:r>
    </w:p>
    <w:p>
      <w:pPr>
        <w:pStyle w:val="style86"/>
        <w:ind w:hanging="0" w:left="0" w:right="282"/>
        <w:jc w:val="right"/>
      </w:pPr>
      <w:r>
        <w:rPr>
          <w:rFonts w:cs="Arial"/>
          <w:sz w:val="16"/>
          <w:szCs w:val="16"/>
        </w:rPr>
        <w:t>5,4%</w:t>
      </w:r>
    </w:p>
    <w:p>
      <w:pPr>
        <w:pStyle w:val="style86"/>
        <w:ind w:firstLine="176" w:left="0" w:right="0"/>
      </w:pPr>
      <w:r>
        <w:rPr>
          <w:rFonts w:cs="Arial"/>
          <w:sz w:val="16"/>
          <w:szCs w:val="16"/>
        </w:rPr>
        <w:t>Μεταποίηση πλην πετρελαιοειδών</w:t>
      </w:r>
    </w:p>
    <w:p>
      <w:pPr>
        <w:pStyle w:val="style86"/>
        <w:jc w:val="right"/>
      </w:pPr>
      <w:r>
        <w:rPr>
          <w:rFonts w:cs="Arial"/>
          <w:sz w:val="16"/>
          <w:szCs w:val="16"/>
        </w:rPr>
        <w:t>690,6</w:t>
      </w:r>
    </w:p>
    <w:p>
      <w:pPr>
        <w:pStyle w:val="style86"/>
        <w:ind w:hanging="0" w:left="0" w:right="282"/>
        <w:jc w:val="right"/>
      </w:pPr>
      <w:r>
        <w:rPr>
          <w:rFonts w:cs="Arial"/>
          <w:sz w:val="16"/>
          <w:szCs w:val="16"/>
        </w:rPr>
        <w:t>36,4%</w:t>
      </w:r>
    </w:p>
    <w:p>
      <w:pPr>
        <w:pStyle w:val="style86"/>
        <w:ind w:hanging="0" w:left="0" w:right="282"/>
        <w:jc w:val="right"/>
      </w:pPr>
      <w:r>
        <w:rPr>
          <w:rFonts w:cs="Arial"/>
          <w:sz w:val="16"/>
          <w:szCs w:val="16"/>
        </w:rPr>
        <w:t>8,1%</w:t>
      </w:r>
    </w:p>
    <w:p>
      <w:pPr>
        <w:pStyle w:val="style86"/>
        <w:ind w:hanging="0" w:left="0" w:right="282"/>
        <w:jc w:val="right"/>
      </w:pPr>
      <w:r>
        <w:rPr>
          <w:rFonts w:cs="Arial"/>
          <w:sz w:val="16"/>
          <w:szCs w:val="16"/>
        </w:rPr>
        <w:t>8,7%</w:t>
      </w:r>
    </w:p>
    <w:p>
      <w:pPr>
        <w:pStyle w:val="style86"/>
        <w:ind w:hanging="0" w:left="0" w:right="282"/>
        <w:jc w:val="right"/>
      </w:pPr>
      <w:r>
        <w:rPr>
          <w:rFonts w:cs="Arial"/>
          <w:sz w:val="16"/>
          <w:szCs w:val="16"/>
        </w:rPr>
        <w:t>5,2%</w:t>
      </w:r>
    </w:p>
    <w:p>
      <w:pPr>
        <w:pStyle w:val="style86"/>
        <w:ind w:firstLine="176" w:left="0" w:right="0"/>
      </w:pPr>
      <w:r>
        <w:rPr>
          <w:rFonts w:cs="Arial"/>
          <w:sz w:val="16"/>
          <w:szCs w:val="16"/>
        </w:rPr>
        <w:t>Πετρελαιοειδή</w:t>
      </w:r>
    </w:p>
    <w:p>
      <w:pPr>
        <w:pStyle w:val="style86"/>
        <w:jc w:val="right"/>
      </w:pPr>
      <w:r>
        <w:rPr>
          <w:rFonts w:cs="Arial"/>
          <w:sz w:val="16"/>
          <w:szCs w:val="16"/>
        </w:rPr>
        <w:t>698,5</w:t>
      </w:r>
    </w:p>
    <w:p>
      <w:pPr>
        <w:pStyle w:val="style86"/>
        <w:ind w:hanging="0" w:left="0" w:right="282"/>
        <w:jc w:val="right"/>
      </w:pPr>
      <w:r>
        <w:rPr>
          <w:rFonts w:cs="Arial"/>
          <w:sz w:val="16"/>
          <w:szCs w:val="16"/>
        </w:rPr>
        <w:t>72,1%</w:t>
      </w:r>
    </w:p>
    <w:p>
      <w:pPr>
        <w:pStyle w:val="style86"/>
        <w:ind w:hanging="0" w:left="0" w:right="282"/>
        <w:jc w:val="right"/>
      </w:pPr>
      <w:r>
        <w:rPr>
          <w:rFonts w:cs="Arial"/>
          <w:sz w:val="16"/>
          <w:szCs w:val="16"/>
        </w:rPr>
        <w:t>8,2%</w:t>
      </w:r>
    </w:p>
    <w:p>
      <w:pPr>
        <w:pStyle w:val="style86"/>
        <w:ind w:hanging="0" w:left="0" w:right="282"/>
        <w:jc w:val="right"/>
      </w:pPr>
      <w:r>
        <w:rPr>
          <w:rFonts w:cs="Arial"/>
          <w:sz w:val="16"/>
          <w:szCs w:val="16"/>
        </w:rPr>
        <w:t>29,9%</w:t>
      </w:r>
    </w:p>
    <w:p>
      <w:pPr>
        <w:pStyle w:val="style86"/>
        <w:ind w:hanging="0" w:left="0" w:right="282"/>
        <w:jc w:val="right"/>
      </w:pPr>
      <w:r>
        <w:rPr>
          <w:rFonts w:cs="Arial"/>
          <w:sz w:val="16"/>
          <w:szCs w:val="16"/>
        </w:rPr>
        <w:t>0,2%</w:t>
      </w:r>
    </w:p>
    <w:p>
      <w:pPr>
        <w:pStyle w:val="style86"/>
      </w:pPr>
      <w:r>
        <w:rPr>
          <w:rFonts w:cs="Arial"/>
          <w:sz w:val="16"/>
          <w:szCs w:val="16"/>
        </w:rPr>
        <w:t>Ηλεκτρισμός, Φ/Α</w:t>
      </w:r>
    </w:p>
    <w:p>
      <w:pPr>
        <w:pStyle w:val="style86"/>
        <w:jc w:val="right"/>
      </w:pPr>
      <w:r>
        <w:rPr>
          <w:rFonts w:cs="Arial"/>
          <w:sz w:val="16"/>
          <w:szCs w:val="16"/>
        </w:rPr>
        <w:t>289,2</w:t>
      </w:r>
    </w:p>
    <w:p>
      <w:pPr>
        <w:pStyle w:val="style86"/>
        <w:ind w:hanging="0" w:left="0" w:right="282"/>
        <w:jc w:val="right"/>
      </w:pPr>
      <w:r>
        <w:rPr>
          <w:rFonts w:cs="Arial"/>
          <w:sz w:val="16"/>
          <w:szCs w:val="16"/>
        </w:rPr>
        <w:t>79,8%</w:t>
      </w:r>
    </w:p>
    <w:p>
      <w:pPr>
        <w:pStyle w:val="style86"/>
        <w:ind w:hanging="0" w:left="0" w:right="282"/>
        <w:jc w:val="right"/>
      </w:pPr>
      <w:r>
        <w:rPr>
          <w:rFonts w:cs="Arial"/>
          <w:sz w:val="16"/>
          <w:szCs w:val="16"/>
        </w:rPr>
        <w:t>3,4%</w:t>
      </w:r>
    </w:p>
    <w:p>
      <w:pPr>
        <w:pStyle w:val="style86"/>
        <w:ind w:hanging="0" w:left="0" w:right="282"/>
        <w:jc w:val="right"/>
      </w:pPr>
      <w:r>
        <w:rPr>
          <w:rFonts w:cs="Arial"/>
          <w:sz w:val="16"/>
          <w:szCs w:val="16"/>
        </w:rPr>
        <w:t>45,5%</w:t>
      </w:r>
    </w:p>
    <w:p>
      <w:pPr>
        <w:pStyle w:val="style86"/>
        <w:ind w:hanging="0" w:left="0" w:right="282"/>
        <w:jc w:val="right"/>
      </w:pPr>
      <w:r>
        <w:rPr>
          <w:rFonts w:cs="Arial"/>
          <w:sz w:val="16"/>
          <w:szCs w:val="16"/>
        </w:rPr>
        <w:t>5,5%</w:t>
      </w:r>
    </w:p>
    <w:p>
      <w:pPr>
        <w:pStyle w:val="style86"/>
      </w:pPr>
      <w:r>
        <w:rPr>
          <w:rFonts w:cs="Arial"/>
          <w:sz w:val="16"/>
          <w:szCs w:val="16"/>
        </w:rPr>
        <w:t>Παροχή νερού</w:t>
      </w:r>
    </w:p>
    <w:p>
      <w:pPr>
        <w:pStyle w:val="style86"/>
        <w:jc w:val="right"/>
      </w:pPr>
      <w:r>
        <w:rPr>
          <w:rFonts w:cs="Arial"/>
          <w:sz w:val="16"/>
          <w:szCs w:val="16"/>
        </w:rPr>
        <w:t>89,4</w:t>
      </w:r>
    </w:p>
    <w:p>
      <w:pPr>
        <w:pStyle w:val="style86"/>
        <w:ind w:hanging="0" w:left="0" w:right="282"/>
        <w:jc w:val="right"/>
      </w:pPr>
      <w:r>
        <w:rPr>
          <w:rFonts w:cs="Arial"/>
          <w:sz w:val="16"/>
          <w:szCs w:val="16"/>
        </w:rPr>
        <w:t>63,3%</w:t>
      </w:r>
    </w:p>
    <w:p>
      <w:pPr>
        <w:pStyle w:val="style86"/>
        <w:ind w:hanging="0" w:left="0" w:right="282"/>
        <w:jc w:val="right"/>
      </w:pPr>
      <w:r>
        <w:rPr>
          <w:rFonts w:cs="Arial"/>
          <w:sz w:val="16"/>
          <w:szCs w:val="16"/>
        </w:rPr>
        <w:t>1,0%</w:t>
      </w:r>
    </w:p>
    <w:p>
      <w:pPr>
        <w:pStyle w:val="style86"/>
        <w:ind w:hanging="0" w:left="0" w:right="282"/>
        <w:jc w:val="right"/>
      </w:pPr>
      <w:r>
        <w:rPr>
          <w:rFonts w:cs="Arial"/>
          <w:sz w:val="16"/>
          <w:szCs w:val="16"/>
        </w:rPr>
        <w:t>57,2%</w:t>
      </w:r>
    </w:p>
    <w:p>
      <w:pPr>
        <w:pStyle w:val="style86"/>
        <w:ind w:hanging="0" w:left="0" w:right="282"/>
        <w:jc w:val="right"/>
      </w:pPr>
      <w:r>
        <w:rPr>
          <w:rFonts w:cs="Arial"/>
          <w:sz w:val="16"/>
          <w:szCs w:val="16"/>
        </w:rPr>
        <w:t>3,6%</w:t>
      </w:r>
    </w:p>
    <w:p>
      <w:pPr>
        <w:pStyle w:val="style86"/>
      </w:pPr>
      <w:r>
        <w:rPr>
          <w:rFonts w:cs="Arial"/>
          <w:sz w:val="16"/>
          <w:szCs w:val="16"/>
        </w:rPr>
        <w:t>Κατασκευές</w:t>
      </w:r>
    </w:p>
    <w:p>
      <w:pPr>
        <w:pStyle w:val="style86"/>
        <w:jc w:val="right"/>
      </w:pPr>
      <w:r>
        <w:rPr>
          <w:rFonts w:cs="Arial"/>
          <w:sz w:val="16"/>
          <w:szCs w:val="16"/>
        </w:rPr>
        <w:t>450,2</w:t>
      </w:r>
    </w:p>
    <w:p>
      <w:pPr>
        <w:pStyle w:val="style86"/>
        <w:ind w:hanging="0" w:left="0" w:right="282"/>
        <w:jc w:val="right"/>
      </w:pPr>
      <w:r>
        <w:rPr>
          <w:rFonts w:cs="Arial"/>
          <w:sz w:val="16"/>
          <w:szCs w:val="16"/>
        </w:rPr>
        <w:t>71,1%</w:t>
      </w:r>
    </w:p>
    <w:p>
      <w:pPr>
        <w:pStyle w:val="style86"/>
        <w:ind w:hanging="0" w:left="0" w:right="282"/>
        <w:jc w:val="right"/>
      </w:pPr>
      <w:r>
        <w:rPr>
          <w:rFonts w:cs="Arial"/>
          <w:sz w:val="16"/>
          <w:szCs w:val="16"/>
        </w:rPr>
        <w:t>5,3%</w:t>
      </w:r>
    </w:p>
    <w:p>
      <w:pPr>
        <w:pStyle w:val="style86"/>
        <w:ind w:hanging="0" w:left="0" w:right="282"/>
        <w:jc w:val="right"/>
      </w:pPr>
      <w:r>
        <w:rPr>
          <w:rFonts w:cs="Arial"/>
          <w:sz w:val="16"/>
          <w:szCs w:val="16"/>
        </w:rPr>
        <w:t>55,2%</w:t>
      </w:r>
    </w:p>
    <w:p>
      <w:pPr>
        <w:pStyle w:val="style86"/>
        <w:ind w:hanging="0" w:left="0" w:right="282"/>
        <w:jc w:val="right"/>
      </w:pPr>
      <w:r>
        <w:rPr>
          <w:rFonts w:cs="Arial"/>
          <w:sz w:val="16"/>
          <w:szCs w:val="16"/>
        </w:rPr>
        <w:t>5,8%</w:t>
      </w:r>
    </w:p>
    <w:p>
      <w:pPr>
        <w:pStyle w:val="style86"/>
      </w:pPr>
      <w:r>
        <w:rPr>
          <w:rFonts w:cs="Arial"/>
          <w:sz w:val="16"/>
          <w:szCs w:val="16"/>
        </w:rPr>
        <w:t>Εμπόριο</w:t>
      </w:r>
    </w:p>
    <w:p>
      <w:pPr>
        <w:pStyle w:val="style86"/>
        <w:jc w:val="right"/>
      </w:pPr>
      <w:r>
        <w:rPr>
          <w:rFonts w:cs="Arial"/>
          <w:sz w:val="16"/>
          <w:szCs w:val="16"/>
        </w:rPr>
        <w:t>128,4</w:t>
      </w:r>
    </w:p>
    <w:p>
      <w:pPr>
        <w:pStyle w:val="style86"/>
        <w:ind w:hanging="0" w:left="0" w:right="282"/>
        <w:jc w:val="right"/>
      </w:pPr>
      <w:r>
        <w:rPr>
          <w:rFonts w:cs="Arial"/>
          <w:sz w:val="16"/>
          <w:szCs w:val="16"/>
        </w:rPr>
        <w:t>7,9%</w:t>
      </w:r>
    </w:p>
    <w:p>
      <w:pPr>
        <w:pStyle w:val="style86"/>
        <w:ind w:hanging="0" w:left="0" w:right="282"/>
        <w:jc w:val="right"/>
      </w:pPr>
      <w:r>
        <w:rPr>
          <w:rFonts w:cs="Arial"/>
          <w:sz w:val="16"/>
          <w:szCs w:val="16"/>
        </w:rPr>
        <w:t>1,5%</w:t>
      </w:r>
    </w:p>
    <w:p>
      <w:pPr>
        <w:pStyle w:val="style86"/>
        <w:ind w:hanging="0" w:left="0" w:right="282"/>
        <w:jc w:val="right"/>
      </w:pPr>
      <w:r>
        <w:rPr>
          <w:rFonts w:cs="Arial"/>
          <w:sz w:val="16"/>
          <w:szCs w:val="16"/>
        </w:rPr>
        <w:t>31,8%</w:t>
      </w:r>
    </w:p>
    <w:p>
      <w:pPr>
        <w:pStyle w:val="style86"/>
        <w:ind w:hanging="0" w:left="0" w:right="282"/>
        <w:jc w:val="right"/>
      </w:pPr>
      <w:r>
        <w:rPr>
          <w:rFonts w:cs="Arial"/>
          <w:sz w:val="16"/>
          <w:szCs w:val="16"/>
        </w:rPr>
        <w:t>5,7%</w:t>
      </w:r>
    </w:p>
    <w:p>
      <w:pPr>
        <w:pStyle w:val="style86"/>
      </w:pPr>
      <w:r>
        <w:rPr>
          <w:rFonts w:cs="Arial"/>
          <w:sz w:val="16"/>
          <w:szCs w:val="16"/>
        </w:rPr>
        <w:t>Μεταφορές και αποθήκευση</w:t>
      </w:r>
    </w:p>
    <w:p>
      <w:pPr>
        <w:pStyle w:val="style86"/>
        <w:jc w:val="right"/>
      </w:pPr>
      <w:r>
        <w:rPr>
          <w:rFonts w:cs="Arial"/>
          <w:sz w:val="16"/>
          <w:szCs w:val="16"/>
        </w:rPr>
        <w:t>276,6</w:t>
      </w:r>
    </w:p>
    <w:p>
      <w:pPr>
        <w:pStyle w:val="style86"/>
        <w:ind w:hanging="0" w:left="0" w:right="282"/>
        <w:jc w:val="right"/>
      </w:pPr>
      <w:r>
        <w:rPr>
          <w:rFonts w:cs="Arial"/>
          <w:sz w:val="16"/>
          <w:szCs w:val="16"/>
        </w:rPr>
        <w:t>8,4%</w:t>
      </w:r>
    </w:p>
    <w:p>
      <w:pPr>
        <w:pStyle w:val="style86"/>
        <w:ind w:hanging="0" w:left="0" w:right="282"/>
        <w:jc w:val="right"/>
      </w:pPr>
      <w:r>
        <w:rPr>
          <w:rFonts w:cs="Arial"/>
          <w:sz w:val="16"/>
          <w:szCs w:val="16"/>
        </w:rPr>
        <w:t>3,2%</w:t>
      </w:r>
    </w:p>
    <w:p>
      <w:pPr>
        <w:pStyle w:val="style86"/>
        <w:ind w:hanging="0" w:left="0" w:right="282"/>
        <w:jc w:val="right"/>
      </w:pPr>
      <w:r>
        <w:rPr>
          <w:rFonts w:cs="Arial"/>
          <w:sz w:val="16"/>
          <w:szCs w:val="16"/>
        </w:rPr>
        <w:t>37,3%</w:t>
      </w:r>
    </w:p>
    <w:p>
      <w:pPr>
        <w:pStyle w:val="style86"/>
        <w:ind w:hanging="0" w:left="0" w:right="282"/>
        <w:jc w:val="right"/>
      </w:pPr>
      <w:r>
        <w:rPr>
          <w:rFonts w:cs="Arial"/>
          <w:sz w:val="16"/>
          <w:szCs w:val="16"/>
        </w:rPr>
        <w:t>9,3%</w:t>
      </w:r>
    </w:p>
    <w:p>
      <w:pPr>
        <w:pStyle w:val="style86"/>
      </w:pPr>
      <w:r>
        <w:rPr>
          <w:rFonts w:cs="Arial"/>
          <w:sz w:val="16"/>
          <w:szCs w:val="16"/>
        </w:rPr>
        <w:t>Τουρισμός</w:t>
      </w:r>
    </w:p>
    <w:p>
      <w:pPr>
        <w:pStyle w:val="style86"/>
        <w:jc w:val="right"/>
      </w:pPr>
      <w:r>
        <w:rPr>
          <w:rFonts w:cs="Arial"/>
          <w:sz w:val="16"/>
          <w:szCs w:val="16"/>
        </w:rPr>
        <w:t>157,4</w:t>
      </w:r>
    </w:p>
    <w:p>
      <w:pPr>
        <w:pStyle w:val="style86"/>
        <w:ind w:hanging="0" w:left="0" w:right="282"/>
        <w:jc w:val="right"/>
      </w:pPr>
      <w:r>
        <w:rPr>
          <w:rFonts w:cs="Arial"/>
          <w:sz w:val="16"/>
          <w:szCs w:val="16"/>
        </w:rPr>
        <w:t>27,5%</w:t>
      </w:r>
    </w:p>
    <w:p>
      <w:pPr>
        <w:pStyle w:val="style86"/>
        <w:ind w:hanging="0" w:left="0" w:right="282"/>
        <w:jc w:val="right"/>
      </w:pPr>
      <w:r>
        <w:rPr>
          <w:rFonts w:cs="Arial"/>
          <w:sz w:val="16"/>
          <w:szCs w:val="16"/>
        </w:rPr>
        <w:t>1,8%</w:t>
      </w:r>
    </w:p>
    <w:p>
      <w:pPr>
        <w:pStyle w:val="style86"/>
        <w:ind w:hanging="0" w:left="0" w:right="282"/>
        <w:jc w:val="right"/>
      </w:pPr>
      <w:r>
        <w:rPr>
          <w:rFonts w:cs="Arial"/>
          <w:sz w:val="16"/>
          <w:szCs w:val="16"/>
        </w:rPr>
        <w:t>54,9%</w:t>
      </w:r>
    </w:p>
    <w:p>
      <w:pPr>
        <w:pStyle w:val="style86"/>
        <w:ind w:hanging="0" w:left="0" w:right="282"/>
        <w:jc w:val="right"/>
      </w:pPr>
      <w:r>
        <w:rPr>
          <w:rFonts w:cs="Arial"/>
          <w:sz w:val="16"/>
          <w:szCs w:val="16"/>
        </w:rPr>
        <w:t>2,6%</w:t>
      </w:r>
    </w:p>
    <w:p>
      <w:pPr>
        <w:pStyle w:val="style86"/>
      </w:pPr>
      <w:r>
        <w:rPr>
          <w:rFonts w:cs="Arial"/>
          <w:sz w:val="16"/>
          <w:szCs w:val="16"/>
        </w:rPr>
        <w:t>Ενημέρωση και επικοινωνία</w:t>
      </w:r>
    </w:p>
    <w:p>
      <w:pPr>
        <w:pStyle w:val="style86"/>
        <w:jc w:val="right"/>
      </w:pPr>
      <w:r>
        <w:rPr>
          <w:rFonts w:cs="Arial"/>
          <w:sz w:val="16"/>
          <w:szCs w:val="16"/>
        </w:rPr>
        <w:t>77,7</w:t>
      </w:r>
    </w:p>
    <w:p>
      <w:pPr>
        <w:pStyle w:val="style86"/>
        <w:ind w:hanging="0" w:left="0" w:right="282"/>
        <w:jc w:val="right"/>
      </w:pPr>
      <w:r>
        <w:rPr>
          <w:rFonts w:cs="Arial"/>
          <w:sz w:val="16"/>
          <w:szCs w:val="16"/>
        </w:rPr>
        <w:t>9,2%</w:t>
      </w:r>
    </w:p>
    <w:p>
      <w:pPr>
        <w:pStyle w:val="style86"/>
        <w:ind w:hanging="0" w:left="0" w:right="282"/>
        <w:jc w:val="right"/>
      </w:pPr>
      <w:r>
        <w:rPr>
          <w:rFonts w:cs="Arial"/>
          <w:sz w:val="16"/>
          <w:szCs w:val="16"/>
        </w:rPr>
        <w:t>0,9%</w:t>
      </w:r>
    </w:p>
    <w:p>
      <w:pPr>
        <w:pStyle w:val="style86"/>
        <w:ind w:hanging="0" w:left="0" w:right="282"/>
        <w:jc w:val="right"/>
      </w:pPr>
      <w:r>
        <w:rPr>
          <w:rFonts w:cs="Arial"/>
          <w:sz w:val="16"/>
          <w:szCs w:val="16"/>
        </w:rPr>
        <w:t>7,1%</w:t>
      </w:r>
    </w:p>
    <w:p>
      <w:pPr>
        <w:pStyle w:val="style86"/>
        <w:ind w:hanging="0" w:left="0" w:right="282"/>
        <w:jc w:val="right"/>
      </w:pPr>
      <w:r>
        <w:rPr>
          <w:rFonts w:cs="Arial"/>
          <w:sz w:val="16"/>
          <w:szCs w:val="16"/>
        </w:rPr>
        <w:t>2,1%</w:t>
      </w:r>
    </w:p>
    <w:p>
      <w:pPr>
        <w:pStyle w:val="style86"/>
      </w:pPr>
      <w:r>
        <w:rPr>
          <w:rFonts w:cs="Arial"/>
          <w:sz w:val="16"/>
          <w:szCs w:val="16"/>
        </w:rPr>
        <w:t>Τράπεζες, ασφάλειες</w:t>
      </w:r>
    </w:p>
    <w:p>
      <w:pPr>
        <w:pStyle w:val="style86"/>
        <w:jc w:val="right"/>
      </w:pPr>
      <w:r>
        <w:rPr>
          <w:rFonts w:cs="Arial"/>
          <w:sz w:val="16"/>
          <w:szCs w:val="16"/>
        </w:rPr>
        <w:t>343,4</w:t>
      </w:r>
    </w:p>
    <w:p>
      <w:pPr>
        <w:pStyle w:val="style86"/>
        <w:ind w:hanging="0" w:left="0" w:right="282"/>
        <w:jc w:val="right"/>
      </w:pPr>
      <w:r>
        <w:rPr>
          <w:rFonts w:cs="Arial"/>
          <w:sz w:val="16"/>
          <w:szCs w:val="16"/>
        </w:rPr>
        <w:t>32,4%</w:t>
      </w:r>
    </w:p>
    <w:p>
      <w:pPr>
        <w:pStyle w:val="style86"/>
        <w:ind w:hanging="0" w:left="0" w:right="282"/>
        <w:jc w:val="right"/>
      </w:pPr>
      <w:r>
        <w:rPr>
          <w:rFonts w:cs="Arial"/>
          <w:sz w:val="16"/>
          <w:szCs w:val="16"/>
        </w:rPr>
        <w:t>4,0%</w:t>
      </w:r>
    </w:p>
    <w:p>
      <w:pPr>
        <w:pStyle w:val="style86"/>
        <w:ind w:hanging="0" w:left="0" w:right="282"/>
        <w:jc w:val="right"/>
      </w:pPr>
      <w:r>
        <w:rPr>
          <w:rFonts w:cs="Arial"/>
          <w:sz w:val="16"/>
          <w:szCs w:val="16"/>
        </w:rPr>
        <w:t>30,7%</w:t>
      </w:r>
    </w:p>
    <w:p>
      <w:pPr>
        <w:pStyle w:val="style86"/>
        <w:ind w:hanging="0" w:left="0" w:right="282"/>
        <w:jc w:val="right"/>
      </w:pPr>
      <w:r>
        <w:rPr>
          <w:rFonts w:cs="Arial"/>
          <w:sz w:val="16"/>
          <w:szCs w:val="16"/>
        </w:rPr>
        <w:t>3,5%</w:t>
      </w:r>
    </w:p>
    <w:p>
      <w:pPr>
        <w:pStyle w:val="style86"/>
      </w:pPr>
      <w:r>
        <w:rPr>
          <w:rFonts w:cs="Arial"/>
          <w:sz w:val="16"/>
          <w:szCs w:val="16"/>
        </w:rPr>
        <w:t>Αγορά ακινήτων</w:t>
      </w:r>
    </w:p>
    <w:p>
      <w:pPr>
        <w:pStyle w:val="style86"/>
        <w:jc w:val="right"/>
      </w:pPr>
      <w:r>
        <w:rPr>
          <w:rFonts w:cs="Arial"/>
          <w:sz w:val="16"/>
          <w:szCs w:val="16"/>
        </w:rPr>
        <w:t>20,3</w:t>
      </w:r>
    </w:p>
    <w:p>
      <w:pPr>
        <w:pStyle w:val="style86"/>
        <w:ind w:hanging="0" w:left="0" w:right="282"/>
        <w:jc w:val="right"/>
      </w:pPr>
      <w:r>
        <w:rPr>
          <w:rFonts w:cs="Arial"/>
          <w:sz w:val="16"/>
          <w:szCs w:val="16"/>
        </w:rPr>
        <w:t>1,8%</w:t>
      </w:r>
    </w:p>
    <w:p>
      <w:pPr>
        <w:pStyle w:val="style86"/>
        <w:ind w:hanging="0" w:left="0" w:right="282"/>
        <w:jc w:val="right"/>
      </w:pPr>
      <w:r>
        <w:rPr>
          <w:rFonts w:cs="Arial"/>
          <w:sz w:val="16"/>
          <w:szCs w:val="16"/>
        </w:rPr>
        <w:t>0,2%</w:t>
      </w:r>
    </w:p>
    <w:p>
      <w:pPr>
        <w:pStyle w:val="style86"/>
        <w:ind w:hanging="0" w:left="0" w:right="282"/>
        <w:jc w:val="right"/>
      </w:pPr>
      <w:r>
        <w:rPr>
          <w:rFonts w:cs="Arial"/>
          <w:sz w:val="16"/>
          <w:szCs w:val="16"/>
        </w:rPr>
        <w:t>14,7%</w:t>
      </w:r>
    </w:p>
    <w:p>
      <w:pPr>
        <w:pStyle w:val="style86"/>
        <w:ind w:hanging="0" w:left="0" w:right="282"/>
        <w:jc w:val="right"/>
      </w:pPr>
      <w:r>
        <w:rPr>
          <w:rFonts w:cs="Arial"/>
          <w:sz w:val="16"/>
          <w:szCs w:val="16"/>
        </w:rPr>
        <w:t>17,8%</w:t>
      </w:r>
    </w:p>
    <w:p>
      <w:pPr>
        <w:pStyle w:val="style86"/>
      </w:pPr>
      <w:r>
        <w:rPr>
          <w:rFonts w:cs="Arial"/>
          <w:sz w:val="16"/>
          <w:szCs w:val="16"/>
          <w:lang w:val="el-GR"/>
        </w:rPr>
        <w:t>Επαγγελματικές υπηρεσίες</w:t>
      </w:r>
    </w:p>
    <w:p>
      <w:pPr>
        <w:pStyle w:val="style86"/>
        <w:jc w:val="right"/>
      </w:pPr>
      <w:r>
        <w:rPr>
          <w:rFonts w:cs="Arial"/>
          <w:sz w:val="16"/>
          <w:szCs w:val="16"/>
        </w:rPr>
        <w:t>15,4</w:t>
      </w:r>
    </w:p>
    <w:p>
      <w:pPr>
        <w:pStyle w:val="style86"/>
        <w:ind w:hanging="0" w:left="0" w:right="282"/>
        <w:jc w:val="right"/>
      </w:pPr>
      <w:r>
        <w:rPr>
          <w:rFonts w:cs="Arial"/>
          <w:sz w:val="16"/>
          <w:szCs w:val="16"/>
        </w:rPr>
        <w:t>2,5%</w:t>
      </w:r>
    </w:p>
    <w:p>
      <w:pPr>
        <w:pStyle w:val="style86"/>
        <w:ind w:hanging="0" w:left="0" w:right="282"/>
        <w:jc w:val="right"/>
      </w:pPr>
      <w:r>
        <w:rPr>
          <w:rFonts w:cs="Arial"/>
          <w:sz w:val="16"/>
          <w:szCs w:val="16"/>
        </w:rPr>
        <w:t>0,2%</w:t>
      </w:r>
    </w:p>
    <w:p>
      <w:pPr>
        <w:pStyle w:val="style86"/>
        <w:ind w:hanging="0" w:left="0" w:right="282"/>
        <w:jc w:val="right"/>
      </w:pPr>
      <w:r>
        <w:rPr>
          <w:rFonts w:cs="Arial"/>
          <w:sz w:val="16"/>
          <w:szCs w:val="16"/>
        </w:rPr>
        <w:t>14,2%</w:t>
      </w:r>
    </w:p>
    <w:p>
      <w:pPr>
        <w:pStyle w:val="style86"/>
        <w:ind w:hanging="0" w:left="0" w:right="282"/>
        <w:jc w:val="right"/>
      </w:pPr>
      <w:r>
        <w:rPr>
          <w:rFonts w:cs="Arial"/>
          <w:sz w:val="16"/>
          <w:szCs w:val="16"/>
        </w:rPr>
        <w:t>2,8%</w:t>
      </w:r>
    </w:p>
    <w:p>
      <w:pPr>
        <w:pStyle w:val="style86"/>
      </w:pPr>
      <w:r>
        <w:rPr>
          <w:rFonts w:cs="Arial"/>
          <w:sz w:val="16"/>
          <w:szCs w:val="16"/>
        </w:rPr>
        <w:t>Υπηρεσίες προς επιχειρήσεις</w:t>
      </w:r>
    </w:p>
    <w:p>
      <w:pPr>
        <w:pStyle w:val="style86"/>
        <w:jc w:val="right"/>
      </w:pPr>
      <w:r>
        <w:rPr>
          <w:rFonts w:cs="Arial"/>
          <w:sz w:val="16"/>
          <w:szCs w:val="16"/>
        </w:rPr>
        <w:t>1,2</w:t>
      </w:r>
    </w:p>
    <w:p>
      <w:pPr>
        <w:pStyle w:val="style86"/>
        <w:ind w:hanging="0" w:left="0" w:right="282"/>
        <w:jc w:val="right"/>
      </w:pPr>
      <w:r>
        <w:rPr>
          <w:rFonts w:cs="Arial"/>
          <w:sz w:val="16"/>
          <w:szCs w:val="16"/>
        </w:rPr>
        <w:t>0,4%</w:t>
      </w:r>
    </w:p>
    <w:p>
      <w:pPr>
        <w:pStyle w:val="style86"/>
        <w:ind w:hanging="0" w:left="0" w:right="282"/>
        <w:jc w:val="right"/>
      </w:pPr>
      <w:r>
        <w:rPr>
          <w:rFonts w:cs="Arial"/>
          <w:sz w:val="16"/>
          <w:szCs w:val="16"/>
        </w:rPr>
        <w:t>0,0%</w:t>
      </w:r>
    </w:p>
    <w:p>
      <w:pPr>
        <w:pStyle w:val="style86"/>
        <w:ind w:hanging="0" w:left="0" w:right="282"/>
        <w:jc w:val="right"/>
      </w:pPr>
      <w:r>
        <w:rPr>
          <w:rFonts w:cs="Arial"/>
          <w:sz w:val="16"/>
          <w:szCs w:val="16"/>
        </w:rPr>
        <w:t>4,9%</w:t>
      </w:r>
    </w:p>
    <w:p>
      <w:pPr>
        <w:pStyle w:val="style86"/>
        <w:ind w:hanging="0" w:left="0" w:right="282"/>
        <w:jc w:val="right"/>
      </w:pPr>
      <w:r>
        <w:rPr>
          <w:rFonts w:cs="Arial"/>
          <w:sz w:val="16"/>
          <w:szCs w:val="16"/>
        </w:rPr>
        <w:t>0,9%</w:t>
      </w:r>
    </w:p>
    <w:p>
      <w:pPr>
        <w:pStyle w:val="style86"/>
      </w:pPr>
      <w:r>
        <w:rPr>
          <w:rFonts w:cs="Arial"/>
          <w:sz w:val="16"/>
          <w:szCs w:val="16"/>
        </w:rPr>
        <w:t>Δημόσια διοίκηση</w:t>
      </w:r>
    </w:p>
    <w:p>
      <w:pPr>
        <w:pStyle w:val="style86"/>
        <w:jc w:val="right"/>
      </w:pPr>
      <w:r>
        <w:rPr>
          <w:rFonts w:cs="Arial"/>
          <w:sz w:val="16"/>
          <w:szCs w:val="16"/>
        </w:rPr>
        <w:t>4.779,1</w:t>
      </w:r>
    </w:p>
    <w:p>
      <w:pPr>
        <w:pStyle w:val="style86"/>
        <w:ind w:hanging="0" w:left="0" w:right="282"/>
        <w:jc w:val="right"/>
      </w:pPr>
      <w:r>
        <w:rPr>
          <w:rFonts w:cs="Arial"/>
          <w:sz w:val="16"/>
          <w:szCs w:val="16"/>
        </w:rPr>
        <w:t>76,6%</w:t>
      </w:r>
    </w:p>
    <w:p>
      <w:pPr>
        <w:pStyle w:val="style86"/>
        <w:ind w:hanging="0" w:left="0" w:right="282"/>
        <w:jc w:val="right"/>
      </w:pPr>
      <w:r>
        <w:rPr>
          <w:rFonts w:cs="Arial"/>
          <w:sz w:val="16"/>
          <w:szCs w:val="16"/>
        </w:rPr>
        <w:t>55,9%</w:t>
      </w:r>
    </w:p>
    <w:p>
      <w:pPr>
        <w:pStyle w:val="style86"/>
        <w:ind w:hanging="0" w:left="0" w:right="282"/>
        <w:jc w:val="right"/>
      </w:pPr>
      <w:r>
        <w:rPr>
          <w:rFonts w:cs="Arial"/>
          <w:sz w:val="16"/>
          <w:szCs w:val="16"/>
        </w:rPr>
        <w:t>59,0%</w:t>
      </w:r>
    </w:p>
    <w:p>
      <w:pPr>
        <w:pStyle w:val="style86"/>
        <w:ind w:hanging="0" w:left="0" w:right="282"/>
        <w:jc w:val="right"/>
      </w:pPr>
      <w:r>
        <w:rPr>
          <w:rFonts w:cs="Arial"/>
          <w:sz w:val="16"/>
          <w:szCs w:val="16"/>
        </w:rPr>
        <w:t>14,4%</w:t>
      </w:r>
    </w:p>
    <w:p>
      <w:pPr>
        <w:pStyle w:val="style86"/>
      </w:pPr>
      <w:r>
        <w:rPr>
          <w:rFonts w:cs="Arial"/>
          <w:sz w:val="16"/>
          <w:szCs w:val="16"/>
        </w:rPr>
        <w:t>Εκπαίδευση</w:t>
      </w:r>
    </w:p>
    <w:p>
      <w:pPr>
        <w:pStyle w:val="style86"/>
        <w:jc w:val="right"/>
      </w:pPr>
      <w:r>
        <w:rPr>
          <w:rFonts w:cs="Arial"/>
          <w:sz w:val="16"/>
          <w:szCs w:val="16"/>
        </w:rPr>
        <w:t>92,9</w:t>
      </w:r>
    </w:p>
    <w:p>
      <w:pPr>
        <w:pStyle w:val="style86"/>
        <w:ind w:hanging="0" w:left="0" w:right="282"/>
        <w:jc w:val="right"/>
      </w:pPr>
      <w:r>
        <w:rPr>
          <w:rFonts w:cs="Arial"/>
          <w:sz w:val="16"/>
          <w:szCs w:val="16"/>
        </w:rPr>
        <w:t>10,9%</w:t>
      </w:r>
    </w:p>
    <w:p>
      <w:pPr>
        <w:pStyle w:val="style86"/>
        <w:ind w:hanging="0" w:left="0" w:right="282"/>
        <w:jc w:val="right"/>
      </w:pPr>
      <w:r>
        <w:rPr>
          <w:rFonts w:cs="Arial"/>
          <w:sz w:val="16"/>
          <w:szCs w:val="16"/>
        </w:rPr>
        <w:t>1,1%</w:t>
      </w:r>
    </w:p>
    <w:p>
      <w:pPr>
        <w:pStyle w:val="style86"/>
        <w:ind w:hanging="0" w:left="0" w:right="282"/>
        <w:jc w:val="right"/>
      </w:pPr>
      <w:r>
        <w:rPr>
          <w:rFonts w:cs="Arial"/>
          <w:sz w:val="16"/>
          <w:szCs w:val="16"/>
        </w:rPr>
        <w:t>47,0%</w:t>
      </w:r>
    </w:p>
    <w:p>
      <w:pPr>
        <w:pStyle w:val="style86"/>
        <w:ind w:hanging="0" w:left="0" w:right="282"/>
        <w:jc w:val="right"/>
      </w:pPr>
      <w:r>
        <w:rPr>
          <w:rFonts w:cs="Arial"/>
          <w:sz w:val="16"/>
          <w:szCs w:val="16"/>
        </w:rPr>
        <w:t>6,4%</w:t>
      </w:r>
    </w:p>
    <w:p>
      <w:pPr>
        <w:pStyle w:val="style86"/>
      </w:pPr>
      <w:r>
        <w:rPr>
          <w:rFonts w:cs="Arial"/>
          <w:sz w:val="16"/>
          <w:szCs w:val="16"/>
        </w:rPr>
        <w:t>Υγεία</w:t>
      </w:r>
    </w:p>
    <w:p>
      <w:pPr>
        <w:pStyle w:val="style86"/>
        <w:jc w:val="right"/>
      </w:pPr>
      <w:r>
        <w:rPr>
          <w:rFonts w:cs="Arial"/>
          <w:sz w:val="16"/>
          <w:szCs w:val="16"/>
        </w:rPr>
        <w:t>24,6</w:t>
      </w:r>
    </w:p>
    <w:p>
      <w:pPr>
        <w:pStyle w:val="style86"/>
        <w:ind w:hanging="0" w:left="0" w:right="282"/>
        <w:jc w:val="right"/>
      </w:pPr>
      <w:r>
        <w:rPr>
          <w:rFonts w:cs="Arial"/>
          <w:sz w:val="16"/>
          <w:szCs w:val="16"/>
        </w:rPr>
        <w:t>4,7%</w:t>
      </w:r>
    </w:p>
    <w:p>
      <w:pPr>
        <w:pStyle w:val="style86"/>
        <w:ind w:hanging="0" w:left="0" w:right="282"/>
        <w:jc w:val="right"/>
      </w:pPr>
      <w:r>
        <w:rPr>
          <w:rFonts w:cs="Arial"/>
          <w:sz w:val="16"/>
          <w:szCs w:val="16"/>
        </w:rPr>
        <w:t>0,3%</w:t>
      </w:r>
    </w:p>
    <w:p>
      <w:pPr>
        <w:pStyle w:val="style86"/>
        <w:ind w:hanging="0" w:left="0" w:right="282"/>
        <w:jc w:val="right"/>
      </w:pPr>
      <w:r>
        <w:rPr>
          <w:rFonts w:cs="Arial"/>
          <w:sz w:val="16"/>
          <w:szCs w:val="16"/>
        </w:rPr>
        <w:t>47,7%</w:t>
      </w:r>
    </w:p>
    <w:p>
      <w:pPr>
        <w:pStyle w:val="style86"/>
        <w:ind w:hanging="0" w:left="0" w:right="282"/>
        <w:jc w:val="right"/>
      </w:pPr>
      <w:r>
        <w:rPr>
          <w:rFonts w:cs="Arial"/>
          <w:sz w:val="16"/>
          <w:szCs w:val="16"/>
        </w:rPr>
        <w:t>6,5%</w:t>
      </w:r>
    </w:p>
    <w:p>
      <w:pPr>
        <w:pStyle w:val="style86"/>
      </w:pPr>
      <w:r>
        <w:rPr>
          <w:rFonts w:cs="Arial"/>
          <w:sz w:val="16"/>
          <w:szCs w:val="16"/>
        </w:rPr>
        <w:t>Τέχνες, διασκέδαση</w:t>
      </w:r>
    </w:p>
    <w:p>
      <w:pPr>
        <w:pStyle w:val="style86"/>
        <w:jc w:val="right"/>
      </w:pPr>
      <w:r>
        <w:rPr>
          <w:rFonts w:cs="Arial"/>
          <w:sz w:val="16"/>
          <w:szCs w:val="16"/>
        </w:rPr>
        <w:t>34,5</w:t>
      </w:r>
    </w:p>
    <w:p>
      <w:pPr>
        <w:pStyle w:val="style86"/>
        <w:ind w:hanging="0" w:left="0" w:right="282"/>
        <w:jc w:val="right"/>
      </w:pPr>
      <w:r>
        <w:rPr>
          <w:rFonts w:cs="Arial"/>
          <w:sz w:val="16"/>
          <w:szCs w:val="16"/>
        </w:rPr>
        <w:t>19,7%</w:t>
      </w:r>
    </w:p>
    <w:p>
      <w:pPr>
        <w:pStyle w:val="style86"/>
        <w:ind w:hanging="0" w:left="0" w:right="282"/>
        <w:jc w:val="right"/>
      </w:pPr>
      <w:r>
        <w:rPr>
          <w:rFonts w:cs="Arial"/>
          <w:sz w:val="16"/>
          <w:szCs w:val="16"/>
        </w:rPr>
        <w:t>0,4%</w:t>
      </w:r>
    </w:p>
    <w:p>
      <w:pPr>
        <w:pStyle w:val="style86"/>
        <w:ind w:hanging="0" w:left="0" w:right="282"/>
        <w:jc w:val="right"/>
      </w:pPr>
      <w:r>
        <w:rPr>
          <w:rFonts w:cs="Arial"/>
          <w:sz w:val="16"/>
          <w:szCs w:val="16"/>
        </w:rPr>
        <w:t>66,2%</w:t>
      </w:r>
    </w:p>
    <w:p>
      <w:pPr>
        <w:pStyle w:val="style86"/>
        <w:ind w:hanging="0" w:left="0" w:right="282"/>
        <w:jc w:val="right"/>
      </w:pPr>
      <w:r>
        <w:rPr>
          <w:rFonts w:cs="Arial"/>
          <w:sz w:val="16"/>
          <w:szCs w:val="16"/>
        </w:rPr>
        <w:t>3,8%</w:t>
      </w:r>
    </w:p>
    <w:p>
      <w:pPr>
        <w:pStyle w:val="style86"/>
      </w:pPr>
      <w:r>
        <w:rPr>
          <w:rFonts w:cs="Arial"/>
          <w:sz w:val="16"/>
          <w:szCs w:val="16"/>
        </w:rPr>
        <w:t>Λοιπές υπηρεσίες</w:t>
      </w:r>
    </w:p>
    <w:p>
      <w:pPr>
        <w:pStyle w:val="style86"/>
        <w:jc w:val="right"/>
      </w:pPr>
      <w:r>
        <w:rPr>
          <w:rFonts w:cs="Arial"/>
          <w:sz w:val="16"/>
          <w:szCs w:val="16"/>
        </w:rPr>
        <w:t>207,6</w:t>
      </w:r>
    </w:p>
    <w:p>
      <w:pPr>
        <w:pStyle w:val="style86"/>
        <w:ind w:hanging="0" w:left="0" w:right="282"/>
        <w:jc w:val="right"/>
      </w:pPr>
      <w:r>
        <w:rPr>
          <w:rFonts w:cs="Arial"/>
          <w:sz w:val="16"/>
          <w:szCs w:val="16"/>
        </w:rPr>
        <w:t>41,4%</w:t>
      </w:r>
    </w:p>
    <w:p>
      <w:pPr>
        <w:pStyle w:val="style86"/>
        <w:ind w:hanging="0" w:left="0" w:right="282"/>
        <w:jc w:val="right"/>
      </w:pPr>
      <w:r>
        <w:rPr>
          <w:rFonts w:cs="Arial"/>
          <w:sz w:val="16"/>
          <w:szCs w:val="16"/>
        </w:rPr>
        <w:t>2,4%</w:t>
      </w:r>
    </w:p>
    <w:p>
      <w:pPr>
        <w:pStyle w:val="style86"/>
        <w:ind w:hanging="0" w:left="0" w:right="282"/>
        <w:jc w:val="right"/>
      </w:pPr>
      <w:r>
        <w:rPr>
          <w:rFonts w:cs="Arial"/>
          <w:sz w:val="16"/>
          <w:szCs w:val="16"/>
        </w:rPr>
        <w:t>36,1%</w:t>
      </w:r>
    </w:p>
    <w:p>
      <w:pPr>
        <w:pStyle w:val="style86"/>
        <w:ind w:hanging="0" w:left="0" w:right="282"/>
        <w:jc w:val="right"/>
      </w:pPr>
      <w:r>
        <w:rPr>
          <w:rFonts w:cs="Arial"/>
          <w:sz w:val="16"/>
          <w:szCs w:val="16"/>
        </w:rPr>
        <w:t>0,8%</w:t>
      </w:r>
    </w:p>
    <w:p>
      <w:pPr>
        <w:pStyle w:val="style86"/>
        <w:spacing w:after="0" w:before="120"/>
        <w:contextualSpacing w:val="false"/>
      </w:pPr>
      <w:r>
        <w:rPr>
          <w:rFonts w:cs="Arial"/>
          <w:sz w:val="16"/>
          <w:szCs w:val="16"/>
          <w:lang w:val="el-GR"/>
        </w:rPr>
      </w:r>
    </w:p>
    <w:p>
      <w:pPr>
        <w:pStyle w:val="style86"/>
        <w:spacing w:after="120" w:before="0"/>
        <w:contextualSpacing w:val="false"/>
      </w:pPr>
      <w:r>
        <w:rPr>
          <w:rFonts w:cs="Arial"/>
          <w:b/>
          <w:color w:val="00B0F0"/>
          <w:lang w:val="el-GR"/>
        </w:rPr>
        <w:t xml:space="preserve">Δ08: </w:t>
      </w:r>
      <w:r>
        <w:rPr>
          <w:rFonts w:cs="Arial"/>
          <w:b/>
          <w:lang w:val="el-GR"/>
        </w:rPr>
        <w:t xml:space="preserve">Κατανομή ακαθάριστων επενδύσεων σε μεταφορές κατά κλάδο </w:t>
      </w:r>
      <w:r>
        <w:rPr>
          <w:rFonts w:cs="Arial"/>
          <w:i/>
          <w:color w:val="00B0F0"/>
          <w:lang w:val="el-GR"/>
        </w:rPr>
        <w:t>(</w:t>
      </w:r>
      <w:r>
        <w:rPr>
          <w:rFonts w:cs="Arial"/>
          <w:i/>
          <w:color w:val="00B0F0"/>
        </w:rPr>
        <w:t>Eurostat</w:t>
      </w:r>
      <w:r>
        <w:rPr>
          <w:rFonts w:cs="Arial"/>
          <w:i/>
          <w:color w:val="00B0F0"/>
          <w:lang w:val="el-GR"/>
        </w:rPr>
        <w:t>, 2017)</w:t>
      </w:r>
    </w:p>
    <w:p>
      <w:pPr>
        <w:pStyle w:val="style86"/>
        <w:jc w:val="center"/>
      </w:pPr>
      <w:r>
        <w:rPr>
          <w:rFonts w:cs="Arial"/>
          <w:b/>
          <w:color w:val="FFFFFF"/>
          <w:sz w:val="16"/>
          <w:szCs w:val="16"/>
          <w:lang w:val="el-GR"/>
        </w:rPr>
      </w:r>
    </w:p>
    <w:p>
      <w:pPr>
        <w:pStyle w:val="style86"/>
        <w:jc w:val="center"/>
      </w:pPr>
      <w:r>
        <w:rPr>
          <w:rFonts w:cs="Arial"/>
          <w:b/>
          <w:color w:val="FFFFFF"/>
          <w:sz w:val="16"/>
          <w:szCs w:val="16"/>
        </w:rPr>
        <w:t>Ελλάδα</w:t>
      </w:r>
    </w:p>
    <w:p>
      <w:pPr>
        <w:pStyle w:val="style86"/>
        <w:jc w:val="center"/>
      </w:pPr>
      <w:r>
        <w:rPr>
          <w:rFonts w:cs="Arial"/>
          <w:b/>
          <w:color w:val="FFFFFF"/>
          <w:sz w:val="16"/>
          <w:szCs w:val="16"/>
        </w:rPr>
        <w:t>ΕΕ</w:t>
      </w:r>
      <w:r>
        <w:rPr>
          <w:rFonts w:cs="Arial"/>
          <w:b/>
          <w:color w:val="FFFFFF"/>
          <w:sz w:val="16"/>
          <w:szCs w:val="16"/>
          <w:lang w:val="el-GR"/>
        </w:rPr>
        <w:t>*</w:t>
      </w:r>
    </w:p>
    <w:p>
      <w:pPr>
        <w:pStyle w:val="style86"/>
        <w:jc w:val="center"/>
      </w:pPr>
      <w:r>
        <w:rPr>
          <w:rFonts w:cs="Arial"/>
          <w:b/>
          <w:color w:val="FFFFFF"/>
          <w:sz w:val="16"/>
          <w:szCs w:val="16"/>
        </w:rPr>
      </w:r>
    </w:p>
    <w:p>
      <w:pPr>
        <w:pStyle w:val="style86"/>
        <w:jc w:val="center"/>
      </w:pPr>
      <w:r>
        <w:rPr>
          <w:rFonts w:cs="Arial"/>
          <w:b/>
          <w:color w:val="FFFFFF"/>
          <w:sz w:val="16"/>
          <w:szCs w:val="16"/>
        </w:rPr>
        <w:t xml:space="preserve">€ </w:t>
      </w:r>
      <w:r>
        <w:rPr>
          <w:rFonts w:cs="Arial"/>
          <w:b/>
          <w:color w:val="FFFFFF"/>
          <w:sz w:val="16"/>
          <w:szCs w:val="16"/>
        </w:rPr>
        <w:t>εκατ.</w:t>
      </w:r>
    </w:p>
    <w:p>
      <w:pPr>
        <w:pStyle w:val="style86"/>
        <w:jc w:val="center"/>
      </w:pPr>
      <w:r>
        <w:rPr>
          <w:rFonts w:cs="Arial"/>
          <w:b/>
          <w:color w:val="FFFFFF"/>
          <w:sz w:val="16"/>
          <w:szCs w:val="16"/>
        </w:rPr>
        <w:t>Μερίδιο στο σύνολο επενδύσεων</w:t>
      </w:r>
    </w:p>
    <w:p>
      <w:pPr>
        <w:pStyle w:val="style86"/>
        <w:jc w:val="center"/>
      </w:pPr>
      <w:r>
        <w:rPr>
          <w:rFonts w:cs="Arial"/>
          <w:b/>
          <w:color w:val="FFFFFF"/>
          <w:sz w:val="16"/>
          <w:szCs w:val="16"/>
        </w:rPr>
        <w:t xml:space="preserve">Μερίδιο σε </w:t>
      </w:r>
      <w:r>
        <w:rPr>
          <w:rFonts w:cs="Arial"/>
          <w:b/>
          <w:color w:val="FFFFFF"/>
          <w:sz w:val="16"/>
          <w:szCs w:val="16"/>
          <w:lang w:val="el-GR"/>
        </w:rPr>
        <w:t>μεταφορές</w:t>
      </w:r>
    </w:p>
    <w:p>
      <w:pPr>
        <w:pStyle w:val="style86"/>
        <w:jc w:val="center"/>
      </w:pPr>
      <w:r>
        <w:rPr>
          <w:rFonts w:cs="Arial"/>
          <w:b/>
          <w:color w:val="FFFFFF"/>
          <w:sz w:val="16"/>
          <w:szCs w:val="16"/>
        </w:rPr>
        <w:t>Μερίδιο στο σύνολο επενδύσεων</w:t>
      </w:r>
    </w:p>
    <w:p>
      <w:pPr>
        <w:pStyle w:val="style86"/>
        <w:jc w:val="center"/>
      </w:pPr>
      <w:r>
        <w:rPr>
          <w:rFonts w:cs="Arial"/>
          <w:b/>
          <w:color w:val="FFFFFF"/>
          <w:sz w:val="16"/>
          <w:szCs w:val="16"/>
        </w:rPr>
        <w:t xml:space="preserve">Μερίδιο σε </w:t>
      </w:r>
      <w:r>
        <w:rPr>
          <w:rFonts w:cs="Arial"/>
          <w:b/>
          <w:color w:val="FFFFFF"/>
          <w:sz w:val="16"/>
          <w:szCs w:val="16"/>
          <w:lang w:val="el-GR"/>
        </w:rPr>
        <w:t>μεταφορές</w:t>
      </w:r>
    </w:p>
    <w:p>
      <w:pPr>
        <w:pStyle w:val="style86"/>
      </w:pPr>
      <w:r>
        <w:rPr>
          <w:rFonts w:cs="Arial"/>
          <w:b/>
          <w:color w:val="FFFFFF"/>
          <w:sz w:val="16"/>
          <w:szCs w:val="16"/>
        </w:rPr>
        <w:t>Σύνολο</w:t>
      </w:r>
    </w:p>
    <w:p>
      <w:pPr>
        <w:pStyle w:val="style86"/>
        <w:jc w:val="right"/>
      </w:pPr>
      <w:r>
        <w:rPr>
          <w:rFonts w:cs="Arial"/>
          <w:b/>
          <w:color w:val="FFFFFF"/>
          <w:sz w:val="16"/>
          <w:szCs w:val="16"/>
        </w:rPr>
        <w:t>4.639,9</w:t>
      </w:r>
    </w:p>
    <w:p>
      <w:pPr>
        <w:pStyle w:val="style86"/>
        <w:ind w:hanging="0" w:left="0" w:right="282"/>
        <w:jc w:val="right"/>
      </w:pPr>
      <w:r>
        <w:rPr>
          <w:rFonts w:cs="Arial"/>
          <w:b/>
          <w:color w:val="FFFFFF"/>
          <w:sz w:val="16"/>
          <w:szCs w:val="16"/>
        </w:rPr>
        <w:t>20,0%</w:t>
      </w:r>
    </w:p>
    <w:p>
      <w:pPr>
        <w:pStyle w:val="style86"/>
        <w:ind w:hanging="0" w:left="0" w:right="282"/>
        <w:jc w:val="right"/>
      </w:pPr>
      <w:r>
        <w:rPr>
          <w:rFonts w:cs="Arial"/>
          <w:b/>
          <w:color w:val="FFFFFF"/>
          <w:sz w:val="16"/>
          <w:szCs w:val="16"/>
        </w:rPr>
        <w:t>100,0%</w:t>
      </w:r>
    </w:p>
    <w:p>
      <w:pPr>
        <w:pStyle w:val="style86"/>
        <w:ind w:hanging="0" w:left="0" w:right="282"/>
        <w:jc w:val="right"/>
      </w:pPr>
      <w:r>
        <w:rPr>
          <w:rFonts w:cs="Arial"/>
          <w:b/>
          <w:color w:val="FFFFFF"/>
          <w:sz w:val="16"/>
          <w:szCs w:val="16"/>
        </w:rPr>
        <w:t>8,7%</w:t>
      </w:r>
    </w:p>
    <w:p>
      <w:pPr>
        <w:pStyle w:val="style86"/>
        <w:ind w:hanging="0" w:left="0" w:right="282"/>
        <w:jc w:val="right"/>
      </w:pPr>
      <w:r>
        <w:rPr>
          <w:rFonts w:cs="Arial"/>
          <w:b/>
          <w:color w:val="FFFFFF"/>
          <w:sz w:val="16"/>
          <w:szCs w:val="16"/>
        </w:rPr>
        <w:t>100,0%</w:t>
      </w:r>
    </w:p>
    <w:p>
      <w:pPr>
        <w:pStyle w:val="style86"/>
      </w:pPr>
      <w:r>
        <w:rPr>
          <w:rFonts w:cs="Arial"/>
          <w:sz w:val="16"/>
          <w:szCs w:val="16"/>
        </w:rPr>
        <w:t>Γεωργία</w:t>
      </w:r>
    </w:p>
    <w:p>
      <w:pPr>
        <w:pStyle w:val="style86"/>
        <w:jc w:val="right"/>
      </w:pPr>
      <w:r>
        <w:rPr>
          <w:rFonts w:cs="Arial"/>
          <w:sz w:val="16"/>
          <w:szCs w:val="16"/>
        </w:rPr>
        <w:t>366,7</w:t>
      </w:r>
    </w:p>
    <w:p>
      <w:pPr>
        <w:pStyle w:val="style86"/>
        <w:ind w:hanging="0" w:left="0" w:right="282"/>
        <w:jc w:val="right"/>
      </w:pPr>
      <w:r>
        <w:rPr>
          <w:rFonts w:cs="Arial"/>
          <w:sz w:val="16"/>
          <w:szCs w:val="16"/>
        </w:rPr>
        <w:t>25,8%</w:t>
      </w:r>
    </w:p>
    <w:p>
      <w:pPr>
        <w:pStyle w:val="style86"/>
        <w:ind w:hanging="0" w:left="0" w:right="282"/>
        <w:jc w:val="right"/>
      </w:pPr>
      <w:r>
        <w:rPr>
          <w:rFonts w:cs="Arial"/>
          <w:sz w:val="16"/>
          <w:szCs w:val="16"/>
        </w:rPr>
        <w:t>7,9%</w:t>
      </w:r>
    </w:p>
    <w:p>
      <w:pPr>
        <w:pStyle w:val="style86"/>
        <w:ind w:hanging="0" w:left="0" w:right="282"/>
        <w:jc w:val="right"/>
      </w:pPr>
      <w:r>
        <w:rPr>
          <w:rFonts w:cs="Arial"/>
          <w:sz w:val="16"/>
          <w:szCs w:val="16"/>
        </w:rPr>
        <w:t>8,3%</w:t>
      </w:r>
    </w:p>
    <w:p>
      <w:pPr>
        <w:pStyle w:val="style86"/>
        <w:ind w:hanging="0" w:left="0" w:right="282"/>
        <w:jc w:val="right"/>
      </w:pPr>
      <w:r>
        <w:rPr>
          <w:rFonts w:cs="Arial"/>
          <w:sz w:val="16"/>
          <w:szCs w:val="16"/>
        </w:rPr>
        <w:t>1,8%</w:t>
      </w:r>
    </w:p>
    <w:p>
      <w:pPr>
        <w:pStyle w:val="style86"/>
      </w:pPr>
      <w:r>
        <w:rPr>
          <w:rFonts w:cs="Arial"/>
          <w:sz w:val="16"/>
          <w:szCs w:val="16"/>
        </w:rPr>
        <w:t>Ορυχεία, λατομεία</w:t>
      </w:r>
    </w:p>
    <w:p>
      <w:pPr>
        <w:pStyle w:val="style86"/>
        <w:jc w:val="right"/>
      </w:pPr>
      <w:r>
        <w:rPr>
          <w:rFonts w:cs="Arial"/>
          <w:sz w:val="16"/>
          <w:szCs w:val="16"/>
        </w:rPr>
        <w:t>9,8</w:t>
      </w:r>
    </w:p>
    <w:p>
      <w:pPr>
        <w:pStyle w:val="style86"/>
        <w:ind w:hanging="0" w:left="0" w:right="282"/>
        <w:jc w:val="right"/>
      </w:pPr>
      <w:r>
        <w:rPr>
          <w:rFonts w:cs="Arial"/>
          <w:sz w:val="16"/>
          <w:szCs w:val="16"/>
        </w:rPr>
        <w:t>9,4%</w:t>
      </w:r>
    </w:p>
    <w:p>
      <w:pPr>
        <w:pStyle w:val="style86"/>
        <w:ind w:hanging="0" w:left="0" w:right="282"/>
        <w:jc w:val="right"/>
      </w:pPr>
      <w:r>
        <w:rPr>
          <w:rFonts w:cs="Arial"/>
          <w:sz w:val="16"/>
          <w:szCs w:val="16"/>
        </w:rPr>
        <w:t>0,2%</w:t>
      </w:r>
    </w:p>
    <w:p>
      <w:pPr>
        <w:pStyle w:val="style86"/>
        <w:ind w:hanging="0" w:left="0" w:right="282"/>
        <w:jc w:val="right"/>
      </w:pPr>
      <w:r>
        <w:rPr>
          <w:rFonts w:cs="Arial"/>
          <w:sz w:val="16"/>
          <w:szCs w:val="16"/>
        </w:rPr>
        <w:t>-8,8%</w:t>
      </w:r>
    </w:p>
    <w:p>
      <w:pPr>
        <w:pStyle w:val="style86"/>
        <w:ind w:hanging="0" w:left="0" w:right="282"/>
        <w:jc w:val="right"/>
      </w:pPr>
      <w:r>
        <w:rPr>
          <w:rFonts w:cs="Arial"/>
          <w:sz w:val="16"/>
          <w:szCs w:val="16"/>
        </w:rPr>
        <w:t>-0,4%</w:t>
      </w:r>
    </w:p>
    <w:p>
      <w:pPr>
        <w:pStyle w:val="style86"/>
      </w:pPr>
      <w:r>
        <w:rPr>
          <w:rFonts w:cs="Arial"/>
          <w:sz w:val="16"/>
          <w:szCs w:val="16"/>
        </w:rPr>
        <w:t>Μεταποίηση</w:t>
      </w:r>
    </w:p>
    <w:p>
      <w:pPr>
        <w:pStyle w:val="style86"/>
        <w:jc w:val="right"/>
      </w:pPr>
      <w:r>
        <w:rPr>
          <w:rFonts w:cs="Arial"/>
          <w:sz w:val="16"/>
          <w:szCs w:val="16"/>
        </w:rPr>
        <w:t>21,9</w:t>
      </w:r>
    </w:p>
    <w:p>
      <w:pPr>
        <w:pStyle w:val="style86"/>
        <w:ind w:hanging="0" w:left="0" w:right="282"/>
        <w:jc w:val="right"/>
      </w:pPr>
      <w:r>
        <w:rPr>
          <w:rFonts w:cs="Arial"/>
          <w:sz w:val="16"/>
          <w:szCs w:val="16"/>
        </w:rPr>
        <w:t>0,8%</w:t>
      </w:r>
    </w:p>
    <w:p>
      <w:pPr>
        <w:pStyle w:val="style86"/>
        <w:ind w:hanging="0" w:left="0" w:right="282"/>
        <w:jc w:val="right"/>
      </w:pPr>
      <w:r>
        <w:rPr>
          <w:rFonts w:cs="Arial"/>
          <w:sz w:val="16"/>
          <w:szCs w:val="16"/>
        </w:rPr>
        <w:t>0,5%</w:t>
      </w:r>
    </w:p>
    <w:p>
      <w:pPr>
        <w:pStyle w:val="style86"/>
        <w:ind w:hanging="0" w:left="0" w:right="282"/>
        <w:jc w:val="right"/>
      </w:pPr>
      <w:r>
        <w:rPr>
          <w:rFonts w:cs="Arial"/>
          <w:sz w:val="16"/>
          <w:szCs w:val="16"/>
        </w:rPr>
        <w:t>3,6%</w:t>
      </w:r>
    </w:p>
    <w:p>
      <w:pPr>
        <w:pStyle w:val="style86"/>
        <w:ind w:hanging="0" w:left="0" w:right="282"/>
        <w:jc w:val="right"/>
      </w:pPr>
      <w:r>
        <w:rPr>
          <w:rFonts w:cs="Arial"/>
          <w:sz w:val="16"/>
          <w:szCs w:val="16"/>
        </w:rPr>
        <w:t>6,2%</w:t>
      </w:r>
    </w:p>
    <w:p>
      <w:pPr>
        <w:pStyle w:val="style86"/>
        <w:ind w:firstLine="176" w:left="0" w:right="0"/>
      </w:pPr>
      <w:r>
        <w:rPr>
          <w:rFonts w:cs="Arial"/>
          <w:sz w:val="16"/>
          <w:szCs w:val="16"/>
        </w:rPr>
        <w:t>Μεταποίηση πλην πετρελαιοειδών</w:t>
      </w:r>
    </w:p>
    <w:p>
      <w:pPr>
        <w:pStyle w:val="style86"/>
        <w:jc w:val="right"/>
      </w:pPr>
      <w:r>
        <w:rPr>
          <w:rFonts w:cs="Arial"/>
          <w:sz w:val="16"/>
          <w:szCs w:val="16"/>
        </w:rPr>
        <w:t>20,5</w:t>
      </w:r>
    </w:p>
    <w:p>
      <w:pPr>
        <w:pStyle w:val="style86"/>
        <w:ind w:hanging="0" w:left="0" w:right="282"/>
        <w:jc w:val="right"/>
      </w:pPr>
      <w:r>
        <w:rPr>
          <w:rFonts w:cs="Arial"/>
          <w:sz w:val="16"/>
          <w:szCs w:val="16"/>
        </w:rPr>
        <w:t>1,1%</w:t>
      </w:r>
    </w:p>
    <w:p>
      <w:pPr>
        <w:pStyle w:val="style86"/>
        <w:ind w:hanging="0" w:left="0" w:right="282"/>
        <w:jc w:val="right"/>
      </w:pPr>
      <w:r>
        <w:rPr>
          <w:rFonts w:cs="Arial"/>
          <w:sz w:val="16"/>
          <w:szCs w:val="16"/>
        </w:rPr>
        <w:t>0,4%</w:t>
      </w:r>
    </w:p>
    <w:p>
      <w:pPr>
        <w:pStyle w:val="style86"/>
        <w:ind w:hanging="0" w:left="0" w:right="282"/>
        <w:jc w:val="right"/>
      </w:pPr>
      <w:r>
        <w:rPr>
          <w:rFonts w:cs="Arial"/>
          <w:sz w:val="16"/>
          <w:szCs w:val="16"/>
        </w:rPr>
        <w:t>3,6%</w:t>
      </w:r>
    </w:p>
    <w:p>
      <w:pPr>
        <w:pStyle w:val="style86"/>
        <w:ind w:hanging="0" w:left="0" w:right="282"/>
        <w:jc w:val="right"/>
      </w:pPr>
      <w:r>
        <w:rPr>
          <w:rFonts w:cs="Arial"/>
          <w:sz w:val="16"/>
          <w:szCs w:val="16"/>
        </w:rPr>
        <w:t>6,1%</w:t>
      </w:r>
    </w:p>
    <w:p>
      <w:pPr>
        <w:pStyle w:val="style86"/>
        <w:ind w:firstLine="176" w:left="0" w:right="0"/>
      </w:pPr>
      <w:r>
        <w:rPr>
          <w:rFonts w:cs="Arial"/>
          <w:sz w:val="16"/>
          <w:szCs w:val="16"/>
        </w:rPr>
        <w:t>Πετρελαιοειδή</w:t>
      </w:r>
    </w:p>
    <w:p>
      <w:pPr>
        <w:pStyle w:val="style86"/>
        <w:jc w:val="right"/>
      </w:pPr>
      <w:r>
        <w:rPr>
          <w:rFonts w:cs="Arial"/>
          <w:sz w:val="16"/>
          <w:szCs w:val="16"/>
        </w:rPr>
        <w:t>1,4</w:t>
      </w:r>
    </w:p>
    <w:p>
      <w:pPr>
        <w:pStyle w:val="style86"/>
        <w:ind w:hanging="0" w:left="0" w:right="282"/>
        <w:jc w:val="right"/>
      </w:pPr>
      <w:r>
        <w:rPr>
          <w:rFonts w:cs="Arial"/>
          <w:sz w:val="16"/>
          <w:szCs w:val="16"/>
        </w:rPr>
        <w:t>0,1%</w:t>
      </w:r>
    </w:p>
    <w:p>
      <w:pPr>
        <w:pStyle w:val="style86"/>
        <w:ind w:hanging="0" w:left="0" w:right="282"/>
        <w:jc w:val="right"/>
      </w:pPr>
      <w:r>
        <w:rPr>
          <w:rFonts w:cs="Arial"/>
          <w:sz w:val="16"/>
          <w:szCs w:val="16"/>
        </w:rPr>
        <w:t>0,0%</w:t>
      </w:r>
    </w:p>
    <w:p>
      <w:pPr>
        <w:pStyle w:val="style86"/>
        <w:ind w:hanging="0" w:left="0" w:right="282"/>
        <w:jc w:val="right"/>
      </w:pPr>
      <w:r>
        <w:rPr>
          <w:rFonts w:cs="Arial"/>
          <w:sz w:val="16"/>
          <w:szCs w:val="16"/>
        </w:rPr>
        <w:t>1,2%</w:t>
      </w:r>
    </w:p>
    <w:p>
      <w:pPr>
        <w:pStyle w:val="style86"/>
        <w:ind w:hanging="0" w:left="0" w:right="282"/>
        <w:jc w:val="right"/>
      </w:pPr>
      <w:r>
        <w:rPr>
          <w:rFonts w:cs="Arial"/>
          <w:sz w:val="16"/>
          <w:szCs w:val="16"/>
        </w:rPr>
        <w:t>0,0%</w:t>
      </w:r>
    </w:p>
    <w:p>
      <w:pPr>
        <w:pStyle w:val="style86"/>
      </w:pPr>
      <w:r>
        <w:rPr>
          <w:rFonts w:cs="Arial"/>
          <w:sz w:val="16"/>
          <w:szCs w:val="16"/>
        </w:rPr>
        <w:t>Ηλεκτρισμός, Φ/Α</w:t>
      </w:r>
    </w:p>
    <w:p>
      <w:pPr>
        <w:pStyle w:val="style86"/>
        <w:jc w:val="right"/>
      </w:pPr>
      <w:r>
        <w:rPr>
          <w:rFonts w:cs="Arial"/>
          <w:sz w:val="16"/>
          <w:szCs w:val="16"/>
        </w:rPr>
        <w:t>0,4</w:t>
      </w:r>
    </w:p>
    <w:p>
      <w:pPr>
        <w:pStyle w:val="style86"/>
        <w:ind w:hanging="0" w:left="0" w:right="282"/>
        <w:jc w:val="right"/>
      </w:pPr>
      <w:r>
        <w:rPr>
          <w:rFonts w:cs="Arial"/>
          <w:sz w:val="16"/>
          <w:szCs w:val="16"/>
        </w:rPr>
        <w:t>0,1%</w:t>
      </w:r>
    </w:p>
    <w:p>
      <w:pPr>
        <w:pStyle w:val="style86"/>
        <w:ind w:hanging="0" w:left="0" w:right="282"/>
        <w:jc w:val="right"/>
      </w:pPr>
      <w:r>
        <w:rPr>
          <w:rFonts w:cs="Arial"/>
          <w:sz w:val="16"/>
          <w:szCs w:val="16"/>
        </w:rPr>
        <w:t>0,0%</w:t>
      </w:r>
    </w:p>
    <w:p>
      <w:pPr>
        <w:pStyle w:val="style86"/>
        <w:ind w:hanging="0" w:left="0" w:right="282"/>
        <w:jc w:val="right"/>
      </w:pPr>
      <w:r>
        <w:rPr>
          <w:rFonts w:cs="Arial"/>
          <w:sz w:val="16"/>
          <w:szCs w:val="16"/>
        </w:rPr>
        <w:t>5,3%</w:t>
      </w:r>
    </w:p>
    <w:p>
      <w:pPr>
        <w:pStyle w:val="style86"/>
        <w:ind w:hanging="0" w:left="0" w:right="282"/>
        <w:jc w:val="right"/>
      </w:pPr>
      <w:r>
        <w:rPr>
          <w:rFonts w:cs="Arial"/>
          <w:sz w:val="16"/>
          <w:szCs w:val="16"/>
        </w:rPr>
        <w:t>1,8%</w:t>
      </w:r>
    </w:p>
    <w:p>
      <w:pPr>
        <w:pStyle w:val="style86"/>
      </w:pPr>
      <w:r>
        <w:rPr>
          <w:rFonts w:cs="Arial"/>
          <w:sz w:val="16"/>
          <w:szCs w:val="16"/>
        </w:rPr>
        <w:t>Παροχή νερού</w:t>
      </w:r>
    </w:p>
    <w:p>
      <w:pPr>
        <w:pStyle w:val="style86"/>
        <w:jc w:val="right"/>
      </w:pPr>
      <w:r>
        <w:rPr>
          <w:rFonts w:cs="Arial"/>
          <w:sz w:val="16"/>
          <w:szCs w:val="16"/>
        </w:rPr>
        <w:t>11,8</w:t>
      </w:r>
    </w:p>
    <w:p>
      <w:pPr>
        <w:pStyle w:val="style86"/>
        <w:ind w:hanging="0" w:left="0" w:right="282"/>
        <w:jc w:val="right"/>
      </w:pPr>
      <w:r>
        <w:rPr>
          <w:rFonts w:cs="Arial"/>
          <w:sz w:val="16"/>
          <w:szCs w:val="16"/>
        </w:rPr>
        <w:t>8,4%</w:t>
      </w:r>
    </w:p>
    <w:p>
      <w:pPr>
        <w:pStyle w:val="style86"/>
        <w:ind w:hanging="0" w:left="0" w:right="282"/>
        <w:jc w:val="right"/>
      </w:pPr>
      <w:r>
        <w:rPr>
          <w:rFonts w:cs="Arial"/>
          <w:sz w:val="16"/>
          <w:szCs w:val="16"/>
        </w:rPr>
        <w:t>0,3%</w:t>
      </w:r>
    </w:p>
    <w:p>
      <w:pPr>
        <w:pStyle w:val="style86"/>
        <w:ind w:hanging="0" w:left="0" w:right="282"/>
        <w:jc w:val="right"/>
      </w:pPr>
      <w:r>
        <w:rPr>
          <w:rFonts w:cs="Arial"/>
          <w:sz w:val="16"/>
          <w:szCs w:val="16"/>
        </w:rPr>
        <w:t>8,1%</w:t>
      </w:r>
    </w:p>
    <w:p>
      <w:pPr>
        <w:pStyle w:val="style86"/>
        <w:ind w:hanging="0" w:left="0" w:right="282"/>
        <w:jc w:val="right"/>
      </w:pPr>
      <w:r>
        <w:rPr>
          <w:rFonts w:cs="Arial"/>
          <w:sz w:val="16"/>
          <w:szCs w:val="16"/>
        </w:rPr>
        <w:t>1,4%</w:t>
      </w:r>
    </w:p>
    <w:p>
      <w:pPr>
        <w:pStyle w:val="style86"/>
      </w:pPr>
      <w:r>
        <w:rPr>
          <w:rFonts w:cs="Arial"/>
          <w:sz w:val="16"/>
          <w:szCs w:val="16"/>
        </w:rPr>
        <w:t>Κατασκευές</w:t>
      </w:r>
    </w:p>
    <w:p>
      <w:pPr>
        <w:pStyle w:val="style86"/>
        <w:jc w:val="right"/>
      </w:pPr>
      <w:r>
        <w:rPr>
          <w:rFonts w:cs="Arial"/>
          <w:sz w:val="16"/>
          <w:szCs w:val="16"/>
        </w:rPr>
        <w:t>56,4</w:t>
      </w:r>
    </w:p>
    <w:p>
      <w:pPr>
        <w:pStyle w:val="style86"/>
        <w:ind w:hanging="0" w:left="0" w:right="282"/>
        <w:jc w:val="right"/>
      </w:pPr>
      <w:r>
        <w:rPr>
          <w:rFonts w:cs="Arial"/>
          <w:sz w:val="16"/>
          <w:szCs w:val="16"/>
        </w:rPr>
        <w:t>8,9%</w:t>
      </w:r>
    </w:p>
    <w:p>
      <w:pPr>
        <w:pStyle w:val="style86"/>
        <w:ind w:hanging="0" w:left="0" w:right="282"/>
        <w:jc w:val="right"/>
      </w:pPr>
      <w:r>
        <w:rPr>
          <w:rFonts w:cs="Arial"/>
          <w:sz w:val="16"/>
          <w:szCs w:val="16"/>
        </w:rPr>
        <w:t>1,2%</w:t>
      </w:r>
    </w:p>
    <w:p>
      <w:pPr>
        <w:pStyle w:val="style86"/>
        <w:ind w:hanging="0" w:left="0" w:right="282"/>
        <w:jc w:val="right"/>
      </w:pPr>
      <w:r>
        <w:rPr>
          <w:rFonts w:cs="Arial"/>
          <w:sz w:val="16"/>
          <w:szCs w:val="16"/>
        </w:rPr>
        <w:t>13,6%</w:t>
      </w:r>
    </w:p>
    <w:p>
      <w:pPr>
        <w:pStyle w:val="style86"/>
        <w:ind w:hanging="0" w:left="0" w:right="282"/>
        <w:jc w:val="right"/>
      </w:pPr>
      <w:r>
        <w:rPr>
          <w:rFonts w:cs="Arial"/>
          <w:sz w:val="16"/>
          <w:szCs w:val="16"/>
        </w:rPr>
        <w:t>4,0%</w:t>
      </w:r>
    </w:p>
    <w:p>
      <w:pPr>
        <w:pStyle w:val="style86"/>
      </w:pPr>
      <w:r>
        <w:rPr>
          <w:rFonts w:cs="Arial"/>
          <w:sz w:val="16"/>
          <w:szCs w:val="16"/>
        </w:rPr>
        <w:t>Εμπόριο</w:t>
      </w:r>
    </w:p>
    <w:p>
      <w:pPr>
        <w:pStyle w:val="style86"/>
        <w:jc w:val="right"/>
      </w:pPr>
      <w:r>
        <w:rPr>
          <w:rFonts w:cs="Arial"/>
          <w:sz w:val="16"/>
          <w:szCs w:val="16"/>
        </w:rPr>
        <w:t>354,8</w:t>
      </w:r>
    </w:p>
    <w:p>
      <w:pPr>
        <w:pStyle w:val="style86"/>
        <w:ind w:hanging="0" w:left="0" w:right="282"/>
        <w:jc w:val="right"/>
      </w:pPr>
      <w:r>
        <w:rPr>
          <w:rFonts w:cs="Arial"/>
          <w:sz w:val="16"/>
          <w:szCs w:val="16"/>
        </w:rPr>
        <w:t>21,9%</w:t>
      </w:r>
    </w:p>
    <w:p>
      <w:pPr>
        <w:pStyle w:val="style86"/>
        <w:ind w:hanging="0" w:left="0" w:right="282"/>
        <w:jc w:val="right"/>
      </w:pPr>
      <w:r>
        <w:rPr>
          <w:rFonts w:cs="Arial"/>
          <w:sz w:val="16"/>
          <w:szCs w:val="16"/>
        </w:rPr>
        <w:t>7,6%</w:t>
      </w:r>
    </w:p>
    <w:p>
      <w:pPr>
        <w:pStyle w:val="style86"/>
        <w:ind w:hanging="0" w:left="0" w:right="282"/>
        <w:jc w:val="right"/>
      </w:pPr>
      <w:r>
        <w:rPr>
          <w:rFonts w:cs="Arial"/>
          <w:sz w:val="16"/>
          <w:szCs w:val="16"/>
        </w:rPr>
        <w:t>15,4%</w:t>
      </w:r>
    </w:p>
    <w:p>
      <w:pPr>
        <w:pStyle w:val="style86"/>
        <w:ind w:hanging="0" w:left="0" w:right="282"/>
        <w:jc w:val="right"/>
      </w:pPr>
      <w:r>
        <w:rPr>
          <w:rFonts w:cs="Arial"/>
          <w:sz w:val="16"/>
          <w:szCs w:val="16"/>
        </w:rPr>
        <w:t>7,9%</w:t>
      </w:r>
    </w:p>
    <w:p>
      <w:pPr>
        <w:pStyle w:val="style86"/>
      </w:pPr>
      <w:r>
        <w:rPr>
          <w:rFonts w:cs="Arial"/>
          <w:sz w:val="16"/>
          <w:szCs w:val="16"/>
        </w:rPr>
        <w:t>Μεταφορές και αποθήκευση</w:t>
      </w:r>
    </w:p>
    <w:p>
      <w:pPr>
        <w:pStyle w:val="style86"/>
        <w:jc w:val="right"/>
      </w:pPr>
      <w:r>
        <w:rPr>
          <w:rFonts w:cs="Arial"/>
          <w:sz w:val="16"/>
          <w:szCs w:val="16"/>
        </w:rPr>
        <w:t>2.937,6</w:t>
      </w:r>
    </w:p>
    <w:p>
      <w:pPr>
        <w:pStyle w:val="style86"/>
        <w:ind w:hanging="0" w:left="0" w:right="282"/>
        <w:jc w:val="right"/>
      </w:pPr>
      <w:r>
        <w:rPr>
          <w:rFonts w:cs="Arial"/>
          <w:sz w:val="16"/>
          <w:szCs w:val="16"/>
        </w:rPr>
        <w:t>89,7%</w:t>
      </w:r>
    </w:p>
    <w:p>
      <w:pPr>
        <w:pStyle w:val="style86"/>
        <w:ind w:hanging="0" w:left="0" w:right="282"/>
        <w:jc w:val="right"/>
      </w:pPr>
      <w:r>
        <w:rPr>
          <w:rFonts w:cs="Arial"/>
          <w:sz w:val="16"/>
          <w:szCs w:val="16"/>
        </w:rPr>
        <w:t>63,3%</w:t>
      </w:r>
    </w:p>
    <w:p>
      <w:pPr>
        <w:pStyle w:val="style86"/>
        <w:ind w:hanging="0" w:left="0" w:right="282"/>
        <w:jc w:val="right"/>
      </w:pPr>
      <w:r>
        <w:rPr>
          <w:rFonts w:cs="Arial"/>
          <w:sz w:val="16"/>
          <w:szCs w:val="16"/>
        </w:rPr>
        <w:t>41,5%</w:t>
      </w:r>
    </w:p>
    <w:p>
      <w:pPr>
        <w:pStyle w:val="style86"/>
        <w:ind w:hanging="0" w:left="0" w:right="282"/>
        <w:jc w:val="right"/>
      </w:pPr>
      <w:r>
        <w:rPr>
          <w:rFonts w:cs="Arial"/>
          <w:sz w:val="16"/>
          <w:szCs w:val="16"/>
        </w:rPr>
        <w:t>29,5%</w:t>
      </w:r>
    </w:p>
    <w:p>
      <w:pPr>
        <w:pStyle w:val="style86"/>
      </w:pPr>
      <w:r>
        <w:rPr>
          <w:rFonts w:cs="Arial"/>
          <w:sz w:val="16"/>
          <w:szCs w:val="16"/>
        </w:rPr>
        <w:t>Τουρισμός</w:t>
      </w:r>
    </w:p>
    <w:p>
      <w:pPr>
        <w:pStyle w:val="style86"/>
        <w:jc w:val="right"/>
      </w:pPr>
      <w:r>
        <w:rPr>
          <w:rFonts w:cs="Arial"/>
          <w:sz w:val="16"/>
          <w:szCs w:val="16"/>
        </w:rPr>
        <w:t>0,0</w:t>
      </w:r>
    </w:p>
    <w:p>
      <w:pPr>
        <w:pStyle w:val="style86"/>
        <w:ind w:hanging="0" w:left="0" w:right="282"/>
        <w:jc w:val="right"/>
      </w:pPr>
      <w:r>
        <w:rPr>
          <w:rFonts w:cs="Arial"/>
          <w:sz w:val="16"/>
          <w:szCs w:val="16"/>
        </w:rPr>
        <w:t>0,0%</w:t>
      </w:r>
    </w:p>
    <w:p>
      <w:pPr>
        <w:pStyle w:val="style86"/>
        <w:ind w:hanging="0" w:left="0" w:right="282"/>
        <w:jc w:val="right"/>
      </w:pPr>
      <w:r>
        <w:rPr>
          <w:rFonts w:cs="Arial"/>
          <w:sz w:val="16"/>
          <w:szCs w:val="16"/>
        </w:rPr>
        <w:t>0,0%</w:t>
      </w:r>
    </w:p>
    <w:p>
      <w:pPr>
        <w:pStyle w:val="style86"/>
        <w:ind w:hanging="0" w:left="0" w:right="282"/>
        <w:jc w:val="right"/>
      </w:pPr>
      <w:r>
        <w:rPr>
          <w:rFonts w:cs="Arial"/>
          <w:sz w:val="16"/>
          <w:szCs w:val="16"/>
        </w:rPr>
        <w:t>5,7%</w:t>
      </w:r>
    </w:p>
    <w:p>
      <w:pPr>
        <w:pStyle w:val="style86"/>
        <w:ind w:hanging="0" w:left="0" w:right="282"/>
        <w:jc w:val="right"/>
      </w:pPr>
      <w:r>
        <w:rPr>
          <w:rFonts w:cs="Arial"/>
          <w:sz w:val="16"/>
          <w:szCs w:val="16"/>
        </w:rPr>
        <w:t>0,8%</w:t>
      </w:r>
    </w:p>
    <w:p>
      <w:pPr>
        <w:pStyle w:val="style86"/>
      </w:pPr>
      <w:r>
        <w:rPr>
          <w:rFonts w:cs="Arial"/>
          <w:sz w:val="16"/>
          <w:szCs w:val="16"/>
        </w:rPr>
        <w:t>Ενημέρωση και επικοινωνία</w:t>
      </w:r>
    </w:p>
    <w:p>
      <w:pPr>
        <w:pStyle w:val="style86"/>
        <w:jc w:val="right"/>
      </w:pPr>
      <w:r>
        <w:rPr>
          <w:rFonts w:cs="Arial"/>
          <w:sz w:val="16"/>
          <w:szCs w:val="16"/>
        </w:rPr>
        <w:t>6,2</w:t>
      </w:r>
    </w:p>
    <w:p>
      <w:pPr>
        <w:pStyle w:val="style86"/>
        <w:ind w:hanging="0" w:left="0" w:right="282"/>
        <w:jc w:val="right"/>
      </w:pPr>
      <w:r>
        <w:rPr>
          <w:rFonts w:cs="Arial"/>
          <w:sz w:val="16"/>
          <w:szCs w:val="16"/>
        </w:rPr>
        <w:t>0,7%</w:t>
      </w:r>
    </w:p>
    <w:p>
      <w:pPr>
        <w:pStyle w:val="style86"/>
        <w:ind w:hanging="0" w:left="0" w:right="282"/>
        <w:jc w:val="right"/>
      </w:pPr>
      <w:r>
        <w:rPr>
          <w:rFonts w:cs="Arial"/>
          <w:sz w:val="16"/>
          <w:szCs w:val="16"/>
        </w:rPr>
        <w:t>0,1%</w:t>
      </w:r>
    </w:p>
    <w:p>
      <w:pPr>
        <w:pStyle w:val="style86"/>
        <w:ind w:hanging="0" w:left="0" w:right="282"/>
        <w:jc w:val="right"/>
      </w:pPr>
      <w:r>
        <w:rPr>
          <w:rFonts w:cs="Arial"/>
          <w:sz w:val="16"/>
          <w:szCs w:val="16"/>
        </w:rPr>
        <w:t>3,1%</w:t>
      </w:r>
    </w:p>
    <w:p>
      <w:pPr>
        <w:pStyle w:val="style86"/>
        <w:ind w:hanging="0" w:left="0" w:right="282"/>
        <w:jc w:val="right"/>
      </w:pPr>
      <w:r>
        <w:rPr>
          <w:rFonts w:cs="Arial"/>
          <w:sz w:val="16"/>
          <w:szCs w:val="16"/>
        </w:rPr>
        <w:t>2,6%</w:t>
      </w:r>
    </w:p>
    <w:p>
      <w:pPr>
        <w:pStyle w:val="style86"/>
      </w:pPr>
      <w:r>
        <w:rPr>
          <w:rFonts w:cs="Arial"/>
          <w:sz w:val="16"/>
          <w:szCs w:val="16"/>
        </w:rPr>
        <w:t>Τράπεζες, ασφάλειες</w:t>
      </w:r>
    </w:p>
    <w:p>
      <w:pPr>
        <w:pStyle w:val="style86"/>
        <w:jc w:val="right"/>
      </w:pPr>
      <w:r>
        <w:rPr>
          <w:rFonts w:cs="Arial"/>
          <w:sz w:val="16"/>
          <w:szCs w:val="16"/>
        </w:rPr>
        <w:t>1,2</w:t>
      </w:r>
    </w:p>
    <w:p>
      <w:pPr>
        <w:pStyle w:val="style86"/>
        <w:ind w:hanging="0" w:left="0" w:right="282"/>
        <w:jc w:val="right"/>
      </w:pPr>
      <w:r>
        <w:rPr>
          <w:rFonts w:cs="Arial"/>
          <w:sz w:val="16"/>
          <w:szCs w:val="16"/>
        </w:rPr>
        <w:t>0,1%</w:t>
      </w:r>
    </w:p>
    <w:p>
      <w:pPr>
        <w:pStyle w:val="style86"/>
        <w:ind w:hanging="0" w:left="0" w:right="282"/>
        <w:jc w:val="right"/>
      </w:pPr>
      <w:r>
        <w:rPr>
          <w:rFonts w:cs="Arial"/>
          <w:sz w:val="16"/>
          <w:szCs w:val="16"/>
        </w:rPr>
        <w:t>0,0%</w:t>
      </w:r>
    </w:p>
    <w:p>
      <w:pPr>
        <w:pStyle w:val="style86"/>
        <w:ind w:hanging="0" w:left="0" w:right="282"/>
        <w:jc w:val="right"/>
      </w:pPr>
      <w:r>
        <w:rPr>
          <w:rFonts w:cs="Arial"/>
          <w:sz w:val="16"/>
          <w:szCs w:val="16"/>
        </w:rPr>
        <w:t>9,7%</w:t>
      </w:r>
    </w:p>
    <w:p>
      <w:pPr>
        <w:pStyle w:val="style86"/>
        <w:ind w:hanging="0" w:left="0" w:right="282"/>
        <w:jc w:val="right"/>
      </w:pPr>
      <w:r>
        <w:rPr>
          <w:rFonts w:cs="Arial"/>
          <w:sz w:val="16"/>
          <w:szCs w:val="16"/>
        </w:rPr>
        <w:t>3,1%</w:t>
      </w:r>
    </w:p>
    <w:p>
      <w:pPr>
        <w:pStyle w:val="style86"/>
      </w:pPr>
      <w:r>
        <w:rPr>
          <w:rFonts w:cs="Arial"/>
          <w:sz w:val="16"/>
          <w:szCs w:val="16"/>
        </w:rPr>
        <w:t>Αγορά ακινήτων</w:t>
      </w:r>
    </w:p>
    <w:p>
      <w:pPr>
        <w:pStyle w:val="style86"/>
        <w:jc w:val="right"/>
      </w:pPr>
      <w:r>
        <w:rPr>
          <w:rFonts w:cs="Arial"/>
          <w:sz w:val="16"/>
          <w:szCs w:val="16"/>
        </w:rPr>
        <w:t>0,2</w:t>
      </w:r>
    </w:p>
    <w:p>
      <w:pPr>
        <w:pStyle w:val="style86"/>
        <w:ind w:hanging="0" w:left="0" w:right="282"/>
        <w:jc w:val="right"/>
      </w:pPr>
      <w:r>
        <w:rPr>
          <w:rFonts w:cs="Arial"/>
          <w:sz w:val="16"/>
          <w:szCs w:val="16"/>
        </w:rPr>
        <w:t>0,0%</w:t>
      </w:r>
    </w:p>
    <w:p>
      <w:pPr>
        <w:pStyle w:val="style86"/>
        <w:ind w:hanging="0" w:left="0" w:right="282"/>
        <w:jc w:val="right"/>
      </w:pPr>
      <w:r>
        <w:rPr>
          <w:rFonts w:cs="Arial"/>
          <w:sz w:val="16"/>
          <w:szCs w:val="16"/>
        </w:rPr>
        <w:t>0,0%</w:t>
      </w:r>
    </w:p>
    <w:p>
      <w:pPr>
        <w:pStyle w:val="style86"/>
        <w:ind w:hanging="0" w:left="0" w:right="282"/>
        <w:jc w:val="right"/>
      </w:pPr>
      <w:r>
        <w:rPr>
          <w:rFonts w:cs="Arial"/>
          <w:sz w:val="16"/>
          <w:szCs w:val="16"/>
        </w:rPr>
        <w:t>0,3%</w:t>
      </w:r>
    </w:p>
    <w:p>
      <w:pPr>
        <w:pStyle w:val="style86"/>
        <w:ind w:hanging="0" w:left="0" w:right="282"/>
        <w:jc w:val="right"/>
      </w:pPr>
      <w:r>
        <w:rPr>
          <w:rFonts w:cs="Arial"/>
          <w:sz w:val="16"/>
          <w:szCs w:val="16"/>
        </w:rPr>
        <w:t>1,2%</w:t>
      </w:r>
    </w:p>
    <w:p>
      <w:pPr>
        <w:pStyle w:val="style86"/>
      </w:pPr>
      <w:r>
        <w:rPr>
          <w:rFonts w:cs="Arial"/>
          <w:sz w:val="16"/>
          <w:szCs w:val="16"/>
          <w:lang w:val="el-GR"/>
        </w:rPr>
        <w:t>Επαγγελματικές υπηρεσίες</w:t>
      </w:r>
    </w:p>
    <w:p>
      <w:pPr>
        <w:pStyle w:val="style86"/>
        <w:jc w:val="right"/>
      </w:pPr>
      <w:r>
        <w:rPr>
          <w:rFonts w:cs="Arial"/>
          <w:sz w:val="16"/>
          <w:szCs w:val="16"/>
        </w:rPr>
        <w:t>45,9</w:t>
      </w:r>
    </w:p>
    <w:p>
      <w:pPr>
        <w:pStyle w:val="style86"/>
        <w:ind w:hanging="0" w:left="0" w:right="282"/>
        <w:jc w:val="right"/>
      </w:pPr>
      <w:r>
        <w:rPr>
          <w:rFonts w:cs="Arial"/>
          <w:sz w:val="16"/>
          <w:szCs w:val="16"/>
        </w:rPr>
        <w:t>7,4%</w:t>
      </w:r>
    </w:p>
    <w:p>
      <w:pPr>
        <w:pStyle w:val="style86"/>
        <w:ind w:hanging="0" w:left="0" w:right="282"/>
        <w:jc w:val="right"/>
      </w:pPr>
      <w:r>
        <w:rPr>
          <w:rFonts w:cs="Arial"/>
          <w:sz w:val="16"/>
          <w:szCs w:val="16"/>
        </w:rPr>
        <w:t>1,0%</w:t>
      </w:r>
    </w:p>
    <w:p>
      <w:pPr>
        <w:pStyle w:val="style86"/>
        <w:ind w:hanging="0" w:left="0" w:right="282"/>
        <w:jc w:val="right"/>
      </w:pPr>
      <w:r>
        <w:rPr>
          <w:rFonts w:cs="Arial"/>
          <w:sz w:val="16"/>
          <w:szCs w:val="16"/>
        </w:rPr>
        <w:t>6,2%</w:t>
      </w:r>
    </w:p>
    <w:p>
      <w:pPr>
        <w:pStyle w:val="style86"/>
        <w:ind w:hanging="0" w:left="0" w:right="282"/>
        <w:jc w:val="right"/>
      </w:pPr>
      <w:r>
        <w:rPr>
          <w:rFonts w:cs="Arial"/>
          <w:sz w:val="16"/>
          <w:szCs w:val="16"/>
        </w:rPr>
        <w:t>3,5%</w:t>
      </w:r>
    </w:p>
    <w:p>
      <w:pPr>
        <w:pStyle w:val="style86"/>
      </w:pPr>
      <w:r>
        <w:rPr>
          <w:rFonts w:cs="Arial"/>
          <w:sz w:val="16"/>
          <w:szCs w:val="16"/>
        </w:rPr>
        <w:t>Υπηρεσίες προς επιχειρήσεις</w:t>
      </w:r>
    </w:p>
    <w:p>
      <w:pPr>
        <w:pStyle w:val="style86"/>
        <w:jc w:val="right"/>
      </w:pPr>
      <w:r>
        <w:rPr>
          <w:rFonts w:cs="Arial"/>
          <w:sz w:val="16"/>
          <w:szCs w:val="16"/>
        </w:rPr>
        <w:t>58,0</w:t>
      </w:r>
    </w:p>
    <w:p>
      <w:pPr>
        <w:pStyle w:val="style86"/>
        <w:ind w:hanging="0" w:left="0" w:right="282"/>
        <w:jc w:val="right"/>
      </w:pPr>
      <w:r>
        <w:rPr>
          <w:rFonts w:cs="Arial"/>
          <w:sz w:val="16"/>
          <w:szCs w:val="16"/>
        </w:rPr>
        <w:t>19,5%</w:t>
      </w:r>
    </w:p>
    <w:p>
      <w:pPr>
        <w:pStyle w:val="style86"/>
        <w:ind w:hanging="0" w:left="0" w:right="282"/>
        <w:jc w:val="right"/>
      </w:pPr>
      <w:r>
        <w:rPr>
          <w:rFonts w:cs="Arial"/>
          <w:sz w:val="16"/>
          <w:szCs w:val="16"/>
        </w:rPr>
        <w:t>1,3%</w:t>
      </w:r>
    </w:p>
    <w:p>
      <w:pPr>
        <w:pStyle w:val="style86"/>
        <w:ind w:hanging="0" w:left="0" w:right="282"/>
        <w:jc w:val="right"/>
      </w:pPr>
      <w:r>
        <w:rPr>
          <w:rFonts w:cs="Arial"/>
          <w:sz w:val="16"/>
          <w:szCs w:val="16"/>
        </w:rPr>
        <w:t>54,2%</w:t>
      </w:r>
    </w:p>
    <w:p>
      <w:pPr>
        <w:pStyle w:val="style86"/>
        <w:ind w:hanging="0" w:left="0" w:right="282"/>
        <w:jc w:val="right"/>
      </w:pPr>
      <w:r>
        <w:rPr>
          <w:rFonts w:cs="Arial"/>
          <w:sz w:val="16"/>
          <w:szCs w:val="16"/>
        </w:rPr>
        <w:t>29,6%</w:t>
      </w:r>
    </w:p>
    <w:p>
      <w:pPr>
        <w:pStyle w:val="style86"/>
      </w:pPr>
      <w:r>
        <w:rPr>
          <w:rFonts w:cs="Arial"/>
          <w:sz w:val="16"/>
          <w:szCs w:val="16"/>
        </w:rPr>
        <w:t>Δημόσια διοίκηση</w:t>
      </w:r>
    </w:p>
    <w:p>
      <w:pPr>
        <w:pStyle w:val="style86"/>
        <w:jc w:val="right"/>
      </w:pPr>
      <w:r>
        <w:rPr>
          <w:rFonts w:cs="Arial"/>
          <w:sz w:val="16"/>
          <w:szCs w:val="16"/>
        </w:rPr>
        <w:t>719,0</w:t>
      </w:r>
    </w:p>
    <w:p>
      <w:pPr>
        <w:pStyle w:val="style86"/>
        <w:ind w:hanging="0" w:left="0" w:right="282"/>
        <w:jc w:val="right"/>
      </w:pPr>
      <w:r>
        <w:rPr>
          <w:rFonts w:cs="Arial"/>
          <w:sz w:val="16"/>
          <w:szCs w:val="16"/>
        </w:rPr>
        <w:t>11,5%</w:t>
      </w:r>
    </w:p>
    <w:p>
      <w:pPr>
        <w:pStyle w:val="style86"/>
        <w:ind w:hanging="0" w:left="0" w:right="282"/>
        <w:jc w:val="right"/>
      </w:pPr>
      <w:r>
        <w:rPr>
          <w:rFonts w:cs="Arial"/>
          <w:sz w:val="16"/>
          <w:szCs w:val="16"/>
        </w:rPr>
        <w:t>15,5%</w:t>
      </w:r>
    </w:p>
    <w:p>
      <w:pPr>
        <w:pStyle w:val="style86"/>
        <w:ind w:hanging="0" w:left="0" w:right="282"/>
        <w:jc w:val="right"/>
      </w:pPr>
      <w:r>
        <w:rPr>
          <w:rFonts w:cs="Arial"/>
          <w:sz w:val="16"/>
          <w:szCs w:val="16"/>
        </w:rPr>
        <w:t>5,5%</w:t>
      </w:r>
    </w:p>
    <w:p>
      <w:pPr>
        <w:pStyle w:val="style86"/>
        <w:ind w:hanging="0" w:left="0" w:right="282"/>
        <w:jc w:val="right"/>
      </w:pPr>
      <w:r>
        <w:rPr>
          <w:rFonts w:cs="Arial"/>
          <w:sz w:val="16"/>
          <w:szCs w:val="16"/>
        </w:rPr>
        <w:t>3,8%</w:t>
      </w:r>
    </w:p>
    <w:p>
      <w:pPr>
        <w:pStyle w:val="style86"/>
      </w:pPr>
      <w:r>
        <w:rPr>
          <w:rFonts w:cs="Arial"/>
          <w:sz w:val="16"/>
          <w:szCs w:val="16"/>
        </w:rPr>
        <w:t>Εκπαίδευση</w:t>
      </w:r>
    </w:p>
    <w:p>
      <w:pPr>
        <w:pStyle w:val="style86"/>
        <w:jc w:val="right"/>
      </w:pPr>
      <w:r>
        <w:rPr>
          <w:rFonts w:cs="Arial"/>
          <w:sz w:val="16"/>
          <w:szCs w:val="16"/>
        </w:rPr>
        <w:t>18,5</w:t>
      </w:r>
    </w:p>
    <w:p>
      <w:pPr>
        <w:pStyle w:val="style86"/>
        <w:ind w:hanging="0" w:left="0" w:right="282"/>
        <w:jc w:val="right"/>
      </w:pPr>
      <w:r>
        <w:rPr>
          <w:rFonts w:cs="Arial"/>
          <w:sz w:val="16"/>
          <w:szCs w:val="16"/>
        </w:rPr>
        <w:t>2,2%</w:t>
      </w:r>
    </w:p>
    <w:p>
      <w:pPr>
        <w:pStyle w:val="style86"/>
        <w:ind w:hanging="0" w:left="0" w:right="282"/>
        <w:jc w:val="right"/>
      </w:pPr>
      <w:r>
        <w:rPr>
          <w:rFonts w:cs="Arial"/>
          <w:sz w:val="16"/>
          <w:szCs w:val="16"/>
        </w:rPr>
        <w:t>0,4%</w:t>
      </w:r>
    </w:p>
    <w:p>
      <w:pPr>
        <w:pStyle w:val="style86"/>
        <w:ind w:hanging="0" w:left="0" w:right="282"/>
        <w:jc w:val="right"/>
      </w:pPr>
      <w:r>
        <w:rPr>
          <w:rFonts w:cs="Arial"/>
          <w:sz w:val="16"/>
          <w:szCs w:val="16"/>
        </w:rPr>
        <w:t>1,6%</w:t>
      </w:r>
    </w:p>
    <w:p>
      <w:pPr>
        <w:pStyle w:val="style86"/>
        <w:ind w:hanging="0" w:left="0" w:right="282"/>
        <w:jc w:val="right"/>
      </w:pPr>
      <w:r>
        <w:rPr>
          <w:rFonts w:cs="Arial"/>
          <w:sz w:val="16"/>
          <w:szCs w:val="16"/>
        </w:rPr>
        <w:t>0,6%</w:t>
      </w:r>
    </w:p>
    <w:p>
      <w:pPr>
        <w:pStyle w:val="style86"/>
      </w:pPr>
      <w:r>
        <w:rPr>
          <w:rFonts w:cs="Arial"/>
          <w:sz w:val="16"/>
          <w:szCs w:val="16"/>
        </w:rPr>
        <w:t>Υγεία</w:t>
      </w:r>
    </w:p>
    <w:p>
      <w:pPr>
        <w:pStyle w:val="style86"/>
        <w:jc w:val="right"/>
      </w:pPr>
      <w:r>
        <w:rPr>
          <w:rFonts w:cs="Arial"/>
          <w:sz w:val="16"/>
          <w:szCs w:val="16"/>
        </w:rPr>
        <w:t>8,0</w:t>
      </w:r>
    </w:p>
    <w:p>
      <w:pPr>
        <w:pStyle w:val="style86"/>
        <w:ind w:hanging="0" w:left="0" w:right="282"/>
        <w:jc w:val="right"/>
      </w:pPr>
      <w:r>
        <w:rPr>
          <w:rFonts w:cs="Arial"/>
          <w:sz w:val="16"/>
          <w:szCs w:val="16"/>
        </w:rPr>
        <w:t>1,5%</w:t>
      </w:r>
    </w:p>
    <w:p>
      <w:pPr>
        <w:pStyle w:val="style86"/>
        <w:ind w:hanging="0" w:left="0" w:right="282"/>
        <w:jc w:val="right"/>
      </w:pPr>
      <w:r>
        <w:rPr>
          <w:rFonts w:cs="Arial"/>
          <w:sz w:val="16"/>
          <w:szCs w:val="16"/>
        </w:rPr>
        <w:t>0,2%</w:t>
      </w:r>
    </w:p>
    <w:p>
      <w:pPr>
        <w:pStyle w:val="style86"/>
        <w:ind w:hanging="0" w:left="0" w:right="282"/>
        <w:jc w:val="right"/>
      </w:pPr>
      <w:r>
        <w:rPr>
          <w:rFonts w:cs="Arial"/>
          <w:sz w:val="16"/>
          <w:szCs w:val="16"/>
        </w:rPr>
        <w:t>4,6%</w:t>
      </w:r>
    </w:p>
    <w:p>
      <w:pPr>
        <w:pStyle w:val="style86"/>
        <w:ind w:hanging="0" w:left="0" w:right="282"/>
        <w:jc w:val="right"/>
      </w:pPr>
      <w:r>
        <w:rPr>
          <w:rFonts w:cs="Arial"/>
          <w:sz w:val="16"/>
          <w:szCs w:val="16"/>
        </w:rPr>
        <w:t>1,8%</w:t>
      </w:r>
    </w:p>
    <w:p>
      <w:pPr>
        <w:pStyle w:val="style86"/>
      </w:pPr>
      <w:r>
        <w:rPr>
          <w:rFonts w:cs="Arial"/>
          <w:sz w:val="16"/>
          <w:szCs w:val="16"/>
        </w:rPr>
        <w:t>Τέχνες, διασκέδαση</w:t>
      </w:r>
    </w:p>
    <w:p>
      <w:pPr>
        <w:pStyle w:val="style86"/>
        <w:jc w:val="right"/>
      </w:pPr>
      <w:r>
        <w:rPr>
          <w:rFonts w:cs="Arial"/>
          <w:sz w:val="16"/>
          <w:szCs w:val="16"/>
        </w:rPr>
        <w:t>15,9</w:t>
      </w:r>
    </w:p>
    <w:p>
      <w:pPr>
        <w:pStyle w:val="style86"/>
        <w:ind w:hanging="0" w:left="0" w:right="282"/>
        <w:jc w:val="right"/>
      </w:pPr>
      <w:r>
        <w:rPr>
          <w:rFonts w:cs="Arial"/>
          <w:sz w:val="16"/>
          <w:szCs w:val="16"/>
        </w:rPr>
        <w:t>9,1%</w:t>
      </w:r>
    </w:p>
    <w:p>
      <w:pPr>
        <w:pStyle w:val="style86"/>
        <w:ind w:hanging="0" w:left="0" w:right="282"/>
        <w:jc w:val="right"/>
      </w:pPr>
      <w:r>
        <w:rPr>
          <w:rFonts w:cs="Arial"/>
          <w:sz w:val="16"/>
          <w:szCs w:val="16"/>
        </w:rPr>
        <w:t>0,3%</w:t>
      </w:r>
    </w:p>
    <w:p>
      <w:pPr>
        <w:pStyle w:val="style86"/>
        <w:ind w:hanging="0" w:left="0" w:right="282"/>
        <w:jc w:val="right"/>
      </w:pPr>
      <w:r>
        <w:rPr>
          <w:rFonts w:cs="Arial"/>
          <w:sz w:val="16"/>
          <w:szCs w:val="16"/>
        </w:rPr>
        <w:t>0,5%</w:t>
      </w:r>
    </w:p>
    <w:p>
      <w:pPr>
        <w:pStyle w:val="style86"/>
        <w:ind w:hanging="0" w:left="0" w:right="282"/>
        <w:jc w:val="right"/>
      </w:pPr>
      <w:r>
        <w:rPr>
          <w:rFonts w:cs="Arial"/>
          <w:sz w:val="16"/>
          <w:szCs w:val="16"/>
        </w:rPr>
        <w:t>0,1%</w:t>
      </w:r>
    </w:p>
    <w:p>
      <w:pPr>
        <w:pStyle w:val="style86"/>
      </w:pPr>
      <w:r>
        <w:rPr>
          <w:rFonts w:cs="Arial"/>
          <w:sz w:val="16"/>
          <w:szCs w:val="16"/>
        </w:rPr>
        <w:t>Λοιπές υπηρεσίες</w:t>
      </w:r>
    </w:p>
    <w:p>
      <w:pPr>
        <w:pStyle w:val="style86"/>
        <w:jc w:val="right"/>
      </w:pPr>
      <w:r>
        <w:rPr>
          <w:rFonts w:cs="Arial"/>
          <w:sz w:val="16"/>
          <w:szCs w:val="16"/>
        </w:rPr>
        <w:t>7,6</w:t>
      </w:r>
    </w:p>
    <w:p>
      <w:pPr>
        <w:pStyle w:val="style86"/>
        <w:ind w:hanging="0" w:left="0" w:right="282"/>
        <w:jc w:val="right"/>
      </w:pPr>
      <w:r>
        <w:rPr>
          <w:rFonts w:cs="Arial"/>
          <w:sz w:val="16"/>
          <w:szCs w:val="16"/>
        </w:rPr>
        <w:t>1,5%</w:t>
      </w:r>
    </w:p>
    <w:p>
      <w:pPr>
        <w:pStyle w:val="style86"/>
        <w:ind w:hanging="0" w:left="0" w:right="282"/>
        <w:jc w:val="right"/>
      </w:pPr>
      <w:r>
        <w:rPr>
          <w:rFonts w:cs="Arial"/>
          <w:sz w:val="16"/>
          <w:szCs w:val="16"/>
        </w:rPr>
        <w:t>0,2%</w:t>
      </w:r>
    </w:p>
    <w:p>
      <w:pPr>
        <w:pStyle w:val="style86"/>
        <w:ind w:hanging="0" w:left="0" w:right="282"/>
        <w:jc w:val="right"/>
      </w:pPr>
      <w:r>
        <w:rPr>
          <w:rFonts w:cs="Arial"/>
          <w:sz w:val="16"/>
          <w:szCs w:val="16"/>
        </w:rPr>
        <w:t>13,6%</w:t>
      </w:r>
    </w:p>
    <w:p>
      <w:pPr>
        <w:pStyle w:val="style86"/>
        <w:ind w:hanging="0" w:left="0" w:right="282"/>
        <w:jc w:val="right"/>
      </w:pPr>
      <w:r>
        <w:rPr>
          <w:rFonts w:cs="Arial"/>
          <w:sz w:val="16"/>
          <w:szCs w:val="16"/>
        </w:rPr>
        <w:t>0,9%</w:t>
      </w:r>
    </w:p>
    <w:p>
      <w:pPr>
        <w:pStyle w:val="style86"/>
        <w:spacing w:after="0" w:before="120"/>
        <w:contextualSpacing w:val="false"/>
      </w:pPr>
      <w:r>
        <w:rPr>
          <w:rFonts w:cs="Arial"/>
          <w:sz w:val="16"/>
          <w:szCs w:val="16"/>
          <w:lang w:val="el-GR"/>
        </w:rPr>
        <w:t>* 15 χώρες για τις οποίες υπάρχουν επαρκή στοιχεία: Τσεχία, Γερμανία, Εσθονία, Ιρλανδία, Ελλάδα, Γαλλία, Λετονία, Λουξεμβούργο, Ουγγαρία, Μάλτα, Αυστρία, Σλοβακία, Φιλανδία, Σουηδία, Ην Βασίλειο.</w:t>
      </w:r>
    </w:p>
    <w:p>
      <w:pPr>
        <w:pStyle w:val="style0"/>
        <w:pageBreakBefore/>
        <w:tabs>
          <w:tab w:leader="none" w:pos="426" w:val="left"/>
        </w:tabs>
        <w:spacing w:after="0" w:before="160" w:line="300" w:lineRule="exact"/>
        <w:contextualSpacing w:val="false"/>
      </w:pPr>
      <w:r>
        <w:rPr>
          <w:rFonts w:cs="Arial"/>
          <w:sz w:val="22"/>
          <w:szCs w:val="22"/>
          <w:lang w:val="el-GR"/>
        </w:rPr>
        <w:t xml:space="preserve">Από την άλλη μεριά, οι κλάδοι που επενδύουν αναλογικά περισσότερο σε προϊόντα πνευματικής ιδιοκτησίας και μηχανολογικό εξοπλισμό, αν και αντιμετωπίζουν μικρότερο ποσοστό δυνητικής υποκατάστασης μηχανών σε εργατικό δυναμικό, είναι οι τράπεζες/ασφάλειες, η ενημέρωση και η επικοινωνία, οι επαγγελματικές υπηρεσίες, η υγεία και η εκπαίδευση, όπου οι νέες τεχνολογίες ενδεχομένως ενσωματώνονται ευκολότερα και ταχύτερα στο μηχανολογικό εξοπλισμό που χρησιμοποιείται. </w:t>
      </w:r>
    </w:p>
    <w:p>
      <w:pPr>
        <w:pStyle w:val="style0"/>
        <w:tabs>
          <w:tab w:leader="none" w:pos="426" w:val="left"/>
        </w:tabs>
        <w:spacing w:after="0" w:before="160" w:line="300" w:lineRule="exact"/>
        <w:contextualSpacing w:val="false"/>
      </w:pPr>
      <w:r>
        <w:rPr>
          <w:rFonts w:cs="Arial"/>
          <w:sz w:val="22"/>
          <w:szCs w:val="22"/>
          <w:lang w:val="el-GR"/>
        </w:rPr>
        <w:t xml:space="preserve">Βεβαίως, δεν απαιτούνται μόνο συμβατές επενδύσεις για την εξάπλωση των νέων τεχνολογιών. Απαιτείται και κατάρτιση και εκπαίδευση των εργαζομένων που δυνητικά μπορούν να αντικατασταθούν από μηχανές ή, το ίδιο, θα πρέπει να αποκτήσουν διαφορετικές, και μεγαλύτερης τεχνολογικής έντασης, δεξιότητες για να μπορέσουν να απασχοληθούν στο νέο περιβάλλον. Και στη θεματική αυτή, παρατηρείται θεαματική υστέρηση. </w:t>
      </w:r>
    </w:p>
    <w:p>
      <w:pPr>
        <w:pStyle w:val="style0"/>
      </w:pPr>
      <w:r>
        <w:rPr>
          <w:rFonts w:cs="Arial"/>
          <w:sz w:val="22"/>
          <w:szCs w:val="22"/>
          <w:lang w:val="el-GR"/>
        </w:rPr>
      </w:r>
    </w:p>
    <w:p>
      <w:pPr>
        <w:pStyle w:val="style0"/>
      </w:pPr>
      <w:r>
        <w:rPr>
          <w:rFonts w:cs="Arial"/>
          <w:sz w:val="22"/>
          <w:szCs w:val="22"/>
          <w:lang w:val="el-GR"/>
        </w:rPr>
      </w:r>
    </w:p>
    <w:p>
      <w:pPr>
        <w:pStyle w:val="style0"/>
        <w:tabs>
          <w:tab w:leader="none" w:pos="426" w:val="left"/>
        </w:tabs>
        <w:spacing w:after="0" w:before="160" w:line="300" w:lineRule="exact"/>
        <w:contextualSpacing w:val="false"/>
      </w:pPr>
      <w:r>
        <w:rPr>
          <w:rFonts w:cs="Arial"/>
          <w:sz w:val="22"/>
          <w:szCs w:val="22"/>
          <w:lang w:val="el-GR"/>
        </w:rPr>
        <w:t xml:space="preserve">Η δυνητική απαξίωση θέσεων εργασίας που θα φέρει η εφαρμογή των νέων τεχνολογιών στην Ελλάδα, ανέρχεται σε 331 χιλ. (από 689 χιλ. σήμερα) στο εμπόριο, 240 χιλ. (από 470 χιλ. σήμερα) στη γεωργία, 236 χιλ. (από 358 χιλ. σήμερα) στη μεταποίηση, 210 χιλ. (από 362 χιλ. σήμερα) στον τουρισμό, 158 χιλ. (από 337 χιλ. σήμερα) στη δημόσια διοίκηση, 122 χιλ. (από 185 χιλ. σήμερα) στις μεταφορές και αποθήκευση, κ.ο.κ. </w:t>
      </w:r>
      <w:r>
        <w:rPr>
          <w:rFonts w:cs="Arial"/>
          <w:b/>
          <w:color w:val="00B0F0"/>
          <w:sz w:val="22"/>
          <w:szCs w:val="22"/>
          <w:lang w:val="el-GR"/>
        </w:rPr>
        <w:t>Δ03</w:t>
      </w:r>
      <w:r>
        <w:rPr>
          <w:rFonts w:cs="Arial"/>
          <w:sz w:val="22"/>
          <w:szCs w:val="22"/>
          <w:lang w:val="el-GR"/>
        </w:rPr>
        <w:t xml:space="preserve"> και </w:t>
      </w:r>
      <w:r>
        <w:rPr>
          <w:rFonts w:cs="Arial"/>
          <w:b/>
          <w:color w:val="00B0F0"/>
          <w:sz w:val="22"/>
          <w:szCs w:val="22"/>
          <w:lang w:val="el-GR"/>
        </w:rPr>
        <w:t>Δ09</w:t>
      </w:r>
      <w:r>
        <w:rPr>
          <w:rFonts w:cs="Arial"/>
          <w:sz w:val="22"/>
          <w:szCs w:val="22"/>
          <w:lang w:val="el-GR"/>
        </w:rPr>
        <w:t xml:space="preserve">). Όλοι αυτοί οι εργαζόμενοι που επηρεάζονται προφανώς θα πρέπει να επανακαταρτιστούν σε κάποιο βαθμό, αφενός για να μην περιθωριοποιηθούν και αφετέρου για να γίνει η εισαγωγή των νέων τεχνολογιών χωρίς καθυστερήσεις. </w:t>
      </w:r>
    </w:p>
    <w:p>
      <w:pPr>
        <w:pStyle w:val="style86"/>
      </w:pPr>
      <w:r>
        <w:rPr>
          <w:rFonts w:cs="Arial"/>
          <w:b/>
          <w:color w:val="00B0F0"/>
          <w:lang w:val="el-GR"/>
        </w:rPr>
        <w:t xml:space="preserve">Δ09: </w:t>
      </w:r>
      <w:r>
        <w:rPr>
          <w:rFonts w:cs="Arial"/>
          <w:b/>
          <w:lang w:val="el-GR"/>
        </w:rPr>
        <w:t>Δυνητική απώλεια θέσεων εργασίας και ποσοστό συμμετοχής εργαζομένων ηλικίας 18-64 ετών στην εκπαίδευση και κατάρτιση κατά κλάδο</w:t>
      </w:r>
    </w:p>
    <w:p>
      <w:pPr>
        <w:pStyle w:val="style86"/>
        <w:spacing w:after="120" w:before="0"/>
        <w:contextualSpacing w:val="false"/>
      </w:pPr>
      <w:r>
        <w:rPr>
          <w:rFonts w:cs="Arial"/>
          <w:i/>
          <w:color w:val="00B0F0"/>
        </w:rPr>
        <w:t xml:space="preserve">(McKinsey Global Institute, </w:t>
      </w:r>
      <w:r>
        <w:fldChar w:fldCharType="begin"/>
      </w:r>
      <w:r>
        <w:instrText> HYPERLINK "https://public.tableau.com/profile/mckinsey.analytics" \l "!/vizhome/InternationalAutomation/WhereMachinesCanReplaceHumans"</w:instrText>
      </w:r>
      <w:r>
        <w:fldChar w:fldCharType="separate"/>
      </w:r>
      <w:r>
        <w:rPr>
          <w:rStyle w:val="style21"/>
          <w:rFonts w:cs="Arial"/>
          <w:i/>
        </w:rPr>
        <w:t>International Automation data</w:t>
      </w:r>
      <w:r>
        <w:fldChar w:fldCharType="end"/>
      </w:r>
      <w:r>
        <w:rPr>
          <w:rFonts w:cs="Arial"/>
          <w:i/>
          <w:color w:val="00B0F0"/>
        </w:rPr>
        <w:t>, 2017 και Eurostat, 2018)</w:t>
      </w:r>
    </w:p>
    <w:p>
      <w:pPr>
        <w:pStyle w:val="style86"/>
        <w:spacing w:after="40" w:before="40"/>
        <w:contextualSpacing w:val="false"/>
        <w:jc w:val="center"/>
      </w:pPr>
      <w:r>
        <w:rPr>
          <w:rFonts w:cs="Arial"/>
          <w:b/>
          <w:color w:val="FFFFFF"/>
          <w:sz w:val="22"/>
          <w:szCs w:val="22"/>
        </w:rPr>
        <w:t>Ελλάδα</w:t>
      </w:r>
    </w:p>
    <w:p>
      <w:pPr>
        <w:pStyle w:val="style86"/>
        <w:spacing w:after="40" w:before="40"/>
        <w:contextualSpacing w:val="false"/>
        <w:jc w:val="center"/>
      </w:pPr>
      <w:r>
        <w:rPr>
          <w:rFonts w:cs="Arial"/>
          <w:b/>
          <w:color w:val="FFFFFF"/>
          <w:sz w:val="22"/>
          <w:szCs w:val="22"/>
        </w:rPr>
        <w:t>ΕΕ*</w:t>
      </w:r>
    </w:p>
    <w:p>
      <w:pPr>
        <w:pStyle w:val="style86"/>
        <w:spacing w:after="0" w:before="120"/>
        <w:contextualSpacing w:val="false"/>
      </w:pPr>
      <w:r>
        <w:rPr/>
        <w:drawing>
          <wp:inline distB="0" distL="0" distR="0" distT="0">
            <wp:extent cx="3420110" cy="2658110"/>
            <wp:effectExtent b="0" l="0" r="0" t="0"/>
            <wp:docPr desc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6" name="Picture"/>
                    <pic:cNvPicPr>
                      <a:picLocks noChangeArrowheads="1" noChangeAspect="1"/>
                    </pic:cNvPicPr>
                  </pic:nvPicPr>
                  <pic:blipFill>
                    <a:blip r:embed="rId31"/>
                    <a:srcRect/>
                    <a:stretch>
                      <a:fillRect/>
                    </a:stretch>
                  </pic:blipFill>
                  <pic:spPr bwMode="auto">
                    <a:xfrm>
                      <a:off x="0" y="0"/>
                      <a:ext cx="3420110" cy="2658110"/>
                    </a:xfrm>
                    <a:prstGeom prst="rect">
                      <a:avLst/>
                    </a:prstGeom>
                    <a:noFill/>
                    <a:ln w="9525">
                      <a:noFill/>
                      <a:miter lim="800000"/>
                      <a:headEnd/>
                      <a:tailEnd/>
                    </a:ln>
                  </pic:spPr>
                </pic:pic>
              </a:graphicData>
            </a:graphic>
          </wp:inline>
        </w:drawing>
      </w:r>
    </w:p>
    <w:p>
      <w:pPr>
        <w:pStyle w:val="style86"/>
        <w:spacing w:after="0" w:before="120"/>
        <w:contextualSpacing w:val="false"/>
      </w:pPr>
      <w:r>
        <w:rPr/>
        <w:drawing>
          <wp:inline distB="0" distL="0" distR="0" distT="0">
            <wp:extent cx="3420110" cy="2661285"/>
            <wp:effectExtent b="0" l="0" r="0" t="0"/>
            <wp:docPr desc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7" name="Picture"/>
                    <pic:cNvPicPr>
                      <a:picLocks noChangeArrowheads="1" noChangeAspect="1"/>
                    </pic:cNvPicPr>
                  </pic:nvPicPr>
                  <pic:blipFill>
                    <a:blip r:embed="rId32"/>
                    <a:srcRect/>
                    <a:stretch>
                      <a:fillRect/>
                    </a:stretch>
                  </pic:blipFill>
                  <pic:spPr bwMode="auto">
                    <a:xfrm>
                      <a:off x="0" y="0"/>
                      <a:ext cx="3420110" cy="2661285"/>
                    </a:xfrm>
                    <a:prstGeom prst="rect">
                      <a:avLst/>
                    </a:prstGeom>
                    <a:noFill/>
                    <a:ln w="9525">
                      <a:noFill/>
                      <a:miter lim="800000"/>
                      <a:headEnd/>
                      <a:tailEnd/>
                    </a:ln>
                  </pic:spPr>
                </pic:pic>
              </a:graphicData>
            </a:graphic>
          </wp:inline>
        </w:drawing>
      </w:r>
    </w:p>
    <w:p>
      <w:pPr>
        <w:pStyle w:val="style86"/>
        <w:spacing w:after="0" w:before="120"/>
        <w:contextualSpacing w:val="false"/>
      </w:pPr>
      <w:r>
        <w:rPr>
          <w:rFonts w:cs="Arial"/>
          <w:sz w:val="16"/>
          <w:szCs w:val="16"/>
          <w:lang w:val="el-GR"/>
        </w:rPr>
        <w:t>* Η δυνητική απώλεια θέσεων εργασίας στην ΕΕ έχει υπολογιστεί με βάση τα στοιχεία της McKinsey για το ποσοστό εργασίας που θα μπορούσε να αυτοματοποιηθεί και το σύνολο των εργαζομένων κατά κλάδο σε 11 χώρες για τις οποίες υπάρχουν στοιχεία: Αυστρία, Τσεχία, Γαλλία, Γερμανία, Ελλάδα, Ιταλία, Ολλανδία, Πολωνία, Ισπανία, Σουηδία, Ην. Βασίλειο. Το ποσοστό συμμετοχής εργαζομένων ηλικίας 15-64 ετών στην εκπαίδευση και κατάρτιση αναφέρεται στην ΕΕ-28.</w:t>
      </w:r>
    </w:p>
    <w:p>
      <w:pPr>
        <w:pStyle w:val="style86"/>
      </w:pPr>
      <w:r>
        <w:rPr/>
      </w:r>
    </w:p>
    <w:p>
      <w:pPr>
        <w:pStyle w:val="style0"/>
        <w:tabs>
          <w:tab w:leader="none" w:pos="426" w:val="left"/>
        </w:tabs>
        <w:spacing w:after="0" w:before="160" w:line="300" w:lineRule="exact"/>
        <w:contextualSpacing w:val="false"/>
      </w:pPr>
      <w:r>
        <w:rPr>
          <w:rFonts w:cs="Arial"/>
          <w:sz w:val="22"/>
          <w:szCs w:val="22"/>
          <w:lang w:val="el-GR"/>
        </w:rPr>
        <w:t xml:space="preserve">Οι αριθμοί είναι καταιγιστικοί. Στην Ελλάδα το 2018, μόνο το 6,3% των εργαζομένων ηλικίας 18-64 ετών συμμετείχαν σε προγράμματα εκπαίδευσης και κατάρτισης, έναντι 14,8% στην ΕΕ-28. Σημειώνεται ότι, από το σύνολο των εργαζομένων που εκπαιδεύονται και καταρτίζονται, το 62% είναι χαμηλών και μεσαίων δεξιοτήτων και το 38% υψηλών δεξιοτήτων. Στους κλάδους δε, όπου η δυνητική αντικατάσταση εργαζομένων σε απόλυτα μεγέθη είναι μεγάλη, όπως στο εμπόριο, τη γεωργία και τη μεταποίηση, τα ποσοστά εργαζομένων που εκπαιδεύονται και καταρτίζονται είναι ακόμη χαμηλότερα. Για παράδειγμα, το ποσοστό αυτό στο εμπόριο είναι 5,5% (έναντι 13,3% στην ΕΕ-28), στη γεωργία δεν υπάρχουν στοιχεία για την Ελλάδα ενώ στην ΕΕ-28 εκπαιδεύεται και καταρτίζεται το 6% των εργαζομένων, και, τέλος, στη μεταποίηση το ποσοστό αυτό ανέρχεται σε 3,5% (έναντι 9,5% στην ΕΕ-28). Τα ίδια ισχύουν και για κλάδους δημοσίου συμφέροντος, όπως η δημόσια διοίκηση (6,4% στην Ελλάδα, 16,8% στην ΕΕ-28), ο ηλεκτρισμός και το φυσικό αέριο (6% στην Ελλάδα, 15,3% στην ΕΕ-28), και η παροχή νερού (4,5% στην Ελλάδα, 8,6% στην ΕΕ-28). Σημειώνεται ότι η συμμετοχή των εργαζομένων χαμηλών και μεσαίων δεξιοτήτων στους ανωτέρω κλάδους υπερτερεί εκείνων με υψηλές δεξιότητες. </w:t>
      </w:r>
    </w:p>
    <w:p>
      <w:pPr>
        <w:pStyle w:val="style0"/>
      </w:pPr>
      <w:r>
        <w:rPr/>
        <w:drawing>
          <wp:inline distB="0" distL="0" distR="0" distT="0">
            <wp:extent cx="5039360" cy="3335655"/>
            <wp:effectExtent b="0" l="0" r="0" t="0"/>
            <wp:docPr descr=""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8" name="Picture"/>
                    <pic:cNvPicPr>
                      <a:picLocks noChangeArrowheads="1" noChangeAspect="1"/>
                    </pic:cNvPicPr>
                  </pic:nvPicPr>
                  <pic:blipFill>
                    <a:blip r:embed="rId33"/>
                    <a:srcRect/>
                    <a:stretch>
                      <a:fillRect/>
                    </a:stretch>
                  </pic:blipFill>
                  <pic:spPr bwMode="auto">
                    <a:xfrm>
                      <a:off x="0" y="0"/>
                      <a:ext cx="5039360" cy="3335655"/>
                    </a:xfrm>
                    <a:prstGeom prst="rect">
                      <a:avLst/>
                    </a:prstGeom>
                    <a:noFill/>
                    <a:ln w="9525">
                      <a:noFill/>
                      <a:miter lim="800000"/>
                      <a:headEnd/>
                      <a:tailEnd/>
                    </a:ln>
                  </pic:spPr>
                </pic:pic>
              </a:graphicData>
            </a:graphic>
          </wp:inline>
        </w:drawing>
      </w:r>
    </w:p>
    <w:p>
      <w:pPr>
        <w:pStyle w:val="style0"/>
      </w:pPr>
      <w:r>
        <w:rPr>
          <w:rFonts w:cs="Arial"/>
          <w:b/>
          <w:color w:val="00B0F0"/>
          <w:lang w:val="el-GR"/>
        </w:rPr>
        <w:t xml:space="preserve">Δ10: </w:t>
      </w:r>
      <w:r>
        <w:rPr>
          <w:rFonts w:cs="Arial"/>
          <w:b/>
          <w:lang w:val="el-GR"/>
        </w:rPr>
        <w:t>Ποσοστό επενδύσεων σε μηχανήματα και προϊόντα πνευματικής ιδιοκτησίας και ποσοστό συμμετοχής εργαζομένων ηλικίας 18-64 ετών στην εκπαίδευση και κατάρτιση σε χώρες της ΕΕ</w:t>
      </w:r>
    </w:p>
    <w:p>
      <w:pPr>
        <w:pStyle w:val="style0"/>
        <w:spacing w:after="120" w:before="0"/>
        <w:contextualSpacing w:val="false"/>
      </w:pPr>
      <w:r>
        <w:rPr>
          <w:rFonts w:cs="Arial"/>
          <w:i/>
          <w:color w:val="00B0F0"/>
        </w:rPr>
        <w:t xml:space="preserve">(Eurostat National Accounts 2017 </w:t>
      </w:r>
      <w:r>
        <w:rPr>
          <w:rFonts w:cs="Arial"/>
          <w:i/>
          <w:color w:val="00B0F0"/>
          <w:lang w:val="el-GR"/>
        </w:rPr>
        <w:t>και</w:t>
      </w:r>
      <w:r>
        <w:rPr>
          <w:rFonts w:cs="Arial"/>
          <w:i/>
          <w:color w:val="00B0F0"/>
        </w:rPr>
        <w:t xml:space="preserve"> Labour Force Statistics 2018)</w:t>
      </w:r>
    </w:p>
    <w:p>
      <w:pPr>
        <w:pStyle w:val="style0"/>
      </w:pPr>
      <w:r>
        <w:rPr/>
      </w:r>
    </w:p>
    <w:p>
      <w:pPr>
        <w:pStyle w:val="style0"/>
        <w:tabs>
          <w:tab w:leader="none" w:pos="426" w:val="left"/>
        </w:tabs>
        <w:spacing w:after="0" w:before="160" w:line="300" w:lineRule="exact"/>
        <w:contextualSpacing w:val="false"/>
      </w:pPr>
      <w:r>
        <w:rPr>
          <w:rFonts w:cs="Arial"/>
          <w:sz w:val="22"/>
          <w:szCs w:val="22"/>
          <w:lang w:val="el-GR"/>
        </w:rPr>
        <w:t xml:space="preserve">Μεγαλύτερα ποσοστά παρατηρούνται στον κλάδο του τουρισμού (9,4% στην Ελλάδα, 16,1% στην ΕΕ-28), αν και στον κλάδο αυτό παραδοσιακά απασχολούνται εργαζόμενοι (κυρίως σε νεαρές ηλικίες) που επιδιώκουν, μέσω εκπαίδευσης και κατάρτισης, να αναβαθμίσουν τις επαγγελματικές τους προοπτικές (κάτι που συμβαίνει, επίσης, στον κλάδο των τεχνών και της διασκέδασης). Άλλοι κλάδοι που έχουν υψηλότερα ποσοστά εργαζομένων σε εκπαίδευση και κατάρτιση, αν και πολύ μικρότερα απ’ ότι στην ΕΕ-28, είναι ο κλάδος της ενημέρωσης και επικοινωνίας (12,7% στην Ελλάδα, 17,8% στην ΕΕ-28), οι τράπεζες και ασφάλειες (7,1% στην Ελλάδα, 20,2% στην ΕΕ-28), οι επαγγελματικές δραστηριότητες (8,8% στην Ελλάδα, 19,7% στην ΕΕ-28), και, τέλος, η υγεία (7,2% στην Ελλάδα, 20,8% στην ΕΕ-28) και η εκπαίδευση (7,9% στην Ελλάδα, 22,2% στην ΕΕ-28). Στους ανωτέρω κλάδους, παρατηρείται ότι τα ποσοστά των εργαζομένων που εκπαιδεύονται και καταρτίζονται είναι μεγαλύτερα για τους εργαζομένους υψηλών δεξιοτήτων. Συνολικά, τα στοιχεία αυτά είναι μάλλον αποθαρρυντικά ως προς προοπτικές της απασχόλησης στην Ελλάδα τα επόμενα χρόνια ενόψει των επερχόμενων τεχνολογικών εξελίξεων, αλλά και ως προς την επίτευξη ισχυρών αναπτυξιακών ρυθμών και αύξησης της ευημερίας του πληθυσμού. </w:t>
      </w:r>
    </w:p>
    <w:p>
      <w:pPr>
        <w:pStyle w:val="style0"/>
        <w:tabs>
          <w:tab w:leader="none" w:pos="426" w:val="left"/>
        </w:tabs>
        <w:spacing w:after="0" w:before="160" w:line="300" w:lineRule="exact"/>
        <w:contextualSpacing w:val="false"/>
      </w:pPr>
      <w:r>
        <w:rPr>
          <w:rFonts w:cs="Arial"/>
          <w:sz w:val="22"/>
          <w:szCs w:val="22"/>
          <w:lang w:val="el-GR"/>
        </w:rPr>
        <w:t>Στο διάγραμμα της 1</w:t>
      </w:r>
      <w:r>
        <w:rPr>
          <w:rFonts w:cs="Arial"/>
          <w:sz w:val="22"/>
          <w:szCs w:val="22"/>
          <w:vertAlign w:val="superscript"/>
          <w:lang w:val="el-GR"/>
        </w:rPr>
        <w:t>ης</w:t>
      </w:r>
      <w:r>
        <w:rPr>
          <w:rFonts w:cs="Arial"/>
          <w:sz w:val="22"/>
          <w:szCs w:val="22"/>
          <w:lang w:val="el-GR"/>
        </w:rPr>
        <w:t xml:space="preserve"> σελίδας σε διακρατικό επίπεδο, παρατηρείται μια έντονη θετική συσχέτιση μεταξύ επενδύσεων συμβατών με τις τεχνολογικές εξελίξεις (π.χ. σε προϊόντα πνευματικής ιδιοκτησίας) και της συμμετοχής των εργαζομένων σε προγράμματα εκπαίδευσης και κατάρτισης. Αυτό σημαίνει ότι χώρες που προετοιμάζονται καλύτερα για τις επερχόμενες τεχνολογικές εξελίξεις επενδύοντας σε συμβατές τεχνολογίες, ενσωματώνουν και υψηλότερα επίπεδα εκπαίδευσης και κατάρτισης για τους εργαζομένους. Οι βόρειες χώρες (Σουηδία, Δανία, Φινλανδία, Ολλανδία, Ηνωμένο Βασίλειο αλλά και Γαλλία) είναι στην πρωτοπορία, με τις χώρες του νότου αλλά και της κεντρικής Ευρώπης, να υστερούν σχετικά, με την Ελλάδα να είναι ελαφρώς σε καλύτερη θέση από τη Ρουμανία και τη Βουλγαρία, αλλά σε αρκετά χειρότερη θέση από την Ιταλία, την Ισπανία, την Πορτογαλία και τη Γερμανία (Διάγραμμα 1</w:t>
      </w:r>
      <w:r>
        <w:rPr>
          <w:rFonts w:cs="Arial"/>
          <w:sz w:val="22"/>
          <w:szCs w:val="22"/>
          <w:vertAlign w:val="superscript"/>
          <w:lang w:val="el-GR"/>
        </w:rPr>
        <w:t>ης</w:t>
      </w:r>
      <w:r>
        <w:rPr>
          <w:rFonts w:cs="Arial"/>
          <w:sz w:val="22"/>
          <w:szCs w:val="22"/>
          <w:lang w:val="el-GR"/>
        </w:rPr>
        <w:t xml:space="preserve"> σελίδας και </w:t>
      </w:r>
      <w:r>
        <w:rPr>
          <w:rFonts w:cs="Arial"/>
          <w:b/>
          <w:color w:val="00B0F0"/>
          <w:sz w:val="22"/>
          <w:szCs w:val="22"/>
          <w:lang w:val="el-GR"/>
        </w:rPr>
        <w:t>Δ10</w:t>
      </w:r>
      <w:r>
        <w:rPr>
          <w:rFonts w:cs="Arial"/>
          <w:sz w:val="22"/>
          <w:szCs w:val="22"/>
          <w:lang w:val="el-GR"/>
        </w:rPr>
        <w:t xml:space="preserve">). </w:t>
      </w:r>
    </w:p>
    <w:p>
      <w:pPr>
        <w:pStyle w:val="style0"/>
        <w:tabs>
          <w:tab w:leader="none" w:pos="426" w:val="left"/>
        </w:tabs>
        <w:spacing w:after="0" w:before="160" w:line="300" w:lineRule="exact"/>
        <w:contextualSpacing w:val="false"/>
      </w:pPr>
      <w:r>
        <w:rPr>
          <w:rFonts w:cs="Arial"/>
          <w:sz w:val="22"/>
          <w:szCs w:val="22"/>
          <w:lang w:val="el-GR"/>
        </w:rPr>
        <w:t xml:space="preserve">Σύμφωνα με το </w:t>
      </w:r>
      <w:r>
        <w:rPr>
          <w:rFonts w:cs="Arial"/>
          <w:sz w:val="22"/>
          <w:szCs w:val="22"/>
        </w:rPr>
        <w:t>World</w:t>
      </w:r>
      <w:r>
        <w:rPr>
          <w:rFonts w:cs="Arial"/>
          <w:sz w:val="22"/>
          <w:szCs w:val="22"/>
          <w:lang w:val="el-GR"/>
        </w:rPr>
        <w:t xml:space="preserve"> </w:t>
      </w:r>
      <w:r>
        <w:rPr>
          <w:rFonts w:cs="Arial"/>
          <w:sz w:val="22"/>
          <w:szCs w:val="22"/>
        </w:rPr>
        <w:t>Economic</w:t>
      </w:r>
      <w:r>
        <w:rPr>
          <w:rFonts w:cs="Arial"/>
          <w:sz w:val="22"/>
          <w:szCs w:val="22"/>
          <w:lang w:val="el-GR"/>
        </w:rPr>
        <w:t xml:space="preserve"> </w:t>
      </w:r>
      <w:r>
        <w:rPr>
          <w:rFonts w:cs="Arial"/>
          <w:sz w:val="22"/>
          <w:szCs w:val="22"/>
        </w:rPr>
        <w:t>Forum</w:t>
      </w:r>
      <w:r>
        <w:rPr>
          <w:rFonts w:cs="Arial"/>
          <w:sz w:val="22"/>
          <w:szCs w:val="22"/>
          <w:lang w:val="el-GR"/>
        </w:rPr>
        <w:t xml:space="preserve"> (</w:t>
      </w:r>
      <w:hyperlink r:id="rId34">
        <w:r>
          <w:rPr>
            <w:rStyle w:val="style21"/>
            <w:rFonts w:cs="Arial"/>
            <w:sz w:val="22"/>
            <w:szCs w:val="22"/>
            <w:lang w:val="el-GR"/>
          </w:rPr>
          <w:t>A Global Standard for Lifelong Learning and Worker Engagement to Support Advanced Manufacturing</w:t>
        </w:r>
      </w:hyperlink>
      <w:r>
        <w:rPr>
          <w:rFonts w:cs="Arial"/>
          <w:sz w:val="22"/>
          <w:szCs w:val="22"/>
          <w:lang w:val="el-GR"/>
        </w:rPr>
        <w:t>, Νοέμβριος 2019), οι επιχειρήσεις θεωρούν ότι θα ανταποκριθούν σε μελλοντικές ανάγκες σε δεξιότητες (2022) μέσα από τρεις πρακτικές: α) προσλήψεις μόνιμου προσωπικού με δεξιότητες συμβατές με τις νέες τεχνολογίες, β) εισαγωγή πλήρους αυτοματοποίησης των σχετικών εργασιακών δραστηριοτήτων, και γ) επανακατάρτιση υπάρχοντος προσωπικού. Στο πλαίσιο αυτό, το 1/4 των επιχειρήσεων εμφανίζονται αναποφάσιστες ή διστακτικές στην επανακατάρτιση υπάρχοντος προσωπικού, τα 2/3 περιμένουν οι εργαζόμενοι να προσαρμοσθούν και να αποκτήσουν τις δεξιότητες που απαιτούνται καθώς αλλάζουν δουλειές, και, μεταξύ 1/2 και 2/3 σκοπεύουν να στραφούν σε εξωτερικούς συνεργάτες ή/και να προσλάβουν προσωπικό προσωρινής απασχόλησης και ελεύθερους επαγγελματίες. Στο ίδιο θέμα, σε ερωτηματολόγια της ΕΛΣΤΑΤ/</w:t>
      </w:r>
      <w:r>
        <w:rPr>
          <w:rFonts w:cs="Arial"/>
          <w:sz w:val="22"/>
          <w:szCs w:val="22"/>
        </w:rPr>
        <w:t>Eurostat</w:t>
      </w:r>
      <w:r>
        <w:rPr>
          <w:rFonts w:cs="Arial"/>
          <w:sz w:val="22"/>
          <w:szCs w:val="22"/>
          <w:lang w:val="el-GR"/>
        </w:rPr>
        <w:t>, το 1/4 των ελληνικών επιχειρήσεων (έναντι των 2/3 στην ΕΕ-28) καλύπτουν παγίως τις ανάγκες τους σε μελλοντικές δεξιότητες μέσω συνεχιζόμενης επαγγελματικής κατάρτισης υπάρχοντος προσωπικού, το 57% των ελληνικών επιχειρήσεων (έναντι του 66% στην ΕΕ-28) μέσω προσλήψεων προσωπικού με τις κατάλληλες δεξιότητες, και το 25% των ελληνικών επιχειρήσεων (έναντι 43% στην ΕΕ-28) μέσω προσλήψεων προσωπικού σε συνδυασμό με κατάρτιση (</w:t>
      </w:r>
      <w:r>
        <w:rPr>
          <w:rFonts w:cs="Arial"/>
          <w:b/>
          <w:color w:val="00B0F0"/>
          <w:sz w:val="22"/>
          <w:szCs w:val="22"/>
          <w:lang w:val="el-GR"/>
        </w:rPr>
        <w:t>Δ11</w:t>
      </w:r>
      <w:r>
        <w:rPr>
          <w:rFonts w:cs="Arial"/>
          <w:sz w:val="22"/>
          <w:szCs w:val="22"/>
          <w:lang w:val="el-GR"/>
        </w:rPr>
        <w:t xml:space="preserve">). </w:t>
      </w:r>
    </w:p>
    <w:p>
      <w:pPr>
        <w:pStyle w:val="style86"/>
        <w:spacing w:after="120" w:before="0"/>
        <w:contextualSpacing w:val="false"/>
      </w:pPr>
      <w:r>
        <w:rPr>
          <w:rFonts w:cs="Arial"/>
          <w:b/>
          <w:color w:val="00B0F0"/>
          <w:lang w:val="el-GR"/>
        </w:rPr>
        <w:t xml:space="preserve">Δ11: </w:t>
      </w:r>
      <w:r>
        <w:rPr>
          <w:rFonts w:cs="Arial"/>
          <w:b/>
          <w:lang w:val="el-GR"/>
        </w:rPr>
        <w:t xml:space="preserve">Πρακτικές ανταπόκρισης επιχειρήσεων σε μελλοντικές ανάγκες σε δεξιότητες κατά κλάδο </w:t>
      </w:r>
      <w:r>
        <w:rPr>
          <w:rFonts w:cs="Arial"/>
          <w:i/>
          <w:color w:val="00B0F0"/>
          <w:lang w:val="el-GR"/>
        </w:rPr>
        <w:t>(</w:t>
      </w:r>
      <w:r>
        <w:rPr>
          <w:rFonts w:cs="Arial"/>
          <w:i/>
          <w:color w:val="00B0F0"/>
        </w:rPr>
        <w:t>Eurostat</w:t>
      </w:r>
      <w:r>
        <w:rPr>
          <w:rFonts w:cs="Arial"/>
          <w:i/>
          <w:color w:val="00B0F0"/>
          <w:lang w:val="el-GR"/>
        </w:rPr>
        <w:t>, 2015)</w:t>
      </w:r>
    </w:p>
    <w:p>
      <w:pPr>
        <w:pStyle w:val="style86"/>
        <w:jc w:val="right"/>
      </w:pPr>
      <w:r>
        <w:rPr>
          <w:rFonts w:cs="Arial"/>
          <w:i/>
          <w:color w:val="FFFFFF"/>
          <w:sz w:val="16"/>
          <w:szCs w:val="16"/>
          <w:lang w:val="el-GR"/>
        </w:rPr>
        <w:t>(% επιχειρήσεων)</w:t>
      </w:r>
    </w:p>
    <w:p>
      <w:pPr>
        <w:pStyle w:val="style86"/>
        <w:jc w:val="center"/>
      </w:pPr>
      <w:r>
        <w:rPr>
          <w:rFonts w:cs="Arial"/>
          <w:color w:val="FFFFFF"/>
          <w:sz w:val="16"/>
          <w:szCs w:val="16"/>
          <w:lang w:val="el-GR"/>
        </w:rPr>
        <w:t>Συνεχιζόμενη επαγγελματική κατάρτιση υπάρχοντος προσωπικού</w:t>
      </w:r>
    </w:p>
    <w:p>
      <w:pPr>
        <w:pStyle w:val="style86"/>
        <w:jc w:val="center"/>
      </w:pPr>
      <w:r>
        <w:rPr>
          <w:rFonts w:cs="Arial"/>
          <w:color w:val="FFFFFF"/>
          <w:sz w:val="16"/>
          <w:szCs w:val="16"/>
          <w:lang w:val="el-GR"/>
        </w:rPr>
        <w:t>Εσωτερική αναδιοργάνωση για την καλύτερη αξιοποίηση των υπαρχόντων δεξιοτήτων</w:t>
      </w:r>
    </w:p>
    <w:p>
      <w:pPr>
        <w:pStyle w:val="style86"/>
        <w:jc w:val="center"/>
      </w:pPr>
      <w:r>
        <w:rPr>
          <w:rFonts w:cs="Arial"/>
          <w:color w:val="FFFFFF"/>
          <w:sz w:val="16"/>
          <w:szCs w:val="16"/>
          <w:lang w:val="el-GR"/>
        </w:rPr>
        <w:t>Προσλήψεις προσωπικού με τις κατάλληλες δεξιότητες</w:t>
      </w:r>
    </w:p>
    <w:p>
      <w:pPr>
        <w:pStyle w:val="style86"/>
        <w:jc w:val="center"/>
      </w:pPr>
      <w:r>
        <w:rPr>
          <w:rFonts w:cs="Arial"/>
          <w:color w:val="FFFFFF"/>
          <w:sz w:val="16"/>
          <w:szCs w:val="16"/>
          <w:lang w:val="el-GR"/>
        </w:rPr>
        <w:t>Προσλήψεις προσωπικού σε συνδυασμό με κατάρτιση</w:t>
      </w:r>
    </w:p>
    <w:p>
      <w:pPr>
        <w:pStyle w:val="style86"/>
        <w:jc w:val="center"/>
      </w:pPr>
      <w:r>
        <w:rPr>
          <w:rFonts w:cs="Arial"/>
          <w:b/>
          <w:i/>
          <w:color w:val="FFFFFF"/>
          <w:sz w:val="22"/>
          <w:szCs w:val="22"/>
          <w:lang w:val="el-GR"/>
        </w:rPr>
      </w:r>
    </w:p>
    <w:p>
      <w:pPr>
        <w:pStyle w:val="style86"/>
        <w:jc w:val="center"/>
      </w:pPr>
      <w:r>
        <w:rPr>
          <w:rFonts w:cs="Arial"/>
          <w:b/>
          <w:color w:val="FFFFFF"/>
          <w:sz w:val="22"/>
          <w:szCs w:val="22"/>
          <w:lang w:val="el-GR"/>
        </w:rPr>
        <w:t>Ελλάδα</w:t>
      </w:r>
    </w:p>
    <w:p>
      <w:pPr>
        <w:pStyle w:val="style86"/>
      </w:pPr>
      <w:r>
        <w:rPr>
          <w:rFonts w:cs="Arial"/>
          <w:b/>
          <w:color w:val="000000"/>
          <w:sz w:val="16"/>
          <w:szCs w:val="16"/>
          <w:lang w:val="el-GR"/>
        </w:rPr>
        <w:t>Σύνολο</w:t>
      </w:r>
    </w:p>
    <w:p>
      <w:pPr>
        <w:pStyle w:val="style86"/>
        <w:ind w:hanging="0" w:left="0" w:right="348"/>
        <w:jc w:val="right"/>
      </w:pPr>
      <w:r>
        <w:rPr>
          <w:rFonts w:cs="Arial"/>
          <w:b/>
          <w:sz w:val="16"/>
          <w:szCs w:val="16"/>
        </w:rPr>
        <w:t>23,5</w:t>
      </w:r>
    </w:p>
    <w:p>
      <w:pPr>
        <w:pStyle w:val="style86"/>
        <w:ind w:hanging="0" w:left="0" w:right="348"/>
        <w:jc w:val="right"/>
      </w:pPr>
      <w:r>
        <w:rPr>
          <w:rFonts w:cs="Arial"/>
          <w:b/>
          <w:sz w:val="16"/>
          <w:szCs w:val="16"/>
        </w:rPr>
        <w:t>45,3</w:t>
      </w:r>
    </w:p>
    <w:p>
      <w:pPr>
        <w:pStyle w:val="style86"/>
        <w:ind w:hanging="0" w:left="0" w:right="348"/>
        <w:jc w:val="right"/>
      </w:pPr>
      <w:r>
        <w:rPr>
          <w:rFonts w:cs="Arial"/>
          <w:b/>
          <w:sz w:val="16"/>
          <w:szCs w:val="16"/>
        </w:rPr>
        <w:t>57,0</w:t>
      </w:r>
    </w:p>
    <w:p>
      <w:pPr>
        <w:pStyle w:val="style86"/>
        <w:ind w:hanging="0" w:left="0" w:right="348"/>
        <w:jc w:val="right"/>
      </w:pPr>
      <w:r>
        <w:rPr>
          <w:rFonts w:cs="Arial"/>
          <w:b/>
          <w:sz w:val="16"/>
          <w:szCs w:val="16"/>
        </w:rPr>
        <w:t>24,6</w:t>
      </w:r>
    </w:p>
    <w:p>
      <w:pPr>
        <w:pStyle w:val="style86"/>
      </w:pPr>
      <w:r>
        <w:rPr>
          <w:rFonts w:cs="Arial"/>
          <w:color w:val="000000"/>
          <w:sz w:val="16"/>
          <w:szCs w:val="16"/>
          <w:lang w:val="el-GR"/>
        </w:rPr>
        <w:t>Βιομηχανία</w:t>
      </w:r>
    </w:p>
    <w:p>
      <w:pPr>
        <w:pStyle w:val="style86"/>
        <w:ind w:hanging="0" w:left="0" w:right="348"/>
        <w:jc w:val="right"/>
      </w:pPr>
      <w:r>
        <w:rPr>
          <w:rFonts w:cs="Arial"/>
          <w:sz w:val="16"/>
          <w:szCs w:val="16"/>
        </w:rPr>
        <w:t>24,9</w:t>
      </w:r>
    </w:p>
    <w:p>
      <w:pPr>
        <w:pStyle w:val="style86"/>
        <w:ind w:hanging="0" w:left="0" w:right="348"/>
        <w:jc w:val="right"/>
      </w:pPr>
      <w:r>
        <w:rPr>
          <w:rFonts w:cs="Arial"/>
          <w:sz w:val="16"/>
          <w:szCs w:val="16"/>
        </w:rPr>
        <w:t>51,0</w:t>
      </w:r>
    </w:p>
    <w:p>
      <w:pPr>
        <w:pStyle w:val="style86"/>
        <w:ind w:hanging="0" w:left="0" w:right="348"/>
        <w:jc w:val="right"/>
      </w:pPr>
      <w:r>
        <w:rPr>
          <w:rFonts w:cs="Arial"/>
          <w:sz w:val="16"/>
          <w:szCs w:val="16"/>
        </w:rPr>
        <w:t>51,0</w:t>
      </w:r>
    </w:p>
    <w:p>
      <w:pPr>
        <w:pStyle w:val="style86"/>
        <w:ind w:hanging="0" w:left="0" w:right="348"/>
        <w:jc w:val="right"/>
      </w:pPr>
      <w:r>
        <w:rPr>
          <w:rFonts w:cs="Arial"/>
          <w:sz w:val="16"/>
          <w:szCs w:val="16"/>
        </w:rPr>
        <w:t>23,3</w:t>
      </w:r>
    </w:p>
    <w:p>
      <w:pPr>
        <w:pStyle w:val="style86"/>
      </w:pPr>
      <w:r>
        <w:rPr>
          <w:rFonts w:cs="Arial"/>
          <w:color w:val="000000"/>
          <w:sz w:val="16"/>
          <w:szCs w:val="16"/>
          <w:lang w:val="el-GR"/>
        </w:rPr>
        <w:t>Κατασκευές</w:t>
      </w:r>
    </w:p>
    <w:p>
      <w:pPr>
        <w:pStyle w:val="style86"/>
        <w:ind w:hanging="0" w:left="0" w:right="348"/>
        <w:jc w:val="right"/>
      </w:pPr>
      <w:r>
        <w:rPr>
          <w:rFonts w:cs="Arial"/>
          <w:sz w:val="16"/>
          <w:szCs w:val="16"/>
        </w:rPr>
        <w:t>11,5</w:t>
      </w:r>
    </w:p>
    <w:p>
      <w:pPr>
        <w:pStyle w:val="style86"/>
        <w:ind w:hanging="0" w:left="0" w:right="348"/>
        <w:jc w:val="right"/>
      </w:pPr>
      <w:r>
        <w:rPr>
          <w:rFonts w:cs="Arial"/>
          <w:sz w:val="16"/>
          <w:szCs w:val="16"/>
        </w:rPr>
        <w:t>43,2</w:t>
      </w:r>
    </w:p>
    <w:p>
      <w:pPr>
        <w:pStyle w:val="style86"/>
        <w:ind w:hanging="0" w:left="0" w:right="348"/>
        <w:jc w:val="right"/>
      </w:pPr>
      <w:r>
        <w:rPr>
          <w:rFonts w:cs="Arial"/>
          <w:sz w:val="16"/>
          <w:szCs w:val="16"/>
        </w:rPr>
        <w:t>52,4</w:t>
      </w:r>
    </w:p>
    <w:p>
      <w:pPr>
        <w:pStyle w:val="style86"/>
        <w:ind w:hanging="0" w:left="0" w:right="348"/>
        <w:jc w:val="right"/>
      </w:pPr>
      <w:r>
        <w:rPr>
          <w:rFonts w:cs="Arial"/>
          <w:sz w:val="16"/>
          <w:szCs w:val="16"/>
        </w:rPr>
        <w:t>31,2</w:t>
      </w:r>
    </w:p>
    <w:p>
      <w:pPr>
        <w:pStyle w:val="style86"/>
      </w:pPr>
      <w:r>
        <w:rPr>
          <w:rFonts w:cs="Arial"/>
          <w:color w:val="000000"/>
          <w:sz w:val="16"/>
          <w:szCs w:val="16"/>
          <w:lang w:val="el-GR"/>
        </w:rPr>
        <w:t>Εμπόριο, μεταφορές και τουρισμός</w:t>
      </w:r>
    </w:p>
    <w:p>
      <w:pPr>
        <w:pStyle w:val="style86"/>
        <w:ind w:hanging="0" w:left="0" w:right="348"/>
        <w:jc w:val="right"/>
      </w:pPr>
      <w:r>
        <w:rPr>
          <w:rFonts w:cs="Arial"/>
          <w:sz w:val="16"/>
          <w:szCs w:val="16"/>
        </w:rPr>
        <w:t>19,8</w:t>
      </w:r>
    </w:p>
    <w:p>
      <w:pPr>
        <w:pStyle w:val="style86"/>
        <w:ind w:hanging="0" w:left="0" w:right="348"/>
        <w:jc w:val="right"/>
      </w:pPr>
      <w:r>
        <w:rPr>
          <w:rFonts w:cs="Arial"/>
          <w:sz w:val="16"/>
          <w:szCs w:val="16"/>
        </w:rPr>
        <w:t>43,6</w:t>
      </w:r>
    </w:p>
    <w:p>
      <w:pPr>
        <w:pStyle w:val="style86"/>
        <w:ind w:hanging="0" w:left="0" w:right="348"/>
        <w:jc w:val="right"/>
      </w:pPr>
      <w:r>
        <w:rPr>
          <w:rFonts w:cs="Arial"/>
          <w:sz w:val="16"/>
          <w:szCs w:val="16"/>
        </w:rPr>
        <w:t>59,8</w:t>
      </w:r>
    </w:p>
    <w:p>
      <w:pPr>
        <w:pStyle w:val="style86"/>
        <w:ind w:hanging="0" w:left="0" w:right="348"/>
        <w:jc w:val="right"/>
      </w:pPr>
      <w:r>
        <w:rPr>
          <w:rFonts w:cs="Arial"/>
          <w:sz w:val="16"/>
          <w:szCs w:val="16"/>
        </w:rPr>
        <w:t>22,9</w:t>
      </w:r>
    </w:p>
    <w:p>
      <w:pPr>
        <w:pStyle w:val="style86"/>
      </w:pPr>
      <w:r>
        <w:rPr>
          <w:rFonts w:cs="Arial"/>
          <w:color w:val="000000"/>
          <w:sz w:val="16"/>
          <w:szCs w:val="16"/>
          <w:lang w:val="el-GR"/>
        </w:rPr>
        <w:t>Ενημέρωση και επικοινωνία, τράπεζες και ασφάλειες</w:t>
      </w:r>
    </w:p>
    <w:p>
      <w:pPr>
        <w:pStyle w:val="style86"/>
        <w:ind w:hanging="0" w:left="0" w:right="348"/>
        <w:jc w:val="right"/>
      </w:pPr>
      <w:r>
        <w:rPr>
          <w:rFonts w:cs="Arial"/>
          <w:sz w:val="16"/>
          <w:szCs w:val="16"/>
        </w:rPr>
        <w:t>36,7</w:t>
      </w:r>
    </w:p>
    <w:p>
      <w:pPr>
        <w:pStyle w:val="style86"/>
        <w:ind w:hanging="0" w:left="0" w:right="348"/>
        <w:jc w:val="right"/>
      </w:pPr>
      <w:r>
        <w:rPr>
          <w:rFonts w:cs="Arial"/>
          <w:sz w:val="16"/>
          <w:szCs w:val="16"/>
        </w:rPr>
        <w:t>55,8</w:t>
      </w:r>
    </w:p>
    <w:p>
      <w:pPr>
        <w:pStyle w:val="style86"/>
        <w:ind w:hanging="0" w:left="0" w:right="348"/>
        <w:jc w:val="right"/>
      </w:pPr>
      <w:r>
        <w:rPr>
          <w:rFonts w:cs="Arial"/>
          <w:sz w:val="16"/>
          <w:szCs w:val="16"/>
        </w:rPr>
        <w:t>59,9</w:t>
      </w:r>
    </w:p>
    <w:p>
      <w:pPr>
        <w:pStyle w:val="style86"/>
        <w:ind w:hanging="0" w:left="0" w:right="348"/>
        <w:jc w:val="right"/>
      </w:pPr>
      <w:r>
        <w:rPr>
          <w:rFonts w:cs="Arial"/>
          <w:sz w:val="16"/>
          <w:szCs w:val="16"/>
        </w:rPr>
        <w:t>29,8</w:t>
      </w:r>
    </w:p>
    <w:p>
      <w:pPr>
        <w:pStyle w:val="style86"/>
      </w:pPr>
      <w:r>
        <w:rPr>
          <w:rFonts w:cs="Arial"/>
          <w:color w:val="000000"/>
          <w:sz w:val="16"/>
          <w:szCs w:val="16"/>
          <w:lang w:val="el-GR"/>
        </w:rPr>
        <w:t>Λοιπές υπηρεσίες</w:t>
      </w:r>
    </w:p>
    <w:p>
      <w:pPr>
        <w:pStyle w:val="style86"/>
        <w:ind w:hanging="0" w:left="0" w:right="348"/>
        <w:jc w:val="right"/>
      </w:pPr>
      <w:r>
        <w:rPr>
          <w:rFonts w:cs="Arial"/>
          <w:sz w:val="16"/>
          <w:szCs w:val="16"/>
        </w:rPr>
        <w:t>35,2</w:t>
      </w:r>
    </w:p>
    <w:p>
      <w:pPr>
        <w:pStyle w:val="style86"/>
        <w:ind w:hanging="0" w:left="0" w:right="348"/>
        <w:jc w:val="right"/>
      </w:pPr>
      <w:r>
        <w:rPr>
          <w:rFonts w:cs="Arial"/>
          <w:sz w:val="16"/>
          <w:szCs w:val="16"/>
        </w:rPr>
        <w:t>43,4</w:t>
      </w:r>
    </w:p>
    <w:p>
      <w:pPr>
        <w:pStyle w:val="style86"/>
        <w:ind w:hanging="0" w:left="0" w:right="348"/>
        <w:jc w:val="right"/>
      </w:pPr>
      <w:r>
        <w:rPr>
          <w:rFonts w:cs="Arial"/>
          <w:sz w:val="16"/>
          <w:szCs w:val="16"/>
        </w:rPr>
        <w:t>54,2</w:t>
      </w:r>
    </w:p>
    <w:p>
      <w:pPr>
        <w:pStyle w:val="style86"/>
        <w:ind w:hanging="0" w:left="0" w:right="348"/>
        <w:jc w:val="right"/>
      </w:pPr>
      <w:r>
        <w:rPr>
          <w:rFonts w:cs="Arial"/>
          <w:sz w:val="16"/>
          <w:szCs w:val="16"/>
        </w:rPr>
        <w:t>28,3</w:t>
      </w:r>
    </w:p>
    <w:p>
      <w:pPr>
        <w:pStyle w:val="style86"/>
      </w:pPr>
      <w:r>
        <w:rPr>
          <w:rFonts w:cs="Arial"/>
          <w:color w:val="000000"/>
          <w:sz w:val="16"/>
          <w:szCs w:val="16"/>
          <w:lang w:val="el-GR"/>
        </w:rPr>
      </w:r>
    </w:p>
    <w:p>
      <w:pPr>
        <w:pStyle w:val="style86"/>
        <w:jc w:val="right"/>
      </w:pPr>
      <w:r>
        <w:rPr>
          <w:rFonts w:cs="Arial"/>
          <w:sz w:val="16"/>
          <w:szCs w:val="16"/>
        </w:rPr>
      </w:r>
    </w:p>
    <w:p>
      <w:pPr>
        <w:pStyle w:val="style86"/>
        <w:jc w:val="right"/>
      </w:pPr>
      <w:r>
        <w:rPr>
          <w:rFonts w:cs="Arial"/>
          <w:sz w:val="16"/>
          <w:szCs w:val="16"/>
        </w:rPr>
      </w:r>
    </w:p>
    <w:p>
      <w:pPr>
        <w:pStyle w:val="style86"/>
        <w:jc w:val="right"/>
      </w:pPr>
      <w:r>
        <w:rPr>
          <w:rFonts w:cs="Arial"/>
          <w:sz w:val="16"/>
          <w:szCs w:val="16"/>
        </w:rPr>
      </w:r>
    </w:p>
    <w:p>
      <w:pPr>
        <w:pStyle w:val="style86"/>
        <w:jc w:val="right"/>
      </w:pPr>
      <w:r>
        <w:rPr>
          <w:rFonts w:cs="Arial"/>
          <w:sz w:val="16"/>
          <w:szCs w:val="16"/>
        </w:rPr>
      </w:r>
    </w:p>
    <w:p>
      <w:pPr>
        <w:pStyle w:val="style86"/>
      </w:pPr>
      <w:r>
        <w:rPr>
          <w:rFonts w:cs="Arial"/>
          <w:color w:val="000000"/>
          <w:sz w:val="16"/>
          <w:szCs w:val="16"/>
          <w:lang w:val="el-GR"/>
        </w:rPr>
      </w:r>
    </w:p>
    <w:p>
      <w:pPr>
        <w:pStyle w:val="style86"/>
        <w:jc w:val="center"/>
      </w:pPr>
      <w:r>
        <w:rPr>
          <w:rFonts w:cs="Arial"/>
          <w:b/>
          <w:color w:val="FFFFFF"/>
          <w:sz w:val="22"/>
          <w:szCs w:val="22"/>
          <w:lang w:val="el-GR"/>
        </w:rPr>
        <w:t>ΕΕ-28</w:t>
      </w:r>
    </w:p>
    <w:p>
      <w:pPr>
        <w:pStyle w:val="style86"/>
      </w:pPr>
      <w:r>
        <w:rPr>
          <w:rFonts w:cs="Arial"/>
          <w:b/>
          <w:color w:val="000000"/>
          <w:sz w:val="16"/>
          <w:szCs w:val="16"/>
          <w:lang w:val="el-GR"/>
        </w:rPr>
        <w:t>Σύνολο</w:t>
      </w:r>
    </w:p>
    <w:p>
      <w:pPr>
        <w:pStyle w:val="style86"/>
        <w:ind w:hanging="0" w:left="0" w:right="348"/>
        <w:jc w:val="right"/>
      </w:pPr>
      <w:r>
        <w:rPr>
          <w:rFonts w:cs="Arial"/>
          <w:b/>
          <w:sz w:val="16"/>
          <w:szCs w:val="16"/>
        </w:rPr>
        <w:t>66,6</w:t>
      </w:r>
    </w:p>
    <w:p>
      <w:pPr>
        <w:pStyle w:val="style86"/>
        <w:ind w:hanging="0" w:left="0" w:right="348"/>
        <w:jc w:val="right"/>
      </w:pPr>
      <w:r>
        <w:rPr>
          <w:rFonts w:cs="Arial"/>
          <w:b/>
          <w:sz w:val="16"/>
          <w:szCs w:val="16"/>
        </w:rPr>
        <w:t>58,8</w:t>
      </w:r>
    </w:p>
    <w:p>
      <w:pPr>
        <w:pStyle w:val="style86"/>
        <w:ind w:hanging="0" w:left="0" w:right="348"/>
        <w:jc w:val="right"/>
      </w:pPr>
      <w:r>
        <w:rPr>
          <w:rFonts w:cs="Arial"/>
          <w:b/>
          <w:sz w:val="16"/>
          <w:szCs w:val="16"/>
        </w:rPr>
        <w:t>65,5</w:t>
      </w:r>
    </w:p>
    <w:p>
      <w:pPr>
        <w:pStyle w:val="style86"/>
        <w:ind w:hanging="0" w:left="0" w:right="348"/>
        <w:jc w:val="right"/>
      </w:pPr>
      <w:r>
        <w:rPr>
          <w:rFonts w:cs="Arial"/>
          <w:b/>
          <w:sz w:val="16"/>
          <w:szCs w:val="16"/>
        </w:rPr>
        <w:t>42,7</w:t>
      </w:r>
    </w:p>
    <w:p>
      <w:pPr>
        <w:pStyle w:val="style86"/>
      </w:pPr>
      <w:r>
        <w:rPr>
          <w:rFonts w:cs="Arial"/>
          <w:color w:val="000000"/>
          <w:sz w:val="16"/>
          <w:szCs w:val="16"/>
          <w:lang w:val="el-GR"/>
        </w:rPr>
        <w:t>Βιομηχανία</w:t>
      </w:r>
    </w:p>
    <w:p>
      <w:pPr>
        <w:pStyle w:val="style86"/>
        <w:ind w:hanging="0" w:left="0" w:right="348"/>
        <w:jc w:val="right"/>
      </w:pPr>
      <w:r>
        <w:rPr>
          <w:rFonts w:cs="Arial"/>
          <w:sz w:val="16"/>
          <w:szCs w:val="16"/>
        </w:rPr>
        <w:t>63,8</w:t>
      </w:r>
    </w:p>
    <w:p>
      <w:pPr>
        <w:pStyle w:val="style86"/>
        <w:ind w:hanging="0" w:left="0" w:right="348"/>
        <w:jc w:val="right"/>
      </w:pPr>
      <w:r>
        <w:rPr>
          <w:rFonts w:cs="Arial"/>
          <w:sz w:val="16"/>
          <w:szCs w:val="16"/>
        </w:rPr>
        <w:t>58,3</w:t>
      </w:r>
    </w:p>
    <w:p>
      <w:pPr>
        <w:pStyle w:val="style86"/>
        <w:ind w:hanging="0" w:left="0" w:right="348"/>
        <w:jc w:val="right"/>
      </w:pPr>
      <w:r>
        <w:rPr>
          <w:rFonts w:cs="Arial"/>
          <w:sz w:val="16"/>
          <w:szCs w:val="16"/>
        </w:rPr>
        <w:t>63,7</w:t>
      </w:r>
    </w:p>
    <w:p>
      <w:pPr>
        <w:pStyle w:val="style86"/>
        <w:ind w:hanging="0" w:left="0" w:right="348"/>
        <w:jc w:val="right"/>
      </w:pPr>
      <w:r>
        <w:rPr>
          <w:rFonts w:cs="Arial"/>
          <w:sz w:val="16"/>
          <w:szCs w:val="16"/>
        </w:rPr>
        <w:t>40,2</w:t>
      </w:r>
    </w:p>
    <w:p>
      <w:pPr>
        <w:pStyle w:val="style86"/>
      </w:pPr>
      <w:r>
        <w:rPr>
          <w:rFonts w:cs="Arial"/>
          <w:color w:val="000000"/>
          <w:sz w:val="16"/>
          <w:szCs w:val="16"/>
          <w:lang w:val="el-GR"/>
        </w:rPr>
        <w:t>Κατασκευές</w:t>
      </w:r>
    </w:p>
    <w:p>
      <w:pPr>
        <w:pStyle w:val="style86"/>
        <w:ind w:hanging="0" w:left="0" w:right="348"/>
        <w:jc w:val="right"/>
      </w:pPr>
      <w:r>
        <w:rPr>
          <w:rFonts w:cs="Arial"/>
          <w:sz w:val="16"/>
          <w:szCs w:val="16"/>
        </w:rPr>
        <w:t>66,5</w:t>
      </w:r>
    </w:p>
    <w:p>
      <w:pPr>
        <w:pStyle w:val="style86"/>
        <w:ind w:hanging="0" w:left="0" w:right="348"/>
        <w:jc w:val="right"/>
      </w:pPr>
      <w:r>
        <w:rPr>
          <w:rFonts w:cs="Arial"/>
          <w:sz w:val="16"/>
          <w:szCs w:val="16"/>
        </w:rPr>
        <w:t>53,0</w:t>
      </w:r>
    </w:p>
    <w:p>
      <w:pPr>
        <w:pStyle w:val="style86"/>
        <w:ind w:hanging="0" w:left="0" w:right="348"/>
        <w:jc w:val="right"/>
      </w:pPr>
      <w:r>
        <w:rPr>
          <w:rFonts w:cs="Arial"/>
          <w:sz w:val="16"/>
          <w:szCs w:val="16"/>
        </w:rPr>
        <w:t>60,1</w:t>
      </w:r>
    </w:p>
    <w:p>
      <w:pPr>
        <w:pStyle w:val="style86"/>
        <w:ind w:hanging="0" w:left="0" w:right="348"/>
        <w:jc w:val="right"/>
      </w:pPr>
      <w:r>
        <w:rPr>
          <w:rFonts w:cs="Arial"/>
          <w:sz w:val="16"/>
          <w:szCs w:val="16"/>
        </w:rPr>
        <w:t>33,7</w:t>
      </w:r>
    </w:p>
    <w:p>
      <w:pPr>
        <w:pStyle w:val="style86"/>
      </w:pPr>
      <w:r>
        <w:rPr>
          <w:rFonts w:cs="Arial"/>
          <w:color w:val="000000"/>
          <w:sz w:val="16"/>
          <w:szCs w:val="16"/>
          <w:lang w:val="el-GR"/>
        </w:rPr>
        <w:t>Εμπόριο, μεταφορές και τουρισμός</w:t>
      </w:r>
    </w:p>
    <w:p>
      <w:pPr>
        <w:pStyle w:val="style86"/>
        <w:ind w:hanging="0" w:left="0" w:right="348"/>
        <w:jc w:val="right"/>
      </w:pPr>
      <w:r>
        <w:rPr>
          <w:rFonts w:cs="Arial"/>
          <w:sz w:val="16"/>
          <w:szCs w:val="16"/>
        </w:rPr>
        <w:t>64,0</w:t>
      </w:r>
    </w:p>
    <w:p>
      <w:pPr>
        <w:pStyle w:val="style86"/>
        <w:ind w:hanging="0" w:left="0" w:right="348"/>
        <w:jc w:val="right"/>
      </w:pPr>
      <w:r>
        <w:rPr>
          <w:rFonts w:cs="Arial"/>
          <w:sz w:val="16"/>
          <w:szCs w:val="16"/>
        </w:rPr>
        <w:t>57,6</w:t>
      </w:r>
    </w:p>
    <w:p>
      <w:pPr>
        <w:pStyle w:val="style86"/>
        <w:ind w:hanging="0" w:left="0" w:right="348"/>
        <w:jc w:val="right"/>
      </w:pPr>
      <w:r>
        <w:rPr>
          <w:rFonts w:cs="Arial"/>
          <w:sz w:val="16"/>
          <w:szCs w:val="16"/>
        </w:rPr>
        <w:t>63,9</w:t>
      </w:r>
    </w:p>
    <w:p>
      <w:pPr>
        <w:pStyle w:val="style86"/>
        <w:ind w:hanging="0" w:left="0" w:right="348"/>
        <w:jc w:val="right"/>
      </w:pPr>
      <w:r>
        <w:rPr>
          <w:rFonts w:cs="Arial"/>
          <w:sz w:val="16"/>
          <w:szCs w:val="16"/>
        </w:rPr>
        <w:t>42,2</w:t>
      </w:r>
    </w:p>
    <w:p>
      <w:pPr>
        <w:pStyle w:val="style86"/>
      </w:pPr>
      <w:r>
        <w:rPr>
          <w:rFonts w:cs="Arial"/>
          <w:color w:val="000000"/>
          <w:sz w:val="16"/>
          <w:szCs w:val="16"/>
          <w:lang w:val="el-GR"/>
        </w:rPr>
        <w:t>Ενημέρωση και επικοινωνία, τράπεζες και ασφάλειες</w:t>
      </w:r>
    </w:p>
    <w:p>
      <w:pPr>
        <w:pStyle w:val="style86"/>
        <w:ind w:hanging="0" w:left="0" w:right="348"/>
        <w:jc w:val="right"/>
      </w:pPr>
      <w:r>
        <w:rPr>
          <w:rFonts w:cs="Arial"/>
          <w:sz w:val="16"/>
          <w:szCs w:val="16"/>
        </w:rPr>
        <w:t>77,9</w:t>
      </w:r>
    </w:p>
    <w:p>
      <w:pPr>
        <w:pStyle w:val="style86"/>
        <w:ind w:hanging="0" w:left="0" w:right="348"/>
        <w:jc w:val="right"/>
      </w:pPr>
      <w:r>
        <w:rPr>
          <w:rFonts w:cs="Arial"/>
          <w:sz w:val="16"/>
          <w:szCs w:val="16"/>
        </w:rPr>
        <w:t>68,0</w:t>
      </w:r>
    </w:p>
    <w:p>
      <w:pPr>
        <w:pStyle w:val="style86"/>
        <w:ind w:hanging="0" w:left="0" w:right="348"/>
        <w:jc w:val="right"/>
      </w:pPr>
      <w:r>
        <w:rPr>
          <w:rFonts w:cs="Arial"/>
          <w:sz w:val="16"/>
          <w:szCs w:val="16"/>
        </w:rPr>
        <w:t>74,9</w:t>
      </w:r>
    </w:p>
    <w:p>
      <w:pPr>
        <w:pStyle w:val="style86"/>
        <w:ind w:hanging="0" w:left="0" w:right="348"/>
        <w:jc w:val="right"/>
      </w:pPr>
      <w:r>
        <w:rPr>
          <w:rFonts w:cs="Arial"/>
          <w:sz w:val="16"/>
          <w:szCs w:val="16"/>
        </w:rPr>
        <w:t>50,3</w:t>
      </w:r>
    </w:p>
    <w:p>
      <w:pPr>
        <w:pStyle w:val="style86"/>
      </w:pPr>
      <w:r>
        <w:rPr>
          <w:rFonts w:cs="Arial"/>
          <w:color w:val="000000"/>
          <w:sz w:val="16"/>
          <w:szCs w:val="16"/>
          <w:lang w:val="el-GR"/>
        </w:rPr>
        <w:t>Λοιπές υπηρεσίες</w:t>
      </w:r>
    </w:p>
    <w:p>
      <w:pPr>
        <w:pStyle w:val="style86"/>
        <w:ind w:hanging="0" w:left="0" w:right="348"/>
        <w:jc w:val="right"/>
      </w:pPr>
      <w:r>
        <w:rPr>
          <w:rFonts w:cs="Arial"/>
          <w:sz w:val="16"/>
          <w:szCs w:val="16"/>
        </w:rPr>
        <w:t>71,4</w:t>
      </w:r>
    </w:p>
    <w:p>
      <w:pPr>
        <w:pStyle w:val="style86"/>
        <w:ind w:hanging="0" w:left="0" w:right="348"/>
        <w:jc w:val="right"/>
      </w:pPr>
      <w:r>
        <w:rPr>
          <w:rFonts w:cs="Arial"/>
          <w:sz w:val="16"/>
          <w:szCs w:val="16"/>
        </w:rPr>
        <w:t>62,0</w:t>
      </w:r>
    </w:p>
    <w:p>
      <w:pPr>
        <w:pStyle w:val="style86"/>
        <w:ind w:hanging="0" w:left="0" w:right="348"/>
        <w:jc w:val="right"/>
      </w:pPr>
      <w:r>
        <w:rPr>
          <w:rFonts w:cs="Arial"/>
          <w:sz w:val="16"/>
          <w:szCs w:val="16"/>
        </w:rPr>
        <w:t>70,9</w:t>
      </w:r>
    </w:p>
    <w:p>
      <w:pPr>
        <w:pStyle w:val="style86"/>
        <w:ind w:hanging="0" w:left="0" w:right="348"/>
        <w:jc w:val="right"/>
      </w:pPr>
      <w:r>
        <w:rPr>
          <w:rFonts w:cs="Arial"/>
          <w:sz w:val="16"/>
          <w:szCs w:val="16"/>
        </w:rPr>
        <w:t>49,0</w:t>
      </w:r>
    </w:p>
    <w:p>
      <w:pPr>
        <w:pStyle w:val="style86"/>
      </w:pPr>
      <w:r>
        <w:rPr/>
      </w:r>
    </w:p>
    <w:p>
      <w:pPr>
        <w:pStyle w:val="style0"/>
      </w:pPr>
      <w:r>
        <w:rPr>
          <w:rFonts w:cs="Arial"/>
          <w:sz w:val="22"/>
          <w:szCs w:val="22"/>
          <w:lang w:val="el-GR"/>
        </w:rPr>
        <w:t xml:space="preserve">Το σχετικό έλλειμμα της επαγγελματικής κατάρτισης στην Ελλάδα έναντι της ΕΕ-28 αποτυπώνεται ανάγλυφα στα στατιστικά στοιχεία. Μόνο το 18% των εργαζομένων των ελληνικών επιχειρήσεων (έναντι 37% στην ΕΕ-28) συμμετέχουν σε προγράμματα συνεχιζόμενης επαγγελματικής κατάρτισης μέσω δομών στις επιχειρήσεις (που διαθέτουν στέλεχος ή μονάδα, υπεύθυνων για την οργάνωση προγραμμάτων συνεχιζόμενης επαγγελματικής κατάρτισης ή έχουν ένα σχέδιο, ή και προϋπολογισμό, κατάρτισης, </w:t>
      </w:r>
      <w:r>
        <w:rPr>
          <w:rFonts w:cs="Arial"/>
          <w:b/>
          <w:color w:val="00B0F0"/>
          <w:sz w:val="22"/>
          <w:szCs w:val="22"/>
          <w:lang w:val="el-GR"/>
        </w:rPr>
        <w:t>Δ12</w:t>
      </w:r>
      <w:r>
        <w:rPr>
          <w:rFonts w:cs="Arial"/>
          <w:sz w:val="22"/>
          <w:szCs w:val="22"/>
          <w:lang w:val="el-GR"/>
        </w:rPr>
        <w:t xml:space="preserve">). Όσον αφορά στις ανάγκες σε συγκεκριμένες δεξιότητες για την ανάπτυξη των επιχειρήσεων, το 29% των ελληνικών επιχειρήσεων </w:t>
      </w:r>
      <w:r>
        <w:rPr/>
        <w:drawing>
          <wp:inline distB="0" distL="0" distR="0" distT="0">
            <wp:extent cx="4676140" cy="3054350"/>
            <wp:effectExtent b="0" l="0" r="0" t="0"/>
            <wp:docPr descr="" id="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9" name="Picture"/>
                    <pic:cNvPicPr>
                      <a:picLocks noChangeArrowheads="1" noChangeAspect="1"/>
                    </pic:cNvPicPr>
                  </pic:nvPicPr>
                  <pic:blipFill>
                    <a:blip r:embed="rId35"/>
                    <a:srcRect/>
                    <a:stretch>
                      <a:fillRect/>
                    </a:stretch>
                  </pic:blipFill>
                  <pic:spPr bwMode="auto">
                    <a:xfrm>
                      <a:off x="0" y="0"/>
                      <a:ext cx="4676140" cy="3054350"/>
                    </a:xfrm>
                    <a:prstGeom prst="rect">
                      <a:avLst/>
                    </a:prstGeom>
                    <a:noFill/>
                    <a:ln w="9525">
                      <a:noFill/>
                      <a:miter lim="800000"/>
                      <a:headEnd/>
                      <a:tailEnd/>
                    </a:ln>
                  </pic:spPr>
                </pic:pic>
              </a:graphicData>
            </a:graphic>
          </wp:inline>
        </w:drawing>
      </w:r>
      <w:r>
        <w:rPr>
          <w:rFonts w:cs="Arial"/>
          <w:b/>
          <w:color w:val="00B0F0"/>
          <w:lang w:val="el-GR"/>
        </w:rPr>
        <w:t xml:space="preserve">Δ12: </w:t>
      </w:r>
      <w:r>
        <w:rPr>
          <w:rFonts w:cs="Arial"/>
          <w:b/>
          <w:lang w:val="el-GR"/>
        </w:rPr>
        <w:t>Ποσοστό εργαζομένων που συμμετείχαν σε προγράμματα συνεχιζόμενης επαγγελματικής κατάρτισης (</w:t>
      </w:r>
      <w:r>
        <w:rPr>
          <w:rFonts w:cs="Arial"/>
          <w:b/>
        </w:rPr>
        <w:t>Continuous</w:t>
      </w:r>
      <w:r>
        <w:rPr>
          <w:rFonts w:cs="Arial"/>
          <w:b/>
          <w:lang w:val="el-GR"/>
        </w:rPr>
        <w:t xml:space="preserve"> </w:t>
      </w:r>
      <w:r>
        <w:rPr>
          <w:rFonts w:cs="Arial"/>
          <w:b/>
        </w:rPr>
        <w:t>Vocational</w:t>
      </w:r>
      <w:r>
        <w:rPr>
          <w:rFonts w:cs="Arial"/>
          <w:b/>
          <w:lang w:val="el-GR"/>
        </w:rPr>
        <w:t xml:space="preserve"> </w:t>
      </w:r>
      <w:r>
        <w:rPr>
          <w:rFonts w:cs="Arial"/>
          <w:b/>
        </w:rPr>
        <w:t>Training</w:t>
      </w:r>
      <w:r>
        <w:rPr>
          <w:rFonts w:cs="Arial"/>
          <w:b/>
          <w:lang w:val="el-GR"/>
        </w:rPr>
        <w:t xml:space="preserve"> – </w:t>
      </w:r>
      <w:r>
        <w:rPr>
          <w:rFonts w:cs="Arial"/>
          <w:b/>
        </w:rPr>
        <w:t>CVT</w:t>
      </w:r>
      <w:r>
        <w:rPr>
          <w:rFonts w:cs="Arial"/>
          <w:b/>
          <w:lang w:val="el-GR"/>
        </w:rPr>
        <w:t xml:space="preserve">) κατά κλάδο (% εργαζομένων στο σύνολο των επιχειρήσεων) </w:t>
      </w:r>
    </w:p>
    <w:p>
      <w:pPr>
        <w:pStyle w:val="style86"/>
        <w:spacing w:after="120" w:before="0"/>
        <w:contextualSpacing w:val="false"/>
      </w:pPr>
      <w:r>
        <w:rPr>
          <w:rFonts w:cs="Arial"/>
          <w:b/>
          <w:color w:val="00B0F0"/>
          <w:lang w:val="el-GR"/>
        </w:rPr>
        <w:t xml:space="preserve">Δ13: </w:t>
      </w:r>
      <w:r>
        <w:rPr>
          <w:rFonts w:cs="Arial"/>
          <w:b/>
          <w:lang w:val="el-GR"/>
        </w:rPr>
        <w:t xml:space="preserve">Βασικές ανάγκες σε δεξιότητες για την ανάπτυξη των επιχειρήσεων κατά κλάδο </w:t>
      </w:r>
      <w:r>
        <w:rPr>
          <w:rFonts w:cs="Arial"/>
          <w:i/>
          <w:color w:val="00B0F0"/>
          <w:lang w:val="el-GR"/>
        </w:rPr>
        <w:t>(</w:t>
      </w:r>
      <w:r>
        <w:rPr>
          <w:rFonts w:cs="Arial"/>
          <w:i/>
          <w:color w:val="00B0F0"/>
        </w:rPr>
        <w:t>Eurostat</w:t>
      </w:r>
      <w:r>
        <w:rPr>
          <w:rFonts w:cs="Arial"/>
          <w:i/>
          <w:color w:val="00B0F0"/>
          <w:lang w:val="el-GR"/>
        </w:rPr>
        <w:t>, 2015)</w:t>
      </w:r>
    </w:p>
    <w:p>
      <w:pPr>
        <w:pStyle w:val="style86"/>
        <w:jc w:val="right"/>
      </w:pPr>
      <w:r>
        <w:rPr>
          <w:rFonts w:cs="Arial"/>
          <w:i/>
          <w:color w:val="FFFFFF"/>
          <w:sz w:val="16"/>
          <w:szCs w:val="16"/>
          <w:lang w:val="el-GR"/>
        </w:rPr>
        <w:t>(% επιχειρήσεων)</w:t>
      </w:r>
    </w:p>
    <w:p>
      <w:pPr>
        <w:pStyle w:val="style86"/>
        <w:ind w:hanging="0" w:left="113" w:right="113"/>
      </w:pPr>
      <w:r>
        <w:rPr>
          <w:rFonts w:cs="Arial"/>
          <w:color w:val="FFFFFF"/>
          <w:sz w:val="16"/>
          <w:szCs w:val="16"/>
          <w:lang w:val="el-GR"/>
        </w:rPr>
        <w:t>Β</w:t>
      </w:r>
      <w:r>
        <w:rPr>
          <w:rFonts w:cs="Arial"/>
          <w:color w:val="FFFFFF"/>
          <w:sz w:val="16"/>
          <w:szCs w:val="16"/>
        </w:rPr>
        <w:t>ασικές δεξιότητες Η/Υ</w:t>
      </w:r>
    </w:p>
    <w:p>
      <w:pPr>
        <w:pStyle w:val="style86"/>
        <w:ind w:hanging="0" w:left="113" w:right="113"/>
      </w:pPr>
      <w:r>
        <w:rPr>
          <w:rFonts w:cs="Arial"/>
          <w:color w:val="FFFFFF"/>
          <w:sz w:val="16"/>
          <w:szCs w:val="16"/>
          <w:lang w:val="el-GR"/>
        </w:rPr>
        <w:t>Α</w:t>
      </w:r>
      <w:r>
        <w:rPr>
          <w:rFonts w:cs="Arial"/>
          <w:color w:val="FFFFFF"/>
          <w:sz w:val="16"/>
          <w:szCs w:val="16"/>
        </w:rPr>
        <w:t>νώτερες δεξιότητες Η/Υ</w:t>
      </w:r>
    </w:p>
    <w:p>
      <w:pPr>
        <w:pStyle w:val="style86"/>
        <w:ind w:hanging="0" w:left="113" w:right="113"/>
      </w:pPr>
      <w:r>
        <w:rPr>
          <w:rFonts w:cs="Arial"/>
          <w:color w:val="FFFFFF"/>
          <w:sz w:val="16"/>
          <w:szCs w:val="16"/>
          <w:lang w:val="el-GR"/>
        </w:rPr>
        <w:t>Δ</w:t>
      </w:r>
      <w:r>
        <w:rPr>
          <w:rFonts w:cs="Arial"/>
          <w:color w:val="FFFFFF"/>
          <w:sz w:val="16"/>
          <w:szCs w:val="16"/>
        </w:rPr>
        <w:t>εξιότητες διοίκησης</w:t>
      </w:r>
    </w:p>
    <w:p>
      <w:pPr>
        <w:pStyle w:val="style86"/>
        <w:ind w:hanging="0" w:left="113" w:right="113"/>
      </w:pPr>
      <w:r>
        <w:rPr>
          <w:rFonts w:cs="Arial"/>
          <w:color w:val="FFFFFF"/>
          <w:sz w:val="16"/>
          <w:szCs w:val="16"/>
          <w:lang w:val="el-GR"/>
        </w:rPr>
        <w:t>Δεξιότητες εργασίας σε ομάδες</w:t>
      </w:r>
    </w:p>
    <w:p>
      <w:pPr>
        <w:pStyle w:val="style86"/>
        <w:ind w:hanging="0" w:left="113" w:right="113"/>
      </w:pPr>
      <w:r>
        <w:rPr>
          <w:rFonts w:cs="Arial"/>
          <w:color w:val="FFFFFF"/>
          <w:sz w:val="16"/>
          <w:szCs w:val="16"/>
          <w:lang w:val="el-GR"/>
        </w:rPr>
        <w:t>Δ</w:t>
      </w:r>
      <w:r>
        <w:rPr>
          <w:rFonts w:cs="Arial"/>
          <w:color w:val="FFFFFF"/>
          <w:sz w:val="16"/>
          <w:szCs w:val="16"/>
        </w:rPr>
        <w:t>εξιότητες διαχείρισης πελατών</w:t>
      </w:r>
    </w:p>
    <w:p>
      <w:pPr>
        <w:pStyle w:val="style86"/>
        <w:ind w:hanging="0" w:left="113" w:right="113"/>
      </w:pPr>
      <w:r>
        <w:rPr>
          <w:rFonts w:cs="Arial"/>
          <w:color w:val="FFFFFF"/>
          <w:sz w:val="16"/>
          <w:szCs w:val="16"/>
          <w:lang w:val="el-GR"/>
        </w:rPr>
        <w:t>Δεξιότητες επίλυσης προβλημάτων</w:t>
      </w:r>
    </w:p>
    <w:p>
      <w:pPr>
        <w:pStyle w:val="style86"/>
        <w:ind w:hanging="0" w:left="113" w:right="113"/>
      </w:pPr>
      <w:r>
        <w:rPr>
          <w:rFonts w:cs="Arial"/>
          <w:color w:val="FFFFFF"/>
          <w:sz w:val="16"/>
          <w:szCs w:val="16"/>
          <w:lang w:val="el-GR"/>
        </w:rPr>
        <w:t>Δεξιότητες διαχείρισης γραφείου</w:t>
      </w:r>
    </w:p>
    <w:p>
      <w:pPr>
        <w:pStyle w:val="style86"/>
        <w:ind w:hanging="0" w:left="113" w:right="113"/>
      </w:pPr>
      <w:r>
        <w:rPr>
          <w:rFonts w:cs="Arial"/>
          <w:color w:val="FFFFFF"/>
          <w:sz w:val="16"/>
          <w:szCs w:val="16"/>
          <w:lang w:val="el-GR"/>
        </w:rPr>
        <w:t>Δ</w:t>
      </w:r>
      <w:r>
        <w:rPr>
          <w:rFonts w:cs="Arial"/>
          <w:color w:val="FFFFFF"/>
          <w:sz w:val="16"/>
          <w:szCs w:val="16"/>
        </w:rPr>
        <w:t>εξιότητες ξένων γλωσσών</w:t>
      </w:r>
    </w:p>
    <w:p>
      <w:pPr>
        <w:pStyle w:val="style86"/>
        <w:ind w:hanging="0" w:left="113" w:right="113"/>
      </w:pPr>
      <w:r>
        <w:rPr>
          <w:rFonts w:cs="Arial"/>
          <w:color w:val="FFFFFF"/>
          <w:sz w:val="16"/>
          <w:szCs w:val="16"/>
          <w:lang w:val="el-GR"/>
        </w:rPr>
        <w:t>Δεξιότητες τεχνικού ή πρακτικού χαρακτήρα</w:t>
      </w:r>
    </w:p>
    <w:p>
      <w:pPr>
        <w:pStyle w:val="style86"/>
        <w:ind w:hanging="0" w:left="113" w:right="113"/>
      </w:pPr>
      <w:r>
        <w:rPr>
          <w:rFonts w:cs="Arial"/>
          <w:color w:val="FFFFFF"/>
          <w:sz w:val="16"/>
          <w:szCs w:val="16"/>
          <w:lang w:val="el-GR"/>
        </w:rPr>
        <w:t>Δεξιότητες γραπτής και προφορικής επικοινωνίας</w:t>
      </w:r>
    </w:p>
    <w:p>
      <w:pPr>
        <w:pStyle w:val="style86"/>
        <w:ind w:hanging="0" w:left="113" w:right="113"/>
      </w:pPr>
      <w:r>
        <w:rPr>
          <w:rFonts w:cs="Arial"/>
          <w:color w:val="FFFFFF"/>
          <w:sz w:val="16"/>
          <w:szCs w:val="16"/>
          <w:lang w:val="el-GR"/>
        </w:rPr>
        <w:t>Γραμματικές/αριθμητικές δεξιότητες</w:t>
      </w:r>
    </w:p>
    <w:p>
      <w:pPr>
        <w:pStyle w:val="style86"/>
        <w:ind w:hanging="0" w:left="113" w:right="113"/>
      </w:pPr>
      <w:r>
        <w:rPr>
          <w:rFonts w:cs="Arial"/>
          <w:color w:val="FFFFFF"/>
          <w:sz w:val="16"/>
          <w:szCs w:val="16"/>
          <w:lang w:val="el-GR"/>
        </w:rPr>
        <w:t>Άλλες δεξιότητες</w:t>
      </w:r>
    </w:p>
    <w:p>
      <w:pPr>
        <w:pStyle w:val="style86"/>
        <w:ind w:hanging="0" w:left="113" w:right="113"/>
      </w:pPr>
      <w:r>
        <w:rPr>
          <w:rFonts w:cs="Arial"/>
          <w:color w:val="FFFFFF"/>
          <w:sz w:val="16"/>
          <w:szCs w:val="16"/>
          <w:lang w:val="el-GR"/>
        </w:rPr>
        <w:t>Άγνωστο</w:t>
      </w:r>
    </w:p>
    <w:p>
      <w:pPr>
        <w:pStyle w:val="style86"/>
        <w:ind w:hanging="0" w:left="113" w:right="113"/>
      </w:pPr>
      <w:r>
        <w:rPr>
          <w:rFonts w:cs="Arial"/>
          <w:color w:val="FFFFFF"/>
          <w:sz w:val="16"/>
          <w:szCs w:val="16"/>
          <w:lang w:val="el-GR"/>
        </w:rPr>
      </w:r>
    </w:p>
    <w:p>
      <w:pPr>
        <w:pStyle w:val="style86"/>
        <w:jc w:val="center"/>
      </w:pPr>
      <w:r>
        <w:rPr>
          <w:rFonts w:cs="Arial"/>
          <w:b/>
          <w:color w:val="FFFFFF"/>
          <w:sz w:val="22"/>
          <w:szCs w:val="22"/>
          <w:lang w:val="el-GR"/>
        </w:rPr>
        <w:t>Ελλάδα</w:t>
      </w:r>
    </w:p>
    <w:p>
      <w:pPr>
        <w:pStyle w:val="style86"/>
      </w:pPr>
      <w:r>
        <w:rPr>
          <w:rFonts w:cs="Arial"/>
          <w:b/>
          <w:color w:val="000000"/>
          <w:sz w:val="16"/>
          <w:szCs w:val="16"/>
          <w:lang w:val="el-GR"/>
        </w:rPr>
        <w:t>Σύνολο</w:t>
      </w:r>
    </w:p>
    <w:p>
      <w:pPr>
        <w:pStyle w:val="style86"/>
        <w:jc w:val="right"/>
      </w:pPr>
      <w:r>
        <w:rPr>
          <w:rFonts w:cs="Arial"/>
          <w:b/>
          <w:sz w:val="16"/>
          <w:szCs w:val="16"/>
        </w:rPr>
        <w:t>29,2</w:t>
      </w:r>
    </w:p>
    <w:p>
      <w:pPr>
        <w:pStyle w:val="style86"/>
        <w:jc w:val="right"/>
      </w:pPr>
      <w:r>
        <w:rPr>
          <w:rFonts w:cs="Arial"/>
          <w:b/>
          <w:sz w:val="16"/>
          <w:szCs w:val="16"/>
        </w:rPr>
        <w:t>18,0</w:t>
      </w:r>
    </w:p>
    <w:p>
      <w:pPr>
        <w:pStyle w:val="style86"/>
        <w:jc w:val="right"/>
      </w:pPr>
      <w:r>
        <w:rPr>
          <w:rFonts w:cs="Arial"/>
          <w:b/>
          <w:sz w:val="16"/>
          <w:szCs w:val="16"/>
        </w:rPr>
        <w:t>14,8</w:t>
      </w:r>
    </w:p>
    <w:p>
      <w:pPr>
        <w:pStyle w:val="style86"/>
        <w:jc w:val="right"/>
      </w:pPr>
      <w:r>
        <w:rPr>
          <w:rFonts w:cs="Arial"/>
          <w:b/>
          <w:sz w:val="16"/>
          <w:szCs w:val="16"/>
        </w:rPr>
        <w:t>33,2</w:t>
      </w:r>
    </w:p>
    <w:p>
      <w:pPr>
        <w:pStyle w:val="style86"/>
        <w:jc w:val="right"/>
      </w:pPr>
      <w:r>
        <w:rPr>
          <w:rFonts w:cs="Arial"/>
          <w:b/>
          <w:sz w:val="16"/>
          <w:szCs w:val="16"/>
        </w:rPr>
        <w:t>48,0</w:t>
      </w:r>
    </w:p>
    <w:p>
      <w:pPr>
        <w:pStyle w:val="style86"/>
        <w:jc w:val="right"/>
      </w:pPr>
      <w:r>
        <w:rPr>
          <w:rFonts w:cs="Arial"/>
          <w:b/>
          <w:sz w:val="16"/>
          <w:szCs w:val="16"/>
        </w:rPr>
        <w:t>21,9</w:t>
      </w:r>
    </w:p>
    <w:p>
      <w:pPr>
        <w:pStyle w:val="style86"/>
        <w:jc w:val="right"/>
      </w:pPr>
      <w:r>
        <w:rPr>
          <w:rFonts w:cs="Arial"/>
          <w:b/>
          <w:sz w:val="16"/>
          <w:szCs w:val="16"/>
        </w:rPr>
        <w:t>6,2</w:t>
      </w:r>
    </w:p>
    <w:p>
      <w:pPr>
        <w:pStyle w:val="style86"/>
        <w:jc w:val="right"/>
      </w:pPr>
      <w:r>
        <w:rPr>
          <w:rFonts w:cs="Arial"/>
          <w:b/>
          <w:sz w:val="16"/>
          <w:szCs w:val="16"/>
        </w:rPr>
        <w:t>19,9</w:t>
      </w:r>
    </w:p>
    <w:p>
      <w:pPr>
        <w:pStyle w:val="style86"/>
        <w:jc w:val="right"/>
      </w:pPr>
      <w:r>
        <w:rPr>
          <w:rFonts w:cs="Arial"/>
          <w:b/>
          <w:sz w:val="16"/>
          <w:szCs w:val="16"/>
        </w:rPr>
        <w:t>49,5</w:t>
      </w:r>
    </w:p>
    <w:p>
      <w:pPr>
        <w:pStyle w:val="style86"/>
        <w:jc w:val="right"/>
      </w:pPr>
      <w:r>
        <w:rPr>
          <w:rFonts w:cs="Arial"/>
          <w:b/>
          <w:sz w:val="16"/>
          <w:szCs w:val="16"/>
        </w:rPr>
        <w:t>8,6</w:t>
      </w:r>
    </w:p>
    <w:p>
      <w:pPr>
        <w:pStyle w:val="style86"/>
        <w:jc w:val="right"/>
      </w:pPr>
      <w:r>
        <w:rPr>
          <w:rFonts w:cs="Arial"/>
          <w:b/>
          <w:sz w:val="16"/>
          <w:szCs w:val="16"/>
        </w:rPr>
        <w:t>1,0</w:t>
      </w:r>
    </w:p>
    <w:p>
      <w:pPr>
        <w:pStyle w:val="style86"/>
        <w:jc w:val="right"/>
      </w:pPr>
      <w:r>
        <w:rPr>
          <w:rFonts w:cs="Arial"/>
          <w:b/>
          <w:sz w:val="16"/>
          <w:szCs w:val="16"/>
        </w:rPr>
        <w:t>1,0</w:t>
      </w:r>
    </w:p>
    <w:p>
      <w:pPr>
        <w:pStyle w:val="style86"/>
        <w:jc w:val="right"/>
      </w:pPr>
      <w:r>
        <w:rPr>
          <w:rFonts w:cs="Arial"/>
          <w:b/>
          <w:sz w:val="16"/>
          <w:szCs w:val="16"/>
          <w:lang w:val="el-GR"/>
        </w:rPr>
        <w:t>…</w:t>
      </w:r>
    </w:p>
    <w:p>
      <w:pPr>
        <w:pStyle w:val="style86"/>
      </w:pPr>
      <w:r>
        <w:rPr>
          <w:rFonts w:cs="Arial"/>
          <w:color w:val="000000"/>
          <w:sz w:val="16"/>
          <w:szCs w:val="16"/>
          <w:lang w:val="el-GR"/>
        </w:rPr>
        <w:t>Βιομηχανία</w:t>
      </w:r>
    </w:p>
    <w:p>
      <w:pPr>
        <w:pStyle w:val="style86"/>
        <w:jc w:val="right"/>
      </w:pPr>
      <w:r>
        <w:rPr>
          <w:rFonts w:cs="Arial"/>
          <w:sz w:val="16"/>
          <w:szCs w:val="16"/>
        </w:rPr>
        <w:t>32,5</w:t>
      </w:r>
    </w:p>
    <w:p>
      <w:pPr>
        <w:pStyle w:val="style86"/>
        <w:jc w:val="right"/>
      </w:pPr>
      <w:r>
        <w:rPr>
          <w:rFonts w:cs="Arial"/>
          <w:sz w:val="16"/>
          <w:szCs w:val="16"/>
        </w:rPr>
        <w:t>20,5</w:t>
      </w:r>
    </w:p>
    <w:p>
      <w:pPr>
        <w:pStyle w:val="style86"/>
        <w:jc w:val="right"/>
      </w:pPr>
      <w:r>
        <w:rPr>
          <w:rFonts w:cs="Arial"/>
          <w:sz w:val="16"/>
          <w:szCs w:val="16"/>
        </w:rPr>
        <w:t>16,7</w:t>
      </w:r>
    </w:p>
    <w:p>
      <w:pPr>
        <w:pStyle w:val="style86"/>
        <w:jc w:val="right"/>
      </w:pPr>
      <w:r>
        <w:rPr>
          <w:rFonts w:cs="Arial"/>
          <w:sz w:val="16"/>
          <w:szCs w:val="16"/>
        </w:rPr>
        <w:t>30,3</w:t>
      </w:r>
    </w:p>
    <w:p>
      <w:pPr>
        <w:pStyle w:val="style86"/>
        <w:jc w:val="right"/>
      </w:pPr>
      <w:r>
        <w:rPr>
          <w:rFonts w:cs="Arial"/>
          <w:sz w:val="16"/>
          <w:szCs w:val="16"/>
        </w:rPr>
        <w:t>36,6</w:t>
      </w:r>
    </w:p>
    <w:p>
      <w:pPr>
        <w:pStyle w:val="style86"/>
        <w:jc w:val="right"/>
      </w:pPr>
      <w:r>
        <w:rPr>
          <w:rFonts w:cs="Arial"/>
          <w:sz w:val="16"/>
          <w:szCs w:val="16"/>
        </w:rPr>
        <w:t>23,6</w:t>
      </w:r>
    </w:p>
    <w:p>
      <w:pPr>
        <w:pStyle w:val="style86"/>
        <w:jc w:val="right"/>
      </w:pPr>
      <w:r>
        <w:rPr>
          <w:rFonts w:cs="Arial"/>
          <w:sz w:val="16"/>
          <w:szCs w:val="16"/>
        </w:rPr>
        <w:t>6,6</w:t>
      </w:r>
    </w:p>
    <w:p>
      <w:pPr>
        <w:pStyle w:val="style86"/>
        <w:jc w:val="right"/>
      </w:pPr>
      <w:r>
        <w:rPr>
          <w:rFonts w:cs="Arial"/>
          <w:sz w:val="16"/>
          <w:szCs w:val="16"/>
        </w:rPr>
        <w:t>9,7</w:t>
      </w:r>
    </w:p>
    <w:p>
      <w:pPr>
        <w:pStyle w:val="style86"/>
        <w:jc w:val="right"/>
      </w:pPr>
      <w:r>
        <w:rPr>
          <w:rFonts w:cs="Arial"/>
          <w:sz w:val="16"/>
          <w:szCs w:val="16"/>
        </w:rPr>
        <w:t>60,5</w:t>
      </w:r>
    </w:p>
    <w:p>
      <w:pPr>
        <w:pStyle w:val="style86"/>
        <w:jc w:val="right"/>
      </w:pPr>
      <w:r>
        <w:rPr>
          <w:rFonts w:cs="Arial"/>
          <w:sz w:val="16"/>
          <w:szCs w:val="16"/>
        </w:rPr>
        <w:t>3,3</w:t>
      </w:r>
    </w:p>
    <w:p>
      <w:pPr>
        <w:pStyle w:val="style86"/>
        <w:jc w:val="right"/>
      </w:pPr>
      <w:r>
        <w:rPr>
          <w:rFonts w:cs="Arial"/>
          <w:sz w:val="16"/>
          <w:szCs w:val="16"/>
        </w:rPr>
        <w:t>1,6</w:t>
      </w:r>
    </w:p>
    <w:p>
      <w:pPr>
        <w:pStyle w:val="style86"/>
        <w:jc w:val="right"/>
      </w:pPr>
      <w:r>
        <w:rPr>
          <w:rFonts w:cs="Arial"/>
          <w:sz w:val="16"/>
          <w:szCs w:val="16"/>
        </w:rPr>
        <w:t>1,1</w:t>
      </w:r>
    </w:p>
    <w:p>
      <w:pPr>
        <w:pStyle w:val="style86"/>
        <w:jc w:val="right"/>
      </w:pPr>
      <w:r>
        <w:rPr>
          <w:rFonts w:cs="Arial"/>
          <w:sz w:val="16"/>
          <w:szCs w:val="16"/>
          <w:lang w:val="el-GR"/>
        </w:rPr>
        <w:t>…</w:t>
      </w:r>
    </w:p>
    <w:p>
      <w:pPr>
        <w:pStyle w:val="style86"/>
      </w:pPr>
      <w:r>
        <w:rPr>
          <w:rFonts w:cs="Arial"/>
          <w:color w:val="000000"/>
          <w:sz w:val="16"/>
          <w:szCs w:val="16"/>
          <w:lang w:val="el-GR"/>
        </w:rPr>
        <w:t>Κατασκευές</w:t>
      </w:r>
    </w:p>
    <w:p>
      <w:pPr>
        <w:pStyle w:val="style86"/>
        <w:jc w:val="right"/>
      </w:pPr>
      <w:r>
        <w:rPr>
          <w:rFonts w:cs="Arial"/>
          <w:sz w:val="16"/>
          <w:szCs w:val="16"/>
        </w:rPr>
        <w:t>22,5</w:t>
      </w:r>
    </w:p>
    <w:p>
      <w:pPr>
        <w:pStyle w:val="style86"/>
        <w:jc w:val="right"/>
      </w:pPr>
      <w:r>
        <w:rPr>
          <w:rFonts w:cs="Arial"/>
          <w:sz w:val="16"/>
          <w:szCs w:val="16"/>
        </w:rPr>
        <w:t>28,4</w:t>
      </w:r>
    </w:p>
    <w:p>
      <w:pPr>
        <w:pStyle w:val="style86"/>
        <w:jc w:val="right"/>
      </w:pPr>
      <w:r>
        <w:rPr>
          <w:rFonts w:cs="Arial"/>
          <w:sz w:val="16"/>
          <w:szCs w:val="16"/>
        </w:rPr>
        <w:t>15,1</w:t>
      </w:r>
    </w:p>
    <w:p>
      <w:pPr>
        <w:pStyle w:val="style86"/>
        <w:jc w:val="right"/>
      </w:pPr>
      <w:r>
        <w:rPr>
          <w:rFonts w:cs="Arial"/>
          <w:sz w:val="16"/>
          <w:szCs w:val="16"/>
        </w:rPr>
        <w:t>32,1</w:t>
      </w:r>
    </w:p>
    <w:p>
      <w:pPr>
        <w:pStyle w:val="style86"/>
        <w:jc w:val="right"/>
      </w:pPr>
      <w:r>
        <w:rPr>
          <w:rFonts w:cs="Arial"/>
          <w:sz w:val="16"/>
          <w:szCs w:val="16"/>
        </w:rPr>
        <w:t>23,0</w:t>
      </w:r>
    </w:p>
    <w:p>
      <w:pPr>
        <w:pStyle w:val="style86"/>
        <w:jc w:val="right"/>
      </w:pPr>
      <w:r>
        <w:rPr>
          <w:rFonts w:cs="Arial"/>
          <w:sz w:val="16"/>
          <w:szCs w:val="16"/>
        </w:rPr>
        <w:t>27,2</w:t>
      </w:r>
    </w:p>
    <w:p>
      <w:pPr>
        <w:pStyle w:val="style86"/>
        <w:jc w:val="right"/>
      </w:pPr>
      <w:r>
        <w:rPr>
          <w:rFonts w:cs="Arial"/>
          <w:sz w:val="16"/>
          <w:szCs w:val="16"/>
        </w:rPr>
        <w:t>6,5</w:t>
      </w:r>
    </w:p>
    <w:p>
      <w:pPr>
        <w:pStyle w:val="style86"/>
        <w:jc w:val="right"/>
      </w:pPr>
      <w:r>
        <w:rPr>
          <w:rFonts w:cs="Arial"/>
          <w:sz w:val="16"/>
          <w:szCs w:val="16"/>
        </w:rPr>
        <w:t>7,7</w:t>
      </w:r>
    </w:p>
    <w:p>
      <w:pPr>
        <w:pStyle w:val="style86"/>
        <w:jc w:val="right"/>
      </w:pPr>
      <w:r>
        <w:rPr>
          <w:rFonts w:cs="Arial"/>
          <w:sz w:val="16"/>
          <w:szCs w:val="16"/>
        </w:rPr>
        <w:t>63,2</w:t>
      </w:r>
    </w:p>
    <w:p>
      <w:pPr>
        <w:pStyle w:val="style86"/>
        <w:jc w:val="right"/>
      </w:pPr>
      <w:r>
        <w:rPr>
          <w:rFonts w:cs="Arial"/>
          <w:sz w:val="16"/>
          <w:szCs w:val="16"/>
          <w:lang w:val="el-GR"/>
        </w:rPr>
        <w:t>…</w:t>
      </w:r>
    </w:p>
    <w:p>
      <w:pPr>
        <w:pStyle w:val="style86"/>
        <w:jc w:val="right"/>
      </w:pPr>
      <w:r>
        <w:rPr>
          <w:rFonts w:cs="Arial"/>
          <w:sz w:val="16"/>
          <w:szCs w:val="16"/>
          <w:lang w:val="el-GR"/>
        </w:rPr>
        <w:t>…</w:t>
      </w:r>
    </w:p>
    <w:p>
      <w:pPr>
        <w:pStyle w:val="style86"/>
        <w:jc w:val="right"/>
      </w:pPr>
      <w:r>
        <w:rPr>
          <w:rFonts w:cs="Arial"/>
          <w:sz w:val="16"/>
          <w:szCs w:val="16"/>
          <w:lang w:val="el-GR"/>
        </w:rPr>
        <w:t>…</w:t>
      </w:r>
    </w:p>
    <w:p>
      <w:pPr>
        <w:pStyle w:val="style86"/>
        <w:jc w:val="right"/>
      </w:pPr>
      <w:r>
        <w:rPr>
          <w:rFonts w:cs="Arial"/>
          <w:sz w:val="16"/>
          <w:szCs w:val="16"/>
          <w:lang w:val="el-GR"/>
        </w:rPr>
        <w:t>…</w:t>
      </w:r>
    </w:p>
    <w:p>
      <w:pPr>
        <w:pStyle w:val="style86"/>
      </w:pPr>
      <w:r>
        <w:rPr>
          <w:rFonts w:cs="Arial"/>
          <w:color w:val="000000"/>
          <w:sz w:val="16"/>
          <w:szCs w:val="16"/>
          <w:lang w:val="el-GR"/>
        </w:rPr>
        <w:t>Εμπόριο, μεταφορές και τουρισμός</w:t>
      </w:r>
    </w:p>
    <w:p>
      <w:pPr>
        <w:pStyle w:val="style86"/>
        <w:jc w:val="right"/>
      </w:pPr>
      <w:r>
        <w:rPr>
          <w:rFonts w:cs="Arial"/>
          <w:sz w:val="16"/>
          <w:szCs w:val="16"/>
        </w:rPr>
        <w:t>27,3</w:t>
      </w:r>
    </w:p>
    <w:p>
      <w:pPr>
        <w:pStyle w:val="style86"/>
        <w:jc w:val="right"/>
      </w:pPr>
      <w:r>
        <w:rPr>
          <w:rFonts w:cs="Arial"/>
          <w:sz w:val="16"/>
          <w:szCs w:val="16"/>
        </w:rPr>
        <w:t>12,7</w:t>
      </w:r>
    </w:p>
    <w:p>
      <w:pPr>
        <w:pStyle w:val="style86"/>
        <w:jc w:val="right"/>
      </w:pPr>
      <w:r>
        <w:rPr>
          <w:rFonts w:cs="Arial"/>
          <w:sz w:val="16"/>
          <w:szCs w:val="16"/>
        </w:rPr>
        <w:t>12,6</w:t>
      </w:r>
    </w:p>
    <w:p>
      <w:pPr>
        <w:pStyle w:val="style86"/>
        <w:jc w:val="right"/>
      </w:pPr>
      <w:r>
        <w:rPr>
          <w:rFonts w:cs="Arial"/>
          <w:sz w:val="16"/>
          <w:szCs w:val="16"/>
        </w:rPr>
        <w:t>35,2</w:t>
      </w:r>
    </w:p>
    <w:p>
      <w:pPr>
        <w:pStyle w:val="style86"/>
        <w:jc w:val="right"/>
      </w:pPr>
      <w:r>
        <w:rPr>
          <w:rFonts w:cs="Arial"/>
          <w:sz w:val="16"/>
          <w:szCs w:val="16"/>
        </w:rPr>
        <w:t>58,9</w:t>
      </w:r>
    </w:p>
    <w:p>
      <w:pPr>
        <w:pStyle w:val="style86"/>
        <w:jc w:val="right"/>
      </w:pPr>
      <w:r>
        <w:rPr>
          <w:rFonts w:cs="Arial"/>
          <w:sz w:val="16"/>
          <w:szCs w:val="16"/>
        </w:rPr>
        <w:t>19,0</w:t>
      </w:r>
    </w:p>
    <w:p>
      <w:pPr>
        <w:pStyle w:val="style86"/>
        <w:jc w:val="right"/>
      </w:pPr>
      <w:r>
        <w:rPr>
          <w:rFonts w:cs="Arial"/>
          <w:sz w:val="16"/>
          <w:szCs w:val="16"/>
        </w:rPr>
        <w:t>4,4</w:t>
      </w:r>
    </w:p>
    <w:p>
      <w:pPr>
        <w:pStyle w:val="style86"/>
        <w:jc w:val="right"/>
      </w:pPr>
      <w:r>
        <w:rPr>
          <w:rFonts w:cs="Arial"/>
          <w:sz w:val="16"/>
          <w:szCs w:val="16"/>
        </w:rPr>
        <w:t>26,5</w:t>
      </w:r>
    </w:p>
    <w:p>
      <w:pPr>
        <w:pStyle w:val="style86"/>
        <w:jc w:val="right"/>
      </w:pPr>
      <w:r>
        <w:rPr>
          <w:rFonts w:cs="Arial"/>
          <w:sz w:val="16"/>
          <w:szCs w:val="16"/>
        </w:rPr>
        <w:t>43,4</w:t>
      </w:r>
    </w:p>
    <w:p>
      <w:pPr>
        <w:pStyle w:val="style86"/>
        <w:jc w:val="right"/>
      </w:pPr>
      <w:r>
        <w:rPr>
          <w:rFonts w:cs="Arial"/>
          <w:sz w:val="16"/>
          <w:szCs w:val="16"/>
        </w:rPr>
        <w:t>8,4</w:t>
      </w:r>
    </w:p>
    <w:p>
      <w:pPr>
        <w:pStyle w:val="style86"/>
        <w:jc w:val="right"/>
      </w:pPr>
      <w:r>
        <w:rPr>
          <w:rFonts w:cs="Arial"/>
          <w:sz w:val="16"/>
          <w:szCs w:val="16"/>
        </w:rPr>
        <w:t>1,3</w:t>
      </w:r>
    </w:p>
    <w:p>
      <w:pPr>
        <w:pStyle w:val="style86"/>
        <w:jc w:val="right"/>
      </w:pPr>
      <w:r>
        <w:rPr>
          <w:rFonts w:cs="Arial"/>
          <w:sz w:val="16"/>
          <w:szCs w:val="16"/>
        </w:rPr>
        <w:t>0,9</w:t>
      </w:r>
    </w:p>
    <w:p>
      <w:pPr>
        <w:pStyle w:val="style86"/>
        <w:jc w:val="right"/>
      </w:pPr>
      <w:r>
        <w:rPr>
          <w:rFonts w:cs="Arial"/>
          <w:sz w:val="16"/>
          <w:szCs w:val="16"/>
          <w:lang w:val="el-GR"/>
        </w:rPr>
        <w:t>…</w:t>
      </w:r>
    </w:p>
    <w:p>
      <w:pPr>
        <w:pStyle w:val="style86"/>
      </w:pPr>
      <w:r>
        <w:rPr>
          <w:rFonts w:cs="Arial"/>
          <w:color w:val="000000"/>
          <w:sz w:val="16"/>
          <w:szCs w:val="16"/>
          <w:lang w:val="el-GR"/>
        </w:rPr>
        <w:t>Ενημέρωση και επικοινωνία, τράπεζες και ασφάλειες</w:t>
      </w:r>
    </w:p>
    <w:p>
      <w:pPr>
        <w:pStyle w:val="style86"/>
        <w:jc w:val="right"/>
      </w:pPr>
      <w:r>
        <w:rPr>
          <w:rFonts w:cs="Arial"/>
          <w:sz w:val="16"/>
          <w:szCs w:val="16"/>
        </w:rPr>
        <w:t>32,3</w:t>
      </w:r>
    </w:p>
    <w:p>
      <w:pPr>
        <w:pStyle w:val="style86"/>
        <w:jc w:val="right"/>
      </w:pPr>
      <w:r>
        <w:rPr>
          <w:rFonts w:cs="Arial"/>
          <w:sz w:val="16"/>
          <w:szCs w:val="16"/>
        </w:rPr>
        <w:t>43,6</w:t>
      </w:r>
    </w:p>
    <w:p>
      <w:pPr>
        <w:pStyle w:val="style86"/>
        <w:jc w:val="right"/>
      </w:pPr>
      <w:r>
        <w:rPr>
          <w:rFonts w:cs="Arial"/>
          <w:sz w:val="16"/>
          <w:szCs w:val="16"/>
        </w:rPr>
        <w:t>21,4</w:t>
      </w:r>
    </w:p>
    <w:p>
      <w:pPr>
        <w:pStyle w:val="style86"/>
        <w:jc w:val="right"/>
      </w:pPr>
      <w:r>
        <w:rPr>
          <w:rFonts w:cs="Arial"/>
          <w:sz w:val="16"/>
          <w:szCs w:val="16"/>
        </w:rPr>
        <w:t>27,6</w:t>
      </w:r>
    </w:p>
    <w:p>
      <w:pPr>
        <w:pStyle w:val="style86"/>
        <w:jc w:val="right"/>
      </w:pPr>
      <w:r>
        <w:rPr>
          <w:rFonts w:cs="Arial"/>
          <w:sz w:val="16"/>
          <w:szCs w:val="16"/>
        </w:rPr>
        <w:t>40,2</w:t>
      </w:r>
    </w:p>
    <w:p>
      <w:pPr>
        <w:pStyle w:val="style86"/>
        <w:jc w:val="right"/>
      </w:pPr>
      <w:r>
        <w:rPr>
          <w:rFonts w:cs="Arial"/>
          <w:sz w:val="16"/>
          <w:szCs w:val="16"/>
        </w:rPr>
        <w:t>21,7</w:t>
      </w:r>
    </w:p>
    <w:p>
      <w:pPr>
        <w:pStyle w:val="style86"/>
        <w:jc w:val="right"/>
      </w:pPr>
      <w:r>
        <w:rPr>
          <w:rFonts w:cs="Arial"/>
          <w:sz w:val="16"/>
          <w:szCs w:val="16"/>
        </w:rPr>
        <w:t>5,7</w:t>
      </w:r>
    </w:p>
    <w:p>
      <w:pPr>
        <w:pStyle w:val="style86"/>
        <w:jc w:val="right"/>
      </w:pPr>
      <w:r>
        <w:rPr>
          <w:rFonts w:cs="Arial"/>
          <w:sz w:val="16"/>
          <w:szCs w:val="16"/>
        </w:rPr>
        <w:t>10,5</w:t>
      </w:r>
    </w:p>
    <w:p>
      <w:pPr>
        <w:pStyle w:val="style86"/>
        <w:jc w:val="right"/>
      </w:pPr>
      <w:r>
        <w:rPr>
          <w:rFonts w:cs="Arial"/>
          <w:sz w:val="16"/>
          <w:szCs w:val="16"/>
        </w:rPr>
        <w:t>47,2</w:t>
      </w:r>
    </w:p>
    <w:p>
      <w:pPr>
        <w:pStyle w:val="style86"/>
        <w:jc w:val="right"/>
      </w:pPr>
      <w:r>
        <w:rPr>
          <w:rFonts w:cs="Arial"/>
          <w:sz w:val="16"/>
          <w:szCs w:val="16"/>
        </w:rPr>
        <w:t>11,4</w:t>
      </w:r>
    </w:p>
    <w:p>
      <w:pPr>
        <w:pStyle w:val="style86"/>
        <w:jc w:val="right"/>
      </w:pPr>
      <w:r>
        <w:rPr>
          <w:rFonts w:cs="Arial"/>
          <w:sz w:val="16"/>
          <w:szCs w:val="16"/>
          <w:lang w:val="el-GR"/>
        </w:rPr>
        <w:t>…</w:t>
      </w:r>
    </w:p>
    <w:p>
      <w:pPr>
        <w:pStyle w:val="style86"/>
        <w:jc w:val="right"/>
      </w:pPr>
      <w:r>
        <w:rPr>
          <w:rFonts w:cs="Arial"/>
          <w:sz w:val="16"/>
          <w:szCs w:val="16"/>
          <w:lang w:val="el-GR"/>
        </w:rPr>
        <w:t>…</w:t>
      </w:r>
    </w:p>
    <w:p>
      <w:pPr>
        <w:pStyle w:val="style86"/>
        <w:jc w:val="right"/>
      </w:pPr>
      <w:r>
        <w:rPr>
          <w:rFonts w:cs="Arial"/>
          <w:sz w:val="16"/>
          <w:szCs w:val="16"/>
          <w:lang w:val="el-GR"/>
        </w:rPr>
        <w:t>…</w:t>
      </w:r>
    </w:p>
    <w:p>
      <w:pPr>
        <w:pStyle w:val="style86"/>
      </w:pPr>
      <w:r>
        <w:rPr>
          <w:rFonts w:cs="Arial"/>
          <w:color w:val="000000"/>
          <w:sz w:val="16"/>
          <w:szCs w:val="16"/>
          <w:lang w:val="el-GR"/>
        </w:rPr>
        <w:t>Λοιπές υπηρεσίες</w:t>
      </w:r>
    </w:p>
    <w:p>
      <w:pPr>
        <w:pStyle w:val="style86"/>
        <w:jc w:val="right"/>
      </w:pPr>
      <w:r>
        <w:rPr>
          <w:rFonts w:cs="Arial"/>
          <w:sz w:val="16"/>
          <w:szCs w:val="16"/>
        </w:rPr>
        <w:t>34,0</w:t>
      </w:r>
    </w:p>
    <w:p>
      <w:pPr>
        <w:pStyle w:val="style86"/>
        <w:jc w:val="right"/>
      </w:pPr>
      <w:r>
        <w:rPr>
          <w:rFonts w:cs="Arial"/>
          <w:sz w:val="16"/>
          <w:szCs w:val="16"/>
        </w:rPr>
        <w:t>24,0</w:t>
      </w:r>
    </w:p>
    <w:p>
      <w:pPr>
        <w:pStyle w:val="style86"/>
        <w:jc w:val="right"/>
      </w:pPr>
      <w:r>
        <w:rPr>
          <w:rFonts w:cs="Arial"/>
          <w:sz w:val="16"/>
          <w:szCs w:val="16"/>
        </w:rPr>
        <w:t>18,7</w:t>
      </w:r>
    </w:p>
    <w:p>
      <w:pPr>
        <w:pStyle w:val="style86"/>
        <w:jc w:val="right"/>
      </w:pPr>
      <w:r>
        <w:rPr>
          <w:rFonts w:cs="Arial"/>
          <w:sz w:val="16"/>
          <w:szCs w:val="16"/>
        </w:rPr>
        <w:t>31,1</w:t>
      </w:r>
    </w:p>
    <w:p>
      <w:pPr>
        <w:pStyle w:val="style86"/>
        <w:jc w:val="right"/>
      </w:pPr>
      <w:r>
        <w:rPr>
          <w:rFonts w:cs="Arial"/>
          <w:sz w:val="16"/>
          <w:szCs w:val="16"/>
        </w:rPr>
        <w:t>32,4</w:t>
      </w:r>
    </w:p>
    <w:p>
      <w:pPr>
        <w:pStyle w:val="style86"/>
        <w:jc w:val="right"/>
      </w:pPr>
      <w:r>
        <w:rPr>
          <w:rFonts w:cs="Arial"/>
          <w:sz w:val="16"/>
          <w:szCs w:val="16"/>
        </w:rPr>
        <w:t>27,9</w:t>
      </w:r>
    </w:p>
    <w:p>
      <w:pPr>
        <w:pStyle w:val="style86"/>
        <w:jc w:val="right"/>
      </w:pPr>
      <w:r>
        <w:rPr>
          <w:rFonts w:cs="Arial"/>
          <w:sz w:val="16"/>
          <w:szCs w:val="16"/>
        </w:rPr>
        <w:t>12,2</w:t>
      </w:r>
    </w:p>
    <w:p>
      <w:pPr>
        <w:pStyle w:val="style86"/>
        <w:jc w:val="right"/>
      </w:pPr>
      <w:r>
        <w:rPr>
          <w:rFonts w:cs="Arial"/>
          <w:sz w:val="16"/>
          <w:szCs w:val="16"/>
        </w:rPr>
        <w:t>13,5</w:t>
      </w:r>
    </w:p>
    <w:p>
      <w:pPr>
        <w:pStyle w:val="style86"/>
        <w:jc w:val="right"/>
      </w:pPr>
      <w:r>
        <w:rPr>
          <w:rFonts w:cs="Arial"/>
          <w:sz w:val="16"/>
          <w:szCs w:val="16"/>
        </w:rPr>
        <w:t>55,7</w:t>
      </w:r>
    </w:p>
    <w:p>
      <w:pPr>
        <w:pStyle w:val="style86"/>
        <w:jc w:val="right"/>
      </w:pPr>
      <w:r>
        <w:rPr>
          <w:rFonts w:cs="Arial"/>
          <w:sz w:val="16"/>
          <w:szCs w:val="16"/>
        </w:rPr>
        <w:t>15,2</w:t>
      </w:r>
    </w:p>
    <w:p>
      <w:pPr>
        <w:pStyle w:val="style86"/>
        <w:jc w:val="right"/>
      </w:pPr>
      <w:r>
        <w:rPr>
          <w:rFonts w:cs="Arial"/>
          <w:sz w:val="16"/>
          <w:szCs w:val="16"/>
          <w:lang w:val="el-GR"/>
        </w:rPr>
        <w:t>…</w:t>
      </w:r>
    </w:p>
    <w:p>
      <w:pPr>
        <w:pStyle w:val="style86"/>
        <w:jc w:val="right"/>
      </w:pPr>
      <w:r>
        <w:rPr>
          <w:rFonts w:cs="Arial"/>
          <w:sz w:val="16"/>
          <w:szCs w:val="16"/>
          <w:lang w:val="el-GR"/>
        </w:rPr>
        <w:t>…</w:t>
      </w:r>
    </w:p>
    <w:p>
      <w:pPr>
        <w:pStyle w:val="style86"/>
        <w:jc w:val="right"/>
      </w:pPr>
      <w:r>
        <w:rPr>
          <w:rFonts w:cs="Arial"/>
          <w:sz w:val="16"/>
          <w:szCs w:val="16"/>
          <w:lang w:val="el-GR"/>
        </w:rPr>
        <w:t>…</w:t>
      </w:r>
    </w:p>
    <w:p>
      <w:pPr>
        <w:pStyle w:val="style86"/>
      </w:pPr>
      <w:r>
        <w:rPr>
          <w:rFonts w:cs="Arial"/>
          <w:color w:val="000000"/>
          <w:sz w:val="16"/>
          <w:szCs w:val="16"/>
          <w:lang w:val="el-GR"/>
        </w:rPr>
      </w:r>
    </w:p>
    <w:p>
      <w:pPr>
        <w:pStyle w:val="style86"/>
        <w:jc w:val="right"/>
      </w:pPr>
      <w:r>
        <w:rPr>
          <w:rFonts w:cs="Arial"/>
          <w:sz w:val="16"/>
          <w:szCs w:val="16"/>
        </w:rPr>
      </w:r>
    </w:p>
    <w:p>
      <w:pPr>
        <w:pStyle w:val="style86"/>
        <w:jc w:val="right"/>
      </w:pPr>
      <w:r>
        <w:rPr>
          <w:rFonts w:cs="Arial"/>
          <w:sz w:val="16"/>
          <w:szCs w:val="16"/>
        </w:rPr>
      </w:r>
    </w:p>
    <w:p>
      <w:pPr>
        <w:pStyle w:val="style86"/>
        <w:jc w:val="right"/>
      </w:pPr>
      <w:r>
        <w:rPr>
          <w:rFonts w:cs="Arial"/>
          <w:sz w:val="16"/>
          <w:szCs w:val="16"/>
        </w:rPr>
      </w:r>
    </w:p>
    <w:p>
      <w:pPr>
        <w:pStyle w:val="style86"/>
        <w:jc w:val="right"/>
      </w:pPr>
      <w:r>
        <w:rPr>
          <w:rFonts w:cs="Arial"/>
          <w:sz w:val="16"/>
          <w:szCs w:val="16"/>
        </w:rPr>
      </w:r>
    </w:p>
    <w:p>
      <w:pPr>
        <w:pStyle w:val="style86"/>
        <w:jc w:val="right"/>
      </w:pPr>
      <w:r>
        <w:rPr>
          <w:rFonts w:cs="Arial"/>
          <w:sz w:val="16"/>
          <w:szCs w:val="16"/>
        </w:rPr>
      </w:r>
    </w:p>
    <w:p>
      <w:pPr>
        <w:pStyle w:val="style86"/>
        <w:jc w:val="right"/>
      </w:pPr>
      <w:r>
        <w:rPr>
          <w:rFonts w:cs="Arial"/>
          <w:sz w:val="16"/>
          <w:szCs w:val="16"/>
        </w:rPr>
      </w:r>
    </w:p>
    <w:p>
      <w:pPr>
        <w:pStyle w:val="style86"/>
        <w:jc w:val="right"/>
      </w:pPr>
      <w:r>
        <w:rPr>
          <w:rFonts w:cs="Arial"/>
          <w:sz w:val="16"/>
          <w:szCs w:val="16"/>
        </w:rPr>
      </w:r>
    </w:p>
    <w:p>
      <w:pPr>
        <w:pStyle w:val="style86"/>
        <w:jc w:val="right"/>
      </w:pPr>
      <w:r>
        <w:rPr>
          <w:rFonts w:cs="Arial"/>
          <w:sz w:val="16"/>
          <w:szCs w:val="16"/>
        </w:rPr>
      </w:r>
    </w:p>
    <w:p>
      <w:pPr>
        <w:pStyle w:val="style86"/>
        <w:jc w:val="right"/>
      </w:pPr>
      <w:r>
        <w:rPr>
          <w:rFonts w:cs="Arial"/>
          <w:sz w:val="16"/>
          <w:szCs w:val="16"/>
        </w:rPr>
      </w:r>
    </w:p>
    <w:p>
      <w:pPr>
        <w:pStyle w:val="style86"/>
        <w:jc w:val="right"/>
      </w:pPr>
      <w:r>
        <w:rPr>
          <w:rFonts w:cs="Arial"/>
          <w:sz w:val="16"/>
          <w:szCs w:val="16"/>
        </w:rPr>
      </w:r>
    </w:p>
    <w:p>
      <w:pPr>
        <w:pStyle w:val="style86"/>
        <w:jc w:val="right"/>
      </w:pPr>
      <w:r>
        <w:rPr>
          <w:rFonts w:cs="Arial"/>
          <w:sz w:val="16"/>
          <w:szCs w:val="16"/>
          <w:lang w:val="el-GR"/>
        </w:rPr>
      </w:r>
    </w:p>
    <w:p>
      <w:pPr>
        <w:pStyle w:val="style86"/>
        <w:jc w:val="right"/>
      </w:pPr>
      <w:r>
        <w:rPr>
          <w:rFonts w:cs="Arial"/>
          <w:sz w:val="16"/>
          <w:szCs w:val="16"/>
          <w:lang w:val="el-GR"/>
        </w:rPr>
      </w:r>
    </w:p>
    <w:p>
      <w:pPr>
        <w:pStyle w:val="style86"/>
        <w:jc w:val="right"/>
      </w:pPr>
      <w:r>
        <w:rPr>
          <w:rFonts w:cs="Arial"/>
          <w:sz w:val="16"/>
          <w:szCs w:val="16"/>
          <w:lang w:val="el-GR"/>
        </w:rPr>
      </w:r>
    </w:p>
    <w:p>
      <w:pPr>
        <w:pStyle w:val="style86"/>
      </w:pPr>
      <w:r>
        <w:rPr>
          <w:rFonts w:cs="Arial"/>
          <w:color w:val="000000"/>
          <w:sz w:val="16"/>
          <w:szCs w:val="16"/>
          <w:lang w:val="el-GR"/>
        </w:rPr>
      </w:r>
    </w:p>
    <w:p>
      <w:pPr>
        <w:pStyle w:val="style86"/>
        <w:jc w:val="center"/>
      </w:pPr>
      <w:r>
        <w:rPr>
          <w:rFonts w:cs="Arial"/>
          <w:b/>
          <w:color w:val="FFFFFF"/>
          <w:sz w:val="22"/>
          <w:szCs w:val="22"/>
          <w:lang w:val="el-GR"/>
        </w:rPr>
        <w:t>ΕΕ-28</w:t>
      </w:r>
    </w:p>
    <w:p>
      <w:pPr>
        <w:pStyle w:val="style86"/>
      </w:pPr>
      <w:r>
        <w:rPr>
          <w:rFonts w:cs="Arial"/>
          <w:b/>
          <w:color w:val="000000"/>
          <w:sz w:val="16"/>
          <w:szCs w:val="16"/>
          <w:lang w:val="el-GR"/>
        </w:rPr>
        <w:t>Σύνολο</w:t>
      </w:r>
    </w:p>
    <w:p>
      <w:pPr>
        <w:pStyle w:val="style86"/>
        <w:jc w:val="right"/>
      </w:pPr>
      <w:r>
        <w:rPr>
          <w:rFonts w:cs="Arial"/>
          <w:b/>
          <w:sz w:val="16"/>
          <w:szCs w:val="16"/>
        </w:rPr>
        <w:t>20,8</w:t>
      </w:r>
    </w:p>
    <w:p>
      <w:pPr>
        <w:pStyle w:val="style86"/>
        <w:jc w:val="right"/>
      </w:pPr>
      <w:r>
        <w:rPr>
          <w:rFonts w:cs="Arial"/>
          <w:b/>
          <w:sz w:val="16"/>
          <w:szCs w:val="16"/>
        </w:rPr>
        <w:t>11,5</w:t>
      </w:r>
    </w:p>
    <w:p>
      <w:pPr>
        <w:pStyle w:val="style86"/>
        <w:jc w:val="right"/>
      </w:pPr>
      <w:r>
        <w:rPr>
          <w:rFonts w:cs="Arial"/>
          <w:b/>
          <w:sz w:val="16"/>
          <w:szCs w:val="16"/>
        </w:rPr>
        <w:t>25,1</w:t>
      </w:r>
    </w:p>
    <w:p>
      <w:pPr>
        <w:pStyle w:val="style86"/>
        <w:jc w:val="right"/>
      </w:pPr>
      <w:r>
        <w:rPr>
          <w:rFonts w:cs="Arial"/>
          <w:b/>
          <w:sz w:val="16"/>
          <w:szCs w:val="16"/>
        </w:rPr>
        <w:t>40,9</w:t>
      </w:r>
    </w:p>
    <w:p>
      <w:pPr>
        <w:pStyle w:val="style86"/>
        <w:jc w:val="right"/>
      </w:pPr>
      <w:r>
        <w:rPr>
          <w:rFonts w:cs="Arial"/>
          <w:b/>
          <w:sz w:val="16"/>
          <w:szCs w:val="16"/>
        </w:rPr>
        <w:t>41,0</w:t>
      </w:r>
    </w:p>
    <w:p>
      <w:pPr>
        <w:pStyle w:val="style86"/>
        <w:jc w:val="right"/>
      </w:pPr>
      <w:r>
        <w:rPr>
          <w:rFonts w:cs="Arial"/>
          <w:b/>
          <w:sz w:val="16"/>
          <w:szCs w:val="16"/>
        </w:rPr>
        <w:t>26,3</w:t>
      </w:r>
    </w:p>
    <w:p>
      <w:pPr>
        <w:pStyle w:val="style86"/>
        <w:jc w:val="right"/>
      </w:pPr>
      <w:r>
        <w:rPr>
          <w:rFonts w:cs="Arial"/>
          <w:b/>
          <w:sz w:val="16"/>
          <w:szCs w:val="16"/>
        </w:rPr>
        <w:t>13,7</w:t>
      </w:r>
    </w:p>
    <w:p>
      <w:pPr>
        <w:pStyle w:val="style86"/>
        <w:jc w:val="right"/>
      </w:pPr>
      <w:r>
        <w:rPr>
          <w:rFonts w:cs="Arial"/>
          <w:b/>
          <w:sz w:val="16"/>
          <w:szCs w:val="16"/>
        </w:rPr>
        <w:t>10,5</w:t>
      </w:r>
    </w:p>
    <w:p>
      <w:pPr>
        <w:pStyle w:val="style86"/>
        <w:jc w:val="right"/>
      </w:pPr>
      <w:r>
        <w:rPr>
          <w:rFonts w:cs="Arial"/>
          <w:b/>
          <w:sz w:val="16"/>
          <w:szCs w:val="16"/>
        </w:rPr>
        <w:t>46,2</w:t>
      </w:r>
    </w:p>
    <w:p>
      <w:pPr>
        <w:pStyle w:val="style86"/>
        <w:jc w:val="right"/>
      </w:pPr>
      <w:r>
        <w:rPr>
          <w:rFonts w:cs="Arial"/>
          <w:b/>
          <w:sz w:val="16"/>
          <w:szCs w:val="16"/>
        </w:rPr>
        <w:t>8,4</w:t>
      </w:r>
    </w:p>
    <w:p>
      <w:pPr>
        <w:pStyle w:val="style86"/>
        <w:jc w:val="right"/>
      </w:pPr>
      <w:r>
        <w:rPr>
          <w:rFonts w:cs="Arial"/>
          <w:b/>
          <w:sz w:val="16"/>
          <w:szCs w:val="16"/>
        </w:rPr>
        <w:t>5,6</w:t>
      </w:r>
    </w:p>
    <w:p>
      <w:pPr>
        <w:pStyle w:val="style86"/>
        <w:jc w:val="right"/>
      </w:pPr>
      <w:r>
        <w:rPr>
          <w:rFonts w:cs="Arial"/>
          <w:b/>
          <w:sz w:val="16"/>
          <w:szCs w:val="16"/>
        </w:rPr>
        <w:t>3,9</w:t>
      </w:r>
    </w:p>
    <w:p>
      <w:pPr>
        <w:pStyle w:val="style86"/>
        <w:jc w:val="right"/>
      </w:pPr>
      <w:r>
        <w:rPr>
          <w:rFonts w:cs="Arial"/>
          <w:b/>
          <w:sz w:val="16"/>
          <w:szCs w:val="16"/>
        </w:rPr>
        <w:t>5,3</w:t>
      </w:r>
    </w:p>
    <w:p>
      <w:pPr>
        <w:pStyle w:val="style86"/>
      </w:pPr>
      <w:r>
        <w:rPr>
          <w:rFonts w:cs="Arial"/>
          <w:color w:val="000000"/>
          <w:sz w:val="16"/>
          <w:szCs w:val="16"/>
          <w:lang w:val="el-GR"/>
        </w:rPr>
        <w:t>Βιομηχανία</w:t>
      </w:r>
    </w:p>
    <w:p>
      <w:pPr>
        <w:pStyle w:val="style86"/>
        <w:jc w:val="right"/>
      </w:pPr>
      <w:r>
        <w:rPr>
          <w:rFonts w:cs="Arial"/>
          <w:sz w:val="16"/>
          <w:szCs w:val="16"/>
        </w:rPr>
        <w:t>18,6</w:t>
      </w:r>
    </w:p>
    <w:p>
      <w:pPr>
        <w:pStyle w:val="style86"/>
        <w:jc w:val="right"/>
      </w:pPr>
      <w:r>
        <w:rPr>
          <w:rFonts w:cs="Arial"/>
          <w:sz w:val="16"/>
          <w:szCs w:val="16"/>
        </w:rPr>
        <w:t>10,8</w:t>
      </w:r>
    </w:p>
    <w:p>
      <w:pPr>
        <w:pStyle w:val="style86"/>
        <w:jc w:val="right"/>
      </w:pPr>
      <w:r>
        <w:rPr>
          <w:rFonts w:cs="Arial"/>
          <w:sz w:val="16"/>
          <w:szCs w:val="16"/>
        </w:rPr>
        <w:t>26,5</w:t>
      </w:r>
    </w:p>
    <w:p>
      <w:pPr>
        <w:pStyle w:val="style86"/>
        <w:jc w:val="right"/>
      </w:pPr>
      <w:r>
        <w:rPr>
          <w:rFonts w:cs="Arial"/>
          <w:sz w:val="16"/>
          <w:szCs w:val="16"/>
        </w:rPr>
        <w:t>39,4</w:t>
      </w:r>
    </w:p>
    <w:p>
      <w:pPr>
        <w:pStyle w:val="style86"/>
        <w:jc w:val="right"/>
      </w:pPr>
      <w:r>
        <w:rPr>
          <w:rFonts w:cs="Arial"/>
          <w:sz w:val="16"/>
          <w:szCs w:val="16"/>
        </w:rPr>
        <w:t>28,3</w:t>
      </w:r>
    </w:p>
    <w:p>
      <w:pPr>
        <w:pStyle w:val="style86"/>
        <w:jc w:val="right"/>
      </w:pPr>
      <w:r>
        <w:rPr>
          <w:rFonts w:cs="Arial"/>
          <w:sz w:val="16"/>
          <w:szCs w:val="16"/>
        </w:rPr>
        <w:t>28,7</w:t>
      </w:r>
    </w:p>
    <w:p>
      <w:pPr>
        <w:pStyle w:val="style86"/>
        <w:jc w:val="right"/>
      </w:pPr>
      <w:r>
        <w:rPr>
          <w:rFonts w:cs="Arial"/>
          <w:sz w:val="16"/>
          <w:szCs w:val="16"/>
        </w:rPr>
        <w:t>11,0</w:t>
      </w:r>
    </w:p>
    <w:p>
      <w:pPr>
        <w:pStyle w:val="style86"/>
        <w:jc w:val="right"/>
      </w:pPr>
      <w:r>
        <w:rPr>
          <w:rFonts w:cs="Arial"/>
          <w:sz w:val="16"/>
          <w:szCs w:val="16"/>
        </w:rPr>
        <w:t>12,4</w:t>
      </w:r>
    </w:p>
    <w:p>
      <w:pPr>
        <w:pStyle w:val="style86"/>
        <w:jc w:val="right"/>
      </w:pPr>
      <w:r>
        <w:rPr>
          <w:rFonts w:cs="Arial"/>
          <w:sz w:val="16"/>
          <w:szCs w:val="16"/>
        </w:rPr>
        <w:t>58,9</w:t>
      </w:r>
    </w:p>
    <w:p>
      <w:pPr>
        <w:pStyle w:val="style86"/>
        <w:jc w:val="right"/>
      </w:pPr>
      <w:r>
        <w:rPr>
          <w:rFonts w:cs="Arial"/>
          <w:sz w:val="16"/>
          <w:szCs w:val="16"/>
        </w:rPr>
        <w:t>4,7</w:t>
      </w:r>
    </w:p>
    <w:p>
      <w:pPr>
        <w:pStyle w:val="style86"/>
        <w:jc w:val="right"/>
      </w:pPr>
      <w:r>
        <w:rPr>
          <w:rFonts w:cs="Arial"/>
          <w:sz w:val="16"/>
          <w:szCs w:val="16"/>
        </w:rPr>
        <w:t>4,4</w:t>
      </w:r>
    </w:p>
    <w:p>
      <w:pPr>
        <w:pStyle w:val="style86"/>
        <w:jc w:val="right"/>
      </w:pPr>
      <w:r>
        <w:rPr>
          <w:rFonts w:cs="Arial"/>
          <w:sz w:val="16"/>
          <w:szCs w:val="16"/>
        </w:rPr>
        <w:t>3,7</w:t>
      </w:r>
    </w:p>
    <w:p>
      <w:pPr>
        <w:pStyle w:val="style86"/>
        <w:jc w:val="right"/>
      </w:pPr>
      <w:r>
        <w:rPr>
          <w:rFonts w:cs="Arial"/>
          <w:sz w:val="16"/>
          <w:szCs w:val="16"/>
        </w:rPr>
        <w:t>6,6</w:t>
      </w:r>
    </w:p>
    <w:p>
      <w:pPr>
        <w:pStyle w:val="style86"/>
      </w:pPr>
      <w:r>
        <w:rPr>
          <w:rFonts w:cs="Arial"/>
          <w:color w:val="000000"/>
          <w:sz w:val="16"/>
          <w:szCs w:val="16"/>
          <w:lang w:val="el-GR"/>
        </w:rPr>
        <w:t>Κατασκευές</w:t>
      </w:r>
    </w:p>
    <w:p>
      <w:pPr>
        <w:pStyle w:val="style86"/>
        <w:jc w:val="right"/>
      </w:pPr>
      <w:r>
        <w:rPr>
          <w:rFonts w:cs="Arial"/>
          <w:sz w:val="16"/>
          <w:szCs w:val="16"/>
        </w:rPr>
        <w:t>15,6</w:t>
      </w:r>
    </w:p>
    <w:p>
      <w:pPr>
        <w:pStyle w:val="style86"/>
        <w:jc w:val="right"/>
      </w:pPr>
      <w:r>
        <w:rPr>
          <w:rFonts w:cs="Arial"/>
          <w:sz w:val="16"/>
          <w:szCs w:val="16"/>
        </w:rPr>
        <w:t>7,3</w:t>
      </w:r>
    </w:p>
    <w:p>
      <w:pPr>
        <w:pStyle w:val="style86"/>
        <w:jc w:val="right"/>
      </w:pPr>
      <w:r>
        <w:rPr>
          <w:rFonts w:cs="Arial"/>
          <w:sz w:val="16"/>
          <w:szCs w:val="16"/>
        </w:rPr>
        <w:t>21,4</w:t>
      </w:r>
    </w:p>
    <w:p>
      <w:pPr>
        <w:pStyle w:val="style86"/>
        <w:jc w:val="right"/>
      </w:pPr>
      <w:r>
        <w:rPr>
          <w:rFonts w:cs="Arial"/>
          <w:sz w:val="16"/>
          <w:szCs w:val="16"/>
        </w:rPr>
        <w:t>41,8</w:t>
      </w:r>
    </w:p>
    <w:p>
      <w:pPr>
        <w:pStyle w:val="style86"/>
        <w:jc w:val="right"/>
      </w:pPr>
      <w:r>
        <w:rPr>
          <w:rFonts w:cs="Arial"/>
          <w:sz w:val="16"/>
          <w:szCs w:val="16"/>
        </w:rPr>
        <w:t>25,7</w:t>
      </w:r>
    </w:p>
    <w:p>
      <w:pPr>
        <w:pStyle w:val="style86"/>
        <w:jc w:val="right"/>
      </w:pPr>
      <w:r>
        <w:rPr>
          <w:rFonts w:cs="Arial"/>
          <w:sz w:val="16"/>
          <w:szCs w:val="16"/>
        </w:rPr>
        <w:t>29,2</w:t>
      </w:r>
    </w:p>
    <w:p>
      <w:pPr>
        <w:pStyle w:val="style86"/>
        <w:jc w:val="right"/>
      </w:pPr>
      <w:r>
        <w:rPr>
          <w:rFonts w:cs="Arial"/>
          <w:sz w:val="16"/>
          <w:szCs w:val="16"/>
        </w:rPr>
        <w:t>16,7</w:t>
      </w:r>
    </w:p>
    <w:p>
      <w:pPr>
        <w:pStyle w:val="style86"/>
        <w:jc w:val="right"/>
      </w:pPr>
      <w:r>
        <w:rPr>
          <w:rFonts w:cs="Arial"/>
          <w:sz w:val="16"/>
          <w:szCs w:val="16"/>
        </w:rPr>
        <w:t>3,1</w:t>
      </w:r>
    </w:p>
    <w:p>
      <w:pPr>
        <w:pStyle w:val="style86"/>
        <w:jc w:val="right"/>
      </w:pPr>
      <w:r>
        <w:rPr>
          <w:rFonts w:cs="Arial"/>
          <w:sz w:val="16"/>
          <w:szCs w:val="16"/>
        </w:rPr>
        <w:t>63,5</w:t>
      </w:r>
    </w:p>
    <w:p>
      <w:pPr>
        <w:pStyle w:val="style86"/>
        <w:jc w:val="right"/>
      </w:pPr>
      <w:r>
        <w:rPr>
          <w:rFonts w:cs="Arial"/>
          <w:sz w:val="16"/>
          <w:szCs w:val="16"/>
        </w:rPr>
        <w:t>5,3</w:t>
      </w:r>
    </w:p>
    <w:p>
      <w:pPr>
        <w:pStyle w:val="style86"/>
        <w:jc w:val="right"/>
      </w:pPr>
      <w:r>
        <w:rPr>
          <w:rFonts w:cs="Arial"/>
          <w:sz w:val="16"/>
          <w:szCs w:val="16"/>
        </w:rPr>
        <w:t>3,2</w:t>
      </w:r>
    </w:p>
    <w:p>
      <w:pPr>
        <w:pStyle w:val="style86"/>
        <w:jc w:val="right"/>
      </w:pPr>
      <w:r>
        <w:rPr>
          <w:rFonts w:cs="Arial"/>
          <w:sz w:val="16"/>
          <w:szCs w:val="16"/>
        </w:rPr>
        <w:t>4,6</w:t>
      </w:r>
    </w:p>
    <w:p>
      <w:pPr>
        <w:pStyle w:val="style86"/>
        <w:jc w:val="right"/>
      </w:pPr>
      <w:r>
        <w:rPr>
          <w:rFonts w:cs="Arial"/>
          <w:sz w:val="16"/>
          <w:szCs w:val="16"/>
        </w:rPr>
        <w:t>6,0</w:t>
      </w:r>
    </w:p>
    <w:p>
      <w:pPr>
        <w:pStyle w:val="style86"/>
      </w:pPr>
      <w:r>
        <w:rPr>
          <w:rFonts w:cs="Arial"/>
          <w:color w:val="000000"/>
          <w:sz w:val="16"/>
          <w:szCs w:val="16"/>
          <w:lang w:val="el-GR"/>
        </w:rPr>
        <w:t>Εμπόριο, μεταφορές και τουρισμός</w:t>
      </w:r>
    </w:p>
    <w:p>
      <w:pPr>
        <w:pStyle w:val="style86"/>
        <w:jc w:val="right"/>
      </w:pPr>
      <w:r>
        <w:rPr>
          <w:rFonts w:cs="Arial"/>
          <w:sz w:val="16"/>
          <w:szCs w:val="16"/>
        </w:rPr>
        <w:t>20,4</w:t>
      </w:r>
    </w:p>
    <w:p>
      <w:pPr>
        <w:pStyle w:val="style86"/>
        <w:jc w:val="right"/>
      </w:pPr>
      <w:r>
        <w:rPr>
          <w:rFonts w:cs="Arial"/>
          <w:sz w:val="16"/>
          <w:szCs w:val="16"/>
        </w:rPr>
        <w:t>8,2</w:t>
      </w:r>
    </w:p>
    <w:p>
      <w:pPr>
        <w:pStyle w:val="style86"/>
        <w:jc w:val="right"/>
      </w:pPr>
      <w:r>
        <w:rPr>
          <w:rFonts w:cs="Arial"/>
          <w:sz w:val="16"/>
          <w:szCs w:val="16"/>
        </w:rPr>
        <w:t>24,9</w:t>
      </w:r>
    </w:p>
    <w:p>
      <w:pPr>
        <w:pStyle w:val="style86"/>
        <w:jc w:val="right"/>
      </w:pPr>
      <w:r>
        <w:rPr>
          <w:rFonts w:cs="Arial"/>
          <w:sz w:val="16"/>
          <w:szCs w:val="16"/>
        </w:rPr>
        <w:t>43,1</w:t>
      </w:r>
    </w:p>
    <w:p>
      <w:pPr>
        <w:pStyle w:val="style86"/>
        <w:jc w:val="right"/>
      </w:pPr>
      <w:r>
        <w:rPr>
          <w:rFonts w:cs="Arial"/>
          <w:sz w:val="16"/>
          <w:szCs w:val="16"/>
        </w:rPr>
        <w:t>56,7</w:t>
      </w:r>
    </w:p>
    <w:p>
      <w:pPr>
        <w:pStyle w:val="style86"/>
        <w:jc w:val="right"/>
      </w:pPr>
      <w:r>
        <w:rPr>
          <w:rFonts w:cs="Arial"/>
          <w:sz w:val="16"/>
          <w:szCs w:val="16"/>
        </w:rPr>
        <w:t>23,8</w:t>
      </w:r>
    </w:p>
    <w:p>
      <w:pPr>
        <w:pStyle w:val="style86"/>
        <w:jc w:val="right"/>
      </w:pPr>
      <w:r>
        <w:rPr>
          <w:rFonts w:cs="Arial"/>
          <w:sz w:val="16"/>
          <w:szCs w:val="16"/>
        </w:rPr>
        <w:t>12,4</w:t>
      </w:r>
    </w:p>
    <w:p>
      <w:pPr>
        <w:pStyle w:val="style86"/>
        <w:jc w:val="right"/>
      </w:pPr>
      <w:r>
        <w:rPr>
          <w:rFonts w:cs="Arial"/>
          <w:sz w:val="16"/>
          <w:szCs w:val="16"/>
        </w:rPr>
        <w:t>12,5</w:t>
      </w:r>
    </w:p>
    <w:p>
      <w:pPr>
        <w:pStyle w:val="style86"/>
        <w:jc w:val="right"/>
      </w:pPr>
      <w:r>
        <w:rPr>
          <w:rFonts w:cs="Arial"/>
          <w:sz w:val="16"/>
          <w:szCs w:val="16"/>
        </w:rPr>
        <w:t>36,5</w:t>
      </w:r>
    </w:p>
    <w:p>
      <w:pPr>
        <w:pStyle w:val="style86"/>
        <w:jc w:val="right"/>
      </w:pPr>
      <w:r>
        <w:rPr>
          <w:rFonts w:cs="Arial"/>
          <w:sz w:val="16"/>
          <w:szCs w:val="16"/>
        </w:rPr>
        <w:t>9,2</w:t>
      </w:r>
    </w:p>
    <w:p>
      <w:pPr>
        <w:pStyle w:val="style86"/>
        <w:jc w:val="right"/>
      </w:pPr>
      <w:r>
        <w:rPr>
          <w:rFonts w:cs="Arial"/>
          <w:sz w:val="16"/>
          <w:szCs w:val="16"/>
        </w:rPr>
        <w:t>6,1</w:t>
      </w:r>
    </w:p>
    <w:p>
      <w:pPr>
        <w:pStyle w:val="style86"/>
        <w:jc w:val="right"/>
      </w:pPr>
      <w:r>
        <w:rPr>
          <w:rFonts w:cs="Arial"/>
          <w:sz w:val="16"/>
          <w:szCs w:val="16"/>
        </w:rPr>
        <w:t>3,6</w:t>
      </w:r>
    </w:p>
    <w:p>
      <w:pPr>
        <w:pStyle w:val="style86"/>
        <w:jc w:val="right"/>
      </w:pPr>
      <w:r>
        <w:rPr>
          <w:rFonts w:cs="Arial"/>
          <w:sz w:val="16"/>
          <w:szCs w:val="16"/>
        </w:rPr>
        <w:t>4,9</w:t>
      </w:r>
    </w:p>
    <w:p>
      <w:pPr>
        <w:pStyle w:val="style86"/>
      </w:pPr>
      <w:r>
        <w:rPr>
          <w:rFonts w:cs="Arial"/>
          <w:color w:val="000000"/>
          <w:sz w:val="16"/>
          <w:szCs w:val="16"/>
          <w:lang w:val="el-GR"/>
        </w:rPr>
        <w:t>Ενημέρωση και επικοινωνία, τράπεζες και ασφάλειες</w:t>
      </w:r>
    </w:p>
    <w:p>
      <w:pPr>
        <w:pStyle w:val="style86"/>
        <w:jc w:val="right"/>
      </w:pPr>
      <w:r>
        <w:rPr>
          <w:rFonts w:cs="Arial"/>
          <w:sz w:val="16"/>
          <w:szCs w:val="16"/>
        </w:rPr>
        <w:t>25,9</w:t>
      </w:r>
    </w:p>
    <w:p>
      <w:pPr>
        <w:pStyle w:val="style86"/>
        <w:jc w:val="right"/>
      </w:pPr>
      <w:r>
        <w:rPr>
          <w:rFonts w:cs="Arial"/>
          <w:sz w:val="16"/>
          <w:szCs w:val="16"/>
        </w:rPr>
        <w:t>43,0</w:t>
      </w:r>
    </w:p>
    <w:p>
      <w:pPr>
        <w:pStyle w:val="style86"/>
        <w:jc w:val="right"/>
      </w:pPr>
      <w:r>
        <w:rPr>
          <w:rFonts w:cs="Arial"/>
          <w:sz w:val="16"/>
          <w:szCs w:val="16"/>
        </w:rPr>
        <w:t>31,8</w:t>
      </w:r>
    </w:p>
    <w:p>
      <w:pPr>
        <w:pStyle w:val="style86"/>
        <w:jc w:val="right"/>
      </w:pPr>
      <w:r>
        <w:rPr>
          <w:rFonts w:cs="Arial"/>
          <w:sz w:val="16"/>
          <w:szCs w:val="16"/>
        </w:rPr>
        <w:t>33,7</w:t>
      </w:r>
    </w:p>
    <w:p>
      <w:pPr>
        <w:pStyle w:val="style86"/>
        <w:jc w:val="right"/>
      </w:pPr>
      <w:r>
        <w:rPr>
          <w:rFonts w:cs="Arial"/>
          <w:sz w:val="16"/>
          <w:szCs w:val="16"/>
        </w:rPr>
        <w:t>40,0</w:t>
      </w:r>
    </w:p>
    <w:p>
      <w:pPr>
        <w:pStyle w:val="style86"/>
        <w:jc w:val="right"/>
      </w:pPr>
      <w:r>
        <w:rPr>
          <w:rFonts w:cs="Arial"/>
          <w:sz w:val="16"/>
          <w:szCs w:val="16"/>
        </w:rPr>
        <w:t>27,2</w:t>
      </w:r>
    </w:p>
    <w:p>
      <w:pPr>
        <w:pStyle w:val="style86"/>
        <w:jc w:val="right"/>
      </w:pPr>
      <w:r>
        <w:rPr>
          <w:rFonts w:cs="Arial"/>
          <w:sz w:val="16"/>
          <w:szCs w:val="16"/>
        </w:rPr>
        <w:t>10,6</w:t>
      </w:r>
    </w:p>
    <w:p>
      <w:pPr>
        <w:pStyle w:val="style86"/>
        <w:jc w:val="right"/>
      </w:pPr>
      <w:r>
        <w:rPr>
          <w:rFonts w:cs="Arial"/>
          <w:sz w:val="16"/>
          <w:szCs w:val="16"/>
        </w:rPr>
        <w:t>11,5</w:t>
      </w:r>
    </w:p>
    <w:p>
      <w:pPr>
        <w:pStyle w:val="style86"/>
        <w:jc w:val="right"/>
      </w:pPr>
      <w:r>
        <w:rPr>
          <w:rFonts w:cs="Arial"/>
          <w:sz w:val="16"/>
          <w:szCs w:val="16"/>
        </w:rPr>
        <w:t>34,6</w:t>
      </w:r>
    </w:p>
    <w:p>
      <w:pPr>
        <w:pStyle w:val="style86"/>
        <w:jc w:val="right"/>
      </w:pPr>
      <w:r>
        <w:rPr>
          <w:rFonts w:cs="Arial"/>
          <w:sz w:val="16"/>
          <w:szCs w:val="16"/>
        </w:rPr>
        <w:t>11,7</w:t>
      </w:r>
    </w:p>
    <w:p>
      <w:pPr>
        <w:pStyle w:val="style86"/>
        <w:jc w:val="right"/>
      </w:pPr>
      <w:r>
        <w:rPr>
          <w:rFonts w:cs="Arial"/>
          <w:sz w:val="16"/>
          <w:szCs w:val="16"/>
        </w:rPr>
        <w:t>5,5</w:t>
      </w:r>
    </w:p>
    <w:p>
      <w:pPr>
        <w:pStyle w:val="style86"/>
        <w:jc w:val="right"/>
      </w:pPr>
      <w:r>
        <w:rPr>
          <w:rFonts w:cs="Arial"/>
          <w:sz w:val="16"/>
          <w:szCs w:val="16"/>
        </w:rPr>
        <w:t>2,9</w:t>
      </w:r>
    </w:p>
    <w:p>
      <w:pPr>
        <w:pStyle w:val="style86"/>
        <w:jc w:val="right"/>
      </w:pPr>
      <w:r>
        <w:rPr>
          <w:rFonts w:cs="Arial"/>
          <w:sz w:val="16"/>
          <w:szCs w:val="16"/>
        </w:rPr>
        <w:t>2,0</w:t>
      </w:r>
    </w:p>
    <w:p>
      <w:pPr>
        <w:pStyle w:val="style86"/>
      </w:pPr>
      <w:r>
        <w:rPr>
          <w:rFonts w:cs="Arial"/>
          <w:color w:val="000000"/>
          <w:sz w:val="16"/>
          <w:szCs w:val="16"/>
          <w:lang w:val="el-GR"/>
        </w:rPr>
        <w:t>Λοιπές υπηρεσίες</w:t>
      </w:r>
    </w:p>
    <w:p>
      <w:pPr>
        <w:pStyle w:val="style86"/>
        <w:jc w:val="right"/>
      </w:pPr>
      <w:r>
        <w:rPr>
          <w:rFonts w:cs="Arial"/>
          <w:sz w:val="16"/>
          <w:szCs w:val="16"/>
        </w:rPr>
        <w:t>25,5</w:t>
      </w:r>
    </w:p>
    <w:p>
      <w:pPr>
        <w:pStyle w:val="style86"/>
        <w:jc w:val="right"/>
      </w:pPr>
      <w:r>
        <w:rPr>
          <w:rFonts w:cs="Arial"/>
          <w:sz w:val="16"/>
          <w:szCs w:val="16"/>
        </w:rPr>
        <w:t>11,9</w:t>
      </w:r>
    </w:p>
    <w:p>
      <w:pPr>
        <w:pStyle w:val="style86"/>
        <w:jc w:val="right"/>
      </w:pPr>
      <w:r>
        <w:rPr>
          <w:rFonts w:cs="Arial"/>
          <w:sz w:val="16"/>
          <w:szCs w:val="16"/>
        </w:rPr>
        <w:t>24,2</w:t>
      </w:r>
    </w:p>
    <w:p>
      <w:pPr>
        <w:pStyle w:val="style86"/>
        <w:jc w:val="right"/>
      </w:pPr>
      <w:r>
        <w:rPr>
          <w:rFonts w:cs="Arial"/>
          <w:sz w:val="16"/>
          <w:szCs w:val="16"/>
        </w:rPr>
        <w:t>40,0</w:t>
      </w:r>
    </w:p>
    <w:p>
      <w:pPr>
        <w:pStyle w:val="style86"/>
        <w:jc w:val="right"/>
      </w:pPr>
      <w:r>
        <w:rPr>
          <w:rFonts w:cs="Arial"/>
          <w:sz w:val="16"/>
          <w:szCs w:val="16"/>
        </w:rPr>
        <w:t>35,5</w:t>
      </w:r>
    </w:p>
    <w:p>
      <w:pPr>
        <w:pStyle w:val="style86"/>
        <w:jc w:val="right"/>
      </w:pPr>
      <w:r>
        <w:rPr>
          <w:rFonts w:cs="Arial"/>
          <w:sz w:val="16"/>
          <w:szCs w:val="16"/>
        </w:rPr>
        <w:t>26,3</w:t>
      </w:r>
    </w:p>
    <w:p>
      <w:pPr>
        <w:pStyle w:val="style86"/>
        <w:jc w:val="right"/>
      </w:pPr>
      <w:r>
        <w:rPr>
          <w:rFonts w:cs="Arial"/>
          <w:sz w:val="16"/>
          <w:szCs w:val="16"/>
        </w:rPr>
        <w:t>18,0</w:t>
      </w:r>
    </w:p>
    <w:p>
      <w:pPr>
        <w:pStyle w:val="style86"/>
        <w:jc w:val="right"/>
      </w:pPr>
      <w:r>
        <w:rPr>
          <w:rFonts w:cs="Arial"/>
          <w:sz w:val="16"/>
          <w:szCs w:val="16"/>
        </w:rPr>
        <w:t>8,7</w:t>
      </w:r>
    </w:p>
    <w:p>
      <w:pPr>
        <w:pStyle w:val="style86"/>
        <w:jc w:val="right"/>
      </w:pPr>
      <w:r>
        <w:rPr>
          <w:rFonts w:cs="Arial"/>
          <w:sz w:val="16"/>
          <w:szCs w:val="16"/>
        </w:rPr>
        <w:t>43,0</w:t>
      </w:r>
    </w:p>
    <w:p>
      <w:pPr>
        <w:pStyle w:val="style86"/>
        <w:jc w:val="right"/>
      </w:pPr>
      <w:r>
        <w:rPr>
          <w:rFonts w:cs="Arial"/>
          <w:sz w:val="16"/>
          <w:szCs w:val="16"/>
        </w:rPr>
        <w:t>11,8</w:t>
      </w:r>
    </w:p>
    <w:p>
      <w:pPr>
        <w:pStyle w:val="style86"/>
        <w:jc w:val="right"/>
      </w:pPr>
      <w:r>
        <w:rPr>
          <w:rFonts w:cs="Arial"/>
          <w:sz w:val="16"/>
          <w:szCs w:val="16"/>
        </w:rPr>
        <w:t>7,6</w:t>
      </w:r>
    </w:p>
    <w:p>
      <w:pPr>
        <w:pStyle w:val="style86"/>
        <w:jc w:val="right"/>
      </w:pPr>
      <w:r>
        <w:rPr>
          <w:rFonts w:cs="Arial"/>
          <w:sz w:val="16"/>
          <w:szCs w:val="16"/>
        </w:rPr>
        <w:t>4,3</w:t>
      </w:r>
    </w:p>
    <w:p>
      <w:pPr>
        <w:pStyle w:val="style86"/>
        <w:jc w:val="right"/>
      </w:pPr>
      <w:r>
        <w:rPr>
          <w:rFonts w:cs="Arial"/>
          <w:sz w:val="16"/>
          <w:szCs w:val="16"/>
        </w:rPr>
        <w:t>5,1</w:t>
      </w:r>
    </w:p>
    <w:p>
      <w:pPr>
        <w:pStyle w:val="style86"/>
      </w:pPr>
      <w:r>
        <w:rPr/>
      </w:r>
    </w:p>
    <w:p>
      <w:pPr>
        <w:pStyle w:val="style0"/>
        <w:spacing w:after="120" w:before="0"/>
        <w:contextualSpacing w:val="false"/>
      </w:pPr>
      <w:r>
        <w:rPr>
          <w:rFonts w:cs="Arial"/>
          <w:i/>
          <w:color w:val="00B0F0"/>
          <w:lang w:val="el-GR"/>
        </w:rPr>
        <w:t>(</w:t>
      </w:r>
      <w:r>
        <w:rPr>
          <w:rFonts w:cs="Arial"/>
          <w:i/>
          <w:color w:val="00B0F0"/>
        </w:rPr>
        <w:t>Eurostat, 201</w:t>
      </w:r>
      <w:r>
        <w:rPr>
          <w:rFonts w:cs="Arial"/>
          <w:i/>
          <w:color w:val="00B0F0"/>
          <w:lang w:val="el-GR"/>
        </w:rPr>
        <w:t>5</w:t>
      </w:r>
      <w:r>
        <w:rPr>
          <w:rFonts w:cs="Arial"/>
          <w:i/>
          <w:color w:val="00B0F0"/>
        </w:rPr>
        <w:t>)</w:t>
      </w:r>
    </w:p>
    <w:p>
      <w:pPr>
        <w:pStyle w:val="style0"/>
      </w:pPr>
      <w:r>
        <w:rPr/>
      </w:r>
    </w:p>
    <w:p>
      <w:pPr>
        <w:pStyle w:val="style0"/>
        <w:tabs>
          <w:tab w:leader="none" w:pos="426" w:val="left"/>
        </w:tabs>
        <w:spacing w:after="0" w:before="160" w:line="300" w:lineRule="exact"/>
        <w:contextualSpacing w:val="false"/>
      </w:pPr>
      <w:r>
        <w:rPr>
          <w:rFonts w:cs="Arial"/>
          <w:sz w:val="22"/>
          <w:szCs w:val="22"/>
          <w:lang w:val="el-GR"/>
        </w:rPr>
        <w:t>(έναντι 21% στην ΕΕ-28) έχουν πρόσθετες ανάγκες σε βασικές δεξιότητες Η/Υ, το 18% (έναντι 12% στην ΕΕ-28) σε ανώτερες δεξιότητες Η/Υ, το 48% (έναντι 41% στην ΕΕ-28) σε δεξιότητες διαχείρισης πελατών, το 20% (έναντι 11% στην ΕΕ-28) σε δεξιότητες ξένων γλωσσών, και το 50% (έναντι 46% στην ΕΕ-28) σε δεξιότητες τεχνικού ή πρακτικού χαρακτήρα, ή δεξιότητες που σχετίζονται με τη συγκεκριμένη εργασία. Αντιθέτως, οι ελληνικές επιχειρήσεις φαίνεται να αντιμετωπίζουν μικρότερα σχετικά ελλείμματα σε δεξιότητες διοίκησης ή εργασίας σε ομάδες ή διαχείρισης υπαλληλικού προσωπικού ή γραμματικών/ αριθμητικών δυνατοτήτων (</w:t>
      </w:r>
      <w:r>
        <w:rPr>
          <w:rFonts w:cs="Arial"/>
          <w:b/>
          <w:color w:val="00B0F0"/>
          <w:sz w:val="22"/>
          <w:szCs w:val="22"/>
          <w:lang w:val="el-GR"/>
        </w:rPr>
        <w:t>Δ13</w:t>
      </w:r>
      <w:r>
        <w:rPr>
          <w:rFonts w:cs="Arial"/>
          <w:sz w:val="22"/>
          <w:szCs w:val="22"/>
          <w:lang w:val="el-GR"/>
        </w:rPr>
        <w:t xml:space="preserve">).  </w:t>
      </w:r>
    </w:p>
    <w:p>
      <w:pPr>
        <w:pStyle w:val="style0"/>
      </w:pPr>
      <w:r>
        <w:rPr>
          <w:rFonts w:cs=""/>
          <w:sz w:val="22"/>
          <w:szCs w:val="22"/>
          <w:lang w:val="el-GR"/>
        </w:rPr>
      </w:r>
    </w:p>
    <w:p>
      <w:pPr>
        <w:pStyle w:val="style61"/>
        <w:pageBreakBefore/>
        <w:spacing w:after="0" w:before="160" w:line="300" w:lineRule="exact"/>
        <w:contextualSpacing w:val="false"/>
      </w:pPr>
      <w:r>
        <w:rPr>
          <w:rFonts w:cs="Arial"/>
          <w:color w:val="00000A"/>
          <w:sz w:val="22"/>
          <w:szCs w:val="22"/>
          <w:lang w:val="el-GR"/>
        </w:rPr>
        <w:t xml:space="preserve">Το </w:t>
      </w:r>
      <w:r>
        <w:rPr>
          <w:rFonts w:cs="Arial"/>
          <w:color w:val="00000A"/>
          <w:sz w:val="22"/>
          <w:szCs w:val="22"/>
        </w:rPr>
        <w:t>World</w:t>
      </w:r>
      <w:r>
        <w:rPr>
          <w:rFonts w:cs="Arial"/>
          <w:color w:val="00000A"/>
          <w:sz w:val="22"/>
          <w:szCs w:val="22"/>
          <w:lang w:val="el-GR"/>
        </w:rPr>
        <w:t xml:space="preserve"> </w:t>
      </w:r>
      <w:r>
        <w:rPr>
          <w:rFonts w:cs="Arial"/>
          <w:color w:val="00000A"/>
          <w:sz w:val="22"/>
          <w:szCs w:val="22"/>
        </w:rPr>
        <w:t>Economic</w:t>
      </w:r>
      <w:r>
        <w:rPr>
          <w:rFonts w:cs="Arial"/>
          <w:color w:val="00000A"/>
          <w:sz w:val="22"/>
          <w:szCs w:val="22"/>
          <w:lang w:val="el-GR"/>
        </w:rPr>
        <w:t xml:space="preserve"> </w:t>
      </w:r>
      <w:r>
        <w:rPr>
          <w:rFonts w:cs="Arial"/>
          <w:color w:val="00000A"/>
          <w:sz w:val="22"/>
          <w:szCs w:val="22"/>
        </w:rPr>
        <w:t>Forum</w:t>
      </w:r>
      <w:r>
        <w:rPr>
          <w:rFonts w:cs="Arial"/>
          <w:color w:val="00000A"/>
          <w:sz w:val="22"/>
          <w:szCs w:val="22"/>
          <w:lang w:val="el-GR"/>
        </w:rPr>
        <w:t xml:space="preserve"> (</w:t>
      </w:r>
      <w:hyperlink r:id="rId36">
        <w:r>
          <w:rPr>
            <w:rStyle w:val="style21"/>
            <w:rFonts w:cs="Arial"/>
            <w:color w:val="00000A"/>
            <w:sz w:val="22"/>
            <w:szCs w:val="22"/>
            <w:lang w:val="el-GR"/>
          </w:rPr>
          <w:t>A Global Standard for Lifelong Learning and Worker Engagement to Support Advanced Manufacturing</w:t>
        </w:r>
      </w:hyperlink>
      <w:r>
        <w:rPr>
          <w:rFonts w:cs="Arial"/>
          <w:color w:val="00000A"/>
          <w:sz w:val="22"/>
          <w:szCs w:val="22"/>
          <w:lang w:val="el-GR"/>
        </w:rPr>
        <w:t xml:space="preserve">, Νοέμβριος 2019) πρόσφατα κωδικοποίησε αυτονόητες κατευθυντήριες γραμμές για τη δια βίου μάθηση και την ενεργή συμμετοχή των εργαζομένων στο νέο εργασιακό περιβάλλον που διαμορφώνεται. Καλεί, δε, τις επιχειρήσεις, τα εργατικά συνδικάτα, τους επιχειρησιακούς συνδέσμους και τις κυβερνήσεις να σχεδιάσουν </w:t>
      </w:r>
      <w:r>
        <w:rPr>
          <w:rFonts w:cs="Arial"/>
          <w:b/>
          <w:color w:val="00000A"/>
          <w:sz w:val="22"/>
          <w:szCs w:val="22"/>
          <w:lang w:val="el-GR"/>
        </w:rPr>
        <w:t>μαζί</w:t>
      </w:r>
      <w:r>
        <w:rPr>
          <w:rFonts w:cs="Arial"/>
          <w:color w:val="00000A"/>
          <w:sz w:val="22"/>
          <w:szCs w:val="22"/>
          <w:lang w:val="el-GR"/>
        </w:rPr>
        <w:t xml:space="preserve"> στρατηγικές για το μέλλον της εργασίας που να ικανοποιούν τις παρακάτω αρχές:</w:t>
      </w:r>
    </w:p>
    <w:p>
      <w:pPr>
        <w:pStyle w:val="style69"/>
        <w:numPr>
          <w:ilvl w:val="0"/>
          <w:numId w:val="3"/>
        </w:numPr>
        <w:tabs>
          <w:tab w:leader="none" w:pos="710" w:val="left"/>
        </w:tabs>
        <w:spacing w:after="0" w:before="160" w:line="300" w:lineRule="exact"/>
        <w:ind w:hanging="284" w:left="284" w:right="0"/>
        <w:contextualSpacing w:val="false"/>
      </w:pPr>
      <w:r>
        <w:rPr>
          <w:rFonts w:ascii="Arial" w:cs="Arial" w:hAnsi="Arial"/>
          <w:sz w:val="22"/>
          <w:szCs w:val="22"/>
          <w:lang w:val="el-GR"/>
        </w:rPr>
        <w:t xml:space="preserve">Προετοιμασία των σπουδαστών γυμνασίων, λυκείων και σχολείων τεχνικής και επαγγελματικής εκπαίδευσης, και πανεπιστημίων σε προγράμματα σπουδών και απόκτησης δεξιοτήτων που επιτρέπουν την εργασία τους με τις νέες τεχνολογίες. </w:t>
      </w:r>
    </w:p>
    <w:p>
      <w:pPr>
        <w:pStyle w:val="style69"/>
        <w:numPr>
          <w:ilvl w:val="0"/>
          <w:numId w:val="3"/>
        </w:numPr>
        <w:tabs>
          <w:tab w:leader="none" w:pos="710" w:val="left"/>
        </w:tabs>
        <w:spacing w:after="0" w:before="160" w:line="300" w:lineRule="exact"/>
        <w:ind w:hanging="284" w:left="284" w:right="0"/>
        <w:contextualSpacing w:val="false"/>
      </w:pPr>
      <w:r>
        <w:rPr>
          <w:rFonts w:ascii="Arial" w:cs="Arial" w:hAnsi="Arial"/>
          <w:sz w:val="22"/>
          <w:szCs w:val="22"/>
          <w:lang w:val="el-GR"/>
        </w:rPr>
        <w:t>Παροχή  σε μόνιμη βάση συμβατής κατάρτισης σε όλες τις ειδικότητες εργαζομένων και αυτοαπασχολούμενων.</w:t>
      </w:r>
    </w:p>
    <w:p>
      <w:pPr>
        <w:pStyle w:val="style69"/>
        <w:numPr>
          <w:ilvl w:val="0"/>
          <w:numId w:val="3"/>
        </w:numPr>
        <w:tabs>
          <w:tab w:leader="none" w:pos="710" w:val="left"/>
        </w:tabs>
        <w:spacing w:after="0" w:before="160" w:line="300" w:lineRule="exact"/>
        <w:ind w:hanging="284" w:left="284" w:right="0"/>
        <w:contextualSpacing w:val="false"/>
      </w:pPr>
      <w:r>
        <w:rPr>
          <w:rFonts w:ascii="Arial" w:cs="Arial" w:hAnsi="Arial"/>
          <w:sz w:val="22"/>
          <w:szCs w:val="22"/>
          <w:lang w:val="el-GR"/>
        </w:rPr>
        <w:t xml:space="preserve">Συμμετοχή του κόσμου της εργασίας στη διαμόρφωση των νέων τεχνολογιών και την εφαρμογή τους στο επιχειρησιακό πεδίο. </w:t>
      </w:r>
    </w:p>
    <w:p>
      <w:pPr>
        <w:pStyle w:val="style69"/>
        <w:numPr>
          <w:ilvl w:val="0"/>
          <w:numId w:val="3"/>
        </w:numPr>
        <w:tabs>
          <w:tab w:leader="none" w:pos="710" w:val="left"/>
        </w:tabs>
        <w:spacing w:after="0" w:before="160" w:line="300" w:lineRule="exact"/>
        <w:ind w:hanging="284" w:left="284" w:right="0"/>
        <w:contextualSpacing w:val="false"/>
      </w:pPr>
      <w:r>
        <w:rPr>
          <w:rFonts w:ascii="Arial" w:cs="Arial" w:hAnsi="Arial"/>
          <w:sz w:val="22"/>
          <w:szCs w:val="22"/>
          <w:lang w:val="el-GR"/>
        </w:rPr>
        <w:t>Δυνατότητα επανακατάρτισης στις νέες τεχνολογίες σε ανθρώπους που επανεισέρχονται στο εργατικό δυναμικό μετά από προσωρινή απουσία τους για διάφορους λόγους.</w:t>
      </w:r>
    </w:p>
    <w:p>
      <w:pPr>
        <w:pStyle w:val="style69"/>
        <w:numPr>
          <w:ilvl w:val="0"/>
          <w:numId w:val="3"/>
        </w:numPr>
        <w:tabs>
          <w:tab w:leader="none" w:pos="710" w:val="left"/>
        </w:tabs>
        <w:spacing w:after="0" w:before="160" w:line="300" w:lineRule="exact"/>
        <w:ind w:hanging="284" w:left="284" w:right="0"/>
        <w:contextualSpacing w:val="false"/>
      </w:pPr>
      <w:r>
        <w:rPr>
          <w:rFonts w:ascii="Arial" w:cs="Arial" w:hAnsi="Arial"/>
          <w:sz w:val="22"/>
          <w:szCs w:val="22"/>
          <w:lang w:val="el-GR"/>
        </w:rPr>
        <w:t>Παροχή ευκαιριών επαναδραστηριοποίησης και στήριξης εισοδήματος σε εργαζομένους που εκτοπίζονται από τις νέες τεχνολογίες στην παραγωγική διαδικασία.</w:t>
      </w:r>
    </w:p>
    <w:p>
      <w:pPr>
        <w:pStyle w:val="style69"/>
        <w:numPr>
          <w:ilvl w:val="0"/>
          <w:numId w:val="3"/>
        </w:numPr>
        <w:tabs>
          <w:tab w:leader="none" w:pos="710" w:val="left"/>
        </w:tabs>
        <w:spacing w:after="0" w:before="160" w:line="300" w:lineRule="exact"/>
        <w:ind w:hanging="284" w:left="284" w:right="0"/>
        <w:contextualSpacing w:val="false"/>
      </w:pPr>
      <w:r>
        <w:rPr>
          <w:rFonts w:ascii="Arial" w:cs="Arial" w:hAnsi="Arial"/>
          <w:sz w:val="22"/>
          <w:szCs w:val="22"/>
          <w:lang w:val="el-GR"/>
        </w:rPr>
        <w:t>Μαζική κινητοποίηση οργανισμών απασχόλησης εργατικού δυναμικού, και εξεύρεσης εργασίας, με έμφαση στην αντιστοίχιση δεξιοτήτων με τις αναδυόμενες ευκαιρίες απασχόλησης.</w:t>
      </w:r>
    </w:p>
    <w:p>
      <w:pPr>
        <w:pStyle w:val="style0"/>
        <w:tabs>
          <w:tab w:leader="none" w:pos="426" w:val="left"/>
        </w:tabs>
        <w:spacing w:after="0" w:before="160" w:line="300" w:lineRule="exact"/>
        <w:contextualSpacing w:val="false"/>
      </w:pPr>
      <w:r>
        <w:rPr>
          <w:rFonts w:cs="Arial"/>
          <w:sz w:val="22"/>
          <w:szCs w:val="22"/>
          <w:lang w:val="el-GR"/>
        </w:rPr>
        <w:t xml:space="preserve">Από τα παραπάνω, τεκμαίρεται ότι απαιτείται ενεργή συμμετοχή σε όλα τα επίπεδα, ώστε η μετάβαση στις νέες τεχνολογίες να γίνει όσο το δυνατόν ομαλότερα και με το μικρότερο δυνατό κόστος στους εργαζομένους που ενδεχομένως να επηρεάζονται. Στο πλαίσιο αυτό, κοινωνίες όπως η ελληνική, με όλες τις θεσμικές αδυναμίες συνεργασίας, συνεννόησης και συναίνεσης, φαντάζουν δύσκολο να προσαρμοσθούν με συντεταγμένο τρόπο. Αυτό, βεβαίως, θα έχει κόστος στην ανταγωνιστικότητα της οικονομίας, καθώς, αργά ή γρήγορα, οι ελληνικές επιχειρήσεις θα υστερούν στην προσαρμογή στις νέες τεχνολογίες. Ως εκ τούτου, η πολιτεία θα πρέπει να αδράξει την ευκαιρία να αναβαθμίσει προς την επιθυμητή κατεύθυνση, όσο το δυνατόν γρηγορότερα, το εκπαιδευτικό σύστημα και τα προγράμματα επαγγελματικής κατάρτισης. Υπάρχει, όμως, πεδίο λαμπρόν και για τους κοινωνικούς εταίρους να δραστηριοποιηθούν, και ιδίως τα εργατικά συνδικάτα να παραμερίσουν τις στείρες και αδιέξοδες αντιπαραθέσεις, ώστε να συνεννοηθούν με τις οργανώσεις των εργοδοτών στα θεσμικά ελάχιστα που απαιτούν οι τεχνολογικές προκλήσεις των καιρών. </w:t>
      </w:r>
    </w:p>
    <w:p>
      <w:pPr>
        <w:pStyle w:val="style61"/>
      </w:pPr>
      <w:r>
        <w:rPr>
          <w:rFonts w:cs="Arial"/>
          <w:lang w:val="el-GR"/>
        </w:rPr>
      </w:r>
    </w:p>
    <w:p>
      <w:pPr>
        <w:pStyle w:val="style61"/>
      </w:pPr>
      <w:r>
        <w:rPr/>
        <w:drawing>
          <wp:inline distB="0" distL="0" distR="0" distT="0">
            <wp:extent cx="1896745" cy="67945"/>
            <wp:effectExtent b="0" l="0" r="0" t="0"/>
            <wp:docPr descr="" id="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0" name="Picture"/>
                    <pic:cNvPicPr>
                      <a:picLocks noChangeArrowheads="1" noChangeAspect="1"/>
                    </pic:cNvPicPr>
                  </pic:nvPicPr>
                  <pic:blipFill>
                    <a:blip r:embed="rId37"/>
                    <a:srcRect/>
                    <a:stretch>
                      <a:fillRect/>
                    </a:stretch>
                  </pic:blipFill>
                  <pic:spPr bwMode="auto">
                    <a:xfrm>
                      <a:off x="0" y="0"/>
                      <a:ext cx="1896745" cy="67945"/>
                    </a:xfrm>
                    <a:prstGeom prst="rect">
                      <a:avLst/>
                    </a:prstGeom>
                    <a:noFill/>
                    <a:ln w="9525">
                      <a:noFill/>
                      <a:miter lim="800000"/>
                      <a:headEnd/>
                      <a:tailEnd/>
                    </a:ln>
                  </pic:spPr>
                </pic:pic>
              </a:graphicData>
            </a:graphic>
          </wp:inline>
        </w:drawing>
      </w:r>
    </w:p>
    <w:p>
      <w:pPr>
        <w:pStyle w:val="style61"/>
      </w:pPr>
      <w:r>
        <w:rPr>
          <w:rFonts w:cs="Arial"/>
          <w:lang w:val="el-GR"/>
        </w:rPr>
        <w:t xml:space="preserve">Στην Ελλάδα το 2018, μόνο το 6,3% των εργαζομένων ηλικίας 18-64 ετών συμμετείχαν σε προγράμματα εκπαίδευσης και κατάρτισης, έναντι 14,8% στην ΕΕ-28. Από το σύνολο των εργαζομένων που εκπαιδεύονται και καταρτίζονται, το 62% είναι χαμηλών και μεσαίων δεξιοτήτων και το 38% υψηλών δεξιοτήτων. Στους κλάδους δε, όπου η δυνητική αντικατάσταση εργαζομένων σε απόλυτα μεγέθη είναι μεγάλη, όπως στο εμπόριο, τη γεωργία και τη μεταποίηση, τα ποσοστά εργαζομένων που εκπαιδεύονται και καταρτίζονται είναι ακόμη χαμηλότερα. </w:t>
      </w:r>
    </w:p>
    <w:p>
      <w:pPr>
        <w:pStyle w:val="style61"/>
      </w:pPr>
      <w:r>
        <w:rPr/>
        <w:drawing>
          <wp:inline distB="0" distL="0" distR="0" distT="0">
            <wp:extent cx="1896745" cy="67945"/>
            <wp:effectExtent b="0" l="0" r="0" t="0"/>
            <wp:docPr descr="" id="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1" name="Picture"/>
                    <pic:cNvPicPr>
                      <a:picLocks noChangeArrowheads="1" noChangeAspect="1"/>
                    </pic:cNvPicPr>
                  </pic:nvPicPr>
                  <pic:blipFill>
                    <a:blip r:embed="rId38"/>
                    <a:srcRect/>
                    <a:stretch>
                      <a:fillRect/>
                    </a:stretch>
                  </pic:blipFill>
                  <pic:spPr bwMode="auto">
                    <a:xfrm>
                      <a:off x="0" y="0"/>
                      <a:ext cx="1896745" cy="67945"/>
                    </a:xfrm>
                    <a:prstGeom prst="rect">
                      <a:avLst/>
                    </a:prstGeom>
                    <a:noFill/>
                    <a:ln w="9525">
                      <a:noFill/>
                      <a:miter lim="800000"/>
                      <a:headEnd/>
                      <a:tailEnd/>
                    </a:ln>
                  </pic:spPr>
                </pic:pic>
              </a:graphicData>
            </a:graphic>
          </wp:inline>
        </w:drawing>
      </w:r>
    </w:p>
    <w:p>
      <w:pPr>
        <w:pStyle w:val="style0"/>
      </w:pPr>
      <w:r>
        <w:rPr>
          <w:rFonts w:cs=""/>
          <w:b/>
          <w:color w:val="00AEEF"/>
          <w:sz w:val="28"/>
          <w:szCs w:val="28"/>
          <w:lang w:val="el-GR"/>
        </w:rPr>
      </w:r>
    </w:p>
    <w:p>
      <w:pPr>
        <w:pStyle w:val="style0"/>
        <w:pageBreakBefore/>
        <w:spacing w:after="0" w:before="160" w:line="300" w:lineRule="exact"/>
        <w:contextualSpacing w:val="false"/>
      </w:pPr>
      <w:r>
        <w:rPr>
          <w:rFonts w:cs=""/>
          <w:b/>
          <w:color w:val="00AEEF"/>
          <w:sz w:val="28"/>
          <w:szCs w:val="28"/>
          <w:lang w:val="el-GR"/>
        </w:rPr>
        <w:t>Οικονομικές εξελίξεις</w:t>
      </w:r>
    </w:p>
    <w:p>
      <w:pPr>
        <w:pStyle w:val="style0"/>
        <w:spacing w:after="0" w:before="160" w:line="300" w:lineRule="exact"/>
        <w:contextualSpacing w:val="false"/>
      </w:pPr>
      <w:r>
        <w:rPr>
          <w:rFonts w:cs="Arial"/>
          <w:b/>
          <w:color w:val="00AEEF"/>
          <w:sz w:val="22"/>
          <w:szCs w:val="22"/>
          <w:lang w:val="el-GR"/>
        </w:rPr>
      </w:r>
    </w:p>
    <w:p>
      <w:pPr>
        <w:pStyle w:val="style0"/>
        <w:spacing w:after="0" w:before="160" w:line="300" w:lineRule="exact"/>
        <w:contextualSpacing w:val="false"/>
      </w:pPr>
      <w:r>
        <w:rPr>
          <w:rFonts w:cs="Arial"/>
          <w:b/>
          <w:color w:val="00AEEF"/>
          <w:sz w:val="22"/>
          <w:szCs w:val="22"/>
          <w:lang w:val="el-GR"/>
        </w:rPr>
        <w:t xml:space="preserve">Μεταποίηση: </w:t>
      </w:r>
      <w:r>
        <w:rPr>
          <w:rFonts w:cs="Arial"/>
          <w:sz w:val="22"/>
          <w:szCs w:val="22"/>
          <w:lang w:val="el-GR"/>
        </w:rPr>
        <w:t>Αύξηση +7,2% σημείωσε ο κύκλος εργασιών στη μεταποίηση πλην πετρελαιοειδών τον Σεπτέμβριο του 2019, παραμένοντας σε θετικό έδαφος για 6</w:t>
      </w:r>
      <w:r>
        <w:rPr>
          <w:rFonts w:cs="Arial"/>
          <w:sz w:val="22"/>
          <w:szCs w:val="22"/>
          <w:vertAlign w:val="superscript"/>
          <w:lang w:val="el-GR"/>
        </w:rPr>
        <w:t>ο</w:t>
      </w:r>
      <w:r>
        <w:rPr>
          <w:rFonts w:cs="Arial"/>
          <w:sz w:val="22"/>
          <w:szCs w:val="22"/>
          <w:lang w:val="el-GR"/>
        </w:rPr>
        <w:t xml:space="preserve"> συνεχόμενο μήνα και με τον ρυθμό ανόδου να παρουσιάζει επιτάχυνση σε σύγκριση με τους προηγούμενους μήνες. Η άνοδος των πωλήσεων στη μεταποίηση πλην πετρελαιοειδών οφείλεται κυρίως στην αυξητική πορεία του κύκλου εργασιών στην εγχώρια αγορά (+9,1%), ενώ και στην εξωτερική αγορά οι πωλήσεις κινούνται θετικά (+4,3%, </w:t>
      </w:r>
      <w:r>
        <w:rPr>
          <w:rFonts w:cs="Arial"/>
          <w:b/>
          <w:color w:val="00B0F0"/>
          <w:sz w:val="22"/>
          <w:szCs w:val="22"/>
          <w:lang w:val="el-GR"/>
        </w:rPr>
        <w:t>Δ14</w:t>
      </w:r>
      <w:r>
        <w:rPr>
          <w:rFonts w:cs="Arial"/>
          <w:sz w:val="22"/>
          <w:szCs w:val="22"/>
          <w:lang w:val="el-GR"/>
        </w:rPr>
        <w:t xml:space="preserve">). Σημειώνεται ότι οι επιχειρηματικές προσδοκίες στη βιομηχανία κινούνται θετικά, ενώ τον Οκτώβριο του 2019 καταγράφεται οριακή βελτίωση στο ισοζύγιο θετικών – εκτιμήσεων, παρά τις αντίθετες τάσεις στην Ευρώπη. </w:t>
      </w:r>
    </w:p>
    <w:tbl>
      <w:tblPr>
        <w:jc w:val="left"/>
        <w:tblInd w:type="dxa" w:w="-108"/>
        <w:tblBorders>
          <w:top w:color="00B0F0" w:space="0" w:sz="4" w:val="single"/>
          <w:left w:color="00B0F0" w:space="0" w:sz="4" w:val="single"/>
          <w:bottom w:color="4BACC6" w:space="0" w:sz="4" w:val="single"/>
          <w:right w:color="00B0F0" w:space="0" w:sz="4" w:val="single"/>
        </w:tblBorders>
      </w:tblPr>
      <w:tblGrid>
        <w:gridCol w:w="4389"/>
        <w:gridCol w:w="1912"/>
        <w:gridCol w:w="1916"/>
      </w:tblGrid>
      <w:tr>
        <w:trPr>
          <w:trHeight w:hRule="atLeast" w:val="198"/>
          <w:cantSplit w:val="false"/>
        </w:trPr>
        <w:tc>
          <w:tcPr>
            <w:tcW w:type="dxa" w:w="4389"/>
            <w:tcBorders>
              <w:top w:color="00B0F0" w:space="0" w:sz="4" w:val="single"/>
              <w:left w:color="00B0F0" w:space="0" w:sz="4" w:val="single"/>
              <w:bottom w:color="4BACC6" w:space="0" w:sz="4" w:val="single"/>
              <w:right w:color="00B0F0" w:space="0" w:sz="4" w:val="single"/>
            </w:tcBorders>
            <w:shd w:fill="0070C0" w:val="clear"/>
            <w:tcMar>
              <w:top w:type="dxa" w:w="0"/>
              <w:left w:type="dxa" w:w="108"/>
              <w:bottom w:type="dxa" w:w="0"/>
              <w:right w:type="dxa" w:w="108"/>
            </w:tcMar>
          </w:tcPr>
          <w:p>
            <w:pPr>
              <w:pStyle w:val="style0"/>
            </w:pPr>
            <w:r>
              <w:rPr>
                <w:rFonts w:cs="Cambria"/>
                <w:b/>
                <w:bCs/>
                <w:color w:val="FFFFFF"/>
                <w:sz w:val="22"/>
                <w:szCs w:val="22"/>
                <w:lang w:val="el-GR"/>
              </w:rPr>
            </w:r>
          </w:p>
        </w:tc>
        <w:tc>
          <w:tcPr>
            <w:tcW w:type="dxa" w:w="1912"/>
            <w:gridSpan w:val="2"/>
            <w:tcBorders>
              <w:top w:color="00B0F0" w:space="0" w:sz="4" w:val="single"/>
              <w:left w:color="00B0F0" w:space="0" w:sz="4" w:val="single"/>
              <w:bottom w:color="4BACC6" w:space="0" w:sz="4" w:val="single"/>
              <w:right w:color="00B0F0" w:space="0" w:sz="4" w:val="single"/>
            </w:tcBorders>
            <w:shd w:fill="0070C0" w:val="clear"/>
            <w:tcMar>
              <w:top w:type="dxa" w:w="0"/>
              <w:left w:type="dxa" w:w="108"/>
              <w:bottom w:type="dxa" w:w="0"/>
              <w:right w:type="dxa" w:w="108"/>
            </w:tcMar>
          </w:tcPr>
          <w:p>
            <w:pPr>
              <w:pStyle w:val="style0"/>
              <w:jc w:val="center"/>
            </w:pPr>
            <w:r>
              <w:rPr>
                <w:rFonts w:cs="Cambria"/>
                <w:b/>
                <w:bCs/>
                <w:color w:val="FFFFFF"/>
                <w:sz w:val="22"/>
                <w:szCs w:val="22"/>
                <w:lang w:val="el-GR"/>
              </w:rPr>
              <w:t>Σεπτέμβριος</w:t>
            </w:r>
          </w:p>
        </w:tc>
        <w:tc>
          <w:tcPr>
            <w:tcW w:type="dxa" w:w="1916"/>
            <w:gridSpan w:val="2"/>
            <w:tcBorders>
              <w:top w:color="00B0F0" w:space="0" w:sz="4" w:val="single"/>
              <w:left w:color="00B0F0" w:space="0" w:sz="4" w:val="single"/>
              <w:bottom w:color="4BACC6" w:space="0" w:sz="4" w:val="single"/>
              <w:right w:color="00B0F0" w:space="0" w:sz="4" w:val="single"/>
            </w:tcBorders>
            <w:shd w:fill="0070C0" w:val="clear"/>
            <w:tcMar>
              <w:top w:type="dxa" w:w="0"/>
              <w:left w:type="dxa" w:w="108"/>
              <w:bottom w:type="dxa" w:w="0"/>
              <w:right w:type="dxa" w:w="108"/>
            </w:tcMar>
          </w:tcPr>
          <w:p>
            <w:pPr>
              <w:pStyle w:val="style0"/>
              <w:jc w:val="center"/>
            </w:pPr>
            <w:r>
              <w:rPr>
                <w:rFonts w:cs="Cambria"/>
                <w:b/>
                <w:bCs/>
                <w:color w:val="FFFFFF"/>
                <w:sz w:val="22"/>
                <w:szCs w:val="22"/>
                <w:lang w:val="el-GR"/>
              </w:rPr>
              <w:t>Ιαν – Σεπ</w:t>
            </w:r>
          </w:p>
        </w:tc>
      </w:tr>
      <w:tr>
        <w:trPr>
          <w:trHeight w:hRule="atLeast" w:val="198"/>
          <w:cantSplit w:val="false"/>
        </w:trPr>
        <w:tc>
          <w:tcPr>
            <w:tcW w:type="dxa" w:w="4389"/>
            <w:tcBorders>
              <w:top w:color="4BACC6" w:space="0" w:sz="4" w:val="single"/>
              <w:left w:color="00B0F0" w:space="0" w:sz="4" w:val="single"/>
              <w:bottom w:color="00B0F0" w:space="0" w:sz="4" w:val="single"/>
              <w:right w:color="00B0F0" w:space="0" w:sz="4" w:val="single"/>
            </w:tcBorders>
            <w:shd w:fill="0070C0" w:val="clear"/>
            <w:tcMar>
              <w:top w:type="dxa" w:w="0"/>
              <w:left w:type="dxa" w:w="108"/>
              <w:bottom w:type="dxa" w:w="0"/>
              <w:right w:type="dxa" w:w="108"/>
            </w:tcMar>
          </w:tcPr>
          <w:p>
            <w:pPr>
              <w:pStyle w:val="style0"/>
              <w:jc w:val="center"/>
            </w:pPr>
            <w:r>
              <w:rPr>
                <w:rFonts w:cs="Cambria"/>
                <w:b/>
                <w:bCs/>
                <w:color w:val="FFFFFF"/>
                <w:sz w:val="22"/>
                <w:szCs w:val="22"/>
              </w:rPr>
            </w:r>
          </w:p>
        </w:tc>
        <w:tc>
          <w:tcPr>
            <w:tcW w:type="dxa" w:w="956"/>
            <w:tcBorders>
              <w:top w:color="4BACC6" w:space="0" w:sz="4" w:val="single"/>
              <w:left w:color="00B0F0" w:space="0" w:sz="4" w:val="single"/>
              <w:bottom w:color="00B0F0" w:space="0" w:sz="4" w:val="single"/>
            </w:tcBorders>
            <w:shd w:fill="0070C0" w:val="clear"/>
            <w:tcMar>
              <w:top w:type="dxa" w:w="0"/>
              <w:left w:type="dxa" w:w="108"/>
              <w:bottom w:type="dxa" w:w="0"/>
              <w:right w:type="dxa" w:w="108"/>
            </w:tcMar>
          </w:tcPr>
          <w:p>
            <w:pPr>
              <w:pStyle w:val="style0"/>
              <w:jc w:val="right"/>
            </w:pPr>
            <w:r>
              <w:rPr>
                <w:rFonts w:cs="Cambria"/>
                <w:b/>
                <w:color w:val="FFFFFF"/>
                <w:sz w:val="22"/>
                <w:szCs w:val="22"/>
              </w:rPr>
              <w:t>201</w:t>
            </w:r>
            <w:r>
              <w:rPr>
                <w:rFonts w:cs="Cambria"/>
                <w:b/>
                <w:color w:val="FFFFFF"/>
                <w:sz w:val="22"/>
                <w:szCs w:val="22"/>
                <w:lang w:val="el-GR"/>
              </w:rPr>
              <w:t>8</w:t>
            </w:r>
          </w:p>
        </w:tc>
        <w:tc>
          <w:tcPr>
            <w:tcW w:type="dxa" w:w="956"/>
            <w:tcBorders>
              <w:top w:color="4BACC6" w:space="0" w:sz="4" w:val="single"/>
              <w:bottom w:color="00B0F0" w:space="0" w:sz="4" w:val="single"/>
              <w:right w:color="00B0F0" w:space="0" w:sz="4" w:val="single"/>
            </w:tcBorders>
            <w:shd w:fill="0070C0" w:val="clear"/>
            <w:tcMar>
              <w:top w:type="dxa" w:w="0"/>
              <w:left w:type="dxa" w:w="108"/>
              <w:bottom w:type="dxa" w:w="0"/>
              <w:right w:type="dxa" w:w="108"/>
            </w:tcMar>
          </w:tcPr>
          <w:p>
            <w:pPr>
              <w:pStyle w:val="style0"/>
              <w:jc w:val="right"/>
            </w:pPr>
            <w:r>
              <w:rPr>
                <w:rFonts w:cs="Cambria"/>
                <w:b/>
                <w:color w:val="FFFFFF"/>
                <w:sz w:val="22"/>
                <w:szCs w:val="22"/>
              </w:rPr>
              <w:t>201</w:t>
            </w:r>
            <w:r>
              <w:rPr>
                <w:rFonts w:cs="Cambria"/>
                <w:b/>
                <w:color w:val="FFFFFF"/>
                <w:sz w:val="22"/>
                <w:szCs w:val="22"/>
                <w:lang w:val="el-GR"/>
              </w:rPr>
              <w:t>9</w:t>
            </w:r>
          </w:p>
        </w:tc>
        <w:tc>
          <w:tcPr>
            <w:tcW w:type="dxa" w:w="957"/>
            <w:tcBorders>
              <w:top w:color="4BACC6" w:space="0" w:sz="4" w:val="single"/>
              <w:left w:color="00B0F0" w:space="0" w:sz="4" w:val="single"/>
              <w:bottom w:color="00B0F0" w:space="0" w:sz="4" w:val="single"/>
            </w:tcBorders>
            <w:shd w:fill="0070C0" w:val="clear"/>
            <w:tcMar>
              <w:top w:type="dxa" w:w="0"/>
              <w:left w:type="dxa" w:w="108"/>
              <w:bottom w:type="dxa" w:w="0"/>
              <w:right w:type="dxa" w:w="108"/>
            </w:tcMar>
          </w:tcPr>
          <w:p>
            <w:pPr>
              <w:pStyle w:val="style0"/>
              <w:jc w:val="right"/>
            </w:pPr>
            <w:r>
              <w:rPr>
                <w:rFonts w:cs="Cambria"/>
                <w:b/>
                <w:color w:val="FFFFFF"/>
                <w:sz w:val="22"/>
                <w:szCs w:val="22"/>
              </w:rPr>
              <w:t>201</w:t>
            </w:r>
            <w:r>
              <w:rPr>
                <w:rFonts w:cs="Cambria"/>
                <w:b/>
                <w:color w:val="FFFFFF"/>
                <w:sz w:val="22"/>
                <w:szCs w:val="22"/>
                <w:lang w:val="el-GR"/>
              </w:rPr>
              <w:t>8</w:t>
            </w:r>
          </w:p>
        </w:tc>
        <w:tc>
          <w:tcPr>
            <w:tcW w:type="dxa" w:w="959"/>
            <w:tcBorders>
              <w:top w:color="4BACC6" w:space="0" w:sz="4" w:val="single"/>
              <w:bottom w:color="00B0F0" w:space="0" w:sz="4" w:val="single"/>
              <w:right w:color="00B0F0" w:space="0" w:sz="4" w:val="single"/>
            </w:tcBorders>
            <w:shd w:fill="0070C0" w:val="clear"/>
            <w:tcMar>
              <w:top w:type="dxa" w:w="0"/>
              <w:left w:type="dxa" w:w="108"/>
              <w:bottom w:type="dxa" w:w="0"/>
              <w:right w:type="dxa" w:w="108"/>
            </w:tcMar>
          </w:tcPr>
          <w:p>
            <w:pPr>
              <w:pStyle w:val="style0"/>
              <w:jc w:val="right"/>
            </w:pPr>
            <w:r>
              <w:rPr>
                <w:rFonts w:cs="Cambria"/>
                <w:b/>
                <w:color w:val="FFFFFF"/>
                <w:sz w:val="22"/>
                <w:szCs w:val="22"/>
              </w:rPr>
              <w:t>201</w:t>
            </w:r>
            <w:r>
              <w:rPr>
                <w:rFonts w:cs="Cambria"/>
                <w:b/>
                <w:color w:val="FFFFFF"/>
                <w:sz w:val="22"/>
                <w:szCs w:val="22"/>
                <w:lang w:val="el-GR"/>
              </w:rPr>
              <w:t>9</w:t>
            </w:r>
          </w:p>
        </w:tc>
      </w:tr>
      <w:tr>
        <w:trPr>
          <w:trHeight w:hRule="atLeast" w:val="198"/>
          <w:cantSplit w:val="false"/>
        </w:trPr>
        <w:tc>
          <w:tcPr>
            <w:tcW w:type="dxa" w:w="4389"/>
            <w:tcBorders>
              <w:top w:color="00B0F0" w:space="0" w:sz="4" w:val="single"/>
              <w:left w:color="00B0F0" w:space="0" w:sz="4" w:val="single"/>
              <w:bottom w:color="00B0F0" w:space="0" w:sz="4" w:val="single"/>
              <w:right w:color="00B0F0" w:space="0" w:sz="4" w:val="single"/>
            </w:tcBorders>
            <w:shd w:fill="auto" w:val="clear"/>
            <w:tcMar>
              <w:top w:type="dxa" w:w="0"/>
              <w:left w:type="dxa" w:w="108"/>
              <w:bottom w:type="dxa" w:w="0"/>
              <w:right w:type="dxa" w:w="108"/>
            </w:tcMar>
            <w:vAlign w:val="center"/>
          </w:tcPr>
          <w:p>
            <w:pPr>
              <w:pStyle w:val="style0"/>
            </w:pPr>
            <w:r>
              <w:rPr>
                <w:rFonts w:cs="Cambria"/>
                <w:b/>
                <w:bCs/>
                <w:color w:val="000000"/>
                <w:sz w:val="22"/>
                <w:szCs w:val="22"/>
              </w:rPr>
              <w:t>Γενικός δείκτης</w:t>
            </w:r>
          </w:p>
        </w:tc>
        <w:tc>
          <w:tcPr>
            <w:tcW w:type="dxa" w:w="956"/>
            <w:tcBorders>
              <w:top w:color="00B0F0" w:space="0" w:sz="4" w:val="single"/>
              <w:left w:color="00B0F0" w:space="0" w:sz="4" w:val="single"/>
              <w:bottom w:color="00B0F0" w:space="0" w:sz="4" w:val="single"/>
            </w:tcBorders>
            <w:shd w:fill="auto" w:val="clear"/>
            <w:tcMar>
              <w:top w:type="dxa" w:w="0"/>
              <w:left w:type="dxa" w:w="108"/>
              <w:bottom w:type="dxa" w:w="0"/>
              <w:right w:type="dxa" w:w="108"/>
            </w:tcMar>
            <w:vAlign w:val="center"/>
          </w:tcPr>
          <w:p>
            <w:pPr>
              <w:pStyle w:val="style0"/>
              <w:jc w:val="right"/>
            </w:pPr>
            <w:r>
              <w:rPr>
                <w:rFonts w:cs="Cambria"/>
                <w:b/>
                <w:color w:val="000000"/>
                <w:sz w:val="22"/>
                <w:szCs w:val="22"/>
              </w:rPr>
              <w:t>10,0%</w:t>
            </w:r>
          </w:p>
        </w:tc>
        <w:tc>
          <w:tcPr>
            <w:tcW w:type="dxa" w:w="956"/>
            <w:tcBorders>
              <w:top w:color="00B0F0" w:space="0" w:sz="4" w:val="single"/>
              <w:bottom w:color="00B0F0" w:space="0" w:sz="4" w:val="single"/>
              <w:right w:color="00B0F0" w:space="0" w:sz="4" w:val="single"/>
            </w:tcBorders>
            <w:shd w:fill="auto" w:val="clear"/>
            <w:tcMar>
              <w:top w:type="dxa" w:w="0"/>
              <w:left w:type="dxa" w:w="108"/>
              <w:bottom w:type="dxa" w:w="0"/>
              <w:right w:type="dxa" w:w="108"/>
            </w:tcMar>
            <w:vAlign w:val="center"/>
          </w:tcPr>
          <w:p>
            <w:pPr>
              <w:pStyle w:val="style0"/>
              <w:jc w:val="right"/>
            </w:pPr>
            <w:r>
              <w:rPr>
                <w:rFonts w:cs="Cambria"/>
                <w:b/>
                <w:color w:val="000000"/>
                <w:sz w:val="22"/>
                <w:szCs w:val="22"/>
              </w:rPr>
              <w:t>-0,5%</w:t>
            </w:r>
          </w:p>
        </w:tc>
        <w:tc>
          <w:tcPr>
            <w:tcW w:type="dxa" w:w="957"/>
            <w:tcBorders>
              <w:top w:color="00B0F0" w:space="0" w:sz="4" w:val="single"/>
              <w:left w:color="00B0F0" w:space="0" w:sz="4" w:val="single"/>
              <w:bottom w:color="00B0F0" w:space="0" w:sz="4" w:val="single"/>
            </w:tcBorders>
            <w:shd w:fill="auto" w:val="clear"/>
            <w:tcMar>
              <w:top w:type="dxa" w:w="0"/>
              <w:left w:type="dxa" w:w="108"/>
              <w:bottom w:type="dxa" w:w="0"/>
              <w:right w:type="dxa" w:w="108"/>
            </w:tcMar>
            <w:vAlign w:val="center"/>
          </w:tcPr>
          <w:p>
            <w:pPr>
              <w:pStyle w:val="style0"/>
              <w:jc w:val="right"/>
            </w:pPr>
            <w:r>
              <w:rPr>
                <w:rFonts w:cs="Cambria"/>
                <w:b/>
                <w:color w:val="000000"/>
                <w:sz w:val="22"/>
                <w:szCs w:val="22"/>
              </w:rPr>
              <w:t>10,5%</w:t>
            </w:r>
          </w:p>
        </w:tc>
        <w:tc>
          <w:tcPr>
            <w:tcW w:type="dxa" w:w="959"/>
            <w:tcBorders>
              <w:top w:color="00B0F0" w:space="0" w:sz="4" w:val="single"/>
              <w:bottom w:color="00B0F0" w:space="0" w:sz="4" w:val="single"/>
              <w:right w:color="00B0F0" w:space="0" w:sz="4" w:val="single"/>
            </w:tcBorders>
            <w:shd w:fill="auto" w:val="clear"/>
            <w:tcMar>
              <w:top w:type="dxa" w:w="0"/>
              <w:left w:type="dxa" w:w="108"/>
              <w:bottom w:type="dxa" w:w="0"/>
              <w:right w:type="dxa" w:w="108"/>
            </w:tcMar>
            <w:vAlign w:val="center"/>
          </w:tcPr>
          <w:p>
            <w:pPr>
              <w:pStyle w:val="style0"/>
              <w:jc w:val="right"/>
            </w:pPr>
            <w:r>
              <w:rPr>
                <w:rFonts w:cs="Cambria"/>
                <w:b/>
                <w:color w:val="000000"/>
                <w:sz w:val="22"/>
                <w:szCs w:val="22"/>
              </w:rPr>
              <w:t>0,1%</w:t>
            </w:r>
          </w:p>
        </w:tc>
      </w:tr>
      <w:tr>
        <w:trPr>
          <w:trHeight w:hRule="atLeast" w:val="198"/>
          <w:cantSplit w:val="false"/>
        </w:trPr>
        <w:tc>
          <w:tcPr>
            <w:tcW w:type="dxa" w:w="4389"/>
            <w:tcBorders>
              <w:top w:color="00B0F0" w:space="0" w:sz="4" w:val="single"/>
              <w:left w:color="00B0F0" w:space="0" w:sz="4" w:val="single"/>
              <w:right w:color="00B0F0" w:space="0" w:sz="4" w:val="single"/>
            </w:tcBorders>
            <w:shd w:fill="DAEEF3" w:val="clear"/>
            <w:tcMar>
              <w:top w:type="dxa" w:w="0"/>
              <w:left w:type="dxa" w:w="108"/>
              <w:bottom w:type="dxa" w:w="0"/>
              <w:right w:type="dxa" w:w="108"/>
            </w:tcMar>
            <w:vAlign w:val="center"/>
          </w:tcPr>
          <w:p>
            <w:pPr>
              <w:pStyle w:val="style0"/>
            </w:pPr>
            <w:r>
              <w:rPr>
                <w:rFonts w:cs="Cambria"/>
                <w:b/>
                <w:bCs/>
                <w:color w:val="000000"/>
                <w:sz w:val="22"/>
                <w:szCs w:val="22"/>
              </w:rPr>
              <w:t>Ορυχεία</w:t>
            </w:r>
          </w:p>
        </w:tc>
        <w:tc>
          <w:tcPr>
            <w:tcW w:type="dxa" w:w="956"/>
            <w:tcBorders>
              <w:top w:color="00B0F0" w:space="0" w:sz="4" w:val="single"/>
              <w:lef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-19,6%</w:t>
            </w:r>
          </w:p>
        </w:tc>
        <w:tc>
          <w:tcPr>
            <w:tcW w:type="dxa" w:w="956"/>
            <w:tcBorders>
              <w:top w:color="00B0F0" w:space="0" w:sz="4" w:val="single"/>
              <w:righ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13,7%</w:t>
            </w:r>
          </w:p>
        </w:tc>
        <w:tc>
          <w:tcPr>
            <w:tcW w:type="dxa" w:w="957"/>
            <w:tcBorders>
              <w:top w:color="00B0F0" w:space="0" w:sz="4" w:val="single"/>
              <w:lef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8,7%</w:t>
            </w:r>
          </w:p>
        </w:tc>
        <w:tc>
          <w:tcPr>
            <w:tcW w:type="dxa" w:w="959"/>
            <w:tcBorders>
              <w:top w:color="00B0F0" w:space="0" w:sz="4" w:val="single"/>
              <w:righ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-3,1%</w:t>
            </w:r>
          </w:p>
        </w:tc>
      </w:tr>
      <w:tr>
        <w:trPr>
          <w:trHeight w:hRule="atLeast" w:val="198"/>
          <w:cantSplit w:val="false"/>
        </w:trPr>
        <w:tc>
          <w:tcPr>
            <w:tcW w:type="dxa" w:w="4389"/>
            <w:tcBorders>
              <w:left w:color="00B0F0" w:space="0" w:sz="4" w:val="single"/>
              <w:right w:color="00B0F0" w:space="0" w:sz="4" w:val="single"/>
            </w:tcBorders>
            <w:shd w:fill="auto" w:val="clear"/>
            <w:tcMar>
              <w:top w:type="dxa" w:w="0"/>
              <w:left w:type="dxa" w:w="108"/>
              <w:bottom w:type="dxa" w:w="0"/>
              <w:right w:type="dxa" w:w="108"/>
            </w:tcMar>
            <w:vAlign w:val="center"/>
          </w:tcPr>
          <w:p>
            <w:pPr>
              <w:pStyle w:val="style0"/>
            </w:pPr>
            <w:r>
              <w:rPr>
                <w:rFonts w:cs="Cambria"/>
                <w:b/>
                <w:bCs/>
                <w:color w:val="000000"/>
                <w:sz w:val="22"/>
                <w:szCs w:val="22"/>
              </w:rPr>
              <w:t>Μεταποίηση</w:t>
            </w:r>
          </w:p>
        </w:tc>
        <w:tc>
          <w:tcPr>
            <w:tcW w:type="dxa" w:w="956"/>
            <w:tcBorders>
              <w:lef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10,5%</w:t>
            </w:r>
          </w:p>
        </w:tc>
        <w:tc>
          <w:tcPr>
            <w:tcW w:type="dxa" w:w="956"/>
            <w:tcBorders>
              <w:righ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-0,6%</w:t>
            </w:r>
          </w:p>
        </w:tc>
        <w:tc>
          <w:tcPr>
            <w:tcW w:type="dxa" w:w="957"/>
            <w:tcBorders>
              <w:lef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10,5%</w:t>
            </w:r>
          </w:p>
        </w:tc>
        <w:tc>
          <w:tcPr>
            <w:tcW w:type="dxa" w:w="959"/>
            <w:tcBorders>
              <w:righ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0,2%</w:t>
            </w:r>
          </w:p>
        </w:tc>
      </w:tr>
      <w:tr>
        <w:trPr>
          <w:trHeight w:hRule="atLeast" w:val="198"/>
          <w:cantSplit w:val="false"/>
        </w:trPr>
        <w:tc>
          <w:tcPr>
            <w:tcW w:type="dxa" w:w="4389"/>
            <w:tcBorders>
              <w:left w:color="00B0F0" w:space="0" w:sz="4" w:val="single"/>
              <w:bottom w:color="00B0F0" w:space="0" w:sz="4" w:val="single"/>
              <w:right w:color="00B0F0" w:space="0" w:sz="4" w:val="single"/>
            </w:tcBorders>
            <w:shd w:fill="DAEEF3" w:val="clear"/>
            <w:tcMar>
              <w:top w:type="dxa" w:w="0"/>
              <w:left w:type="dxa" w:w="108"/>
              <w:bottom w:type="dxa" w:w="0"/>
              <w:right w:type="dxa" w:w="108"/>
            </w:tcMar>
            <w:vAlign w:val="center"/>
          </w:tcPr>
          <w:p>
            <w:pPr>
              <w:pStyle w:val="style0"/>
            </w:pPr>
            <w:r>
              <w:rPr>
                <w:rFonts w:cs="Cambria"/>
                <w:b/>
                <w:bCs/>
                <w:color w:val="000000"/>
                <w:sz w:val="22"/>
                <w:szCs w:val="22"/>
                <w:lang w:val="el-GR"/>
              </w:rPr>
              <w:t>Πετρελαιοειδή</w:t>
            </w:r>
          </w:p>
        </w:tc>
        <w:tc>
          <w:tcPr>
            <w:tcW w:type="dxa" w:w="956"/>
            <w:tcBorders>
              <w:left w:color="00B0F0" w:space="0" w:sz="4" w:val="single"/>
              <w:bottom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37,4%</w:t>
            </w:r>
          </w:p>
        </w:tc>
        <w:tc>
          <w:tcPr>
            <w:tcW w:type="dxa" w:w="956"/>
            <w:tcBorders>
              <w:bottom w:color="00B0F0" w:space="0" w:sz="4" w:val="single"/>
              <w:righ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-11,6%</w:t>
            </w:r>
          </w:p>
        </w:tc>
        <w:tc>
          <w:tcPr>
            <w:tcW w:type="dxa" w:w="957"/>
            <w:tcBorders>
              <w:left w:color="00B0F0" w:space="0" w:sz="4" w:val="single"/>
              <w:bottom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24,2%</w:t>
            </w:r>
          </w:p>
        </w:tc>
        <w:tc>
          <w:tcPr>
            <w:tcW w:type="dxa" w:w="959"/>
            <w:tcBorders>
              <w:bottom w:color="00B0F0" w:space="0" w:sz="4" w:val="single"/>
              <w:righ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-7,1%</w:t>
            </w:r>
          </w:p>
        </w:tc>
      </w:tr>
      <w:tr>
        <w:trPr>
          <w:trHeight w:hRule="atLeast" w:val="198"/>
          <w:cantSplit w:val="false"/>
        </w:trPr>
        <w:tc>
          <w:tcPr>
            <w:tcW w:type="dxa" w:w="4389"/>
            <w:tcBorders>
              <w:top w:color="00B0F0" w:space="0" w:sz="4" w:val="single"/>
              <w:left w:color="00B0F0" w:space="0" w:sz="4" w:val="single"/>
              <w:bottom w:color="00B0F0" w:space="0" w:sz="4" w:val="single"/>
              <w:right w:color="00B0F0" w:space="0" w:sz="4" w:val="single"/>
            </w:tcBorders>
            <w:shd w:fill="auto" w:val="clear"/>
            <w:tcMar>
              <w:top w:type="dxa" w:w="0"/>
              <w:left w:type="dxa" w:w="108"/>
              <w:bottom w:type="dxa" w:w="0"/>
              <w:right w:type="dxa" w:w="108"/>
            </w:tcMar>
            <w:vAlign w:val="center"/>
          </w:tcPr>
          <w:p>
            <w:pPr>
              <w:pStyle w:val="style0"/>
            </w:pPr>
            <w:r>
              <w:rPr>
                <w:rFonts w:cs="Cambria"/>
                <w:b/>
                <w:bCs/>
                <w:color w:val="000000"/>
                <w:sz w:val="22"/>
                <w:szCs w:val="22"/>
              </w:rPr>
              <w:t>Μεταποίηση χωρίς πετρελαιοειδή</w:t>
            </w:r>
          </w:p>
        </w:tc>
        <w:tc>
          <w:tcPr>
            <w:tcW w:type="dxa" w:w="956"/>
            <w:tcBorders>
              <w:top w:color="00B0F0" w:space="0" w:sz="4" w:val="single"/>
              <w:left w:color="00B0F0" w:space="0" w:sz="4" w:val="single"/>
              <w:bottom w:color="00B0F0" w:space="0" w:sz="4" w:val="single"/>
            </w:tcBorders>
            <w:shd w:fill="auto" w:val="clear"/>
            <w:tcMar>
              <w:top w:type="dxa" w:w="0"/>
              <w:left w:type="dxa" w:w="108"/>
              <w:bottom w:type="dxa" w:w="0"/>
              <w:right w:type="dxa" w:w="108"/>
            </w:tcMar>
            <w:vAlign w:val="center"/>
          </w:tcPr>
          <w:p>
            <w:pPr>
              <w:pStyle w:val="style0"/>
              <w:jc w:val="right"/>
            </w:pPr>
            <w:r>
              <w:rPr>
                <w:rFonts w:cs="Cambria"/>
                <w:b/>
                <w:color w:val="000000"/>
                <w:sz w:val="22"/>
                <w:szCs w:val="22"/>
              </w:rPr>
              <w:t>-3,0%</w:t>
            </w:r>
          </w:p>
        </w:tc>
        <w:tc>
          <w:tcPr>
            <w:tcW w:type="dxa" w:w="956"/>
            <w:tcBorders>
              <w:top w:color="00B0F0" w:space="0" w:sz="4" w:val="single"/>
              <w:bottom w:color="00B0F0" w:space="0" w:sz="4" w:val="single"/>
              <w:right w:color="00B0F0" w:space="0" w:sz="4" w:val="single"/>
            </w:tcBorders>
            <w:shd w:fill="auto" w:val="clear"/>
            <w:tcMar>
              <w:top w:type="dxa" w:w="0"/>
              <w:left w:type="dxa" w:w="108"/>
              <w:bottom w:type="dxa" w:w="0"/>
              <w:right w:type="dxa" w:w="108"/>
            </w:tcMar>
            <w:vAlign w:val="center"/>
          </w:tcPr>
          <w:p>
            <w:pPr>
              <w:pStyle w:val="style0"/>
              <w:jc w:val="right"/>
            </w:pPr>
            <w:r>
              <w:rPr>
                <w:rFonts w:cs="Cambria"/>
                <w:b/>
                <w:color w:val="000000"/>
                <w:sz w:val="22"/>
                <w:szCs w:val="22"/>
              </w:rPr>
              <w:t>7,2%</w:t>
            </w:r>
          </w:p>
        </w:tc>
        <w:tc>
          <w:tcPr>
            <w:tcW w:type="dxa" w:w="957"/>
            <w:tcBorders>
              <w:top w:color="00B0F0" w:space="0" w:sz="4" w:val="single"/>
              <w:left w:color="00B0F0" w:space="0" w:sz="4" w:val="single"/>
              <w:bottom w:color="00B0F0" w:space="0" w:sz="4" w:val="single"/>
            </w:tcBorders>
            <w:shd w:fill="auto" w:val="clear"/>
            <w:tcMar>
              <w:top w:type="dxa" w:w="0"/>
              <w:left w:type="dxa" w:w="108"/>
              <w:bottom w:type="dxa" w:w="0"/>
              <w:right w:type="dxa" w:w="108"/>
            </w:tcMar>
            <w:vAlign w:val="center"/>
          </w:tcPr>
          <w:p>
            <w:pPr>
              <w:pStyle w:val="style0"/>
              <w:jc w:val="right"/>
            </w:pPr>
            <w:r>
              <w:rPr>
                <w:rFonts w:cs="Cambria"/>
                <w:b/>
                <w:color w:val="000000"/>
                <w:sz w:val="22"/>
                <w:szCs w:val="22"/>
              </w:rPr>
              <w:t>3,3%</w:t>
            </w:r>
          </w:p>
        </w:tc>
        <w:tc>
          <w:tcPr>
            <w:tcW w:type="dxa" w:w="959"/>
            <w:tcBorders>
              <w:top w:color="00B0F0" w:space="0" w:sz="4" w:val="single"/>
              <w:bottom w:color="00B0F0" w:space="0" w:sz="4" w:val="single"/>
              <w:right w:color="00B0F0" w:space="0" w:sz="4" w:val="single"/>
            </w:tcBorders>
            <w:shd w:fill="auto" w:val="clear"/>
            <w:tcMar>
              <w:top w:type="dxa" w:w="0"/>
              <w:left w:type="dxa" w:w="108"/>
              <w:bottom w:type="dxa" w:w="0"/>
              <w:right w:type="dxa" w:w="108"/>
            </w:tcMar>
            <w:vAlign w:val="center"/>
          </w:tcPr>
          <w:p>
            <w:pPr>
              <w:pStyle w:val="style0"/>
              <w:jc w:val="right"/>
            </w:pPr>
            <w:r>
              <w:rPr>
                <w:rFonts w:cs="Cambria"/>
                <w:b/>
                <w:color w:val="000000"/>
                <w:sz w:val="22"/>
                <w:szCs w:val="22"/>
              </w:rPr>
              <w:t>4,7%</w:t>
            </w:r>
          </w:p>
        </w:tc>
      </w:tr>
      <w:tr>
        <w:trPr>
          <w:trHeight w:hRule="atLeast" w:val="198"/>
          <w:cantSplit w:val="false"/>
        </w:trPr>
        <w:tc>
          <w:tcPr>
            <w:tcW w:type="dxa" w:w="4389"/>
            <w:tcBorders>
              <w:top w:color="00B0F0" w:space="0" w:sz="4" w:val="single"/>
              <w:left w:color="00B0F0" w:space="0" w:sz="4" w:val="single"/>
              <w:right w:color="00B0F0" w:space="0" w:sz="4" w:val="single"/>
            </w:tcBorders>
            <w:shd w:fill="DAEEF3" w:val="clear"/>
            <w:tcMar>
              <w:top w:type="dxa" w:w="0"/>
              <w:left w:type="dxa" w:w="108"/>
              <w:bottom w:type="dxa" w:w="0"/>
              <w:right w:type="dxa" w:w="108"/>
            </w:tcMar>
            <w:vAlign w:val="center"/>
          </w:tcPr>
          <w:p>
            <w:pPr>
              <w:pStyle w:val="style0"/>
              <w:ind w:firstLine="320" w:left="0" w:right="0"/>
            </w:pPr>
            <w:r>
              <w:rPr>
                <w:rFonts w:cs="Cambria"/>
                <w:b/>
                <w:bCs/>
                <w:color w:val="000000"/>
                <w:sz w:val="22"/>
                <w:szCs w:val="22"/>
              </w:rPr>
              <w:t>Τρόφιμα</w:t>
            </w:r>
          </w:p>
        </w:tc>
        <w:tc>
          <w:tcPr>
            <w:tcW w:type="dxa" w:w="956"/>
            <w:tcBorders>
              <w:top w:color="00B0F0" w:space="0" w:sz="4" w:val="single"/>
              <w:lef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-3,9%</w:t>
            </w:r>
          </w:p>
        </w:tc>
        <w:tc>
          <w:tcPr>
            <w:tcW w:type="dxa" w:w="956"/>
            <w:tcBorders>
              <w:top w:color="00B0F0" w:space="0" w:sz="4" w:val="single"/>
              <w:righ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4,9%</w:t>
            </w:r>
          </w:p>
        </w:tc>
        <w:tc>
          <w:tcPr>
            <w:tcW w:type="dxa" w:w="957"/>
            <w:tcBorders>
              <w:top w:color="00B0F0" w:space="0" w:sz="4" w:val="single"/>
              <w:lef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0,9%</w:t>
            </w:r>
          </w:p>
        </w:tc>
        <w:tc>
          <w:tcPr>
            <w:tcW w:type="dxa" w:w="959"/>
            <w:tcBorders>
              <w:top w:color="00B0F0" w:space="0" w:sz="4" w:val="single"/>
              <w:righ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2,8%</w:t>
            </w:r>
          </w:p>
        </w:tc>
      </w:tr>
      <w:tr>
        <w:trPr>
          <w:trHeight w:hRule="atLeast" w:val="198"/>
          <w:cantSplit w:val="false"/>
        </w:trPr>
        <w:tc>
          <w:tcPr>
            <w:tcW w:type="dxa" w:w="4389"/>
            <w:tcBorders>
              <w:left w:color="00B0F0" w:space="0" w:sz="4" w:val="single"/>
              <w:right w:color="00B0F0" w:space="0" w:sz="4" w:val="single"/>
            </w:tcBorders>
            <w:shd w:fill="auto" w:val="clear"/>
            <w:tcMar>
              <w:top w:type="dxa" w:w="0"/>
              <w:left w:type="dxa" w:w="108"/>
              <w:bottom w:type="dxa" w:w="0"/>
              <w:right w:type="dxa" w:w="108"/>
            </w:tcMar>
            <w:vAlign w:val="center"/>
          </w:tcPr>
          <w:p>
            <w:pPr>
              <w:pStyle w:val="style0"/>
              <w:ind w:firstLine="320" w:left="0" w:right="0"/>
            </w:pPr>
            <w:r>
              <w:rPr>
                <w:rFonts w:cs="Cambria"/>
                <w:b/>
                <w:bCs/>
                <w:color w:val="000000"/>
                <w:sz w:val="22"/>
                <w:szCs w:val="22"/>
              </w:rPr>
              <w:t>Ποτά</w:t>
            </w:r>
          </w:p>
        </w:tc>
        <w:tc>
          <w:tcPr>
            <w:tcW w:type="dxa" w:w="956"/>
            <w:tcBorders>
              <w:lef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0,2%</w:t>
            </w:r>
          </w:p>
        </w:tc>
        <w:tc>
          <w:tcPr>
            <w:tcW w:type="dxa" w:w="956"/>
            <w:tcBorders>
              <w:righ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1,5%</w:t>
            </w:r>
          </w:p>
        </w:tc>
        <w:tc>
          <w:tcPr>
            <w:tcW w:type="dxa" w:w="957"/>
            <w:tcBorders>
              <w:lef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4,4%</w:t>
            </w:r>
          </w:p>
        </w:tc>
        <w:tc>
          <w:tcPr>
            <w:tcW w:type="dxa" w:w="959"/>
            <w:tcBorders>
              <w:righ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1,1%</w:t>
            </w:r>
          </w:p>
        </w:tc>
      </w:tr>
      <w:tr>
        <w:trPr>
          <w:trHeight w:hRule="atLeast" w:val="198"/>
          <w:cantSplit w:val="false"/>
        </w:trPr>
        <w:tc>
          <w:tcPr>
            <w:tcW w:type="dxa" w:w="4389"/>
            <w:tcBorders>
              <w:left w:color="00B0F0" w:space="0" w:sz="4" w:val="single"/>
              <w:right w:color="00B0F0" w:space="0" w:sz="4" w:val="single"/>
            </w:tcBorders>
            <w:shd w:fill="DAEEF3" w:val="clear"/>
            <w:tcMar>
              <w:top w:type="dxa" w:w="0"/>
              <w:left w:type="dxa" w:w="108"/>
              <w:bottom w:type="dxa" w:w="0"/>
              <w:right w:type="dxa" w:w="108"/>
            </w:tcMar>
            <w:vAlign w:val="center"/>
          </w:tcPr>
          <w:p>
            <w:pPr>
              <w:pStyle w:val="style0"/>
              <w:ind w:firstLine="320" w:left="0" w:right="0"/>
            </w:pPr>
            <w:r>
              <w:rPr>
                <w:rFonts w:cs="Cambria"/>
                <w:b/>
                <w:bCs/>
                <w:color w:val="000000"/>
                <w:sz w:val="22"/>
                <w:szCs w:val="22"/>
              </w:rPr>
              <w:t>Καπνός</w:t>
            </w:r>
          </w:p>
        </w:tc>
        <w:tc>
          <w:tcPr>
            <w:tcW w:type="dxa" w:w="956"/>
            <w:tcBorders>
              <w:lef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21,1%</w:t>
            </w:r>
          </w:p>
        </w:tc>
        <w:tc>
          <w:tcPr>
            <w:tcW w:type="dxa" w:w="956"/>
            <w:tcBorders>
              <w:righ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-8,1%</w:t>
            </w:r>
          </w:p>
        </w:tc>
        <w:tc>
          <w:tcPr>
            <w:tcW w:type="dxa" w:w="957"/>
            <w:tcBorders>
              <w:lef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3,5%</w:t>
            </w:r>
          </w:p>
        </w:tc>
        <w:tc>
          <w:tcPr>
            <w:tcW w:type="dxa" w:w="959"/>
            <w:tcBorders>
              <w:righ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16,3%</w:t>
            </w:r>
          </w:p>
        </w:tc>
      </w:tr>
      <w:tr>
        <w:trPr>
          <w:trHeight w:hRule="atLeast" w:val="198"/>
          <w:cantSplit w:val="false"/>
        </w:trPr>
        <w:tc>
          <w:tcPr>
            <w:tcW w:type="dxa" w:w="4389"/>
            <w:tcBorders>
              <w:left w:color="00B0F0" w:space="0" w:sz="4" w:val="single"/>
              <w:right w:color="00B0F0" w:space="0" w:sz="4" w:val="single"/>
            </w:tcBorders>
            <w:shd w:fill="auto" w:val="clear"/>
            <w:tcMar>
              <w:top w:type="dxa" w:w="0"/>
              <w:left w:type="dxa" w:w="108"/>
              <w:bottom w:type="dxa" w:w="0"/>
              <w:right w:type="dxa" w:w="108"/>
            </w:tcMar>
            <w:vAlign w:val="center"/>
          </w:tcPr>
          <w:p>
            <w:pPr>
              <w:pStyle w:val="style0"/>
              <w:ind w:firstLine="320" w:left="0" w:right="0"/>
            </w:pPr>
            <w:r>
              <w:rPr>
                <w:rFonts w:cs="Cambria"/>
                <w:b/>
                <w:bCs/>
                <w:color w:val="000000"/>
                <w:sz w:val="22"/>
                <w:szCs w:val="22"/>
              </w:rPr>
              <w:t>Κλωστοϋφαντουργικές ύλες</w:t>
            </w:r>
          </w:p>
        </w:tc>
        <w:tc>
          <w:tcPr>
            <w:tcW w:type="dxa" w:w="956"/>
            <w:tcBorders>
              <w:lef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-2,1%</w:t>
            </w:r>
          </w:p>
        </w:tc>
        <w:tc>
          <w:tcPr>
            <w:tcW w:type="dxa" w:w="956"/>
            <w:tcBorders>
              <w:righ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4,2%</w:t>
            </w:r>
          </w:p>
        </w:tc>
        <w:tc>
          <w:tcPr>
            <w:tcW w:type="dxa" w:w="957"/>
            <w:tcBorders>
              <w:lef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0,4%</w:t>
            </w:r>
          </w:p>
        </w:tc>
        <w:tc>
          <w:tcPr>
            <w:tcW w:type="dxa" w:w="959"/>
            <w:tcBorders>
              <w:righ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-0,4%</w:t>
            </w:r>
          </w:p>
        </w:tc>
      </w:tr>
      <w:tr>
        <w:trPr>
          <w:trHeight w:hRule="atLeast" w:val="198"/>
          <w:cantSplit w:val="false"/>
        </w:trPr>
        <w:tc>
          <w:tcPr>
            <w:tcW w:type="dxa" w:w="4389"/>
            <w:tcBorders>
              <w:left w:color="00B0F0" w:space="0" w:sz="4" w:val="single"/>
              <w:right w:color="00B0F0" w:space="0" w:sz="4" w:val="single"/>
            </w:tcBorders>
            <w:shd w:fill="DAEEF3" w:val="clear"/>
            <w:tcMar>
              <w:top w:type="dxa" w:w="0"/>
              <w:left w:type="dxa" w:w="108"/>
              <w:bottom w:type="dxa" w:w="0"/>
              <w:right w:type="dxa" w:w="108"/>
            </w:tcMar>
            <w:vAlign w:val="center"/>
          </w:tcPr>
          <w:p>
            <w:pPr>
              <w:pStyle w:val="style0"/>
              <w:ind w:firstLine="320" w:left="0" w:right="0"/>
            </w:pPr>
            <w:r>
              <w:rPr>
                <w:rFonts w:cs="Cambria"/>
                <w:b/>
                <w:bCs/>
                <w:color w:val="000000"/>
                <w:sz w:val="22"/>
                <w:szCs w:val="22"/>
              </w:rPr>
              <w:t>Είδη ένδυσης</w:t>
            </w:r>
          </w:p>
        </w:tc>
        <w:tc>
          <w:tcPr>
            <w:tcW w:type="dxa" w:w="956"/>
            <w:tcBorders>
              <w:lef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-7,3%</w:t>
            </w:r>
          </w:p>
        </w:tc>
        <w:tc>
          <w:tcPr>
            <w:tcW w:type="dxa" w:w="956"/>
            <w:tcBorders>
              <w:righ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3,5%</w:t>
            </w:r>
          </w:p>
        </w:tc>
        <w:tc>
          <w:tcPr>
            <w:tcW w:type="dxa" w:w="957"/>
            <w:tcBorders>
              <w:lef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-0,3%</w:t>
            </w:r>
          </w:p>
        </w:tc>
        <w:tc>
          <w:tcPr>
            <w:tcW w:type="dxa" w:w="959"/>
            <w:tcBorders>
              <w:righ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-1,4%</w:t>
            </w:r>
          </w:p>
        </w:tc>
      </w:tr>
      <w:tr>
        <w:trPr>
          <w:trHeight w:hRule="atLeast" w:val="198"/>
          <w:cantSplit w:val="false"/>
        </w:trPr>
        <w:tc>
          <w:tcPr>
            <w:tcW w:type="dxa" w:w="4389"/>
            <w:tcBorders>
              <w:left w:color="00B0F0" w:space="0" w:sz="4" w:val="single"/>
              <w:right w:color="00B0F0" w:space="0" w:sz="4" w:val="single"/>
            </w:tcBorders>
            <w:shd w:fill="auto" w:val="clear"/>
            <w:tcMar>
              <w:top w:type="dxa" w:w="0"/>
              <w:left w:type="dxa" w:w="108"/>
              <w:bottom w:type="dxa" w:w="0"/>
              <w:right w:type="dxa" w:w="108"/>
            </w:tcMar>
            <w:vAlign w:val="center"/>
          </w:tcPr>
          <w:p>
            <w:pPr>
              <w:pStyle w:val="style0"/>
              <w:ind w:firstLine="320" w:left="0" w:right="0"/>
            </w:pPr>
            <w:r>
              <w:rPr>
                <w:rFonts w:cs="Cambria"/>
                <w:b/>
                <w:bCs/>
                <w:color w:val="000000"/>
                <w:sz w:val="22"/>
                <w:szCs w:val="22"/>
              </w:rPr>
              <w:t>Δέρματα - είδη υπόδησης</w:t>
            </w:r>
          </w:p>
        </w:tc>
        <w:tc>
          <w:tcPr>
            <w:tcW w:type="dxa" w:w="956"/>
            <w:tcBorders>
              <w:lef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8,3%</w:t>
            </w:r>
          </w:p>
        </w:tc>
        <w:tc>
          <w:tcPr>
            <w:tcW w:type="dxa" w:w="956"/>
            <w:tcBorders>
              <w:righ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0,6%</w:t>
            </w:r>
          </w:p>
        </w:tc>
        <w:tc>
          <w:tcPr>
            <w:tcW w:type="dxa" w:w="957"/>
            <w:tcBorders>
              <w:lef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-10,3%</w:t>
            </w:r>
          </w:p>
        </w:tc>
        <w:tc>
          <w:tcPr>
            <w:tcW w:type="dxa" w:w="959"/>
            <w:tcBorders>
              <w:righ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-7,0%</w:t>
            </w:r>
          </w:p>
        </w:tc>
      </w:tr>
      <w:tr>
        <w:trPr>
          <w:trHeight w:hRule="atLeast" w:val="198"/>
          <w:cantSplit w:val="false"/>
        </w:trPr>
        <w:tc>
          <w:tcPr>
            <w:tcW w:type="dxa" w:w="4389"/>
            <w:tcBorders>
              <w:left w:color="00B0F0" w:space="0" w:sz="4" w:val="single"/>
              <w:right w:color="00B0F0" w:space="0" w:sz="4" w:val="single"/>
            </w:tcBorders>
            <w:shd w:fill="DAEEF3" w:val="clear"/>
            <w:tcMar>
              <w:top w:type="dxa" w:w="0"/>
              <w:left w:type="dxa" w:w="108"/>
              <w:bottom w:type="dxa" w:w="0"/>
              <w:right w:type="dxa" w:w="108"/>
            </w:tcMar>
            <w:vAlign w:val="center"/>
          </w:tcPr>
          <w:p>
            <w:pPr>
              <w:pStyle w:val="style0"/>
              <w:ind w:firstLine="320" w:left="0" w:right="0"/>
            </w:pPr>
            <w:r>
              <w:rPr>
                <w:rFonts w:cs="Cambria"/>
                <w:b/>
                <w:bCs/>
                <w:color w:val="000000"/>
                <w:sz w:val="22"/>
                <w:szCs w:val="22"/>
              </w:rPr>
              <w:t>Ξύλο και φελλός</w:t>
            </w:r>
          </w:p>
        </w:tc>
        <w:tc>
          <w:tcPr>
            <w:tcW w:type="dxa" w:w="956"/>
            <w:tcBorders>
              <w:lef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-5,7%</w:t>
            </w:r>
          </w:p>
        </w:tc>
        <w:tc>
          <w:tcPr>
            <w:tcW w:type="dxa" w:w="956"/>
            <w:tcBorders>
              <w:righ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4,8%</w:t>
            </w:r>
          </w:p>
        </w:tc>
        <w:tc>
          <w:tcPr>
            <w:tcW w:type="dxa" w:w="957"/>
            <w:tcBorders>
              <w:lef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1,5%</w:t>
            </w:r>
          </w:p>
        </w:tc>
        <w:tc>
          <w:tcPr>
            <w:tcW w:type="dxa" w:w="959"/>
            <w:tcBorders>
              <w:righ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0,0%</w:t>
            </w:r>
          </w:p>
        </w:tc>
      </w:tr>
      <w:tr>
        <w:trPr>
          <w:trHeight w:hRule="atLeast" w:val="198"/>
          <w:cantSplit w:val="false"/>
        </w:trPr>
        <w:tc>
          <w:tcPr>
            <w:tcW w:type="dxa" w:w="4389"/>
            <w:tcBorders>
              <w:left w:color="00B0F0" w:space="0" w:sz="4" w:val="single"/>
              <w:right w:color="00B0F0" w:space="0" w:sz="4" w:val="single"/>
            </w:tcBorders>
            <w:shd w:fill="auto" w:val="clear"/>
            <w:tcMar>
              <w:top w:type="dxa" w:w="0"/>
              <w:left w:type="dxa" w:w="108"/>
              <w:bottom w:type="dxa" w:w="0"/>
              <w:right w:type="dxa" w:w="108"/>
            </w:tcMar>
            <w:vAlign w:val="center"/>
          </w:tcPr>
          <w:p>
            <w:pPr>
              <w:pStyle w:val="style0"/>
              <w:ind w:firstLine="320" w:left="0" w:right="0"/>
            </w:pPr>
            <w:r>
              <w:rPr>
                <w:rFonts w:cs="Cambria"/>
                <w:b/>
                <w:bCs/>
                <w:color w:val="000000"/>
                <w:sz w:val="22"/>
                <w:szCs w:val="22"/>
                <w:lang w:val="el-GR"/>
              </w:rPr>
              <w:t>Χαρτί και προϊόντα από χαρτί</w:t>
            </w:r>
          </w:p>
        </w:tc>
        <w:tc>
          <w:tcPr>
            <w:tcW w:type="dxa" w:w="956"/>
            <w:tcBorders>
              <w:lef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-3,8%</w:t>
            </w:r>
          </w:p>
        </w:tc>
        <w:tc>
          <w:tcPr>
            <w:tcW w:type="dxa" w:w="956"/>
            <w:tcBorders>
              <w:righ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6,0%</w:t>
            </w:r>
          </w:p>
        </w:tc>
        <w:tc>
          <w:tcPr>
            <w:tcW w:type="dxa" w:w="957"/>
            <w:tcBorders>
              <w:lef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7,6%</w:t>
            </w:r>
          </w:p>
        </w:tc>
        <w:tc>
          <w:tcPr>
            <w:tcW w:type="dxa" w:w="959"/>
            <w:tcBorders>
              <w:righ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2,2%</w:t>
            </w:r>
          </w:p>
        </w:tc>
      </w:tr>
      <w:tr>
        <w:trPr>
          <w:trHeight w:hRule="atLeast" w:val="198"/>
          <w:cantSplit w:val="false"/>
        </w:trPr>
        <w:tc>
          <w:tcPr>
            <w:tcW w:type="dxa" w:w="4389"/>
            <w:tcBorders>
              <w:left w:color="00B0F0" w:space="0" w:sz="4" w:val="single"/>
              <w:right w:color="00B0F0" w:space="0" w:sz="4" w:val="single"/>
            </w:tcBorders>
            <w:shd w:fill="DAEEF3" w:val="clear"/>
            <w:tcMar>
              <w:top w:type="dxa" w:w="0"/>
              <w:left w:type="dxa" w:w="108"/>
              <w:bottom w:type="dxa" w:w="0"/>
              <w:right w:type="dxa" w:w="108"/>
            </w:tcMar>
            <w:vAlign w:val="center"/>
          </w:tcPr>
          <w:p>
            <w:pPr>
              <w:pStyle w:val="style0"/>
              <w:ind w:firstLine="320" w:left="0" w:right="0"/>
            </w:pPr>
            <w:r>
              <w:rPr>
                <w:rFonts w:cs="Cambria"/>
                <w:b/>
                <w:bCs/>
                <w:color w:val="000000"/>
                <w:sz w:val="22"/>
                <w:szCs w:val="22"/>
                <w:lang w:val="el-GR"/>
              </w:rPr>
              <w:t xml:space="preserve">Εκτυπώσεις </w:t>
            </w:r>
          </w:p>
        </w:tc>
        <w:tc>
          <w:tcPr>
            <w:tcW w:type="dxa" w:w="956"/>
            <w:tcBorders>
              <w:lef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-0,2%</w:t>
            </w:r>
          </w:p>
        </w:tc>
        <w:tc>
          <w:tcPr>
            <w:tcW w:type="dxa" w:w="956"/>
            <w:tcBorders>
              <w:righ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4,0%</w:t>
            </w:r>
          </w:p>
        </w:tc>
        <w:tc>
          <w:tcPr>
            <w:tcW w:type="dxa" w:w="957"/>
            <w:tcBorders>
              <w:lef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2,1%</w:t>
            </w:r>
          </w:p>
        </w:tc>
        <w:tc>
          <w:tcPr>
            <w:tcW w:type="dxa" w:w="959"/>
            <w:tcBorders>
              <w:righ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0,3%</w:t>
            </w:r>
          </w:p>
        </w:tc>
      </w:tr>
      <w:tr>
        <w:trPr>
          <w:trHeight w:hRule="atLeast" w:val="198"/>
          <w:cantSplit w:val="false"/>
        </w:trPr>
        <w:tc>
          <w:tcPr>
            <w:tcW w:type="dxa" w:w="4389"/>
            <w:tcBorders>
              <w:left w:color="00B0F0" w:space="0" w:sz="4" w:val="single"/>
              <w:right w:color="00B0F0" w:space="0" w:sz="4" w:val="single"/>
            </w:tcBorders>
            <w:shd w:fill="auto" w:val="clear"/>
            <w:tcMar>
              <w:top w:type="dxa" w:w="0"/>
              <w:left w:type="dxa" w:w="108"/>
              <w:bottom w:type="dxa" w:w="0"/>
              <w:right w:type="dxa" w:w="108"/>
            </w:tcMar>
            <w:vAlign w:val="center"/>
          </w:tcPr>
          <w:p>
            <w:pPr>
              <w:pStyle w:val="style0"/>
              <w:ind w:firstLine="320" w:left="0" w:right="0"/>
            </w:pPr>
            <w:r>
              <w:rPr>
                <w:rFonts w:cs="Cambria"/>
                <w:b/>
                <w:bCs/>
                <w:color w:val="000000"/>
                <w:sz w:val="22"/>
                <w:szCs w:val="22"/>
              </w:rPr>
              <w:t>Χημικά προϊόντα</w:t>
            </w:r>
          </w:p>
        </w:tc>
        <w:tc>
          <w:tcPr>
            <w:tcW w:type="dxa" w:w="956"/>
            <w:tcBorders>
              <w:lef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6,3%</w:t>
            </w:r>
          </w:p>
        </w:tc>
        <w:tc>
          <w:tcPr>
            <w:tcW w:type="dxa" w:w="956"/>
            <w:tcBorders>
              <w:righ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5,0%</w:t>
            </w:r>
          </w:p>
        </w:tc>
        <w:tc>
          <w:tcPr>
            <w:tcW w:type="dxa" w:w="957"/>
            <w:tcBorders>
              <w:lef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5,4%</w:t>
            </w:r>
          </w:p>
        </w:tc>
        <w:tc>
          <w:tcPr>
            <w:tcW w:type="dxa" w:w="959"/>
            <w:tcBorders>
              <w:righ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4,7%</w:t>
            </w:r>
          </w:p>
        </w:tc>
      </w:tr>
      <w:tr>
        <w:trPr>
          <w:trHeight w:hRule="atLeast" w:val="198"/>
          <w:cantSplit w:val="false"/>
        </w:trPr>
        <w:tc>
          <w:tcPr>
            <w:tcW w:type="dxa" w:w="4389"/>
            <w:tcBorders>
              <w:left w:color="00B0F0" w:space="0" w:sz="4" w:val="single"/>
              <w:right w:color="00B0F0" w:space="0" w:sz="4" w:val="single"/>
            </w:tcBorders>
            <w:shd w:fill="DAEEF3" w:val="clear"/>
            <w:tcMar>
              <w:top w:type="dxa" w:w="0"/>
              <w:left w:type="dxa" w:w="108"/>
              <w:bottom w:type="dxa" w:w="0"/>
              <w:right w:type="dxa" w:w="108"/>
            </w:tcMar>
            <w:vAlign w:val="center"/>
          </w:tcPr>
          <w:p>
            <w:pPr>
              <w:pStyle w:val="style0"/>
              <w:ind w:firstLine="320" w:left="0" w:right="0"/>
            </w:pPr>
            <w:r>
              <w:rPr>
                <w:rFonts w:cs="Cambria"/>
                <w:b/>
                <w:bCs/>
                <w:color w:val="000000"/>
                <w:sz w:val="22"/>
                <w:szCs w:val="22"/>
                <w:lang w:val="el-GR"/>
              </w:rPr>
              <w:t>Φάρμακα</w:t>
            </w:r>
          </w:p>
        </w:tc>
        <w:tc>
          <w:tcPr>
            <w:tcW w:type="dxa" w:w="956"/>
            <w:tcBorders>
              <w:lef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-0,1%</w:t>
            </w:r>
          </w:p>
        </w:tc>
        <w:tc>
          <w:tcPr>
            <w:tcW w:type="dxa" w:w="956"/>
            <w:tcBorders>
              <w:righ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19,7%</w:t>
            </w:r>
          </w:p>
        </w:tc>
        <w:tc>
          <w:tcPr>
            <w:tcW w:type="dxa" w:w="957"/>
            <w:tcBorders>
              <w:lef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10,6%</w:t>
            </w:r>
          </w:p>
        </w:tc>
        <w:tc>
          <w:tcPr>
            <w:tcW w:type="dxa" w:w="959"/>
            <w:tcBorders>
              <w:righ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24,5%</w:t>
            </w:r>
          </w:p>
        </w:tc>
      </w:tr>
      <w:tr>
        <w:trPr>
          <w:trHeight w:hRule="atLeast" w:val="198"/>
          <w:cantSplit w:val="false"/>
        </w:trPr>
        <w:tc>
          <w:tcPr>
            <w:tcW w:type="dxa" w:w="4389"/>
            <w:tcBorders>
              <w:left w:color="00B0F0" w:space="0" w:sz="4" w:val="single"/>
              <w:right w:color="00B0F0" w:space="0" w:sz="4" w:val="single"/>
            </w:tcBorders>
            <w:shd w:fill="auto" w:val="clear"/>
            <w:tcMar>
              <w:top w:type="dxa" w:w="0"/>
              <w:left w:type="dxa" w:w="108"/>
              <w:bottom w:type="dxa" w:w="0"/>
              <w:right w:type="dxa" w:w="108"/>
            </w:tcMar>
            <w:vAlign w:val="center"/>
          </w:tcPr>
          <w:p>
            <w:pPr>
              <w:pStyle w:val="style0"/>
              <w:ind w:firstLine="320" w:left="0" w:right="0"/>
            </w:pPr>
            <w:r>
              <w:rPr>
                <w:rFonts w:cs="Cambria"/>
                <w:b/>
                <w:bCs/>
                <w:color w:val="000000"/>
                <w:sz w:val="22"/>
                <w:szCs w:val="22"/>
                <w:lang w:val="el-GR"/>
              </w:rPr>
              <w:t>Πλαστικά</w:t>
            </w:r>
          </w:p>
        </w:tc>
        <w:tc>
          <w:tcPr>
            <w:tcW w:type="dxa" w:w="956"/>
            <w:tcBorders>
              <w:lef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-5,1%</w:t>
            </w:r>
          </w:p>
        </w:tc>
        <w:tc>
          <w:tcPr>
            <w:tcW w:type="dxa" w:w="956"/>
            <w:tcBorders>
              <w:righ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9,3%</w:t>
            </w:r>
          </w:p>
        </w:tc>
        <w:tc>
          <w:tcPr>
            <w:tcW w:type="dxa" w:w="957"/>
            <w:tcBorders>
              <w:lef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1,6%</w:t>
            </w:r>
          </w:p>
        </w:tc>
        <w:tc>
          <w:tcPr>
            <w:tcW w:type="dxa" w:w="959"/>
            <w:tcBorders>
              <w:righ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3,9%</w:t>
            </w:r>
          </w:p>
        </w:tc>
      </w:tr>
      <w:tr>
        <w:trPr>
          <w:trHeight w:hRule="atLeast" w:val="198"/>
          <w:cantSplit w:val="false"/>
        </w:trPr>
        <w:tc>
          <w:tcPr>
            <w:tcW w:type="dxa" w:w="4389"/>
            <w:tcBorders>
              <w:left w:color="00B0F0" w:space="0" w:sz="4" w:val="single"/>
              <w:right w:color="00B0F0" w:space="0" w:sz="4" w:val="single"/>
            </w:tcBorders>
            <w:shd w:fill="DAEEF3" w:val="clear"/>
            <w:tcMar>
              <w:top w:type="dxa" w:w="0"/>
              <w:left w:type="dxa" w:w="108"/>
              <w:bottom w:type="dxa" w:w="0"/>
              <w:right w:type="dxa" w:w="108"/>
            </w:tcMar>
            <w:vAlign w:val="center"/>
          </w:tcPr>
          <w:p>
            <w:pPr>
              <w:pStyle w:val="style0"/>
              <w:ind w:firstLine="320" w:left="0" w:right="0"/>
            </w:pPr>
            <w:r>
              <w:rPr>
                <w:rFonts w:cs="Cambria"/>
                <w:b/>
                <w:bCs/>
                <w:color w:val="000000"/>
                <w:sz w:val="22"/>
                <w:szCs w:val="22"/>
              </w:rPr>
              <w:t>Μη μεταλλικά ορυκτά</w:t>
            </w:r>
          </w:p>
        </w:tc>
        <w:tc>
          <w:tcPr>
            <w:tcW w:type="dxa" w:w="956"/>
            <w:tcBorders>
              <w:lef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-3,8%</w:t>
            </w:r>
          </w:p>
        </w:tc>
        <w:tc>
          <w:tcPr>
            <w:tcW w:type="dxa" w:w="956"/>
            <w:tcBorders>
              <w:righ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4,3%</w:t>
            </w:r>
          </w:p>
        </w:tc>
        <w:tc>
          <w:tcPr>
            <w:tcW w:type="dxa" w:w="957"/>
            <w:tcBorders>
              <w:lef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-0,5%</w:t>
            </w:r>
          </w:p>
        </w:tc>
        <w:tc>
          <w:tcPr>
            <w:tcW w:type="dxa" w:w="959"/>
            <w:tcBorders>
              <w:righ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4,5%</w:t>
            </w:r>
          </w:p>
        </w:tc>
      </w:tr>
      <w:tr>
        <w:trPr>
          <w:trHeight w:hRule="atLeast" w:val="198"/>
          <w:cantSplit w:val="false"/>
        </w:trPr>
        <w:tc>
          <w:tcPr>
            <w:tcW w:type="dxa" w:w="4389"/>
            <w:tcBorders>
              <w:left w:color="00B0F0" w:space="0" w:sz="4" w:val="single"/>
              <w:right w:color="00B0F0" w:space="0" w:sz="4" w:val="single"/>
            </w:tcBorders>
            <w:shd w:fill="auto" w:val="clear"/>
            <w:tcMar>
              <w:top w:type="dxa" w:w="0"/>
              <w:left w:type="dxa" w:w="108"/>
              <w:bottom w:type="dxa" w:w="0"/>
              <w:right w:type="dxa" w:w="108"/>
            </w:tcMar>
            <w:vAlign w:val="center"/>
          </w:tcPr>
          <w:p>
            <w:pPr>
              <w:pStyle w:val="style0"/>
              <w:ind w:firstLine="320" w:left="0" w:right="0"/>
            </w:pPr>
            <w:r>
              <w:rPr>
                <w:rFonts w:cs="Cambria"/>
                <w:b/>
                <w:bCs/>
                <w:color w:val="000000"/>
                <w:sz w:val="22"/>
                <w:szCs w:val="22"/>
              </w:rPr>
              <w:t>Βασικά μέταλλα</w:t>
            </w:r>
          </w:p>
        </w:tc>
        <w:tc>
          <w:tcPr>
            <w:tcW w:type="dxa" w:w="956"/>
            <w:tcBorders>
              <w:lef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11,9%</w:t>
            </w:r>
          </w:p>
        </w:tc>
        <w:tc>
          <w:tcPr>
            <w:tcW w:type="dxa" w:w="956"/>
            <w:tcBorders>
              <w:righ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-3,4%</w:t>
            </w:r>
          </w:p>
        </w:tc>
        <w:tc>
          <w:tcPr>
            <w:tcW w:type="dxa" w:w="957"/>
            <w:tcBorders>
              <w:lef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18,7%</w:t>
            </w:r>
          </w:p>
        </w:tc>
        <w:tc>
          <w:tcPr>
            <w:tcW w:type="dxa" w:w="959"/>
            <w:tcBorders>
              <w:righ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-4,5%</w:t>
            </w:r>
          </w:p>
        </w:tc>
      </w:tr>
      <w:tr>
        <w:trPr>
          <w:trHeight w:hRule="atLeast" w:val="198"/>
          <w:cantSplit w:val="false"/>
        </w:trPr>
        <w:tc>
          <w:tcPr>
            <w:tcW w:type="dxa" w:w="4389"/>
            <w:tcBorders>
              <w:left w:color="00B0F0" w:space="0" w:sz="4" w:val="single"/>
              <w:right w:color="00B0F0" w:space="0" w:sz="4" w:val="single"/>
            </w:tcBorders>
            <w:shd w:fill="DAEEF3" w:val="clear"/>
            <w:tcMar>
              <w:top w:type="dxa" w:w="0"/>
              <w:left w:type="dxa" w:w="108"/>
              <w:bottom w:type="dxa" w:w="0"/>
              <w:right w:type="dxa" w:w="108"/>
            </w:tcMar>
            <w:vAlign w:val="center"/>
          </w:tcPr>
          <w:p>
            <w:pPr>
              <w:pStyle w:val="style0"/>
              <w:ind w:firstLine="320" w:left="0" w:right="0"/>
            </w:pPr>
            <w:r>
              <w:rPr>
                <w:rFonts w:cs="Cambria"/>
                <w:b/>
                <w:bCs/>
                <w:color w:val="000000"/>
                <w:sz w:val="22"/>
                <w:szCs w:val="22"/>
                <w:lang w:val="el-GR"/>
              </w:rPr>
              <w:t>Μ</w:t>
            </w:r>
            <w:r>
              <w:rPr>
                <w:rFonts w:cs="Cambria"/>
                <w:b/>
                <w:bCs/>
                <w:color w:val="000000"/>
                <w:sz w:val="22"/>
                <w:szCs w:val="22"/>
              </w:rPr>
              <w:t>εταλλικ</w:t>
            </w:r>
            <w:r>
              <w:rPr>
                <w:rFonts w:cs="Cambria"/>
                <w:b/>
                <w:bCs/>
                <w:color w:val="000000"/>
                <w:sz w:val="22"/>
                <w:szCs w:val="22"/>
                <w:lang w:val="el-GR"/>
              </w:rPr>
              <w:t>ά</w:t>
            </w:r>
            <w:r>
              <w:rPr>
                <w:rFonts w:cs="Cambria"/>
                <w:b/>
                <w:bCs/>
                <w:color w:val="000000"/>
                <w:sz w:val="22"/>
                <w:szCs w:val="22"/>
              </w:rPr>
              <w:t xml:space="preserve"> προϊόντ</w:t>
            </w:r>
            <w:r>
              <w:rPr>
                <w:rFonts w:cs="Cambria"/>
                <w:b/>
                <w:bCs/>
                <w:color w:val="000000"/>
                <w:sz w:val="22"/>
                <w:szCs w:val="22"/>
                <w:lang w:val="el-GR"/>
              </w:rPr>
              <w:t>α</w:t>
            </w:r>
          </w:p>
        </w:tc>
        <w:tc>
          <w:tcPr>
            <w:tcW w:type="dxa" w:w="956"/>
            <w:tcBorders>
              <w:lef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0,9%</w:t>
            </w:r>
          </w:p>
        </w:tc>
        <w:tc>
          <w:tcPr>
            <w:tcW w:type="dxa" w:w="956"/>
            <w:tcBorders>
              <w:righ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7,4%</w:t>
            </w:r>
          </w:p>
        </w:tc>
        <w:tc>
          <w:tcPr>
            <w:tcW w:type="dxa" w:w="957"/>
            <w:tcBorders>
              <w:lef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3,6%</w:t>
            </w:r>
          </w:p>
        </w:tc>
        <w:tc>
          <w:tcPr>
            <w:tcW w:type="dxa" w:w="959"/>
            <w:tcBorders>
              <w:righ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3,6%</w:t>
            </w:r>
          </w:p>
        </w:tc>
      </w:tr>
      <w:tr>
        <w:trPr>
          <w:trHeight w:hRule="atLeast" w:val="198"/>
          <w:cantSplit w:val="false"/>
        </w:trPr>
        <w:tc>
          <w:tcPr>
            <w:tcW w:type="dxa" w:w="4389"/>
            <w:tcBorders>
              <w:left w:color="00B0F0" w:space="0" w:sz="4" w:val="single"/>
              <w:right w:color="00B0F0" w:space="0" w:sz="4" w:val="single"/>
            </w:tcBorders>
            <w:shd w:fill="auto" w:val="clear"/>
            <w:tcMar>
              <w:top w:type="dxa" w:w="0"/>
              <w:left w:type="dxa" w:w="108"/>
              <w:bottom w:type="dxa" w:w="0"/>
              <w:right w:type="dxa" w:w="108"/>
            </w:tcMar>
            <w:vAlign w:val="center"/>
          </w:tcPr>
          <w:p>
            <w:pPr>
              <w:pStyle w:val="style0"/>
              <w:ind w:firstLine="320" w:left="0" w:right="0"/>
            </w:pPr>
            <w:r>
              <w:rPr>
                <w:rFonts w:cs="Cambria"/>
                <w:b/>
                <w:bCs/>
                <w:color w:val="000000"/>
                <w:sz w:val="22"/>
                <w:szCs w:val="22"/>
                <w:lang w:val="el-GR"/>
              </w:rPr>
              <w:t>Ηλεκτρονικοί υπολογιστές</w:t>
            </w:r>
          </w:p>
        </w:tc>
        <w:tc>
          <w:tcPr>
            <w:tcW w:type="dxa" w:w="956"/>
            <w:tcBorders>
              <w:lef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39,2%</w:t>
            </w:r>
          </w:p>
        </w:tc>
        <w:tc>
          <w:tcPr>
            <w:tcW w:type="dxa" w:w="956"/>
            <w:tcBorders>
              <w:righ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12,6%</w:t>
            </w:r>
          </w:p>
        </w:tc>
        <w:tc>
          <w:tcPr>
            <w:tcW w:type="dxa" w:w="957"/>
            <w:tcBorders>
              <w:lef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20,0%</w:t>
            </w:r>
          </w:p>
        </w:tc>
        <w:tc>
          <w:tcPr>
            <w:tcW w:type="dxa" w:w="959"/>
            <w:tcBorders>
              <w:righ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22,0%</w:t>
            </w:r>
          </w:p>
        </w:tc>
      </w:tr>
      <w:tr>
        <w:trPr>
          <w:trHeight w:hRule="atLeast" w:val="198"/>
          <w:cantSplit w:val="false"/>
        </w:trPr>
        <w:tc>
          <w:tcPr>
            <w:tcW w:type="dxa" w:w="4389"/>
            <w:tcBorders>
              <w:left w:color="00B0F0" w:space="0" w:sz="4" w:val="single"/>
              <w:right w:color="00B0F0" w:space="0" w:sz="4" w:val="single"/>
            </w:tcBorders>
            <w:shd w:fill="DAEEF3" w:val="clear"/>
            <w:tcMar>
              <w:top w:type="dxa" w:w="0"/>
              <w:left w:type="dxa" w:w="108"/>
              <w:bottom w:type="dxa" w:w="0"/>
              <w:right w:type="dxa" w:w="108"/>
            </w:tcMar>
            <w:vAlign w:val="center"/>
          </w:tcPr>
          <w:p>
            <w:pPr>
              <w:pStyle w:val="style0"/>
              <w:ind w:firstLine="320" w:left="0" w:right="0"/>
            </w:pPr>
            <w:r>
              <w:rPr>
                <w:rFonts w:cs="Cambria"/>
                <w:b/>
                <w:bCs/>
                <w:color w:val="000000"/>
                <w:sz w:val="22"/>
                <w:szCs w:val="22"/>
              </w:rPr>
              <w:t>Ηλεκτρολογικός εξοπλισμός</w:t>
            </w:r>
          </w:p>
        </w:tc>
        <w:tc>
          <w:tcPr>
            <w:tcW w:type="dxa" w:w="956"/>
            <w:tcBorders>
              <w:lef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-15,8%</w:t>
            </w:r>
          </w:p>
        </w:tc>
        <w:tc>
          <w:tcPr>
            <w:tcW w:type="dxa" w:w="956"/>
            <w:tcBorders>
              <w:righ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20,1%</w:t>
            </w:r>
          </w:p>
        </w:tc>
        <w:tc>
          <w:tcPr>
            <w:tcW w:type="dxa" w:w="957"/>
            <w:tcBorders>
              <w:lef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4,9%</w:t>
            </w:r>
          </w:p>
        </w:tc>
        <w:tc>
          <w:tcPr>
            <w:tcW w:type="dxa" w:w="959"/>
            <w:tcBorders>
              <w:righ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11,1%</w:t>
            </w:r>
          </w:p>
        </w:tc>
      </w:tr>
      <w:tr>
        <w:trPr>
          <w:trHeight w:hRule="atLeast" w:val="198"/>
          <w:cantSplit w:val="false"/>
        </w:trPr>
        <w:tc>
          <w:tcPr>
            <w:tcW w:type="dxa" w:w="4389"/>
            <w:tcBorders>
              <w:left w:color="00B0F0" w:space="0" w:sz="4" w:val="single"/>
              <w:right w:color="00B0F0" w:space="0" w:sz="4" w:val="single"/>
            </w:tcBorders>
            <w:shd w:fill="auto" w:val="clear"/>
            <w:tcMar>
              <w:top w:type="dxa" w:w="0"/>
              <w:left w:type="dxa" w:w="108"/>
              <w:bottom w:type="dxa" w:w="0"/>
              <w:right w:type="dxa" w:w="108"/>
            </w:tcMar>
            <w:vAlign w:val="center"/>
          </w:tcPr>
          <w:p>
            <w:pPr>
              <w:pStyle w:val="style0"/>
              <w:ind w:firstLine="320" w:left="0" w:right="0"/>
            </w:pPr>
            <w:r>
              <w:rPr>
                <w:rFonts w:cs="Cambria"/>
                <w:b/>
                <w:bCs/>
                <w:color w:val="000000"/>
                <w:sz w:val="22"/>
                <w:szCs w:val="22"/>
              </w:rPr>
              <w:t>Μηχανήματα και είδη εξοπλισμού</w:t>
            </w:r>
          </w:p>
        </w:tc>
        <w:tc>
          <w:tcPr>
            <w:tcW w:type="dxa" w:w="956"/>
            <w:tcBorders>
              <w:lef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-4,6%</w:t>
            </w:r>
          </w:p>
        </w:tc>
        <w:tc>
          <w:tcPr>
            <w:tcW w:type="dxa" w:w="956"/>
            <w:tcBorders>
              <w:righ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6,4%</w:t>
            </w:r>
          </w:p>
        </w:tc>
        <w:tc>
          <w:tcPr>
            <w:tcW w:type="dxa" w:w="957"/>
            <w:tcBorders>
              <w:lef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6,6%</w:t>
            </w:r>
          </w:p>
        </w:tc>
        <w:tc>
          <w:tcPr>
            <w:tcW w:type="dxa" w:w="959"/>
            <w:tcBorders>
              <w:righ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1,5%</w:t>
            </w:r>
          </w:p>
        </w:tc>
      </w:tr>
      <w:tr>
        <w:trPr>
          <w:trHeight w:hRule="atLeast" w:val="198"/>
          <w:cantSplit w:val="false"/>
        </w:trPr>
        <w:tc>
          <w:tcPr>
            <w:tcW w:type="dxa" w:w="4389"/>
            <w:tcBorders>
              <w:left w:color="00B0F0" w:space="0" w:sz="4" w:val="single"/>
              <w:right w:color="00B0F0" w:space="0" w:sz="4" w:val="single"/>
            </w:tcBorders>
            <w:shd w:fill="DAEEF3" w:val="clear"/>
            <w:tcMar>
              <w:top w:type="dxa" w:w="0"/>
              <w:left w:type="dxa" w:w="108"/>
              <w:bottom w:type="dxa" w:w="0"/>
              <w:right w:type="dxa" w:w="108"/>
            </w:tcMar>
            <w:vAlign w:val="center"/>
          </w:tcPr>
          <w:p>
            <w:pPr>
              <w:pStyle w:val="style0"/>
              <w:ind w:firstLine="320" w:left="0" w:right="0"/>
            </w:pPr>
            <w:r>
              <w:rPr>
                <w:rFonts w:cs="Cambria"/>
                <w:b/>
                <w:bCs/>
                <w:color w:val="000000"/>
                <w:sz w:val="22"/>
                <w:szCs w:val="22"/>
              </w:rPr>
              <w:t>Μηχανοκίνητα οχήματα</w:t>
            </w:r>
          </w:p>
        </w:tc>
        <w:tc>
          <w:tcPr>
            <w:tcW w:type="dxa" w:w="956"/>
            <w:tcBorders>
              <w:lef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-10,0%</w:t>
            </w:r>
          </w:p>
        </w:tc>
        <w:tc>
          <w:tcPr>
            <w:tcW w:type="dxa" w:w="956"/>
            <w:tcBorders>
              <w:righ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69,4%</w:t>
            </w:r>
          </w:p>
        </w:tc>
        <w:tc>
          <w:tcPr>
            <w:tcW w:type="dxa" w:w="957"/>
            <w:tcBorders>
              <w:lef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1,2%</w:t>
            </w:r>
          </w:p>
        </w:tc>
        <w:tc>
          <w:tcPr>
            <w:tcW w:type="dxa" w:w="959"/>
            <w:tcBorders>
              <w:righ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17,7%</w:t>
            </w:r>
          </w:p>
        </w:tc>
      </w:tr>
      <w:tr>
        <w:trPr>
          <w:trHeight w:hRule="atLeast" w:val="198"/>
          <w:cantSplit w:val="false"/>
        </w:trPr>
        <w:tc>
          <w:tcPr>
            <w:tcW w:type="dxa" w:w="4389"/>
            <w:tcBorders>
              <w:left w:color="00B0F0" w:space="0" w:sz="4" w:val="single"/>
              <w:right w:color="00B0F0" w:space="0" w:sz="4" w:val="single"/>
            </w:tcBorders>
            <w:shd w:fill="auto" w:val="clear"/>
            <w:tcMar>
              <w:top w:type="dxa" w:w="0"/>
              <w:left w:type="dxa" w:w="108"/>
              <w:bottom w:type="dxa" w:w="0"/>
              <w:right w:type="dxa" w:w="108"/>
            </w:tcMar>
            <w:vAlign w:val="center"/>
          </w:tcPr>
          <w:p>
            <w:pPr>
              <w:pStyle w:val="style0"/>
              <w:ind w:firstLine="320" w:left="0" w:right="0"/>
            </w:pPr>
            <w:r>
              <w:rPr>
                <w:rFonts w:cs="Cambria"/>
                <w:b/>
                <w:bCs/>
                <w:color w:val="000000"/>
                <w:sz w:val="22"/>
                <w:szCs w:val="22"/>
              </w:rPr>
              <w:t>Λοιπός εξοπλισμός μεταφορών</w:t>
            </w:r>
          </w:p>
        </w:tc>
        <w:tc>
          <w:tcPr>
            <w:tcW w:type="dxa" w:w="956"/>
            <w:tcBorders>
              <w:lef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-19,5%</w:t>
            </w:r>
          </w:p>
        </w:tc>
        <w:tc>
          <w:tcPr>
            <w:tcW w:type="dxa" w:w="956"/>
            <w:tcBorders>
              <w:righ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12,4%</w:t>
            </w:r>
          </w:p>
        </w:tc>
        <w:tc>
          <w:tcPr>
            <w:tcW w:type="dxa" w:w="957"/>
            <w:tcBorders>
              <w:lef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0,7%</w:t>
            </w:r>
          </w:p>
        </w:tc>
        <w:tc>
          <w:tcPr>
            <w:tcW w:type="dxa" w:w="959"/>
            <w:tcBorders>
              <w:righ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-1,1%</w:t>
            </w:r>
          </w:p>
        </w:tc>
      </w:tr>
      <w:tr>
        <w:trPr>
          <w:trHeight w:hRule="atLeast" w:val="198"/>
          <w:cantSplit w:val="false"/>
        </w:trPr>
        <w:tc>
          <w:tcPr>
            <w:tcW w:type="dxa" w:w="4389"/>
            <w:tcBorders>
              <w:left w:color="00B0F0" w:space="0" w:sz="4" w:val="single"/>
              <w:right w:color="00B0F0" w:space="0" w:sz="4" w:val="single"/>
            </w:tcBorders>
            <w:shd w:fill="DAEEF3" w:val="clear"/>
            <w:tcMar>
              <w:top w:type="dxa" w:w="0"/>
              <w:left w:type="dxa" w:w="108"/>
              <w:bottom w:type="dxa" w:w="0"/>
              <w:right w:type="dxa" w:w="108"/>
            </w:tcMar>
            <w:vAlign w:val="center"/>
          </w:tcPr>
          <w:p>
            <w:pPr>
              <w:pStyle w:val="style0"/>
              <w:ind w:firstLine="320" w:left="0" w:right="0"/>
            </w:pPr>
            <w:r>
              <w:rPr>
                <w:rFonts w:cs="Cambria"/>
                <w:b/>
                <w:bCs/>
                <w:color w:val="000000"/>
                <w:sz w:val="22"/>
                <w:szCs w:val="22"/>
              </w:rPr>
              <w:t>Έπιπλα</w:t>
            </w:r>
          </w:p>
        </w:tc>
        <w:tc>
          <w:tcPr>
            <w:tcW w:type="dxa" w:w="956"/>
            <w:tcBorders>
              <w:lef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2,0%</w:t>
            </w:r>
          </w:p>
        </w:tc>
        <w:tc>
          <w:tcPr>
            <w:tcW w:type="dxa" w:w="956"/>
            <w:tcBorders>
              <w:righ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5,4%</w:t>
            </w:r>
          </w:p>
        </w:tc>
        <w:tc>
          <w:tcPr>
            <w:tcW w:type="dxa" w:w="957"/>
            <w:tcBorders>
              <w:lef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11,3%</w:t>
            </w:r>
          </w:p>
        </w:tc>
        <w:tc>
          <w:tcPr>
            <w:tcW w:type="dxa" w:w="959"/>
            <w:tcBorders>
              <w:righ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-0,8%</w:t>
            </w:r>
          </w:p>
        </w:tc>
      </w:tr>
      <w:tr>
        <w:trPr>
          <w:trHeight w:hRule="atLeast" w:val="198"/>
          <w:cantSplit w:val="false"/>
        </w:trPr>
        <w:tc>
          <w:tcPr>
            <w:tcW w:type="dxa" w:w="4389"/>
            <w:tcBorders>
              <w:left w:color="00B0F0" w:space="0" w:sz="4" w:val="single"/>
              <w:right w:color="00B0F0" w:space="0" w:sz="4" w:val="single"/>
            </w:tcBorders>
            <w:shd w:fill="auto" w:val="clear"/>
            <w:tcMar>
              <w:top w:type="dxa" w:w="0"/>
              <w:left w:type="dxa" w:w="108"/>
              <w:bottom w:type="dxa" w:w="0"/>
              <w:right w:type="dxa" w:w="108"/>
            </w:tcMar>
            <w:vAlign w:val="center"/>
          </w:tcPr>
          <w:p>
            <w:pPr>
              <w:pStyle w:val="style0"/>
              <w:ind w:firstLine="320" w:left="0" w:right="0"/>
            </w:pPr>
            <w:r>
              <w:rPr>
                <w:rFonts w:cs="Cambria"/>
                <w:b/>
                <w:bCs/>
                <w:color w:val="000000"/>
                <w:sz w:val="22"/>
                <w:szCs w:val="22"/>
              </w:rPr>
              <w:t>Άλλες μεταποιητικές δραστηριότητες</w:t>
            </w:r>
          </w:p>
        </w:tc>
        <w:tc>
          <w:tcPr>
            <w:tcW w:type="dxa" w:w="956"/>
            <w:tcBorders>
              <w:lef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-3,8%</w:t>
            </w:r>
          </w:p>
        </w:tc>
        <w:tc>
          <w:tcPr>
            <w:tcW w:type="dxa" w:w="956"/>
            <w:tcBorders>
              <w:righ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5,1%</w:t>
            </w:r>
          </w:p>
        </w:tc>
        <w:tc>
          <w:tcPr>
            <w:tcW w:type="dxa" w:w="957"/>
            <w:tcBorders>
              <w:lef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-0,5%</w:t>
            </w:r>
          </w:p>
        </w:tc>
        <w:tc>
          <w:tcPr>
            <w:tcW w:type="dxa" w:w="959"/>
            <w:tcBorders>
              <w:right w:color="00B0F0"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rPr>
              <w:t>3,8%</w:t>
            </w:r>
          </w:p>
        </w:tc>
      </w:tr>
      <w:tr>
        <w:trPr>
          <w:trHeight w:hRule="atLeast" w:val="198"/>
          <w:cantSplit w:val="false"/>
        </w:trPr>
        <w:tc>
          <w:tcPr>
            <w:tcW w:type="dxa" w:w="4389"/>
            <w:tcBorders>
              <w:left w:color="00B0F0" w:space="0" w:sz="4" w:val="single"/>
              <w:bottom w:color="00B0F0" w:space="0" w:sz="4" w:val="single"/>
              <w:right w:color="00B0F0" w:space="0" w:sz="4" w:val="single"/>
            </w:tcBorders>
            <w:shd w:fill="DAEEF3" w:val="clear"/>
            <w:tcMar>
              <w:top w:type="dxa" w:w="0"/>
              <w:left w:type="dxa" w:w="108"/>
              <w:bottom w:type="dxa" w:w="0"/>
              <w:right w:type="dxa" w:w="108"/>
            </w:tcMar>
            <w:vAlign w:val="center"/>
          </w:tcPr>
          <w:p>
            <w:pPr>
              <w:pStyle w:val="style0"/>
              <w:ind w:firstLine="320" w:left="0" w:right="0"/>
            </w:pPr>
            <w:r>
              <w:rPr>
                <w:rFonts w:cs="Cambria"/>
                <w:b/>
                <w:bCs/>
                <w:color w:val="000000"/>
                <w:sz w:val="22"/>
                <w:szCs w:val="22"/>
                <w:lang w:val="el-GR"/>
              </w:rPr>
              <w:t xml:space="preserve">Επισκευή και εγκατάσταση μηχανημάτων </w:t>
            </w:r>
          </w:p>
        </w:tc>
        <w:tc>
          <w:tcPr>
            <w:tcW w:type="dxa" w:w="956"/>
            <w:tcBorders>
              <w:left w:color="00B0F0" w:space="0" w:sz="4" w:val="single"/>
              <w:bottom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7,5%</w:t>
            </w:r>
          </w:p>
        </w:tc>
        <w:tc>
          <w:tcPr>
            <w:tcW w:type="dxa" w:w="956"/>
            <w:tcBorders>
              <w:bottom w:color="00B0F0" w:space="0" w:sz="4" w:val="single"/>
              <w:righ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11,7%</w:t>
            </w:r>
          </w:p>
        </w:tc>
        <w:tc>
          <w:tcPr>
            <w:tcW w:type="dxa" w:w="957"/>
            <w:tcBorders>
              <w:left w:color="00B0F0" w:space="0" w:sz="4" w:val="single"/>
              <w:bottom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4,9%</w:t>
            </w:r>
          </w:p>
        </w:tc>
        <w:tc>
          <w:tcPr>
            <w:tcW w:type="dxa" w:w="959"/>
            <w:tcBorders>
              <w:bottom w:color="00B0F0" w:space="0" w:sz="4" w:val="single"/>
              <w:right w:color="00B0F0" w:space="0" w:sz="4" w:val="single"/>
            </w:tcBorders>
            <w:shd w:fill="DAEEF3" w:val="clear"/>
            <w:tcMar>
              <w:top w:type="dxa" w:w="0"/>
              <w:left w:type="dxa" w:w="108"/>
              <w:bottom w:type="dxa" w:w="0"/>
              <w:right w:type="dxa" w:w="108"/>
            </w:tcMar>
            <w:vAlign w:val="center"/>
          </w:tcPr>
          <w:p>
            <w:pPr>
              <w:pStyle w:val="style0"/>
              <w:jc w:val="right"/>
            </w:pPr>
            <w:r>
              <w:rPr>
                <w:rFonts w:cs="Cambria"/>
                <w:color w:val="000000"/>
                <w:sz w:val="22"/>
                <w:szCs w:val="22"/>
              </w:rPr>
              <w:t>4,3%</w:t>
            </w:r>
          </w:p>
        </w:tc>
      </w:tr>
    </w:tbl>
    <w:p>
      <w:pPr>
        <w:pStyle w:val="style0"/>
      </w:pPr>
      <w:r>
        <w:rPr/>
      </w:r>
    </w:p>
    <w:p>
      <w:pPr>
        <w:pStyle w:val="style0"/>
      </w:pPr>
      <w:r>
        <w:rPr>
          <w:rFonts w:cs="Arial"/>
          <w:b/>
          <w:color w:val="00AEEF"/>
          <w:lang w:val="el-GR"/>
        </w:rPr>
        <w:t>Δ15:</w:t>
      </w:r>
      <w:r>
        <w:rPr>
          <w:rFonts w:cs="Arial"/>
          <w:lang w:val="el-GR"/>
        </w:rPr>
        <w:t xml:space="preserve"> </w:t>
      </w:r>
      <w:r>
        <w:rPr>
          <w:rFonts w:cs="Arial"/>
          <w:b/>
          <w:lang w:val="el-GR"/>
        </w:rPr>
        <w:t xml:space="preserve">Μεταβολή κύκλου εργασιών στη βιομηχανία </w:t>
      </w:r>
    </w:p>
    <w:p>
      <w:pPr>
        <w:pStyle w:val="style0"/>
        <w:spacing w:after="80" w:before="0"/>
        <w:contextualSpacing w:val="false"/>
      </w:pPr>
      <w:r>
        <w:rPr>
          <w:rFonts w:cs="Arial"/>
          <w:i/>
          <w:color w:val="00AEEF"/>
          <w:lang w:val="el-GR"/>
        </w:rPr>
        <w:t>(ΕΛΣΤΑΤ, Σεπ. 2019</w:t>
      </w:r>
      <w:r>
        <w:rPr>
          <w:rFonts w:cs="Arial"/>
          <w:bCs/>
          <w:i/>
          <w:color w:val="00AEEF"/>
          <w:lang w:val="el-GR"/>
        </w:rPr>
        <w:t>)</w:t>
      </w:r>
    </w:p>
    <w:p>
      <w:pPr>
        <w:pStyle w:val="style0"/>
      </w:pPr>
      <w:r>
        <w:rPr>
          <w:lang w:val="el-GR"/>
        </w:rPr>
      </w:r>
    </w:p>
    <w:p>
      <w:pPr>
        <w:pStyle w:val="style0"/>
        <w:spacing w:after="0" w:before="160" w:line="300" w:lineRule="exact"/>
        <w:contextualSpacing w:val="false"/>
      </w:pPr>
      <w:r>
        <w:rPr>
          <w:rFonts w:cs="Arial"/>
          <w:sz w:val="22"/>
          <w:szCs w:val="22"/>
          <w:lang w:val="el-GR"/>
        </w:rPr>
        <w:t>Συνολικά, κατά το διάστημα Ιαν – Σεπ 2019, οι πωλήσεις της μεταποίησης πλην πετρελαιοειδών εμφανίζουν άνοδο +4,7%, επιπλέον αύξησης +3,3% το αντίστοιχο διάστημα του 2018. Στους περισσότερους κλάδους καταγράφονται θετικές μεταβολές, ιδίως στα φάρμακα (+24,5%), τον καπνό (+16,3%), τα ηλεκτρονικά προϊόντα και Η/Υ (+22,0%), τα οχήματα (+17,7%) και τα τρόφιμα (+2,8%). Κατά το ίδιο διάστημα, ο γενικός δείκτης κύκλου εργασιών στη βιομηχανία (περιλαμβανομένων των ορυχείων και του κλάδου διύλισης πετρελαίου) σημείωσε οριακή άνοδο (+0,1% έναντι αύξησης +10,5% κατά το αντίστοιχο διάστημα του 2018), καθώς επηρεάζεται έντονα από τις μεταβολές στις τιμές πετρελαίου. (</w:t>
      </w:r>
      <w:r>
        <w:rPr>
          <w:rFonts w:cs="Arial"/>
          <w:b/>
          <w:color w:val="00B0F0"/>
          <w:sz w:val="22"/>
          <w:szCs w:val="22"/>
          <w:lang w:val="el-GR"/>
        </w:rPr>
        <w:t>Δ15</w:t>
      </w:r>
      <w:r>
        <w:rPr>
          <w:rFonts w:cs="Arial"/>
          <w:sz w:val="22"/>
          <w:szCs w:val="22"/>
          <w:lang w:val="el-GR"/>
        </w:rPr>
        <w:t xml:space="preserve">). </w:t>
      </w:r>
    </w:p>
    <w:p>
      <w:pPr>
        <w:pStyle w:val="style0"/>
        <w:spacing w:after="0" w:before="160" w:line="300" w:lineRule="exact"/>
        <w:contextualSpacing w:val="false"/>
      </w:pPr>
      <w:r>
        <w:rPr>
          <w:rFonts w:cs="Arial"/>
          <w:b/>
          <w:color w:val="00AEEF"/>
          <w:lang w:val="el-GR"/>
        </w:rPr>
        <w:t>Δ14:</w:t>
      </w:r>
      <w:r>
        <w:rPr>
          <w:rFonts w:cs="Arial"/>
          <w:lang w:val="el-GR"/>
        </w:rPr>
        <w:t xml:space="preserve"> </w:t>
      </w:r>
      <w:r>
        <w:rPr>
          <w:rFonts w:cs="Arial"/>
          <w:b/>
          <w:lang w:val="el-GR"/>
        </w:rPr>
        <w:t xml:space="preserve">Εξέλιξη του κύκλου εργασιών στη μεταποίηση </w:t>
      </w:r>
    </w:p>
    <w:p>
      <w:pPr>
        <w:pStyle w:val="style0"/>
        <w:spacing w:after="80" w:before="0"/>
        <w:contextualSpacing w:val="false"/>
      </w:pPr>
      <w:r>
        <w:rPr>
          <w:rFonts w:cs="Arial"/>
          <w:i/>
          <w:color w:val="00AEEF"/>
          <w:lang w:val="el-GR"/>
        </w:rPr>
        <w:t>(ΕΛΣΤΑΤ, Σεπ. 2019</w:t>
      </w:r>
      <w:r>
        <w:rPr>
          <w:rFonts w:cs="Arial"/>
          <w:bCs/>
          <w:i/>
          <w:color w:val="00AEEF"/>
          <w:lang w:val="el-GR"/>
        </w:rPr>
        <w:t>)</w:t>
      </w:r>
    </w:p>
    <w:p>
      <w:pPr>
        <w:pStyle w:val="style0"/>
      </w:pPr>
      <w:r>
        <w:rPr/>
        <w:drawing>
          <wp:inline distB="0" distL="0" distR="0" distT="0">
            <wp:extent cx="3420110" cy="2232660"/>
            <wp:effectExtent b="0" l="0" r="0" t="0"/>
            <wp:docPr descr="" id="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2" name="Picture"/>
                    <pic:cNvPicPr>
                      <a:picLocks noChangeArrowheads="1" noChangeAspect="1"/>
                    </pic:cNvPicPr>
                  </pic:nvPicPr>
                  <pic:blipFill>
                    <a:blip r:embed="rId39"/>
                    <a:srcRect/>
                    <a:stretch>
                      <a:fillRect/>
                    </a:stretch>
                  </pic:blipFill>
                  <pic:spPr bwMode="auto">
                    <a:xfrm>
                      <a:off x="0" y="0"/>
                      <a:ext cx="3420110" cy="2232660"/>
                    </a:xfrm>
                    <a:prstGeom prst="rect">
                      <a:avLst/>
                    </a:prstGeom>
                    <a:noFill/>
                    <a:ln w="9525">
                      <a:noFill/>
                      <a:miter lim="800000"/>
                      <a:headEnd/>
                      <a:tailEnd/>
                    </a:ln>
                  </pic:spPr>
                </pic:pic>
              </a:graphicData>
            </a:graphic>
          </wp:inline>
        </w:drawing>
      </w:r>
    </w:p>
    <w:p>
      <w:pPr>
        <w:pStyle w:val="style0"/>
      </w:pPr>
      <w:r>
        <w:rPr>
          <w:rFonts w:cs="Arial"/>
          <w:b/>
          <w:color w:val="00AEEF"/>
          <w:sz w:val="22"/>
          <w:szCs w:val="22"/>
          <w:lang w:val="el-GR"/>
        </w:rPr>
      </w:r>
    </w:p>
    <w:p>
      <w:pPr>
        <w:pStyle w:val="style0"/>
        <w:pageBreakBefore/>
        <w:spacing w:after="0" w:before="160" w:line="300" w:lineRule="exact"/>
        <w:contextualSpacing w:val="false"/>
      </w:pPr>
      <w:r>
        <w:rPr>
          <w:rFonts w:cs="Arial"/>
          <w:b/>
          <w:color w:val="00AEEF"/>
          <w:sz w:val="22"/>
          <w:szCs w:val="22"/>
          <w:lang w:val="el-GR"/>
        </w:rPr>
        <w:t xml:space="preserve">Κρατικός προϋπολογισμός: </w:t>
      </w:r>
      <w:r>
        <w:rPr>
          <w:rFonts w:cs="Arial"/>
          <w:sz w:val="22"/>
          <w:szCs w:val="22"/>
          <w:lang w:val="el-GR"/>
        </w:rPr>
        <w:t>Σύμφωνα με τα προσωρινά στοιχεία εκτέλεσης του κρατικού προϋπολογισμού, για την περίοδο Ιαν – Οκτ 2019, το πρωτογενές πλεόνασμα ανήλθε σε €5.755 εκατ., έναντι στόχου για πρωτογενές πλεόνασμα €2.314 εκατ. και έναντι πρωτογενούς πλεονάσματος €3.811 εκατ. για την ίδια περίοδο το 2018.</w:t>
      </w:r>
    </w:p>
    <w:p>
      <w:pPr>
        <w:pStyle w:val="style0"/>
        <w:spacing w:after="0" w:before="160" w:line="300" w:lineRule="exact"/>
        <w:contextualSpacing w:val="false"/>
      </w:pPr>
      <w:r>
        <w:rPr>
          <w:rFonts w:cs="Arial"/>
          <w:sz w:val="22"/>
          <w:szCs w:val="22"/>
          <w:lang w:val="el-GR"/>
        </w:rPr>
        <w:t>Η επίτευξη μεγαλύτερου πλεονάσματος έναντι του στόχου οφείλεται κυρίως:</w:t>
      </w:r>
    </w:p>
    <w:p>
      <w:pPr>
        <w:pStyle w:val="style0"/>
        <w:spacing w:after="0" w:before="160" w:line="300" w:lineRule="exact"/>
        <w:contextualSpacing w:val="false"/>
      </w:pPr>
      <w:r>
        <w:rPr>
          <w:rFonts w:cs="Arial"/>
          <w:sz w:val="22"/>
          <w:szCs w:val="22"/>
          <w:u w:val="single"/>
          <w:lang w:val="el-GR"/>
        </w:rPr>
        <w:t>από την πλευρά των εσόδων</w:t>
      </w:r>
      <w:r>
        <w:rPr>
          <w:rFonts w:cs="Arial"/>
          <w:sz w:val="22"/>
          <w:szCs w:val="22"/>
          <w:lang w:val="el-GR"/>
        </w:rPr>
        <w:t>:</w:t>
      </w:r>
    </w:p>
    <w:p>
      <w:pPr>
        <w:pStyle w:val="style69"/>
        <w:numPr>
          <w:ilvl w:val="0"/>
          <w:numId w:val="2"/>
        </w:numPr>
        <w:spacing w:after="0" w:before="160" w:line="300" w:lineRule="exact"/>
        <w:ind w:hanging="284" w:left="426" w:right="0"/>
        <w:contextualSpacing/>
      </w:pPr>
      <w:r>
        <w:rPr>
          <w:rFonts w:cs="Arial"/>
          <w:sz w:val="22"/>
          <w:szCs w:val="22"/>
          <w:lang w:val="el-GR"/>
        </w:rPr>
        <w:t>στην είσπραξη €1.119  εκατ. που αφορά στο τίμημα (εκτός ΦΠΑ) της επέκτασης της σύμβασης παραχώρησης του Διεθνούς Αερολιμένα Αθηνών, που είχε αρχικά εκτιμηθεί ότι θα εισπραχθεί στο έτος 2018,</w:t>
      </w:r>
    </w:p>
    <w:p>
      <w:pPr>
        <w:pStyle w:val="style69"/>
        <w:numPr>
          <w:ilvl w:val="0"/>
          <w:numId w:val="2"/>
        </w:numPr>
        <w:spacing w:after="0" w:before="160" w:line="300" w:lineRule="exact"/>
        <w:ind w:hanging="284" w:left="426" w:right="0"/>
        <w:contextualSpacing/>
      </w:pPr>
      <w:r>
        <w:rPr>
          <w:rFonts w:cs="Arial"/>
          <w:sz w:val="22"/>
          <w:szCs w:val="22"/>
          <w:lang w:val="el-GR"/>
        </w:rPr>
        <w:t>στην είσπραξη ποσού €644 εκατ. από ANFAs τον Μάιο 2019 που δεν είχε προβλεφθεί στον Προϋπολογισμό 2019.</w:t>
      </w:r>
    </w:p>
    <w:p>
      <w:pPr>
        <w:pStyle w:val="style0"/>
        <w:spacing w:after="0" w:before="160" w:line="300" w:lineRule="exact"/>
        <w:contextualSpacing w:val="false"/>
      </w:pPr>
      <w:r>
        <w:rPr>
          <w:rFonts w:cs="Arial"/>
          <w:sz w:val="22"/>
          <w:szCs w:val="22"/>
          <w:u w:val="single"/>
          <w:lang w:val="el-GR"/>
        </w:rPr>
        <w:t>από την πλευρά των δαπανών</w:t>
      </w:r>
      <w:r>
        <w:rPr>
          <w:rFonts w:cs="Arial"/>
          <w:sz w:val="22"/>
          <w:szCs w:val="22"/>
          <w:lang w:val="el-GR"/>
        </w:rPr>
        <w:t>:</w:t>
      </w:r>
    </w:p>
    <w:p>
      <w:pPr>
        <w:pStyle w:val="style69"/>
        <w:numPr>
          <w:ilvl w:val="0"/>
          <w:numId w:val="2"/>
        </w:numPr>
        <w:spacing w:after="0" w:before="160" w:line="300" w:lineRule="exact"/>
        <w:ind w:hanging="284" w:left="426" w:right="0"/>
        <w:contextualSpacing/>
      </w:pPr>
      <w:r>
        <w:rPr>
          <w:rFonts w:cs="Arial"/>
          <w:sz w:val="22"/>
          <w:szCs w:val="22"/>
          <w:lang w:val="el-GR"/>
        </w:rPr>
        <w:t>στην υποεκτέλεση του ΠΔΕ κατά €811 εκατ.,</w:t>
      </w:r>
    </w:p>
    <w:p>
      <w:pPr>
        <w:pStyle w:val="style69"/>
        <w:numPr>
          <w:ilvl w:val="0"/>
          <w:numId w:val="2"/>
        </w:numPr>
        <w:spacing w:after="0" w:before="160" w:line="300" w:lineRule="exact"/>
        <w:ind w:hanging="284" w:left="426" w:right="0"/>
        <w:contextualSpacing/>
      </w:pPr>
      <w:r>
        <w:rPr>
          <w:rFonts w:cs="Arial"/>
          <w:sz w:val="22"/>
          <w:szCs w:val="22"/>
          <w:lang w:val="el-GR"/>
        </w:rPr>
        <w:t>στις μικρότερες έναντι του στόχου, πληρωμές οπλικών συστημάτων κατά €245 εκατ., οι οποίες δεν επηρεάζουν άμεσα το δημοσιονομικό αποτέλεσμα, καθότι σύμφωνα με την μεθοδολογία ESA το έλλειμμα επηρεάζεται από τις φυσικές παραλαβές,</w:t>
      </w:r>
    </w:p>
    <w:tbl>
      <w:tblPr>
        <w:jc w:val="left"/>
        <w:tblInd w:type="dxa" w:w="-108"/>
        <w:tblBorders>
          <w:top w:color="00000A" w:space="0" w:sz="4" w:val="single"/>
        </w:tblBorders>
      </w:tblPr>
      <w:tblGrid>
        <w:gridCol w:w="4819"/>
        <w:gridCol w:w="3974"/>
      </w:tblGrid>
      <w:tr>
        <w:trPr>
          <w:trHeight w:hRule="atLeast" w:val="284"/>
          <w:cantSplit w:val="false"/>
        </w:trPr>
        <w:tc>
          <w:tcPr>
            <w:tcW w:type="dxa" w:w="4819"/>
            <w:tcBorders>
              <w:top w:color="00000A" w:space="0" w:sz="4" w:val="single"/>
            </w:tcBorders>
            <w:shd w:fill="0070C0" w:val="clear"/>
            <w:tcMar>
              <w:top w:type="dxa" w:w="0"/>
              <w:left w:type="dxa" w:w="108"/>
              <w:bottom w:type="dxa" w:w="0"/>
              <w:right w:type="dxa" w:w="108"/>
            </w:tcMar>
            <w:vAlign w:val="bottom"/>
          </w:tcPr>
          <w:p>
            <w:pPr>
              <w:pStyle w:val="style0"/>
              <w:jc w:val="right"/>
            </w:pPr>
            <w:r>
              <w:rPr>
                <w:rFonts w:cs="Cambria"/>
                <w:i/>
                <w:color w:val="FFFFFF"/>
                <w:sz w:val="22"/>
                <w:szCs w:val="22"/>
                <w:lang w:val="el-GR"/>
              </w:rPr>
            </w:r>
          </w:p>
        </w:tc>
        <w:tc>
          <w:tcPr>
            <w:tcW w:type="dxa" w:w="3974"/>
            <w:gridSpan w:val="5"/>
            <w:tcBorders>
              <w:top w:color="00000A" w:space="0" w:sz="4" w:val="single"/>
            </w:tcBorders>
            <w:shd w:fill="0070C0" w:val="clear"/>
            <w:tcMar>
              <w:top w:type="dxa" w:w="0"/>
              <w:left w:type="dxa" w:w="108"/>
              <w:bottom w:type="dxa" w:w="0"/>
              <w:right w:type="dxa" w:w="108"/>
            </w:tcMar>
            <w:vAlign w:val="center"/>
          </w:tcPr>
          <w:p>
            <w:pPr>
              <w:pStyle w:val="style0"/>
              <w:jc w:val="center"/>
            </w:pPr>
            <w:r>
              <w:rPr>
                <w:rFonts w:cs="Cambria"/>
                <w:b/>
                <w:color w:val="FFFFFF"/>
                <w:sz w:val="22"/>
                <w:szCs w:val="22"/>
                <w:lang w:val="el-GR"/>
              </w:rPr>
              <w:t>Ιανουάριος - Οκτώβριος</w:t>
            </w:r>
          </w:p>
        </w:tc>
      </w:tr>
      <w:tr>
        <w:trPr>
          <w:trHeight w:hRule="atLeast" w:val="284"/>
          <w:cantSplit w:val="false"/>
        </w:trPr>
        <w:tc>
          <w:tcPr>
            <w:tcW w:type="dxa" w:w="4819"/>
            <w:tcBorders>
              <w:bottom w:color="00000A" w:space="0" w:sz="4" w:val="single"/>
            </w:tcBorders>
            <w:shd w:fill="0070C0" w:val="clear"/>
            <w:tcMar>
              <w:top w:type="dxa" w:w="0"/>
              <w:left w:type="dxa" w:w="108"/>
              <w:bottom w:type="dxa" w:w="0"/>
              <w:right w:type="dxa" w:w="108"/>
            </w:tcMar>
            <w:vAlign w:val="bottom"/>
          </w:tcPr>
          <w:p>
            <w:pPr>
              <w:pStyle w:val="style0"/>
              <w:jc w:val="right"/>
            </w:pPr>
            <w:r>
              <w:rPr>
                <w:rFonts w:cs="Cambria"/>
                <w:i/>
                <w:color w:val="FFFFFF"/>
                <w:sz w:val="22"/>
                <w:szCs w:val="22"/>
                <w:lang w:val="el-GR"/>
              </w:rPr>
              <w:t>(ποσά σε € εκατ.)</w:t>
            </w:r>
          </w:p>
        </w:tc>
        <w:tc>
          <w:tcPr>
            <w:tcW w:type="dxa" w:w="713"/>
            <w:tcBorders>
              <w:bottom w:color="00000A" w:space="0" w:sz="4" w:val="single"/>
            </w:tcBorders>
            <w:shd w:fill="0070C0" w:val="clear"/>
            <w:tcMar>
              <w:top w:type="dxa" w:w="0"/>
              <w:left w:type="dxa" w:w="108"/>
              <w:bottom w:type="dxa" w:w="0"/>
              <w:right w:type="dxa" w:w="108"/>
            </w:tcMar>
            <w:vAlign w:val="center"/>
          </w:tcPr>
          <w:p>
            <w:pPr>
              <w:pStyle w:val="style0"/>
              <w:jc w:val="center"/>
            </w:pPr>
            <w:r>
              <w:rPr>
                <w:rFonts w:cs="Cambria"/>
                <w:b/>
                <w:color w:val="FFFFFF"/>
                <w:sz w:val="22"/>
                <w:szCs w:val="22"/>
                <w:lang w:val="el-GR"/>
              </w:rPr>
              <w:t>2018</w:t>
            </w:r>
          </w:p>
        </w:tc>
        <w:tc>
          <w:tcPr>
            <w:tcW w:type="dxa" w:w="708"/>
            <w:tcBorders>
              <w:bottom w:color="00000A" w:space="0" w:sz="4" w:val="single"/>
            </w:tcBorders>
            <w:shd w:fill="0070C0" w:val="clear"/>
            <w:tcMar>
              <w:top w:type="dxa" w:w="0"/>
              <w:left w:type="dxa" w:w="108"/>
              <w:bottom w:type="dxa" w:w="0"/>
              <w:right w:type="dxa" w:w="108"/>
            </w:tcMar>
            <w:vAlign w:val="center"/>
          </w:tcPr>
          <w:p>
            <w:pPr>
              <w:pStyle w:val="style0"/>
              <w:jc w:val="center"/>
            </w:pPr>
            <w:r>
              <w:rPr>
                <w:rFonts w:cs="Cambria"/>
                <w:b/>
                <w:color w:val="FFFFFF"/>
                <w:sz w:val="22"/>
                <w:szCs w:val="22"/>
                <w:lang w:val="el-GR"/>
              </w:rPr>
              <w:t>2019</w:t>
            </w:r>
          </w:p>
        </w:tc>
        <w:tc>
          <w:tcPr>
            <w:tcW w:type="dxa" w:w="714"/>
            <w:tcBorders>
              <w:bottom w:color="00000A" w:space="0" w:sz="4" w:val="single"/>
            </w:tcBorders>
            <w:shd w:fill="0070C0" w:val="clear"/>
            <w:tcMar>
              <w:top w:type="dxa" w:w="0"/>
              <w:left w:type="dxa" w:w="108"/>
              <w:bottom w:type="dxa" w:w="0"/>
              <w:right w:type="dxa" w:w="108"/>
            </w:tcMar>
            <w:vAlign w:val="center"/>
          </w:tcPr>
          <w:p>
            <w:pPr>
              <w:pStyle w:val="style0"/>
              <w:jc w:val="center"/>
            </w:pPr>
            <w:r>
              <w:rPr>
                <w:rFonts w:cs="Cambria"/>
                <w:b/>
                <w:color w:val="FFFFFF"/>
                <w:sz w:val="22"/>
                <w:szCs w:val="22"/>
                <w:lang w:val="el-GR"/>
              </w:rPr>
              <w:t>%Δ</w:t>
            </w:r>
          </w:p>
        </w:tc>
        <w:tc>
          <w:tcPr>
            <w:tcW w:type="dxa" w:w="844"/>
            <w:tcBorders>
              <w:bottom w:color="00000A" w:space="0" w:sz="4" w:val="single"/>
            </w:tcBorders>
            <w:shd w:fill="0070C0" w:val="clear"/>
            <w:tcMar>
              <w:top w:type="dxa" w:w="0"/>
              <w:left w:type="dxa" w:w="108"/>
              <w:bottom w:type="dxa" w:w="0"/>
              <w:right w:type="dxa" w:w="108"/>
            </w:tcMar>
            <w:vAlign w:val="center"/>
          </w:tcPr>
          <w:p>
            <w:pPr>
              <w:pStyle w:val="style0"/>
              <w:jc w:val="center"/>
            </w:pPr>
            <w:r>
              <w:rPr>
                <w:rFonts w:cs="Cambria"/>
                <w:b/>
                <w:color w:val="FFFFFF"/>
                <w:sz w:val="22"/>
                <w:szCs w:val="22"/>
                <w:lang w:val="el-GR"/>
              </w:rPr>
              <w:t>Στόχος</w:t>
            </w:r>
          </w:p>
        </w:tc>
        <w:tc>
          <w:tcPr>
            <w:tcW w:type="dxa" w:w="995"/>
            <w:tcBorders>
              <w:bottom w:color="00000A" w:space="0" w:sz="4" w:val="single"/>
            </w:tcBorders>
            <w:shd w:fill="0070C0" w:val="clear"/>
            <w:tcMar>
              <w:top w:type="dxa" w:w="0"/>
              <w:left w:type="dxa" w:w="108"/>
              <w:bottom w:type="dxa" w:w="0"/>
              <w:right w:type="dxa" w:w="108"/>
            </w:tcMar>
            <w:vAlign w:val="center"/>
          </w:tcPr>
          <w:p>
            <w:pPr>
              <w:pStyle w:val="style0"/>
              <w:jc w:val="center"/>
            </w:pPr>
            <w:r>
              <w:rPr>
                <w:rFonts w:cs="Cambria"/>
                <w:b/>
                <w:color w:val="FFFFFF"/>
                <w:sz w:val="22"/>
                <w:szCs w:val="22"/>
                <w:lang w:val="el-GR"/>
              </w:rPr>
              <w:t>Διαφορά με στόχο</w:t>
            </w:r>
          </w:p>
        </w:tc>
      </w:tr>
      <w:tr>
        <w:trPr>
          <w:trHeight w:hRule="atLeast" w:val="284"/>
          <w:cantSplit w:val="false"/>
        </w:trPr>
        <w:tc>
          <w:tcPr>
            <w:tcW w:type="dxa" w:w="4819"/>
            <w:tcBorders>
              <w:top w:color="00000A" w:space="0" w:sz="4" w:val="single"/>
            </w:tcBorders>
            <w:shd w:fill="FFFFFF" w:val="clear"/>
            <w:tcMar>
              <w:top w:type="dxa" w:w="0"/>
              <w:left w:type="dxa" w:w="108"/>
              <w:bottom w:type="dxa" w:w="0"/>
              <w:right w:type="dxa" w:w="108"/>
            </w:tcMar>
            <w:vAlign w:val="center"/>
          </w:tcPr>
          <w:p>
            <w:pPr>
              <w:pStyle w:val="style0"/>
            </w:pPr>
            <w:r>
              <w:rPr>
                <w:rFonts w:cs="Cambria"/>
                <w:sz w:val="22"/>
                <w:szCs w:val="22"/>
                <w:lang w:val="el-GR"/>
              </w:rPr>
              <w:t>Καθαρά έσοδα τακτικού προϋπολογισμού</w:t>
            </w:r>
          </w:p>
        </w:tc>
        <w:tc>
          <w:tcPr>
            <w:tcW w:type="dxa" w:w="713"/>
            <w:tcBorders>
              <w:top w:color="00000A"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lang w:val="el-GR"/>
              </w:rPr>
              <w:t>39.377</w:t>
            </w:r>
          </w:p>
        </w:tc>
        <w:tc>
          <w:tcPr>
            <w:tcW w:type="dxa" w:w="708"/>
            <w:tcBorders>
              <w:top w:color="00000A"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lang w:val="el-GR"/>
              </w:rPr>
              <w:t>41.798</w:t>
            </w:r>
          </w:p>
        </w:tc>
        <w:tc>
          <w:tcPr>
            <w:tcW w:type="dxa" w:w="714"/>
            <w:tcBorders>
              <w:top w:color="00000A"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lang w:val="el-GR"/>
              </w:rPr>
              <w:t>6,1%</w:t>
            </w:r>
          </w:p>
        </w:tc>
        <w:tc>
          <w:tcPr>
            <w:tcW w:type="dxa" w:w="844"/>
            <w:tcBorders>
              <w:top w:color="00000A"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lang w:val="el-GR"/>
              </w:rPr>
              <w:t>39.276</w:t>
            </w:r>
          </w:p>
        </w:tc>
        <w:tc>
          <w:tcPr>
            <w:tcW w:type="dxa" w:w="995"/>
            <w:tcBorders>
              <w:top w:color="00000A"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lang w:val="el-GR"/>
              </w:rPr>
              <w:t>2.522</w:t>
            </w:r>
          </w:p>
        </w:tc>
      </w:tr>
      <w:tr>
        <w:trPr>
          <w:trHeight w:hRule="atLeast" w:val="284"/>
          <w:cantSplit w:val="false"/>
        </w:trPr>
        <w:tc>
          <w:tcPr>
            <w:tcW w:type="dxa" w:w="4819"/>
            <w:tcBorders/>
            <w:shd w:fill="FFFFFF" w:val="clear"/>
            <w:tcMar>
              <w:top w:type="dxa" w:w="0"/>
              <w:left w:type="dxa" w:w="108"/>
              <w:bottom w:type="dxa" w:w="0"/>
              <w:right w:type="dxa" w:w="108"/>
            </w:tcMar>
            <w:vAlign w:val="center"/>
          </w:tcPr>
          <w:p>
            <w:pPr>
              <w:pStyle w:val="style0"/>
            </w:pPr>
            <w:r>
              <w:rPr>
                <w:rFonts w:cs="Cambria"/>
                <w:sz w:val="22"/>
                <w:szCs w:val="22"/>
                <w:lang w:val="el-GR"/>
              </w:rPr>
              <w:t>Έσοδα ΠΔΕ</w:t>
            </w:r>
          </w:p>
        </w:tc>
        <w:tc>
          <w:tcPr>
            <w:tcW w:type="dxa" w:w="713"/>
            <w:tcBorders/>
            <w:shd w:fill="auto" w:val="clear"/>
            <w:tcMar>
              <w:top w:type="dxa" w:w="0"/>
              <w:left w:type="dxa" w:w="108"/>
              <w:bottom w:type="dxa" w:w="0"/>
              <w:right w:type="dxa" w:w="108"/>
            </w:tcMar>
            <w:vAlign w:val="center"/>
          </w:tcPr>
          <w:p>
            <w:pPr>
              <w:pStyle w:val="style0"/>
              <w:jc w:val="right"/>
            </w:pPr>
            <w:r>
              <w:rPr>
                <w:rFonts w:cs="Cambria"/>
                <w:color w:val="000000"/>
                <w:sz w:val="22"/>
                <w:szCs w:val="22"/>
                <w:lang w:val="el-GR"/>
              </w:rPr>
              <w:t>1.686</w:t>
            </w:r>
          </w:p>
        </w:tc>
        <w:tc>
          <w:tcPr>
            <w:tcW w:type="dxa" w:w="708"/>
            <w:tcBorders/>
            <w:shd w:fill="auto" w:val="clear"/>
            <w:tcMar>
              <w:top w:type="dxa" w:w="0"/>
              <w:left w:type="dxa" w:w="108"/>
              <w:bottom w:type="dxa" w:w="0"/>
              <w:right w:type="dxa" w:w="108"/>
            </w:tcMar>
            <w:vAlign w:val="center"/>
          </w:tcPr>
          <w:p>
            <w:pPr>
              <w:pStyle w:val="style0"/>
              <w:jc w:val="right"/>
            </w:pPr>
            <w:r>
              <w:rPr>
                <w:rFonts w:cs="Cambria"/>
                <w:color w:val="000000"/>
                <w:sz w:val="22"/>
                <w:szCs w:val="22"/>
                <w:lang w:val="el-GR"/>
              </w:rPr>
              <w:t>1.585</w:t>
            </w:r>
          </w:p>
        </w:tc>
        <w:tc>
          <w:tcPr>
            <w:tcW w:type="dxa" w:w="714"/>
            <w:tcBorders/>
            <w:shd w:fill="auto" w:val="clear"/>
            <w:tcMar>
              <w:top w:type="dxa" w:w="0"/>
              <w:left w:type="dxa" w:w="108"/>
              <w:bottom w:type="dxa" w:w="0"/>
              <w:right w:type="dxa" w:w="108"/>
            </w:tcMar>
            <w:vAlign w:val="center"/>
          </w:tcPr>
          <w:p>
            <w:pPr>
              <w:pStyle w:val="style0"/>
              <w:jc w:val="right"/>
            </w:pPr>
            <w:r>
              <w:rPr>
                <w:rFonts w:cs="Cambria"/>
                <w:color w:val="000000"/>
                <w:sz w:val="22"/>
                <w:szCs w:val="22"/>
                <w:lang w:val="el-GR"/>
              </w:rPr>
              <w:t>-6,0%</w:t>
            </w:r>
          </w:p>
        </w:tc>
        <w:tc>
          <w:tcPr>
            <w:tcW w:type="dxa" w:w="844"/>
            <w:tcBorders/>
            <w:shd w:fill="auto" w:val="clear"/>
            <w:tcMar>
              <w:top w:type="dxa" w:w="0"/>
              <w:left w:type="dxa" w:w="108"/>
              <w:bottom w:type="dxa" w:w="0"/>
              <w:right w:type="dxa" w:w="108"/>
            </w:tcMar>
            <w:vAlign w:val="center"/>
          </w:tcPr>
          <w:p>
            <w:pPr>
              <w:pStyle w:val="style0"/>
              <w:jc w:val="right"/>
            </w:pPr>
            <w:r>
              <w:rPr>
                <w:rFonts w:cs="Cambria"/>
                <w:color w:val="000000"/>
                <w:sz w:val="22"/>
                <w:szCs w:val="22"/>
                <w:lang w:val="el-GR"/>
              </w:rPr>
              <w:t>2.441</w:t>
            </w:r>
          </w:p>
        </w:tc>
        <w:tc>
          <w:tcPr>
            <w:tcW w:type="dxa" w:w="995"/>
            <w:tcBorders/>
            <w:shd w:fill="auto" w:val="clear"/>
            <w:tcMar>
              <w:top w:type="dxa" w:w="0"/>
              <w:left w:type="dxa" w:w="108"/>
              <w:bottom w:type="dxa" w:w="0"/>
              <w:right w:type="dxa" w:w="108"/>
            </w:tcMar>
            <w:vAlign w:val="center"/>
          </w:tcPr>
          <w:p>
            <w:pPr>
              <w:pStyle w:val="style0"/>
              <w:jc w:val="right"/>
            </w:pPr>
            <w:r>
              <w:rPr>
                <w:rFonts w:cs="Cambria"/>
                <w:color w:val="000000"/>
                <w:sz w:val="22"/>
                <w:szCs w:val="22"/>
                <w:lang w:val="el-GR"/>
              </w:rPr>
              <w:t>-856</w:t>
            </w:r>
          </w:p>
        </w:tc>
      </w:tr>
      <w:tr>
        <w:trPr>
          <w:trHeight w:hRule="atLeast" w:val="284"/>
          <w:cantSplit w:val="false"/>
        </w:trPr>
        <w:tc>
          <w:tcPr>
            <w:tcW w:type="dxa" w:w="4819"/>
            <w:tcBorders/>
            <w:shd w:fill="FFFFFF" w:val="clear"/>
            <w:tcMar>
              <w:top w:type="dxa" w:w="0"/>
              <w:left w:type="dxa" w:w="108"/>
              <w:bottom w:type="dxa" w:w="0"/>
              <w:right w:type="dxa" w:w="108"/>
            </w:tcMar>
            <w:vAlign w:val="center"/>
          </w:tcPr>
          <w:p>
            <w:pPr>
              <w:pStyle w:val="style0"/>
            </w:pPr>
            <w:r>
              <w:rPr>
                <w:rFonts w:cs="Cambria"/>
                <w:sz w:val="22"/>
                <w:szCs w:val="22"/>
                <w:lang w:val="el-GR"/>
              </w:rPr>
              <w:t>Πρωτογενείς δαπάνες (συνολικές δαπάνες πλην τόκων)</w:t>
            </w:r>
          </w:p>
        </w:tc>
        <w:tc>
          <w:tcPr>
            <w:tcW w:type="dxa" w:w="713"/>
            <w:tcBorders/>
            <w:shd w:fill="auto" w:val="clear"/>
            <w:tcMar>
              <w:top w:type="dxa" w:w="0"/>
              <w:left w:type="dxa" w:w="108"/>
              <w:bottom w:type="dxa" w:w="0"/>
              <w:right w:type="dxa" w:w="108"/>
            </w:tcMar>
            <w:vAlign w:val="center"/>
          </w:tcPr>
          <w:p>
            <w:pPr>
              <w:pStyle w:val="style0"/>
              <w:jc w:val="right"/>
            </w:pPr>
            <w:r>
              <w:rPr>
                <w:rFonts w:cs="Cambria"/>
                <w:color w:val="000000"/>
                <w:sz w:val="22"/>
                <w:szCs w:val="22"/>
                <w:lang w:val="el-GR"/>
              </w:rPr>
              <w:t>35.159</w:t>
            </w:r>
          </w:p>
        </w:tc>
        <w:tc>
          <w:tcPr>
            <w:tcW w:type="dxa" w:w="708"/>
            <w:tcBorders/>
            <w:shd w:fill="auto" w:val="clear"/>
            <w:tcMar>
              <w:top w:type="dxa" w:w="0"/>
              <w:left w:type="dxa" w:w="108"/>
              <w:bottom w:type="dxa" w:w="0"/>
              <w:right w:type="dxa" w:w="108"/>
            </w:tcMar>
            <w:vAlign w:val="center"/>
          </w:tcPr>
          <w:p>
            <w:pPr>
              <w:pStyle w:val="style0"/>
              <w:jc w:val="right"/>
            </w:pPr>
            <w:r>
              <w:rPr>
                <w:rFonts w:cs="Cambria"/>
                <w:color w:val="000000"/>
                <w:sz w:val="22"/>
                <w:szCs w:val="22"/>
                <w:lang w:val="el-GR"/>
              </w:rPr>
              <w:t>34.999</w:t>
            </w:r>
          </w:p>
        </w:tc>
        <w:tc>
          <w:tcPr>
            <w:tcW w:type="dxa" w:w="714"/>
            <w:tcBorders/>
            <w:shd w:fill="auto" w:val="clear"/>
            <w:tcMar>
              <w:top w:type="dxa" w:w="0"/>
              <w:left w:type="dxa" w:w="108"/>
              <w:bottom w:type="dxa" w:w="0"/>
              <w:right w:type="dxa" w:w="108"/>
            </w:tcMar>
            <w:vAlign w:val="center"/>
          </w:tcPr>
          <w:p>
            <w:pPr>
              <w:pStyle w:val="style0"/>
              <w:jc w:val="right"/>
            </w:pPr>
            <w:r>
              <w:rPr>
                <w:rFonts w:cs="Cambria"/>
                <w:color w:val="000000"/>
                <w:sz w:val="22"/>
                <w:szCs w:val="22"/>
                <w:lang w:val="el-GR"/>
              </w:rPr>
              <w:t>-0,5%</w:t>
            </w:r>
          </w:p>
        </w:tc>
        <w:tc>
          <w:tcPr>
            <w:tcW w:type="dxa" w:w="844"/>
            <w:tcBorders/>
            <w:shd w:fill="auto" w:val="clear"/>
            <w:tcMar>
              <w:top w:type="dxa" w:w="0"/>
              <w:left w:type="dxa" w:w="108"/>
              <w:bottom w:type="dxa" w:w="0"/>
              <w:right w:type="dxa" w:w="108"/>
            </w:tcMar>
            <w:vAlign w:val="center"/>
          </w:tcPr>
          <w:p>
            <w:pPr>
              <w:pStyle w:val="style0"/>
              <w:jc w:val="right"/>
            </w:pPr>
            <w:r>
              <w:rPr>
                <w:rFonts w:cs="Cambria"/>
                <w:color w:val="000000"/>
                <w:sz w:val="22"/>
                <w:szCs w:val="22"/>
                <w:lang w:val="el-GR"/>
              </w:rPr>
              <w:t>36.004</w:t>
            </w:r>
          </w:p>
        </w:tc>
        <w:tc>
          <w:tcPr>
            <w:tcW w:type="dxa" w:w="995"/>
            <w:tcBorders/>
            <w:shd w:fill="auto" w:val="clear"/>
            <w:tcMar>
              <w:top w:type="dxa" w:w="0"/>
              <w:left w:type="dxa" w:w="108"/>
              <w:bottom w:type="dxa" w:w="0"/>
              <w:right w:type="dxa" w:w="108"/>
            </w:tcMar>
            <w:vAlign w:val="center"/>
          </w:tcPr>
          <w:p>
            <w:pPr>
              <w:pStyle w:val="style0"/>
              <w:jc w:val="right"/>
            </w:pPr>
            <w:r>
              <w:rPr>
                <w:rFonts w:cs="Cambria"/>
                <w:color w:val="000000"/>
                <w:sz w:val="22"/>
                <w:szCs w:val="22"/>
                <w:lang w:val="el-GR"/>
              </w:rPr>
              <w:t>-1.005</w:t>
            </w:r>
          </w:p>
        </w:tc>
      </w:tr>
      <w:tr>
        <w:trPr>
          <w:trHeight w:hRule="atLeast" w:val="284"/>
          <w:cantSplit w:val="false"/>
        </w:trPr>
        <w:tc>
          <w:tcPr>
            <w:tcW w:type="dxa" w:w="4819"/>
            <w:tcBorders/>
            <w:shd w:fill="FFFFFF" w:val="clear"/>
            <w:tcMar>
              <w:top w:type="dxa" w:w="0"/>
              <w:left w:type="dxa" w:w="108"/>
              <w:bottom w:type="dxa" w:w="0"/>
              <w:right w:type="dxa" w:w="108"/>
            </w:tcMar>
            <w:vAlign w:val="center"/>
          </w:tcPr>
          <w:p>
            <w:pPr>
              <w:pStyle w:val="style0"/>
            </w:pPr>
            <w:r>
              <w:rPr>
                <w:rFonts w:cs="Cambria"/>
                <w:sz w:val="22"/>
                <w:szCs w:val="22"/>
                <w:lang w:val="el-GR"/>
              </w:rPr>
              <w:t>Δαπάνες ΠΔΕ</w:t>
            </w:r>
          </w:p>
        </w:tc>
        <w:tc>
          <w:tcPr>
            <w:tcW w:type="dxa" w:w="713"/>
            <w:tcBorders/>
            <w:shd w:fill="auto" w:val="clear"/>
            <w:tcMar>
              <w:top w:type="dxa" w:w="0"/>
              <w:left w:type="dxa" w:w="108"/>
              <w:bottom w:type="dxa" w:w="0"/>
              <w:right w:type="dxa" w:w="108"/>
            </w:tcMar>
            <w:vAlign w:val="center"/>
          </w:tcPr>
          <w:p>
            <w:pPr>
              <w:pStyle w:val="style0"/>
              <w:jc w:val="right"/>
            </w:pPr>
            <w:r>
              <w:rPr>
                <w:rFonts w:cs="Cambria"/>
                <w:color w:val="000000"/>
                <w:sz w:val="22"/>
                <w:szCs w:val="22"/>
                <w:lang w:val="el-GR"/>
              </w:rPr>
              <w:t>2.089</w:t>
            </w:r>
          </w:p>
        </w:tc>
        <w:tc>
          <w:tcPr>
            <w:tcW w:type="dxa" w:w="708"/>
            <w:tcBorders/>
            <w:shd w:fill="auto" w:val="clear"/>
            <w:tcMar>
              <w:top w:type="dxa" w:w="0"/>
              <w:left w:type="dxa" w:w="108"/>
              <w:bottom w:type="dxa" w:w="0"/>
              <w:right w:type="dxa" w:w="108"/>
            </w:tcMar>
            <w:vAlign w:val="center"/>
          </w:tcPr>
          <w:p>
            <w:pPr>
              <w:pStyle w:val="style0"/>
              <w:jc w:val="right"/>
            </w:pPr>
            <w:r>
              <w:rPr>
                <w:rFonts w:cs="Cambria"/>
                <w:color w:val="000000"/>
                <w:sz w:val="22"/>
                <w:szCs w:val="22"/>
                <w:lang w:val="el-GR"/>
              </w:rPr>
              <w:t>2.589</w:t>
            </w:r>
          </w:p>
        </w:tc>
        <w:tc>
          <w:tcPr>
            <w:tcW w:type="dxa" w:w="714"/>
            <w:tcBorders/>
            <w:shd w:fill="auto" w:val="clear"/>
            <w:tcMar>
              <w:top w:type="dxa" w:w="0"/>
              <w:left w:type="dxa" w:w="108"/>
              <w:bottom w:type="dxa" w:w="0"/>
              <w:right w:type="dxa" w:w="108"/>
            </w:tcMar>
            <w:vAlign w:val="center"/>
          </w:tcPr>
          <w:p>
            <w:pPr>
              <w:pStyle w:val="style0"/>
              <w:jc w:val="right"/>
            </w:pPr>
            <w:r>
              <w:rPr>
                <w:rFonts w:cs="Cambria"/>
                <w:color w:val="000000"/>
                <w:sz w:val="22"/>
                <w:szCs w:val="22"/>
                <w:lang w:val="el-GR"/>
              </w:rPr>
              <w:t>23,9%</w:t>
            </w:r>
          </w:p>
        </w:tc>
        <w:tc>
          <w:tcPr>
            <w:tcW w:type="dxa" w:w="844"/>
            <w:tcBorders/>
            <w:shd w:fill="auto" w:val="clear"/>
            <w:tcMar>
              <w:top w:type="dxa" w:w="0"/>
              <w:left w:type="dxa" w:w="108"/>
              <w:bottom w:type="dxa" w:w="0"/>
              <w:right w:type="dxa" w:w="108"/>
            </w:tcMar>
            <w:vAlign w:val="center"/>
          </w:tcPr>
          <w:p>
            <w:pPr>
              <w:pStyle w:val="style0"/>
              <w:jc w:val="right"/>
            </w:pPr>
            <w:r>
              <w:rPr>
                <w:rFonts w:cs="Cambria"/>
                <w:color w:val="000000"/>
                <w:sz w:val="22"/>
                <w:szCs w:val="22"/>
                <w:lang w:val="el-GR"/>
              </w:rPr>
              <w:t>3.400</w:t>
            </w:r>
          </w:p>
        </w:tc>
        <w:tc>
          <w:tcPr>
            <w:tcW w:type="dxa" w:w="995"/>
            <w:tcBorders/>
            <w:shd w:fill="auto" w:val="clear"/>
            <w:tcMar>
              <w:top w:type="dxa" w:w="0"/>
              <w:left w:type="dxa" w:w="108"/>
              <w:bottom w:type="dxa" w:w="0"/>
              <w:right w:type="dxa" w:w="108"/>
            </w:tcMar>
            <w:vAlign w:val="center"/>
          </w:tcPr>
          <w:p>
            <w:pPr>
              <w:pStyle w:val="style0"/>
              <w:jc w:val="right"/>
            </w:pPr>
            <w:r>
              <w:rPr>
                <w:rFonts w:cs="Cambria"/>
                <w:color w:val="000000"/>
                <w:sz w:val="22"/>
                <w:szCs w:val="22"/>
                <w:lang w:val="el-GR"/>
              </w:rPr>
              <w:t>-811</w:t>
            </w:r>
          </w:p>
        </w:tc>
      </w:tr>
      <w:tr>
        <w:trPr>
          <w:trHeight w:hRule="atLeast" w:val="284"/>
          <w:cantSplit w:val="false"/>
        </w:trPr>
        <w:tc>
          <w:tcPr>
            <w:tcW w:type="dxa" w:w="4819"/>
            <w:tcBorders/>
            <w:shd w:fill="FFFFFF" w:val="clear"/>
            <w:tcMar>
              <w:top w:type="dxa" w:w="0"/>
              <w:left w:type="dxa" w:w="108"/>
              <w:bottom w:type="dxa" w:w="0"/>
              <w:right w:type="dxa" w:w="108"/>
            </w:tcMar>
            <w:vAlign w:val="center"/>
          </w:tcPr>
          <w:p>
            <w:pPr>
              <w:pStyle w:val="style0"/>
            </w:pPr>
            <w:r>
              <w:rPr>
                <w:rFonts w:cs="Cambria"/>
                <w:b/>
                <w:sz w:val="22"/>
                <w:szCs w:val="22"/>
                <w:lang w:val="el-GR"/>
              </w:rPr>
              <w:t>Πρωτογενές πλεόνασμα</w:t>
            </w:r>
          </w:p>
        </w:tc>
        <w:tc>
          <w:tcPr>
            <w:tcW w:type="dxa" w:w="713"/>
            <w:tcBorders/>
            <w:shd w:fill="auto" w:val="clear"/>
            <w:tcMar>
              <w:top w:type="dxa" w:w="0"/>
              <w:left w:type="dxa" w:w="108"/>
              <w:bottom w:type="dxa" w:w="0"/>
              <w:right w:type="dxa" w:w="108"/>
            </w:tcMar>
            <w:vAlign w:val="center"/>
          </w:tcPr>
          <w:p>
            <w:pPr>
              <w:pStyle w:val="style0"/>
              <w:jc w:val="right"/>
            </w:pPr>
            <w:r>
              <w:rPr>
                <w:rFonts w:cs="Cambria"/>
                <w:b/>
                <w:bCs/>
                <w:color w:val="000000"/>
                <w:sz w:val="22"/>
                <w:szCs w:val="22"/>
                <w:lang w:val="el-GR"/>
              </w:rPr>
              <w:t>3.811</w:t>
            </w:r>
          </w:p>
        </w:tc>
        <w:tc>
          <w:tcPr>
            <w:tcW w:type="dxa" w:w="708"/>
            <w:tcBorders/>
            <w:shd w:fill="auto" w:val="clear"/>
            <w:tcMar>
              <w:top w:type="dxa" w:w="0"/>
              <w:left w:type="dxa" w:w="108"/>
              <w:bottom w:type="dxa" w:w="0"/>
              <w:right w:type="dxa" w:w="108"/>
            </w:tcMar>
            <w:vAlign w:val="center"/>
          </w:tcPr>
          <w:p>
            <w:pPr>
              <w:pStyle w:val="style0"/>
              <w:jc w:val="right"/>
            </w:pPr>
            <w:r>
              <w:rPr>
                <w:rFonts w:cs="Cambria"/>
                <w:b/>
                <w:bCs/>
                <w:color w:val="000000"/>
                <w:sz w:val="22"/>
                <w:szCs w:val="22"/>
                <w:lang w:val="el-GR"/>
              </w:rPr>
              <w:t>5.755</w:t>
            </w:r>
          </w:p>
        </w:tc>
        <w:tc>
          <w:tcPr>
            <w:tcW w:type="dxa" w:w="714"/>
            <w:tcBorders/>
            <w:shd w:fill="auto" w:val="clear"/>
            <w:tcMar>
              <w:top w:type="dxa" w:w="0"/>
              <w:left w:type="dxa" w:w="108"/>
              <w:bottom w:type="dxa" w:w="0"/>
              <w:right w:type="dxa" w:w="108"/>
            </w:tcMar>
            <w:vAlign w:val="center"/>
          </w:tcPr>
          <w:p>
            <w:pPr>
              <w:pStyle w:val="style0"/>
              <w:jc w:val="right"/>
            </w:pPr>
            <w:r>
              <w:rPr>
                <w:rFonts w:cs="Cambria"/>
                <w:b/>
                <w:color w:val="000000"/>
                <w:sz w:val="22"/>
                <w:szCs w:val="22"/>
                <w:lang w:val="el-GR"/>
              </w:rPr>
              <w:t>51,0%</w:t>
            </w:r>
          </w:p>
        </w:tc>
        <w:tc>
          <w:tcPr>
            <w:tcW w:type="dxa" w:w="844"/>
            <w:tcBorders/>
            <w:shd w:fill="auto" w:val="clear"/>
            <w:tcMar>
              <w:top w:type="dxa" w:w="0"/>
              <w:left w:type="dxa" w:w="108"/>
              <w:bottom w:type="dxa" w:w="0"/>
              <w:right w:type="dxa" w:w="108"/>
            </w:tcMar>
            <w:vAlign w:val="center"/>
          </w:tcPr>
          <w:p>
            <w:pPr>
              <w:pStyle w:val="style0"/>
              <w:jc w:val="right"/>
            </w:pPr>
            <w:r>
              <w:rPr>
                <w:rFonts w:cs="Cambria"/>
                <w:b/>
                <w:bCs/>
                <w:color w:val="000000"/>
                <w:sz w:val="22"/>
                <w:szCs w:val="22"/>
                <w:lang w:val="el-GR"/>
              </w:rPr>
              <w:t>2.314</w:t>
            </w:r>
          </w:p>
        </w:tc>
        <w:tc>
          <w:tcPr>
            <w:tcW w:type="dxa" w:w="995"/>
            <w:tcBorders/>
            <w:shd w:fill="auto" w:val="clear"/>
            <w:tcMar>
              <w:top w:type="dxa" w:w="0"/>
              <w:left w:type="dxa" w:w="108"/>
              <w:bottom w:type="dxa" w:w="0"/>
              <w:right w:type="dxa" w:w="108"/>
            </w:tcMar>
            <w:vAlign w:val="center"/>
          </w:tcPr>
          <w:p>
            <w:pPr>
              <w:pStyle w:val="style0"/>
              <w:jc w:val="right"/>
            </w:pPr>
            <w:r>
              <w:rPr>
                <w:rFonts w:cs="Cambria"/>
                <w:b/>
                <w:color w:val="000000"/>
                <w:sz w:val="22"/>
                <w:szCs w:val="22"/>
                <w:lang w:val="el-GR"/>
              </w:rPr>
              <w:t>3.441</w:t>
            </w:r>
          </w:p>
        </w:tc>
      </w:tr>
      <w:tr>
        <w:trPr>
          <w:trHeight w:hRule="atLeast" w:val="284"/>
          <w:cantSplit w:val="false"/>
        </w:trPr>
        <w:tc>
          <w:tcPr>
            <w:tcW w:type="dxa" w:w="4819"/>
            <w:tcBorders/>
            <w:shd w:fill="FFFFFF" w:val="clear"/>
            <w:tcMar>
              <w:top w:type="dxa" w:w="0"/>
              <w:left w:type="dxa" w:w="108"/>
              <w:bottom w:type="dxa" w:w="0"/>
              <w:right w:type="dxa" w:w="108"/>
            </w:tcMar>
            <w:vAlign w:val="center"/>
          </w:tcPr>
          <w:p>
            <w:pPr>
              <w:pStyle w:val="style0"/>
            </w:pPr>
            <w:r>
              <w:rPr>
                <w:rFonts w:cs="Cambria"/>
                <w:sz w:val="22"/>
                <w:szCs w:val="22"/>
                <w:lang w:val="el-GR"/>
              </w:rPr>
              <w:t>Τόκοι</w:t>
            </w:r>
          </w:p>
        </w:tc>
        <w:tc>
          <w:tcPr>
            <w:tcW w:type="dxa" w:w="713"/>
            <w:tcBorders/>
            <w:shd w:fill="auto" w:val="clear"/>
            <w:tcMar>
              <w:top w:type="dxa" w:w="0"/>
              <w:left w:type="dxa" w:w="108"/>
              <w:bottom w:type="dxa" w:w="0"/>
              <w:right w:type="dxa" w:w="108"/>
            </w:tcMar>
            <w:vAlign w:val="center"/>
          </w:tcPr>
          <w:p>
            <w:pPr>
              <w:pStyle w:val="style0"/>
              <w:jc w:val="right"/>
            </w:pPr>
            <w:r>
              <w:rPr>
                <w:rFonts w:cs="Cambria"/>
                <w:bCs/>
                <w:color w:val="000000"/>
                <w:sz w:val="22"/>
                <w:szCs w:val="22"/>
                <w:lang w:val="el-GR"/>
              </w:rPr>
              <w:t>4.276</w:t>
            </w:r>
          </w:p>
        </w:tc>
        <w:tc>
          <w:tcPr>
            <w:tcW w:type="dxa" w:w="708"/>
            <w:tcBorders/>
            <w:shd w:fill="auto" w:val="clear"/>
            <w:tcMar>
              <w:top w:type="dxa" w:w="0"/>
              <w:left w:type="dxa" w:w="108"/>
              <w:bottom w:type="dxa" w:w="0"/>
              <w:right w:type="dxa" w:w="108"/>
            </w:tcMar>
            <w:vAlign w:val="center"/>
          </w:tcPr>
          <w:p>
            <w:pPr>
              <w:pStyle w:val="style0"/>
              <w:jc w:val="right"/>
            </w:pPr>
            <w:r>
              <w:rPr>
                <w:rFonts w:cs="Cambria"/>
                <w:bCs/>
                <w:color w:val="000000"/>
                <w:sz w:val="22"/>
                <w:szCs w:val="22"/>
                <w:lang w:val="el-GR"/>
              </w:rPr>
              <w:t>4.874</w:t>
            </w:r>
          </w:p>
        </w:tc>
        <w:tc>
          <w:tcPr>
            <w:tcW w:type="dxa" w:w="714"/>
            <w:tcBorders/>
            <w:shd w:fill="auto" w:val="clear"/>
            <w:tcMar>
              <w:top w:type="dxa" w:w="0"/>
              <w:left w:type="dxa" w:w="108"/>
              <w:bottom w:type="dxa" w:w="0"/>
              <w:right w:type="dxa" w:w="108"/>
            </w:tcMar>
            <w:vAlign w:val="center"/>
          </w:tcPr>
          <w:p>
            <w:pPr>
              <w:pStyle w:val="style0"/>
              <w:jc w:val="right"/>
            </w:pPr>
            <w:r>
              <w:rPr>
                <w:rFonts w:cs="Cambria"/>
                <w:color w:val="000000"/>
                <w:sz w:val="22"/>
                <w:szCs w:val="22"/>
                <w:lang w:val="el-GR"/>
              </w:rPr>
              <w:t>14,0%</w:t>
            </w:r>
          </w:p>
        </w:tc>
        <w:tc>
          <w:tcPr>
            <w:tcW w:type="dxa" w:w="844"/>
            <w:tcBorders/>
            <w:shd w:fill="auto" w:val="clear"/>
            <w:tcMar>
              <w:top w:type="dxa" w:w="0"/>
              <w:left w:type="dxa" w:w="108"/>
              <w:bottom w:type="dxa" w:w="0"/>
              <w:right w:type="dxa" w:w="108"/>
            </w:tcMar>
            <w:vAlign w:val="center"/>
          </w:tcPr>
          <w:p>
            <w:pPr>
              <w:pStyle w:val="style0"/>
              <w:jc w:val="right"/>
            </w:pPr>
            <w:r>
              <w:rPr>
                <w:rFonts w:cs="Cambria"/>
                <w:bCs/>
                <w:color w:val="000000"/>
                <w:sz w:val="22"/>
                <w:szCs w:val="22"/>
                <w:lang w:val="el-GR"/>
              </w:rPr>
              <w:t>5.210</w:t>
            </w:r>
          </w:p>
        </w:tc>
        <w:tc>
          <w:tcPr>
            <w:tcW w:type="dxa" w:w="995"/>
            <w:tcBorders/>
            <w:shd w:fill="auto" w:val="clear"/>
            <w:tcMar>
              <w:top w:type="dxa" w:w="0"/>
              <w:left w:type="dxa" w:w="108"/>
              <w:bottom w:type="dxa" w:w="0"/>
              <w:right w:type="dxa" w:w="108"/>
            </w:tcMar>
            <w:vAlign w:val="center"/>
          </w:tcPr>
          <w:p>
            <w:pPr>
              <w:pStyle w:val="style0"/>
              <w:jc w:val="right"/>
            </w:pPr>
            <w:r>
              <w:rPr>
                <w:rFonts w:cs="Cambria"/>
                <w:color w:val="000000"/>
                <w:sz w:val="22"/>
                <w:szCs w:val="22"/>
                <w:lang w:val="el-GR"/>
              </w:rPr>
              <w:t>-336</w:t>
            </w:r>
          </w:p>
        </w:tc>
      </w:tr>
      <w:tr>
        <w:trPr>
          <w:trHeight w:hRule="atLeast" w:val="284"/>
          <w:cantSplit w:val="false"/>
        </w:trPr>
        <w:tc>
          <w:tcPr>
            <w:tcW w:type="dxa" w:w="4819"/>
            <w:tcBorders>
              <w:bottom w:color="00000A" w:space="0" w:sz="4" w:val="single"/>
            </w:tcBorders>
            <w:shd w:fill="FFFFFF" w:val="clear"/>
            <w:tcMar>
              <w:top w:type="dxa" w:w="0"/>
              <w:left w:type="dxa" w:w="108"/>
              <w:bottom w:type="dxa" w:w="0"/>
              <w:right w:type="dxa" w:w="108"/>
            </w:tcMar>
            <w:vAlign w:val="center"/>
          </w:tcPr>
          <w:p>
            <w:pPr>
              <w:pStyle w:val="style0"/>
            </w:pPr>
            <w:r>
              <w:rPr>
                <w:rFonts w:cs="Cambria"/>
                <w:sz w:val="22"/>
                <w:szCs w:val="22"/>
                <w:lang w:val="el-GR"/>
              </w:rPr>
              <w:t xml:space="preserve">Ισοζύγιο κρατικού προϋπολογισμού </w:t>
            </w:r>
            <w:r>
              <w:rPr>
                <w:rFonts w:cs="Cambria"/>
                <w:b/>
                <w:sz w:val="22"/>
                <w:szCs w:val="22"/>
                <w:lang w:val="el-GR"/>
              </w:rPr>
              <w:t>(+ πλεόνασμα, - έλλειμμα)</w:t>
            </w:r>
          </w:p>
        </w:tc>
        <w:tc>
          <w:tcPr>
            <w:tcW w:type="dxa" w:w="713"/>
            <w:tcBorders>
              <w:bottom w:color="00000A"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lang w:val="el-GR"/>
              </w:rPr>
              <w:t>-460</w:t>
            </w:r>
          </w:p>
        </w:tc>
        <w:tc>
          <w:tcPr>
            <w:tcW w:type="dxa" w:w="708"/>
            <w:tcBorders>
              <w:bottom w:color="00000A"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lang w:val="el-GR"/>
              </w:rPr>
              <w:t>921</w:t>
            </w:r>
          </w:p>
        </w:tc>
        <w:tc>
          <w:tcPr>
            <w:tcW w:type="dxa" w:w="714"/>
            <w:tcBorders>
              <w:bottom w:color="00000A"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lang w:val="el-GR"/>
              </w:rPr>
              <w:t>…</w:t>
            </w:r>
          </w:p>
        </w:tc>
        <w:tc>
          <w:tcPr>
            <w:tcW w:type="dxa" w:w="844"/>
            <w:tcBorders>
              <w:bottom w:color="00000A"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lang w:val="el-GR"/>
              </w:rPr>
              <w:t>-2.896</w:t>
            </w:r>
          </w:p>
        </w:tc>
        <w:tc>
          <w:tcPr>
            <w:tcW w:type="dxa" w:w="995"/>
            <w:tcBorders>
              <w:bottom w:color="00000A" w:space="0" w:sz="4" w:val="single"/>
            </w:tcBorders>
            <w:shd w:fill="auto" w:val="clear"/>
            <w:tcMar>
              <w:top w:type="dxa" w:w="0"/>
              <w:left w:type="dxa" w:w="108"/>
              <w:bottom w:type="dxa" w:w="0"/>
              <w:right w:type="dxa" w:w="108"/>
            </w:tcMar>
            <w:vAlign w:val="center"/>
          </w:tcPr>
          <w:p>
            <w:pPr>
              <w:pStyle w:val="style0"/>
              <w:jc w:val="right"/>
            </w:pPr>
            <w:r>
              <w:rPr>
                <w:rFonts w:cs="Cambria"/>
                <w:color w:val="000000"/>
                <w:sz w:val="22"/>
                <w:szCs w:val="22"/>
                <w:lang w:val="el-GR"/>
              </w:rPr>
              <w:t>3.817</w:t>
            </w:r>
          </w:p>
        </w:tc>
      </w:tr>
    </w:tbl>
    <w:p>
      <w:pPr>
        <w:pStyle w:val="style0"/>
      </w:pPr>
      <w:r>
        <w:rPr/>
      </w:r>
    </w:p>
    <w:p>
      <w:pPr>
        <w:pStyle w:val="style0"/>
      </w:pPr>
      <w:r>
        <w:rPr>
          <w:b/>
          <w:color w:val="00B0F0"/>
          <w:lang w:val="el-GR"/>
        </w:rPr>
        <w:t>Δ16:</w:t>
      </w:r>
      <w:r>
        <w:rPr>
          <w:b/>
          <w:color w:val="4F81BD"/>
          <w:lang w:val="el-GR"/>
        </w:rPr>
        <w:t xml:space="preserve"> </w:t>
      </w:r>
      <w:r>
        <w:rPr>
          <w:b/>
          <w:lang w:val="el-GR"/>
        </w:rPr>
        <w:t>Εκτέλεση κρατικού προϋπολογισμού</w:t>
      </w:r>
    </w:p>
    <w:p>
      <w:pPr>
        <w:pStyle w:val="style0"/>
      </w:pPr>
      <w:r>
        <w:rPr>
          <w:i/>
          <w:color w:val="00B0F0"/>
          <w:lang w:val="el-GR"/>
        </w:rPr>
        <w:t>(Υπουργείο Οικονομικών, Οκτ. 2019)</w:t>
      </w:r>
    </w:p>
    <w:p>
      <w:pPr>
        <w:pStyle w:val="style69"/>
        <w:numPr>
          <w:ilvl w:val="0"/>
          <w:numId w:val="2"/>
        </w:numPr>
        <w:spacing w:after="0" w:before="160" w:line="300" w:lineRule="exact"/>
        <w:ind w:hanging="284" w:left="426" w:right="0"/>
        <w:contextualSpacing/>
      </w:pPr>
      <w:r>
        <w:rPr>
          <w:rFonts w:cs="Arial"/>
          <w:sz w:val="22"/>
          <w:szCs w:val="22"/>
          <w:lang w:val="el-GR"/>
        </w:rPr>
        <w:t xml:space="preserve">στην πίστωση ύψους €982 εκατ., που είχε προβλεφθεί προκειμένου να υπάρχει η δυνατότητα πληρωμής, κατά το έτος 2019, των εφάπαξ χρηματικών ποσών του νόμου 4575/2018 σε περίπτωση μη ολοκλήρωσης των πληρωμών εντός του 2018 (στις πιστώσεις υπό κατανομή). </w:t>
      </w:r>
    </w:p>
    <w:p>
      <w:pPr>
        <w:pStyle w:val="style0"/>
        <w:spacing w:after="0" w:before="160" w:line="300" w:lineRule="exact"/>
        <w:contextualSpacing w:val="false"/>
      </w:pPr>
      <w:r>
        <w:rPr>
          <w:rFonts w:cs="Arial"/>
          <w:sz w:val="22"/>
          <w:szCs w:val="22"/>
          <w:lang w:val="el-GR"/>
        </w:rPr>
        <w:t>Το ύψος των καθαρών εσόδων του τακτικού προϋπολογισμού ανήλθε σε €41.798 εκατ., παρουσιάζοντας αύξηση κατά €2.522 εκατ. έναντι του στόχου που έχει περιληφθεί για το 2019 στην εισηγητική έκθεση του προϋπολογισμού 2019. Επίσης, οι πρωτογενείς δαπάνες του τακτικού προϋπολογισμού ανήλθαν σε €34.999 εκατ., μειωμένες κατά €1.005 εκατ. έναντι του στόχου, και οι δαπάνες για τόκους διαμορφώθηκαν σε €4.874 εκατ., μειωμένες κατά €336 εκατ. έναντι στόχου (</w:t>
      </w:r>
      <w:r>
        <w:rPr>
          <w:rFonts w:cs="Arial"/>
          <w:b/>
          <w:color w:val="00B0F0"/>
          <w:sz w:val="22"/>
          <w:szCs w:val="22"/>
          <w:lang w:val="el-GR"/>
        </w:rPr>
        <w:t>Δ16</w:t>
      </w:r>
      <w:r>
        <w:rPr>
          <w:rFonts w:cs="Arial"/>
          <w:sz w:val="22"/>
          <w:szCs w:val="22"/>
          <w:lang w:val="el-GR"/>
        </w:rPr>
        <w:t>).</w:t>
      </w:r>
    </w:p>
    <w:p>
      <w:pPr>
        <w:pStyle w:val="style0"/>
        <w:spacing w:after="0" w:before="160" w:line="300" w:lineRule="exact"/>
        <w:contextualSpacing w:val="false"/>
      </w:pPr>
      <w:r>
        <w:rPr>
          <w:rFonts w:cs="Arial"/>
          <w:sz w:val="22"/>
          <w:szCs w:val="22"/>
          <w:lang w:val="el-GR"/>
        </w:rPr>
        <w:t xml:space="preserve">Σημειώνεται ότι οι δαπάνες του κρατικού προϋπολογισμού για την περίοδο Ιαν -  Οκτ 2019 παρουσιάζονται αυξημένες σε σχέση με την αντίστοιχη περίοδο του 2018 κατά €938 εκατ. ευρώ, κυρίως λόγω: </w:t>
      </w:r>
    </w:p>
    <w:p>
      <w:pPr>
        <w:pStyle w:val="style69"/>
        <w:numPr>
          <w:ilvl w:val="0"/>
          <w:numId w:val="4"/>
        </w:numPr>
        <w:spacing w:after="0" w:before="160" w:line="300" w:lineRule="exact"/>
        <w:ind w:hanging="284" w:left="426" w:right="0"/>
        <w:contextualSpacing/>
      </w:pPr>
      <w:r>
        <w:rPr>
          <w:rFonts w:cs="Arial"/>
          <w:sz w:val="22"/>
          <w:szCs w:val="22"/>
          <w:lang w:val="el-GR"/>
        </w:rPr>
        <w:t xml:space="preserve">των αυξημένων επιχορηγήσεων προς τους ΟΚΑ κατά €1.140 εκατ., κυρίως για την χορήγηση της 13ης σύνταξης και την καταβολή οικογενειακών επιδομάτων </w:t>
      </w:r>
    </w:p>
    <w:p>
      <w:pPr>
        <w:pStyle w:val="style69"/>
        <w:numPr>
          <w:ilvl w:val="0"/>
          <w:numId w:val="4"/>
        </w:numPr>
        <w:spacing w:after="0" w:before="160" w:line="300" w:lineRule="exact"/>
        <w:ind w:hanging="284" w:left="426" w:right="0"/>
        <w:contextualSpacing/>
      </w:pPr>
      <w:r>
        <w:rPr>
          <w:rFonts w:cs="Arial"/>
          <w:sz w:val="22"/>
          <w:szCs w:val="22"/>
          <w:lang w:val="el-GR"/>
        </w:rPr>
        <w:t xml:space="preserve">των αυξημένων πληρωμών για τόκους κατά €598 εκατ. και </w:t>
      </w:r>
    </w:p>
    <w:p>
      <w:pPr>
        <w:pStyle w:val="style69"/>
        <w:numPr>
          <w:ilvl w:val="0"/>
          <w:numId w:val="4"/>
        </w:numPr>
        <w:spacing w:after="0" w:before="160" w:line="300" w:lineRule="exact"/>
        <w:ind w:hanging="284" w:left="426" w:right="0"/>
        <w:contextualSpacing/>
      </w:pPr>
      <w:r>
        <w:rPr>
          <w:rFonts w:cs="Arial"/>
          <w:sz w:val="22"/>
          <w:szCs w:val="22"/>
          <w:lang w:val="el-GR"/>
        </w:rPr>
        <w:t xml:space="preserve">των αυξημένων δαπανών ΠΔΕ κατά €500 εκατ. </w:t>
      </w:r>
    </w:p>
    <w:p>
      <w:pPr>
        <w:pStyle w:val="style69"/>
        <w:spacing w:after="0" w:before="160" w:line="300" w:lineRule="exact"/>
        <w:ind w:hanging="284" w:left="426" w:right="0"/>
        <w:contextualSpacing/>
      </w:pPr>
      <w:r>
        <w:rPr>
          <w:rFonts w:cs="Arial"/>
          <w:sz w:val="22"/>
          <w:szCs w:val="22"/>
          <w:lang w:val="el-GR"/>
        </w:rPr>
      </w:r>
    </w:p>
    <w:p>
      <w:pPr>
        <w:pStyle w:val="style0"/>
      </w:pPr>
      <w:r>
        <w:rPr>
          <w:rFonts w:cs="Arial"/>
          <w:b/>
          <w:color w:val="00AEEF"/>
          <w:sz w:val="22"/>
          <w:szCs w:val="22"/>
          <w:lang w:val="el-GR"/>
        </w:rPr>
      </w:r>
    </w:p>
    <w:p>
      <w:pPr>
        <w:pStyle w:val="style0"/>
        <w:pageBreakBefore/>
        <w:spacing w:after="0" w:before="160" w:line="300" w:lineRule="exact"/>
        <w:contextualSpacing w:val="false"/>
      </w:pPr>
      <w:r>
        <w:rPr>
          <w:rFonts w:cs="Arial"/>
          <w:b/>
          <w:color w:val="00AEEF"/>
          <w:sz w:val="22"/>
          <w:szCs w:val="22"/>
          <w:lang w:val="el-GR"/>
        </w:rPr>
        <w:t>Ληξιπρόθεσμες οφειλές:</w:t>
      </w:r>
      <w:r>
        <w:rPr>
          <w:lang w:val="el-GR"/>
        </w:rPr>
        <w:t xml:space="preserve"> </w:t>
      </w:r>
      <w:r>
        <w:rPr>
          <w:rFonts w:cs="Arial"/>
          <w:sz w:val="22"/>
          <w:szCs w:val="22"/>
          <w:lang w:val="el-GR"/>
        </w:rPr>
        <w:t>Μεγάλη μείωση του ρυθμού δημιουργίας νέων ληξιπρόθεσμων οφειλών προς την εφορία καταγράφουν τα στοιχεία της ΑΑΔΕ. Συγκεκριμένα, κατά την περίοδο αναφοράς Ιαν – Σεπ 2019 (από 1/12/2018 έως 31/8/2019) το ύψος των νέων ληξιπρόθεσμων οφειλών ανήλθε σε €5,2 δισ., έναντι €7,8 δισ. το αντίστοιχο διάστημα το 2018 (</w:t>
      </w:r>
      <w:r>
        <w:rPr>
          <w:rFonts w:cs="Arial"/>
          <w:b/>
          <w:color w:val="00B0F0"/>
          <w:sz w:val="22"/>
          <w:szCs w:val="22"/>
          <w:lang w:val="el-GR"/>
        </w:rPr>
        <w:t>Δ17</w:t>
      </w:r>
      <w:r>
        <w:rPr>
          <w:rFonts w:cs="Arial"/>
          <w:sz w:val="22"/>
          <w:szCs w:val="22"/>
          <w:lang w:val="el-GR"/>
        </w:rPr>
        <w:t xml:space="preserve">). Η εξέλιξη αυτή μπορεί να αποδοθεί στην προσπάθεια ένταξης στη ρύθμιση των 120 δόσεων. Σημειώνεται ότι από τα €5,2 δισ. των νέων ληξιπρόθεσμων οφειλών, τα €4,9 δισ. αφορούν φορολογικές υποχρεώσεις (έναντι €6,2 δισ. κατά το αντίστοιχο διάστημα το 2018). Με βάση τα παραπάνω στοιχεία, το σύνολο των ληξιπρόθεσμων οφειλών των ιδιωτών προς το δημόσιο ανήλθε τον Σεπτέμβριο του 2019 σε €104,9 δισ., εκ του οποίου ποσό €19,2 δισ. είναι χαρακτηρισμένο ως ανεπίδεκτο είσπραξης. </w:t>
      </w:r>
    </w:p>
    <w:p>
      <w:pPr>
        <w:pStyle w:val="style0"/>
        <w:spacing w:after="0" w:before="160" w:line="300" w:lineRule="exact"/>
        <w:contextualSpacing w:val="false"/>
      </w:pPr>
      <w:r>
        <w:rPr>
          <w:rFonts w:cs="Arial"/>
          <w:sz w:val="22"/>
          <w:szCs w:val="22"/>
          <w:lang w:val="el-GR"/>
        </w:rPr>
        <w:t>Την ίδια ώρα, οι ληξιπρόθεσμες οφειλές του κράτους προς τον ιδιωτικό τομέα δεν παρουσιάζουν άνοδο, παραμένοντας στο επίπεδο των €1,7 δισ. τον Σεπτέμβριο του 2019, έναντι €1,5 δισ. τον Δεκέμβριο του 2018 και €2,6 δισ. τον Δεκέμβριο του 2017.</w:t>
      </w:r>
      <w:r>
        <w:rPr>
          <w:rFonts w:cs="Arial"/>
          <w:b/>
          <w:sz w:val="22"/>
          <w:szCs w:val="22"/>
          <w:lang w:val="el-GR"/>
        </w:rPr>
        <w:t xml:space="preserve"> </w:t>
      </w:r>
      <w:r>
        <w:rPr>
          <w:rFonts w:cs="Arial"/>
          <w:sz w:val="22"/>
          <w:szCs w:val="22"/>
          <w:lang w:val="el-GR"/>
        </w:rPr>
        <w:t>Ανάλογη εικόνα καταγράφεται και στις εκκρεμείς επιστροφές φόρων, με το υπόλοιπό τους να ανέρχεται σε €874 εκατ. τον Σεπτέμβριο του 2019, έναντι €506 εκατ. τον Δεκέμβριο του 2018 και €765 εκατ. τον Δεκέμβριο του 2017 (</w:t>
      </w:r>
      <w:r>
        <w:rPr>
          <w:rFonts w:cs="Arial"/>
          <w:b/>
          <w:color w:val="00B0F0"/>
          <w:sz w:val="22"/>
          <w:szCs w:val="22"/>
          <w:lang w:val="el-GR"/>
        </w:rPr>
        <w:t>Δ18</w:t>
      </w:r>
      <w:r>
        <w:rPr>
          <w:rFonts w:cs="Arial"/>
          <w:sz w:val="22"/>
          <w:szCs w:val="22"/>
          <w:lang w:val="el-GR"/>
        </w:rPr>
        <w:t>).</w:t>
      </w:r>
    </w:p>
    <w:p>
      <w:pPr>
        <w:pStyle w:val="style0"/>
      </w:pPr>
      <w:r>
        <w:rPr>
          <w:b/>
          <w:color w:val="00B0F0"/>
          <w:lang w:val="el-GR"/>
        </w:rPr>
      </w:r>
    </w:p>
    <w:p>
      <w:pPr>
        <w:pStyle w:val="style0"/>
      </w:pPr>
      <w:r>
        <w:rPr>
          <w:b/>
          <w:color w:val="00B0F0"/>
          <w:lang w:val="el-GR"/>
        </w:rPr>
        <w:t>Δ17:</w:t>
      </w:r>
      <w:r>
        <w:rPr>
          <w:b/>
          <w:color w:val="4F81BD"/>
          <w:lang w:val="el-GR"/>
        </w:rPr>
        <w:t xml:space="preserve"> </w:t>
      </w:r>
      <w:r>
        <w:rPr>
          <w:b/>
          <w:lang w:val="el-GR"/>
        </w:rPr>
        <w:t>Νέες ληξιπρόθεσμες οφειλές προς το δημόσιο</w:t>
      </w:r>
    </w:p>
    <w:p>
      <w:pPr>
        <w:pStyle w:val="style0"/>
        <w:spacing w:after="120" w:before="0"/>
        <w:contextualSpacing w:val="false"/>
      </w:pPr>
      <w:r>
        <w:rPr>
          <w:i/>
          <w:color w:val="00B0F0"/>
          <w:lang w:val="el-GR"/>
        </w:rPr>
        <w:t>(ΑΑΔΕ, Σεπ. 2019)</w:t>
      </w:r>
    </w:p>
    <w:p>
      <w:pPr>
        <w:pStyle w:val="style0"/>
      </w:pPr>
      <w:r>
        <w:rPr/>
        <w:drawing>
          <wp:inline distB="0" distL="0" distR="0" distT="0">
            <wp:extent cx="3420110" cy="2233930"/>
            <wp:effectExtent b="0" l="0" r="0" t="0"/>
            <wp:docPr descr="" id="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3" name="Picture"/>
                    <pic:cNvPicPr>
                      <a:picLocks noChangeArrowheads="1" noChangeAspect="1"/>
                    </pic:cNvPicPr>
                  </pic:nvPicPr>
                  <pic:blipFill>
                    <a:blip r:embed="rId40"/>
                    <a:srcRect/>
                    <a:stretch>
                      <a:fillRect/>
                    </a:stretch>
                  </pic:blipFill>
                  <pic:spPr bwMode="auto">
                    <a:xfrm>
                      <a:off x="0" y="0"/>
                      <a:ext cx="3420110" cy="2233930"/>
                    </a:xfrm>
                    <a:prstGeom prst="rect">
                      <a:avLst/>
                    </a:prstGeom>
                    <a:noFill/>
                    <a:ln w="9525">
                      <a:noFill/>
                      <a:miter lim="800000"/>
                      <a:headEnd/>
                      <a:tailEnd/>
                    </a:ln>
                  </pic:spPr>
                </pic:pic>
              </a:graphicData>
            </a:graphic>
          </wp:inline>
        </w:drawing>
      </w:r>
    </w:p>
    <w:p>
      <w:pPr>
        <w:pStyle w:val="style0"/>
      </w:pPr>
      <w:r>
        <w:rPr>
          <w:b/>
          <w:color w:val="00B0F0"/>
          <w:lang w:val="el-GR"/>
        </w:rPr>
      </w:r>
    </w:p>
    <w:p>
      <w:pPr>
        <w:pStyle w:val="style0"/>
      </w:pPr>
      <w:r>
        <w:rPr>
          <w:b/>
          <w:color w:val="00B0F0"/>
          <w:lang w:val="el-GR"/>
        </w:rPr>
      </w:r>
    </w:p>
    <w:p>
      <w:pPr>
        <w:pStyle w:val="style0"/>
      </w:pPr>
      <w:r>
        <w:rPr>
          <w:b/>
          <w:color w:val="00B0F0"/>
          <w:lang w:val="el-GR"/>
        </w:rPr>
      </w:r>
    </w:p>
    <w:p>
      <w:pPr>
        <w:pStyle w:val="style0"/>
      </w:pPr>
      <w:r>
        <w:rPr>
          <w:b/>
          <w:color w:val="00B0F0"/>
          <w:lang w:val="el-GR"/>
        </w:rPr>
      </w:r>
    </w:p>
    <w:p>
      <w:pPr>
        <w:pStyle w:val="style0"/>
      </w:pPr>
      <w:r>
        <w:rPr>
          <w:b/>
          <w:color w:val="00B0F0"/>
          <w:lang w:val="el-GR"/>
        </w:rPr>
        <w:t>Δ18:</w:t>
      </w:r>
      <w:r>
        <w:rPr>
          <w:b/>
          <w:color w:val="4F81BD"/>
          <w:lang w:val="el-GR"/>
        </w:rPr>
        <w:t xml:space="preserve"> </w:t>
      </w:r>
      <w:r>
        <w:rPr>
          <w:b/>
          <w:lang w:val="el-GR"/>
        </w:rPr>
        <w:t>Ληξιπρόθεσμες οφειλές δημοσίου</w:t>
      </w:r>
    </w:p>
    <w:p>
      <w:pPr>
        <w:pStyle w:val="style0"/>
        <w:spacing w:after="120" w:before="0"/>
        <w:contextualSpacing w:val="false"/>
      </w:pPr>
      <w:r>
        <w:rPr>
          <w:i/>
          <w:color w:val="00B0F0"/>
          <w:lang w:val="el-GR"/>
        </w:rPr>
        <w:t>(Υπουργείο Οικονομικών, Σεπ. 2019)</w:t>
      </w:r>
    </w:p>
    <w:p>
      <w:pPr>
        <w:pStyle w:val="style0"/>
      </w:pPr>
      <w:r>
        <w:rPr/>
        <w:drawing>
          <wp:inline distB="0" distL="0" distR="0" distT="0">
            <wp:extent cx="3420110" cy="2233930"/>
            <wp:effectExtent b="0" l="0" r="0" t="0"/>
            <wp:docPr descr="" id="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4" name="Picture"/>
                    <pic:cNvPicPr>
                      <a:picLocks noChangeArrowheads="1" noChangeAspect="1"/>
                    </pic:cNvPicPr>
                  </pic:nvPicPr>
                  <pic:blipFill>
                    <a:blip r:embed="rId41"/>
                    <a:srcRect/>
                    <a:stretch>
                      <a:fillRect/>
                    </a:stretch>
                  </pic:blipFill>
                  <pic:spPr bwMode="auto">
                    <a:xfrm>
                      <a:off x="0" y="0"/>
                      <a:ext cx="3420110" cy="2233930"/>
                    </a:xfrm>
                    <a:prstGeom prst="rect">
                      <a:avLst/>
                    </a:prstGeom>
                    <a:noFill/>
                    <a:ln w="9525">
                      <a:noFill/>
                      <a:miter lim="800000"/>
                      <a:headEnd/>
                      <a:tailEnd/>
                    </a:ln>
                  </pic:spPr>
                </pic:pic>
              </a:graphicData>
            </a:graphic>
          </wp:inline>
        </w:drawing>
      </w:r>
    </w:p>
    <w:p>
      <w:pPr>
        <w:pStyle w:val="style0"/>
      </w:pPr>
      <w:r>
        <w:rPr/>
      </w:r>
    </w:p>
    <w:p>
      <w:pPr>
        <w:pStyle w:val="style0"/>
        <w:spacing w:after="0" w:before="160" w:line="300" w:lineRule="exact"/>
        <w:contextualSpacing w:val="false"/>
      </w:pPr>
      <w:r>
        <w:rPr>
          <w:rFonts w:cs="Arial"/>
          <w:b/>
          <w:color w:val="00AEEF"/>
          <w:sz w:val="22"/>
          <w:szCs w:val="22"/>
          <w:lang w:val="el-GR"/>
        </w:rPr>
        <w:t xml:space="preserve">Ισοζύγιο πληρωμών: </w:t>
      </w:r>
      <w:r>
        <w:rPr>
          <w:rFonts w:cs="Arial"/>
          <w:sz w:val="22"/>
          <w:szCs w:val="22"/>
          <w:lang w:val="el-GR"/>
        </w:rPr>
        <w:t>Σύμφωνα με στοιχεία της Τράπεζας της Ελλάδος, το έλλειμμα του ισοζυγίου αγαθών χωρίς καύσιμα και πλοία περιορίστηκε κατά €76,4 εκατ. τον Σεπτέμβριο του 2019, με τις εξαγωγές χωρίς καύσιμα και πλοία να καταγράφουν άνοδο κατά +7,7% και τις αντίστοιχες εισαγωγές κατά +6,5%.</w:t>
      </w:r>
    </w:p>
    <w:p>
      <w:pPr>
        <w:pStyle w:val="style0"/>
        <w:spacing w:after="0" w:before="160" w:line="300" w:lineRule="exact"/>
        <w:contextualSpacing w:val="false"/>
      </w:pPr>
      <w:r>
        <w:rPr>
          <w:rFonts w:cs="Arial"/>
          <w:sz w:val="22"/>
          <w:szCs w:val="22"/>
          <w:lang w:val="el-GR"/>
        </w:rPr>
        <w:t>Παράλληλα, το πλεόνασμα στο ισοζύγιο υπηρεσιών αυξήθηκε κατά €298,9 εκατ., λόγω της ανόδου των εισπράξεων από ταξιδιωτικές υπηρεσίες κατά +16% (</w:t>
      </w:r>
      <w:r>
        <w:rPr>
          <w:rFonts w:cs="Arial"/>
          <w:b/>
          <w:color w:val="00B0F0"/>
          <w:sz w:val="22"/>
          <w:szCs w:val="22"/>
          <w:lang w:val="el-GR"/>
        </w:rPr>
        <w:t>Δ19</w:t>
      </w:r>
      <w:r>
        <w:rPr>
          <w:rFonts w:cs="Arial"/>
          <w:sz w:val="22"/>
          <w:szCs w:val="22"/>
          <w:lang w:val="el-GR"/>
        </w:rPr>
        <w:t xml:space="preserve">). </w:t>
      </w:r>
    </w:p>
    <w:p>
      <w:pPr>
        <w:pStyle w:val="style0"/>
        <w:spacing w:after="0" w:before="160" w:line="300" w:lineRule="exact"/>
        <w:contextualSpacing w:val="false"/>
      </w:pPr>
      <w:r>
        <w:rPr>
          <w:rFonts w:cs="Arial"/>
          <w:color w:val="000000"/>
          <w:sz w:val="22"/>
          <w:szCs w:val="22"/>
          <w:lang w:eastAsia="el-GR" w:val="el-GR"/>
        </w:rPr>
        <w:t>Συνολικά, κατά το διάστημα Ιαν – Σεπ 2019, οι εξαγωγές χωρίς καύσιμα και πλοία σημείωσαν άνοδο +5,1% και οι αντίστοιχες εισαγωγές +4,8%, ενώ το έλλειμμα στο ισοζύγιο αγαθών χωρίς καύσιμα και πλοία αυξήθηκε κατά €560,5 εκατ. και ανήλθε σε €13,2 δισ. Την ίδια ώρα, το έλλειμμα στο ισοζύγιο καυσίμων παρουσίασε επίσης άνοδο κατά €107,1 εκατ. και διαμορφώθηκε σε €4,0 δισ., ενώ το έλλειμμα στο συνολικό ισοζύγιο αγαθών ανήλθε σε €17,5 δισ. Αντίθετα το ισοζύγιο υπηρεσιών βελτιώθηκε κατά €2 δισ. και διαμορφώθηκε σε πλεόνασμα ύψους €18,4 δισ., κυρίως λόγω της ανόδου των τουριστικών εισπράξεων κατά +14%. Ταυτόχρονα, οι εισπράξεις από μεταφορές αυξήθηκαν κατά +5,5% και από λοιπές υπηρεσίες κατά +2,2% (</w:t>
      </w:r>
      <w:r>
        <w:rPr>
          <w:rFonts w:cs="Arial"/>
          <w:b/>
          <w:color w:val="00B0F0"/>
          <w:sz w:val="22"/>
          <w:szCs w:val="22"/>
          <w:lang w:eastAsia="el-GR" w:val="el-GR"/>
        </w:rPr>
        <w:t>Δ19</w:t>
      </w:r>
      <w:r>
        <w:rPr>
          <w:rFonts w:cs="Arial"/>
          <w:color w:val="000000"/>
          <w:sz w:val="22"/>
          <w:szCs w:val="22"/>
          <w:lang w:eastAsia="el-GR" w:val="el-GR"/>
        </w:rPr>
        <w:t>).</w:t>
      </w:r>
    </w:p>
    <w:p>
      <w:pPr>
        <w:pStyle w:val="style0"/>
      </w:pPr>
      <w:r>
        <w:rPr>
          <w:lang w:val="el-GR"/>
        </w:rPr>
      </w:r>
    </w:p>
    <w:tbl>
      <w:tblPr>
        <w:jc w:val="left"/>
        <w:tblInd w:type="dxa" w:w="-108"/>
        <w:tblBorders>
          <w:top w:color="00AEEF" w:space="0" w:sz="4" w:val="single"/>
          <w:left w:color="00AEEF" w:space="0" w:sz="4" w:val="single"/>
          <w:bottom w:color="00AEEF" w:space="0" w:sz="4" w:val="single"/>
          <w:right w:color="00AEEF" w:space="0" w:sz="4" w:val="single"/>
        </w:tblBorders>
      </w:tblPr>
      <w:tblGrid>
        <w:gridCol w:w="3113"/>
        <w:gridCol w:w="1983"/>
        <w:gridCol w:w="851"/>
        <w:gridCol w:w="1771"/>
        <w:gridCol w:w="961"/>
      </w:tblGrid>
      <w:tr>
        <w:trPr>
          <w:trHeight w:hRule="atLeast" w:val="281"/>
          <w:cantSplit w:val="false"/>
        </w:trPr>
        <w:tc>
          <w:tcPr>
            <w:tcW w:type="dxa" w:w="3113"/>
            <w:tcBorders>
              <w:top w:color="00AEEF" w:space="0" w:sz="4" w:val="single"/>
              <w:left w:color="00AEEF" w:space="0" w:sz="4" w:val="single"/>
              <w:bottom w:color="00AEEF" w:space="0" w:sz="4" w:val="single"/>
              <w:right w:color="00AEEF" w:space="0" w:sz="4" w:val="single"/>
            </w:tcBorders>
            <w:shd w:fill="00AEEF" w:val="clear"/>
            <w:tcMar>
              <w:top w:type="dxa" w:w="0"/>
              <w:left w:type="dxa" w:w="108"/>
              <w:bottom w:type="dxa" w:w="0"/>
              <w:right w:type="dxa" w:w="108"/>
            </w:tcMar>
            <w:vAlign w:val="center"/>
          </w:tcPr>
          <w:p>
            <w:pPr>
              <w:pStyle w:val="style0"/>
              <w:jc w:val="right"/>
            </w:pPr>
            <w:r>
              <w:rPr>
                <w:rFonts w:cs="Arial"/>
                <w:i/>
                <w:iCs/>
                <w:sz w:val="16"/>
                <w:szCs w:val="16"/>
              </w:rPr>
              <w:t>(€ εκατ.)</w:t>
            </w:r>
          </w:p>
        </w:tc>
        <w:tc>
          <w:tcPr>
            <w:tcW w:type="dxa" w:w="1983"/>
            <w:gridSpan w:val="2"/>
            <w:tcBorders>
              <w:top w:color="00AEEF" w:space="0" w:sz="4" w:val="single"/>
              <w:bottom w:color="00AEEF" w:space="0" w:sz="4" w:val="single"/>
              <w:right w:color="00AEEF" w:space="0" w:sz="4" w:val="single"/>
            </w:tcBorders>
            <w:shd w:fill="00AEEF" w:val="clear"/>
            <w:tcMar>
              <w:top w:type="dxa" w:w="0"/>
              <w:left w:type="dxa" w:w="108"/>
              <w:bottom w:type="dxa" w:w="0"/>
              <w:right w:type="dxa" w:w="108"/>
            </w:tcMar>
            <w:vAlign w:val="center"/>
          </w:tcPr>
          <w:p>
            <w:pPr>
              <w:pStyle w:val="style0"/>
              <w:jc w:val="center"/>
            </w:pPr>
            <w:r>
              <w:rPr>
                <w:rFonts w:cs="Arial"/>
                <w:b/>
                <w:bCs/>
                <w:sz w:val="16"/>
                <w:szCs w:val="16"/>
              </w:rPr>
              <w:t xml:space="preserve">Ιαν - </w:t>
            </w:r>
            <w:r>
              <w:rPr>
                <w:rFonts w:cs="Arial"/>
                <w:b/>
                <w:bCs/>
                <w:sz w:val="16"/>
                <w:szCs w:val="16"/>
                <w:lang w:val="el-GR"/>
              </w:rPr>
              <w:t>Σεπ</w:t>
            </w:r>
          </w:p>
        </w:tc>
        <w:tc>
          <w:tcPr>
            <w:tcW w:type="dxa" w:w="851"/>
            <w:vMerge w:val="restart"/>
            <w:tcBorders>
              <w:top w:color="00AEEF" w:space="0" w:sz="4" w:val="single"/>
              <w:left w:color="00AEEF" w:space="0" w:sz="4" w:val="single"/>
              <w:bottom w:color="00AEEF" w:space="0" w:sz="4" w:val="single"/>
              <w:right w:color="00AEEF" w:space="0" w:sz="4" w:val="single"/>
            </w:tcBorders>
            <w:shd w:fill="00AEEF" w:val="clear"/>
            <w:tcMar>
              <w:top w:type="dxa" w:w="0"/>
              <w:left w:type="dxa" w:w="108"/>
              <w:bottom w:type="dxa" w:w="0"/>
              <w:right w:type="dxa" w:w="108"/>
            </w:tcMar>
            <w:vAlign w:val="center"/>
          </w:tcPr>
          <w:p>
            <w:pPr>
              <w:pStyle w:val="style0"/>
              <w:jc w:val="center"/>
            </w:pPr>
            <w:r>
              <w:rPr>
                <w:rFonts w:cs="Arial"/>
                <w:b/>
                <w:bCs/>
                <w:sz w:val="16"/>
                <w:szCs w:val="16"/>
              </w:rPr>
              <w:t>%Δ</w:t>
            </w:r>
          </w:p>
        </w:tc>
        <w:tc>
          <w:tcPr>
            <w:tcW w:type="dxa" w:w="1771"/>
            <w:gridSpan w:val="2"/>
            <w:tcBorders>
              <w:top w:color="00AEEF" w:space="0" w:sz="4" w:val="single"/>
              <w:bottom w:color="00AEEF" w:space="0" w:sz="4" w:val="single"/>
              <w:right w:color="00AEEF" w:space="0" w:sz="4" w:val="single"/>
            </w:tcBorders>
            <w:shd w:fill="00AEEF" w:val="clear"/>
            <w:tcMar>
              <w:top w:type="dxa" w:w="0"/>
              <w:left w:type="dxa" w:w="108"/>
              <w:bottom w:type="dxa" w:w="0"/>
              <w:right w:type="dxa" w:w="108"/>
            </w:tcMar>
            <w:vAlign w:val="center"/>
          </w:tcPr>
          <w:p>
            <w:pPr>
              <w:pStyle w:val="style0"/>
              <w:jc w:val="center"/>
            </w:pPr>
            <w:r>
              <w:rPr>
                <w:rFonts w:cs="Arial"/>
                <w:b/>
                <w:bCs/>
                <w:sz w:val="16"/>
                <w:szCs w:val="16"/>
                <w:lang w:val="el-GR"/>
              </w:rPr>
              <w:t>Σεπτέμβριος</w:t>
            </w:r>
          </w:p>
        </w:tc>
        <w:tc>
          <w:tcPr>
            <w:tcW w:type="dxa" w:w="961"/>
            <w:tcBorders>
              <w:top w:color="00AEEF" w:space="0" w:sz="4" w:val="single"/>
              <w:left w:color="00AEEF" w:space="0" w:sz="4" w:val="single"/>
              <w:bottom w:color="00AEEF" w:space="0" w:sz="4" w:val="single"/>
              <w:right w:color="00AEEF" w:space="0" w:sz="4" w:val="single"/>
            </w:tcBorders>
            <w:shd w:fill="00AEEF" w:val="clear"/>
            <w:tcMar>
              <w:top w:type="dxa" w:w="0"/>
              <w:left w:type="dxa" w:w="108"/>
              <w:bottom w:type="dxa" w:w="0"/>
              <w:right w:type="dxa" w:w="108"/>
            </w:tcMar>
            <w:vAlign w:val="center"/>
          </w:tcPr>
          <w:p>
            <w:pPr>
              <w:pStyle w:val="style0"/>
              <w:jc w:val="center"/>
            </w:pPr>
            <w:r>
              <w:rPr>
                <w:rFonts w:cs="Arial"/>
                <w:b/>
                <w:bCs/>
                <w:sz w:val="16"/>
                <w:szCs w:val="16"/>
              </w:rPr>
              <w:t>%Δ</w:t>
            </w:r>
          </w:p>
        </w:tc>
      </w:tr>
      <w:tr>
        <w:trPr>
          <w:trHeight w:hRule="atLeast" w:val="70"/>
          <w:cantSplit w:val="false"/>
        </w:trPr>
        <w:tc>
          <w:tcPr>
            <w:tcW w:type="dxa" w:w="3113"/>
            <w:tcBorders>
              <w:left w:color="00AEEF" w:space="0" w:sz="4" w:val="single"/>
              <w:bottom w:color="00AEEF" w:space="0" w:sz="4" w:val="single"/>
              <w:right w:color="00AEEF" w:space="0" w:sz="4" w:val="single"/>
            </w:tcBorders>
            <w:shd w:fill="00AEEF" w:val="clear"/>
            <w:tcMar>
              <w:top w:type="dxa" w:w="0"/>
              <w:left w:type="dxa" w:w="108"/>
              <w:bottom w:type="dxa" w:w="0"/>
              <w:right w:type="dxa" w:w="108"/>
            </w:tcMar>
            <w:vAlign w:val="center"/>
          </w:tcPr>
          <w:p>
            <w:pPr>
              <w:pStyle w:val="style0"/>
              <w:jc w:val="both"/>
            </w:pPr>
            <w:r>
              <w:rPr>
                <w:rFonts w:cs="Arial"/>
                <w:b/>
                <w:bCs/>
                <w:sz w:val="16"/>
                <w:szCs w:val="16"/>
              </w:rPr>
              <w:t> </w:t>
            </w:r>
          </w:p>
        </w:tc>
        <w:tc>
          <w:tcPr>
            <w:tcW w:type="dxa" w:w="991"/>
            <w:tcBorders>
              <w:bottom w:color="00AEEF" w:space="0" w:sz="4" w:val="single"/>
              <w:right w:color="00AEEF" w:space="0" w:sz="4" w:val="single"/>
            </w:tcBorders>
            <w:shd w:fill="00AEEF" w:val="clear"/>
            <w:tcMar>
              <w:top w:type="dxa" w:w="0"/>
              <w:left w:type="dxa" w:w="108"/>
              <w:bottom w:type="dxa" w:w="0"/>
              <w:right w:type="dxa" w:w="108"/>
            </w:tcMar>
            <w:vAlign w:val="center"/>
          </w:tcPr>
          <w:p>
            <w:pPr>
              <w:pStyle w:val="style0"/>
              <w:jc w:val="center"/>
            </w:pPr>
            <w:r>
              <w:rPr>
                <w:rFonts w:cs="Arial"/>
                <w:b/>
                <w:bCs/>
                <w:sz w:val="16"/>
                <w:szCs w:val="16"/>
              </w:rPr>
              <w:t>2018</w:t>
            </w:r>
          </w:p>
        </w:tc>
        <w:tc>
          <w:tcPr>
            <w:tcW w:type="dxa" w:w="992"/>
            <w:tcBorders>
              <w:bottom w:color="00AEEF" w:space="0" w:sz="4" w:val="single"/>
              <w:right w:color="00AEEF" w:space="0" w:sz="4" w:val="single"/>
            </w:tcBorders>
            <w:shd w:fill="00AEEF" w:val="clear"/>
            <w:tcMar>
              <w:top w:type="dxa" w:w="0"/>
              <w:left w:type="dxa" w:w="108"/>
              <w:bottom w:type="dxa" w:w="0"/>
              <w:right w:type="dxa" w:w="108"/>
            </w:tcMar>
            <w:vAlign w:val="center"/>
          </w:tcPr>
          <w:p>
            <w:pPr>
              <w:pStyle w:val="style0"/>
              <w:jc w:val="center"/>
            </w:pPr>
            <w:r>
              <w:rPr>
                <w:rFonts w:cs="Arial"/>
                <w:b/>
                <w:bCs/>
                <w:sz w:val="16"/>
                <w:szCs w:val="16"/>
              </w:rPr>
              <w:t>2019</w:t>
            </w:r>
          </w:p>
        </w:tc>
        <w:tc>
          <w:tcPr>
            <w:tcW w:type="dxa" w:w="850"/>
            <w:vMerge w:val="continue"/>
            <w:tcBorders>
              <w:top w:color="00AEEF" w:space="0" w:sz="4" w:val="single"/>
              <w:left w:color="00AEEF" w:space="0" w:sz="4" w:val="single"/>
              <w:bottom w:color="00AEEF" w:space="0" w:sz="4" w:val="single"/>
              <w:right w:color="00AEEF" w:space="0" w:sz="4" w:val="single"/>
            </w:tcBorders>
            <w:shd w:fill="auto" w:val="clear"/>
            <w:tcMar>
              <w:top w:type="dxa" w:w="0"/>
              <w:left w:type="dxa" w:w="108"/>
              <w:bottom w:type="dxa" w:w="0"/>
              <w:right w:type="dxa" w:w="108"/>
            </w:tcMar>
            <w:vAlign w:val="center"/>
          </w:tcPr>
          <w:p>
            <w:pPr>
              <w:pStyle w:val="style0"/>
            </w:pPr>
            <w:r>
              <w:rPr>
                <w:rFonts w:cs="Arial"/>
                <w:b/>
                <w:bCs/>
                <w:sz w:val="16"/>
                <w:szCs w:val="16"/>
              </w:rPr>
            </w:r>
          </w:p>
        </w:tc>
        <w:tc>
          <w:tcPr>
            <w:tcW w:type="dxa" w:w="811"/>
            <w:tcBorders>
              <w:bottom w:color="00AEEF" w:space="0" w:sz="4" w:val="single"/>
              <w:right w:color="00AEEF" w:space="0" w:sz="4" w:val="single"/>
            </w:tcBorders>
            <w:shd w:fill="00AEEF" w:val="clear"/>
            <w:tcMar>
              <w:top w:type="dxa" w:w="0"/>
              <w:left w:type="dxa" w:w="108"/>
              <w:bottom w:type="dxa" w:w="0"/>
              <w:right w:type="dxa" w:w="108"/>
            </w:tcMar>
            <w:vAlign w:val="center"/>
          </w:tcPr>
          <w:p>
            <w:pPr>
              <w:pStyle w:val="style0"/>
              <w:jc w:val="center"/>
            </w:pPr>
            <w:r>
              <w:rPr>
                <w:rFonts w:cs="Arial"/>
                <w:b/>
                <w:bCs/>
                <w:sz w:val="16"/>
                <w:szCs w:val="16"/>
              </w:rPr>
              <w:t>2018</w:t>
            </w:r>
          </w:p>
        </w:tc>
        <w:tc>
          <w:tcPr>
            <w:tcW w:type="dxa" w:w="959"/>
            <w:tcBorders>
              <w:bottom w:color="00AEEF" w:space="0" w:sz="4" w:val="single"/>
              <w:right w:color="00AEEF" w:space="0" w:sz="4" w:val="single"/>
            </w:tcBorders>
            <w:shd w:fill="00AEEF" w:val="clear"/>
            <w:tcMar>
              <w:top w:type="dxa" w:w="0"/>
              <w:left w:type="dxa" w:w="108"/>
              <w:bottom w:type="dxa" w:w="0"/>
              <w:right w:type="dxa" w:w="108"/>
            </w:tcMar>
            <w:vAlign w:val="center"/>
          </w:tcPr>
          <w:p>
            <w:pPr>
              <w:pStyle w:val="style0"/>
              <w:jc w:val="center"/>
            </w:pPr>
            <w:r>
              <w:rPr>
                <w:rFonts w:cs="Arial"/>
                <w:b/>
                <w:bCs/>
                <w:sz w:val="16"/>
                <w:szCs w:val="16"/>
              </w:rPr>
              <w:t>2019</w:t>
            </w:r>
          </w:p>
        </w:tc>
        <w:tc>
          <w:tcPr>
            <w:tcW w:type="dxa" w:w="963"/>
            <w:tcBorders>
              <w:top w:color="00AEEF" w:space="0" w:sz="4" w:val="single"/>
              <w:left w:color="00AEEF" w:space="0" w:sz="4" w:val="single"/>
              <w:bottom w:color="00AEEF" w:space="0" w:sz="4" w:val="single"/>
              <w:right w:color="00AEEF" w:space="0" w:sz="4" w:val="single"/>
            </w:tcBorders>
            <w:shd w:fill="auto" w:val="clear"/>
            <w:tcMar>
              <w:top w:type="dxa" w:w="0"/>
              <w:left w:type="dxa" w:w="108"/>
              <w:bottom w:type="dxa" w:w="0"/>
              <w:right w:type="dxa" w:w="108"/>
            </w:tcMar>
            <w:vAlign w:val="center"/>
          </w:tcPr>
          <w:p>
            <w:pPr>
              <w:pStyle w:val="style0"/>
            </w:pPr>
            <w:r>
              <w:rPr>
                <w:rFonts w:cs="Arial"/>
                <w:b/>
                <w:bCs/>
                <w:sz w:val="16"/>
                <w:szCs w:val="16"/>
              </w:rPr>
            </w:r>
          </w:p>
        </w:tc>
      </w:tr>
      <w:tr>
        <w:trPr>
          <w:trHeight w:hRule="atLeast" w:val="270"/>
          <w:cantSplit w:val="false"/>
        </w:trPr>
        <w:tc>
          <w:tcPr>
            <w:tcW w:type="dxa" w:w="3113"/>
            <w:tcBorders>
              <w:left w:color="00AEEF" w:space="0" w:sz="4" w:val="single"/>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both"/>
            </w:pPr>
            <w:r>
              <w:rPr>
                <w:rFonts w:cs="Arial"/>
                <w:b/>
                <w:bCs/>
                <w:sz w:val="16"/>
                <w:szCs w:val="16"/>
              </w:rPr>
              <w:t>Ισοζύγιο αγαθών</w:t>
            </w:r>
          </w:p>
        </w:tc>
        <w:tc>
          <w:tcPr>
            <w:tcW w:type="dxa" w:w="991"/>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b/>
                <w:bCs/>
                <w:sz w:val="16"/>
                <w:szCs w:val="16"/>
              </w:rPr>
              <w:t>-16.568,0</w:t>
            </w:r>
          </w:p>
        </w:tc>
        <w:tc>
          <w:tcPr>
            <w:tcW w:type="dxa" w:w="992"/>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b/>
                <w:bCs/>
                <w:sz w:val="16"/>
                <w:szCs w:val="16"/>
              </w:rPr>
              <w:t>-17.468,6</w:t>
            </w:r>
          </w:p>
        </w:tc>
        <w:tc>
          <w:tcPr>
            <w:tcW w:type="dxa" w:w="850"/>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b/>
                <w:bCs/>
                <w:sz w:val="16"/>
                <w:szCs w:val="16"/>
              </w:rPr>
              <w:t>5,4%</w:t>
            </w:r>
          </w:p>
        </w:tc>
        <w:tc>
          <w:tcPr>
            <w:tcW w:type="dxa" w:w="811"/>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b/>
                <w:bCs/>
                <w:sz w:val="16"/>
                <w:szCs w:val="16"/>
              </w:rPr>
              <w:t>-2.070,6</w:t>
            </w:r>
          </w:p>
        </w:tc>
        <w:tc>
          <w:tcPr>
            <w:tcW w:type="dxa" w:w="959"/>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b/>
                <w:bCs/>
                <w:sz w:val="16"/>
                <w:szCs w:val="16"/>
              </w:rPr>
              <w:t>-1.989,1</w:t>
            </w:r>
          </w:p>
        </w:tc>
        <w:tc>
          <w:tcPr>
            <w:tcW w:type="dxa" w:w="963"/>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b/>
                <w:bCs/>
                <w:sz w:val="16"/>
                <w:szCs w:val="16"/>
              </w:rPr>
              <w:t>-3,9%</w:t>
            </w:r>
          </w:p>
        </w:tc>
      </w:tr>
      <w:tr>
        <w:trPr>
          <w:trHeight w:hRule="atLeast" w:val="270"/>
          <w:cantSplit w:val="false"/>
        </w:trPr>
        <w:tc>
          <w:tcPr>
            <w:tcW w:type="dxa" w:w="3113"/>
            <w:tcBorders>
              <w:left w:color="00AEEF" w:space="0" w:sz="4" w:val="single"/>
              <w:bottom w:color="00AEEF" w:space="0" w:sz="4" w:val="single"/>
              <w:right w:color="00AEEF" w:space="0" w:sz="4" w:val="single"/>
            </w:tcBorders>
            <w:shd w:fill="FFFFFF" w:val="clear"/>
            <w:tcMar>
              <w:top w:type="dxa" w:w="0"/>
              <w:left w:type="dxa" w:w="108"/>
              <w:bottom w:type="dxa" w:w="0"/>
              <w:right w:type="dxa" w:w="108"/>
            </w:tcMar>
            <w:vAlign w:val="center"/>
          </w:tcPr>
          <w:p>
            <w:pPr>
              <w:pStyle w:val="style0"/>
              <w:ind w:firstLine="160" w:left="0" w:right="0"/>
            </w:pPr>
            <w:r>
              <w:rPr>
                <w:rFonts w:cs="Arial"/>
                <w:sz w:val="16"/>
                <w:szCs w:val="16"/>
                <w:lang w:val="el-GR"/>
              </w:rPr>
              <w:t>Εξαγωγές χωρίς καύσιμα και πλοία</w:t>
            </w:r>
          </w:p>
        </w:tc>
        <w:tc>
          <w:tcPr>
            <w:tcW w:type="dxa" w:w="991"/>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16.441,5</w:t>
            </w:r>
          </w:p>
        </w:tc>
        <w:tc>
          <w:tcPr>
            <w:tcW w:type="dxa" w:w="992"/>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17.276,1</w:t>
            </w:r>
          </w:p>
        </w:tc>
        <w:tc>
          <w:tcPr>
            <w:tcW w:type="dxa" w:w="850"/>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5,1%</w:t>
            </w:r>
          </w:p>
        </w:tc>
        <w:tc>
          <w:tcPr>
            <w:tcW w:type="dxa" w:w="811"/>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1.776,1</w:t>
            </w:r>
          </w:p>
        </w:tc>
        <w:tc>
          <w:tcPr>
            <w:tcW w:type="dxa" w:w="959"/>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1.912,9</w:t>
            </w:r>
          </w:p>
        </w:tc>
        <w:tc>
          <w:tcPr>
            <w:tcW w:type="dxa" w:w="963"/>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7,7%</w:t>
            </w:r>
          </w:p>
        </w:tc>
      </w:tr>
      <w:tr>
        <w:trPr>
          <w:trHeight w:hRule="atLeast" w:val="270"/>
          <w:cantSplit w:val="false"/>
        </w:trPr>
        <w:tc>
          <w:tcPr>
            <w:tcW w:type="dxa" w:w="3113"/>
            <w:tcBorders>
              <w:left w:color="00AEEF" w:space="0" w:sz="4" w:val="single"/>
              <w:bottom w:color="00AEEF" w:space="0" w:sz="4" w:val="single"/>
              <w:right w:color="00AEEF" w:space="0" w:sz="4" w:val="single"/>
            </w:tcBorders>
            <w:shd w:fill="FFFFFF" w:val="clear"/>
            <w:tcMar>
              <w:top w:type="dxa" w:w="0"/>
              <w:left w:type="dxa" w:w="108"/>
              <w:bottom w:type="dxa" w:w="0"/>
              <w:right w:type="dxa" w:w="108"/>
            </w:tcMar>
            <w:vAlign w:val="center"/>
          </w:tcPr>
          <w:p>
            <w:pPr>
              <w:pStyle w:val="style0"/>
              <w:ind w:firstLine="160" w:left="0" w:right="0"/>
            </w:pPr>
            <w:r>
              <w:rPr>
                <w:rFonts w:cs="Arial"/>
                <w:sz w:val="16"/>
                <w:szCs w:val="16"/>
              </w:rPr>
              <w:t>Εξαγωγές καυσίμων</w:t>
            </w:r>
          </w:p>
        </w:tc>
        <w:tc>
          <w:tcPr>
            <w:tcW w:type="dxa" w:w="991"/>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7.343,8</w:t>
            </w:r>
          </w:p>
        </w:tc>
        <w:tc>
          <w:tcPr>
            <w:tcW w:type="dxa" w:w="992"/>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6.940,1</w:t>
            </w:r>
          </w:p>
        </w:tc>
        <w:tc>
          <w:tcPr>
            <w:tcW w:type="dxa" w:w="850"/>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-5,5%</w:t>
            </w:r>
          </w:p>
        </w:tc>
        <w:tc>
          <w:tcPr>
            <w:tcW w:type="dxa" w:w="811"/>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778,9</w:t>
            </w:r>
          </w:p>
        </w:tc>
        <w:tc>
          <w:tcPr>
            <w:tcW w:type="dxa" w:w="959"/>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781,9</w:t>
            </w:r>
          </w:p>
        </w:tc>
        <w:tc>
          <w:tcPr>
            <w:tcW w:type="dxa" w:w="963"/>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0,4%</w:t>
            </w:r>
          </w:p>
        </w:tc>
      </w:tr>
      <w:tr>
        <w:trPr>
          <w:trHeight w:hRule="atLeast" w:val="270"/>
          <w:cantSplit w:val="false"/>
        </w:trPr>
        <w:tc>
          <w:tcPr>
            <w:tcW w:type="dxa" w:w="3113"/>
            <w:tcBorders>
              <w:left w:color="00AEEF" w:space="0" w:sz="4" w:val="single"/>
              <w:bottom w:color="00AEEF" w:space="0" w:sz="4" w:val="single"/>
              <w:right w:color="00AEEF" w:space="0" w:sz="4" w:val="single"/>
            </w:tcBorders>
            <w:shd w:fill="FFFFFF" w:val="clear"/>
            <w:tcMar>
              <w:top w:type="dxa" w:w="0"/>
              <w:left w:type="dxa" w:w="108"/>
              <w:bottom w:type="dxa" w:w="0"/>
              <w:right w:type="dxa" w:w="108"/>
            </w:tcMar>
            <w:vAlign w:val="center"/>
          </w:tcPr>
          <w:p>
            <w:pPr>
              <w:pStyle w:val="style0"/>
              <w:ind w:firstLine="160" w:left="0" w:right="0"/>
            </w:pPr>
            <w:r>
              <w:rPr>
                <w:rFonts w:cs="Arial"/>
                <w:sz w:val="16"/>
                <w:szCs w:val="16"/>
                <w:lang w:val="el-GR"/>
              </w:rPr>
              <w:t>Εισαγωγές χωρίς καύσιμα και πλοία</w:t>
            </w:r>
          </w:p>
        </w:tc>
        <w:tc>
          <w:tcPr>
            <w:tcW w:type="dxa" w:w="991"/>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29.111,6</w:t>
            </w:r>
          </w:p>
        </w:tc>
        <w:tc>
          <w:tcPr>
            <w:tcW w:type="dxa" w:w="992"/>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30.506,8</w:t>
            </w:r>
          </w:p>
        </w:tc>
        <w:tc>
          <w:tcPr>
            <w:tcW w:type="dxa" w:w="850"/>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4,8%</w:t>
            </w:r>
          </w:p>
        </w:tc>
        <w:tc>
          <w:tcPr>
            <w:tcW w:type="dxa" w:w="811"/>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3.259,5</w:t>
            </w:r>
          </w:p>
        </w:tc>
        <w:tc>
          <w:tcPr>
            <w:tcW w:type="dxa" w:w="959"/>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3.472,6</w:t>
            </w:r>
          </w:p>
        </w:tc>
        <w:tc>
          <w:tcPr>
            <w:tcW w:type="dxa" w:w="963"/>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6,5%</w:t>
            </w:r>
          </w:p>
        </w:tc>
      </w:tr>
      <w:tr>
        <w:trPr>
          <w:trHeight w:hRule="atLeast" w:val="270"/>
          <w:cantSplit w:val="false"/>
        </w:trPr>
        <w:tc>
          <w:tcPr>
            <w:tcW w:type="dxa" w:w="3113"/>
            <w:tcBorders>
              <w:left w:color="00AEEF" w:space="0" w:sz="4" w:val="single"/>
              <w:bottom w:color="00AEEF" w:space="0" w:sz="4" w:val="single"/>
              <w:right w:color="00AEEF" w:space="0" w:sz="4" w:val="single"/>
            </w:tcBorders>
            <w:shd w:fill="FFFFFF" w:val="clear"/>
            <w:tcMar>
              <w:top w:type="dxa" w:w="0"/>
              <w:left w:type="dxa" w:w="108"/>
              <w:bottom w:type="dxa" w:w="0"/>
              <w:right w:type="dxa" w:w="108"/>
            </w:tcMar>
            <w:vAlign w:val="center"/>
          </w:tcPr>
          <w:p>
            <w:pPr>
              <w:pStyle w:val="style0"/>
              <w:ind w:firstLine="160" w:left="0" w:right="0"/>
            </w:pPr>
            <w:r>
              <w:rPr>
                <w:rFonts w:cs="Arial"/>
                <w:sz w:val="16"/>
                <w:szCs w:val="16"/>
              </w:rPr>
              <w:t>Εισαγωγές καυσίμων</w:t>
            </w:r>
          </w:p>
        </w:tc>
        <w:tc>
          <w:tcPr>
            <w:tcW w:type="dxa" w:w="991"/>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11.193,8</w:t>
            </w:r>
          </w:p>
        </w:tc>
        <w:tc>
          <w:tcPr>
            <w:tcW w:type="dxa" w:w="992"/>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10.897,2</w:t>
            </w:r>
          </w:p>
        </w:tc>
        <w:tc>
          <w:tcPr>
            <w:tcW w:type="dxa" w:w="850"/>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-2,6%</w:t>
            </w:r>
          </w:p>
        </w:tc>
        <w:tc>
          <w:tcPr>
            <w:tcW w:type="dxa" w:w="811"/>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1.361,9</w:t>
            </w:r>
          </w:p>
        </w:tc>
        <w:tc>
          <w:tcPr>
            <w:tcW w:type="dxa" w:w="959"/>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1.210,5</w:t>
            </w:r>
          </w:p>
        </w:tc>
        <w:tc>
          <w:tcPr>
            <w:tcW w:type="dxa" w:w="963"/>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-11,1%</w:t>
            </w:r>
          </w:p>
        </w:tc>
      </w:tr>
      <w:tr>
        <w:trPr>
          <w:trHeight w:hRule="atLeast" w:val="270"/>
          <w:cantSplit w:val="false"/>
        </w:trPr>
        <w:tc>
          <w:tcPr>
            <w:tcW w:type="dxa" w:w="3113"/>
            <w:tcBorders>
              <w:left w:color="00AEEF" w:space="0" w:sz="4" w:val="single"/>
              <w:bottom w:color="00AEEF" w:space="0" w:sz="4" w:val="single"/>
              <w:right w:color="00AEEF" w:space="0" w:sz="4" w:val="single"/>
            </w:tcBorders>
            <w:shd w:fill="FFFFFF" w:val="clear"/>
            <w:tcMar>
              <w:top w:type="dxa" w:w="0"/>
              <w:left w:type="dxa" w:w="108"/>
              <w:bottom w:type="dxa" w:w="0"/>
              <w:right w:type="dxa" w:w="108"/>
            </w:tcMar>
            <w:vAlign w:val="center"/>
          </w:tcPr>
          <w:p>
            <w:pPr>
              <w:pStyle w:val="style0"/>
              <w:ind w:firstLine="160" w:left="0" w:right="0"/>
            </w:pPr>
            <w:r>
              <w:rPr>
                <w:rFonts w:cs="Arial"/>
                <w:sz w:val="16"/>
                <w:szCs w:val="16"/>
              </w:rPr>
              <w:t>Εισαγωγές πλοίων</w:t>
            </w:r>
          </w:p>
        </w:tc>
        <w:tc>
          <w:tcPr>
            <w:tcW w:type="dxa" w:w="991"/>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171,5</w:t>
            </w:r>
          </w:p>
        </w:tc>
        <w:tc>
          <w:tcPr>
            <w:tcW w:type="dxa" w:w="992"/>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339,1</w:t>
            </w:r>
          </w:p>
        </w:tc>
        <w:tc>
          <w:tcPr>
            <w:tcW w:type="dxa" w:w="850"/>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97,7%</w:t>
            </w:r>
          </w:p>
        </w:tc>
        <w:tc>
          <w:tcPr>
            <w:tcW w:type="dxa" w:w="811"/>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10,9</w:t>
            </w:r>
          </w:p>
        </w:tc>
        <w:tc>
          <w:tcPr>
            <w:tcW w:type="dxa" w:w="959"/>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2,2</w:t>
            </w:r>
          </w:p>
        </w:tc>
        <w:tc>
          <w:tcPr>
            <w:tcW w:type="dxa" w:w="963"/>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-80,2%</w:t>
            </w:r>
          </w:p>
        </w:tc>
      </w:tr>
      <w:tr>
        <w:trPr>
          <w:trHeight w:hRule="atLeast" w:val="270"/>
          <w:cantSplit w:val="false"/>
        </w:trPr>
        <w:tc>
          <w:tcPr>
            <w:tcW w:type="dxa" w:w="3113"/>
            <w:tcBorders>
              <w:left w:color="00AEEF" w:space="0" w:sz="4" w:val="single"/>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both"/>
            </w:pPr>
            <w:r>
              <w:rPr>
                <w:rFonts w:cs="Arial"/>
                <w:b/>
                <w:bCs/>
                <w:sz w:val="16"/>
                <w:szCs w:val="16"/>
              </w:rPr>
              <w:t>Εισπράξεις από υπηρεσίες</w:t>
            </w:r>
          </w:p>
        </w:tc>
        <w:tc>
          <w:tcPr>
            <w:tcW w:type="dxa" w:w="991"/>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b/>
                <w:bCs/>
                <w:sz w:val="16"/>
                <w:szCs w:val="16"/>
              </w:rPr>
              <w:t>29.525,8</w:t>
            </w:r>
          </w:p>
        </w:tc>
        <w:tc>
          <w:tcPr>
            <w:tcW w:type="dxa" w:w="992"/>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b/>
                <w:bCs/>
                <w:sz w:val="16"/>
                <w:szCs w:val="16"/>
              </w:rPr>
              <w:t>32.241,0</w:t>
            </w:r>
          </w:p>
        </w:tc>
        <w:tc>
          <w:tcPr>
            <w:tcW w:type="dxa" w:w="850"/>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b/>
                <w:bCs/>
                <w:sz w:val="16"/>
                <w:szCs w:val="16"/>
              </w:rPr>
              <w:t>9,2%</w:t>
            </w:r>
          </w:p>
        </w:tc>
        <w:tc>
          <w:tcPr>
            <w:tcW w:type="dxa" w:w="811"/>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b/>
                <w:bCs/>
                <w:sz w:val="16"/>
                <w:szCs w:val="16"/>
              </w:rPr>
              <w:t>4.326,3</w:t>
            </w:r>
          </w:p>
        </w:tc>
        <w:tc>
          <w:tcPr>
            <w:tcW w:type="dxa" w:w="959"/>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b/>
                <w:bCs/>
                <w:sz w:val="16"/>
                <w:szCs w:val="16"/>
              </w:rPr>
              <w:t>4.804,8</w:t>
            </w:r>
          </w:p>
        </w:tc>
        <w:tc>
          <w:tcPr>
            <w:tcW w:type="dxa" w:w="963"/>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b/>
                <w:bCs/>
                <w:sz w:val="16"/>
                <w:szCs w:val="16"/>
              </w:rPr>
              <w:t>11,1%</w:t>
            </w:r>
          </w:p>
        </w:tc>
      </w:tr>
      <w:tr>
        <w:trPr>
          <w:trHeight w:hRule="atLeast" w:val="270"/>
          <w:cantSplit w:val="false"/>
        </w:trPr>
        <w:tc>
          <w:tcPr>
            <w:tcW w:type="dxa" w:w="3113"/>
            <w:tcBorders>
              <w:left w:color="00AEEF" w:space="0" w:sz="4" w:val="single"/>
              <w:bottom w:color="00AEEF" w:space="0" w:sz="4" w:val="single"/>
              <w:right w:color="00AEEF" w:space="0" w:sz="4" w:val="single"/>
            </w:tcBorders>
            <w:shd w:fill="FFFFFF" w:val="clear"/>
            <w:tcMar>
              <w:top w:type="dxa" w:w="0"/>
              <w:left w:type="dxa" w:w="108"/>
              <w:bottom w:type="dxa" w:w="0"/>
              <w:right w:type="dxa" w:w="108"/>
            </w:tcMar>
            <w:vAlign w:val="center"/>
          </w:tcPr>
          <w:p>
            <w:pPr>
              <w:pStyle w:val="style0"/>
              <w:ind w:firstLine="160" w:left="0" w:right="0"/>
            </w:pPr>
            <w:r>
              <w:rPr>
                <w:rFonts w:cs="Arial"/>
                <w:sz w:val="16"/>
                <w:szCs w:val="16"/>
              </w:rPr>
              <w:t>Τουρισμός</w:t>
            </w:r>
          </w:p>
        </w:tc>
        <w:tc>
          <w:tcPr>
            <w:tcW w:type="dxa" w:w="991"/>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14.112,6</w:t>
            </w:r>
          </w:p>
        </w:tc>
        <w:tc>
          <w:tcPr>
            <w:tcW w:type="dxa" w:w="992"/>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16.088,4</w:t>
            </w:r>
          </w:p>
        </w:tc>
        <w:tc>
          <w:tcPr>
            <w:tcW w:type="dxa" w:w="850"/>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14,0%</w:t>
            </w:r>
          </w:p>
        </w:tc>
        <w:tc>
          <w:tcPr>
            <w:tcW w:type="dxa" w:w="811"/>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2.454,3</w:t>
            </w:r>
          </w:p>
        </w:tc>
        <w:tc>
          <w:tcPr>
            <w:tcW w:type="dxa" w:w="959"/>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2.846,9</w:t>
            </w:r>
          </w:p>
        </w:tc>
        <w:tc>
          <w:tcPr>
            <w:tcW w:type="dxa" w:w="963"/>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16,0%</w:t>
            </w:r>
          </w:p>
        </w:tc>
      </w:tr>
      <w:tr>
        <w:trPr>
          <w:trHeight w:hRule="atLeast" w:val="270"/>
          <w:cantSplit w:val="false"/>
        </w:trPr>
        <w:tc>
          <w:tcPr>
            <w:tcW w:type="dxa" w:w="3113"/>
            <w:tcBorders>
              <w:left w:color="00AEEF" w:space="0" w:sz="4" w:val="single"/>
              <w:bottom w:color="00AEEF" w:space="0" w:sz="4" w:val="single"/>
              <w:right w:color="00AEEF" w:space="0" w:sz="4" w:val="single"/>
            </w:tcBorders>
            <w:shd w:fill="FFFFFF" w:val="clear"/>
            <w:tcMar>
              <w:top w:type="dxa" w:w="0"/>
              <w:left w:type="dxa" w:w="108"/>
              <w:bottom w:type="dxa" w:w="0"/>
              <w:right w:type="dxa" w:w="108"/>
            </w:tcMar>
            <w:vAlign w:val="center"/>
          </w:tcPr>
          <w:p>
            <w:pPr>
              <w:pStyle w:val="style0"/>
              <w:ind w:firstLine="160" w:left="0" w:right="0"/>
            </w:pPr>
            <w:r>
              <w:rPr>
                <w:rFonts w:cs="Arial"/>
                <w:sz w:val="16"/>
                <w:szCs w:val="16"/>
              </w:rPr>
              <w:t>Μεταφορές</w:t>
            </w:r>
          </w:p>
        </w:tc>
        <w:tc>
          <w:tcPr>
            <w:tcW w:type="dxa" w:w="991"/>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12.178,8</w:t>
            </w:r>
          </w:p>
        </w:tc>
        <w:tc>
          <w:tcPr>
            <w:tcW w:type="dxa" w:w="992"/>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12.847,6</w:t>
            </w:r>
          </w:p>
        </w:tc>
        <w:tc>
          <w:tcPr>
            <w:tcW w:type="dxa" w:w="850"/>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5,5%</w:t>
            </w:r>
          </w:p>
        </w:tc>
        <w:tc>
          <w:tcPr>
            <w:tcW w:type="dxa" w:w="811"/>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1.509,1</w:t>
            </w:r>
          </w:p>
        </w:tc>
        <w:tc>
          <w:tcPr>
            <w:tcW w:type="dxa" w:w="959"/>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1.537,0</w:t>
            </w:r>
          </w:p>
        </w:tc>
        <w:tc>
          <w:tcPr>
            <w:tcW w:type="dxa" w:w="963"/>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1,8%</w:t>
            </w:r>
          </w:p>
        </w:tc>
      </w:tr>
      <w:tr>
        <w:trPr>
          <w:trHeight w:hRule="atLeast" w:val="270"/>
          <w:cantSplit w:val="false"/>
        </w:trPr>
        <w:tc>
          <w:tcPr>
            <w:tcW w:type="dxa" w:w="3113"/>
            <w:tcBorders>
              <w:left w:color="00AEEF" w:space="0" w:sz="4" w:val="single"/>
              <w:bottom w:color="00AEEF" w:space="0" w:sz="4" w:val="single"/>
              <w:right w:color="00AEEF" w:space="0" w:sz="4" w:val="single"/>
            </w:tcBorders>
            <w:shd w:fill="FFFFFF" w:val="clear"/>
            <w:tcMar>
              <w:top w:type="dxa" w:w="0"/>
              <w:left w:type="dxa" w:w="108"/>
              <w:bottom w:type="dxa" w:w="0"/>
              <w:right w:type="dxa" w:w="108"/>
            </w:tcMar>
            <w:vAlign w:val="center"/>
          </w:tcPr>
          <w:p>
            <w:pPr>
              <w:pStyle w:val="style0"/>
              <w:ind w:firstLine="160" w:left="0" w:right="0"/>
            </w:pPr>
            <w:r>
              <w:rPr>
                <w:rFonts w:cs="Arial"/>
                <w:sz w:val="16"/>
                <w:szCs w:val="16"/>
              </w:rPr>
              <w:t>Άλλες υπηρεσίες</w:t>
            </w:r>
          </w:p>
        </w:tc>
        <w:tc>
          <w:tcPr>
            <w:tcW w:type="dxa" w:w="991"/>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3.234,4</w:t>
            </w:r>
          </w:p>
        </w:tc>
        <w:tc>
          <w:tcPr>
            <w:tcW w:type="dxa" w:w="992"/>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3.305,1</w:t>
            </w:r>
          </w:p>
        </w:tc>
        <w:tc>
          <w:tcPr>
            <w:tcW w:type="dxa" w:w="850"/>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2,2%</w:t>
            </w:r>
          </w:p>
        </w:tc>
        <w:tc>
          <w:tcPr>
            <w:tcW w:type="dxa" w:w="811"/>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362,9</w:t>
            </w:r>
          </w:p>
        </w:tc>
        <w:tc>
          <w:tcPr>
            <w:tcW w:type="dxa" w:w="959"/>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420,9</w:t>
            </w:r>
          </w:p>
        </w:tc>
        <w:tc>
          <w:tcPr>
            <w:tcW w:type="dxa" w:w="963"/>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16,0%</w:t>
            </w:r>
          </w:p>
        </w:tc>
      </w:tr>
      <w:tr>
        <w:trPr>
          <w:trHeight w:hRule="atLeast" w:val="270"/>
          <w:cantSplit w:val="false"/>
        </w:trPr>
        <w:tc>
          <w:tcPr>
            <w:tcW w:type="dxa" w:w="3113"/>
            <w:tcBorders>
              <w:left w:color="00AEEF" w:space="0" w:sz="4" w:val="single"/>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both"/>
            </w:pPr>
            <w:r>
              <w:rPr>
                <w:rFonts w:cs="Arial"/>
                <w:b/>
                <w:bCs/>
                <w:sz w:val="16"/>
                <w:szCs w:val="16"/>
              </w:rPr>
              <w:t>Εισροές από ΕΕ</w:t>
            </w:r>
          </w:p>
        </w:tc>
        <w:tc>
          <w:tcPr>
            <w:tcW w:type="dxa" w:w="991"/>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b/>
                <w:bCs/>
                <w:sz w:val="16"/>
                <w:szCs w:val="16"/>
              </w:rPr>
              <w:t>1.209,9</w:t>
            </w:r>
          </w:p>
        </w:tc>
        <w:tc>
          <w:tcPr>
            <w:tcW w:type="dxa" w:w="992"/>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b/>
                <w:bCs/>
                <w:sz w:val="16"/>
                <w:szCs w:val="16"/>
              </w:rPr>
              <w:t>2.097,2</w:t>
            </w:r>
          </w:p>
        </w:tc>
        <w:tc>
          <w:tcPr>
            <w:tcW w:type="dxa" w:w="850"/>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b/>
                <w:bCs/>
                <w:sz w:val="16"/>
                <w:szCs w:val="16"/>
              </w:rPr>
              <w:t>73,3%</w:t>
            </w:r>
          </w:p>
        </w:tc>
        <w:tc>
          <w:tcPr>
            <w:tcW w:type="dxa" w:w="811"/>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b/>
                <w:bCs/>
                <w:sz w:val="16"/>
                <w:szCs w:val="16"/>
              </w:rPr>
              <w:t>36,3</w:t>
            </w:r>
          </w:p>
        </w:tc>
        <w:tc>
          <w:tcPr>
            <w:tcW w:type="dxa" w:w="959"/>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b/>
                <w:bCs/>
                <w:sz w:val="16"/>
                <w:szCs w:val="16"/>
              </w:rPr>
              <w:t>28,4</w:t>
            </w:r>
          </w:p>
        </w:tc>
        <w:tc>
          <w:tcPr>
            <w:tcW w:type="dxa" w:w="963"/>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b/>
                <w:bCs/>
                <w:sz w:val="16"/>
                <w:szCs w:val="16"/>
              </w:rPr>
              <w:t>-21,7%</w:t>
            </w:r>
          </w:p>
        </w:tc>
      </w:tr>
      <w:tr>
        <w:trPr>
          <w:trHeight w:hRule="atLeast" w:val="270"/>
          <w:cantSplit w:val="false"/>
        </w:trPr>
        <w:tc>
          <w:tcPr>
            <w:tcW w:type="dxa" w:w="3113"/>
            <w:tcBorders>
              <w:left w:color="00AEEF" w:space="0" w:sz="4" w:val="single"/>
              <w:bottom w:color="00AEEF" w:space="0" w:sz="4" w:val="single"/>
              <w:right w:color="00AEEF" w:space="0" w:sz="4" w:val="single"/>
            </w:tcBorders>
            <w:shd w:fill="FFFFFF" w:val="clear"/>
            <w:tcMar>
              <w:top w:type="dxa" w:w="0"/>
              <w:left w:type="dxa" w:w="108"/>
              <w:bottom w:type="dxa" w:w="0"/>
              <w:right w:type="dxa" w:w="108"/>
            </w:tcMar>
            <w:vAlign w:val="center"/>
          </w:tcPr>
          <w:p>
            <w:pPr>
              <w:pStyle w:val="style0"/>
              <w:ind w:firstLine="160" w:left="0" w:right="0"/>
            </w:pPr>
            <w:r>
              <w:rPr>
                <w:rFonts w:cs="Arial"/>
                <w:sz w:val="16"/>
                <w:szCs w:val="16"/>
              </w:rPr>
              <w:t>Τρέχουσες</w:t>
            </w:r>
          </w:p>
        </w:tc>
        <w:tc>
          <w:tcPr>
            <w:tcW w:type="dxa" w:w="991"/>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907,2</w:t>
            </w:r>
          </w:p>
        </w:tc>
        <w:tc>
          <w:tcPr>
            <w:tcW w:type="dxa" w:w="992"/>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1.588,5</w:t>
            </w:r>
          </w:p>
        </w:tc>
        <w:tc>
          <w:tcPr>
            <w:tcW w:type="dxa" w:w="850"/>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75,1%</w:t>
            </w:r>
          </w:p>
        </w:tc>
        <w:tc>
          <w:tcPr>
            <w:tcW w:type="dxa" w:w="811"/>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35,5</w:t>
            </w:r>
          </w:p>
        </w:tc>
        <w:tc>
          <w:tcPr>
            <w:tcW w:type="dxa" w:w="959"/>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27,7</w:t>
            </w:r>
          </w:p>
        </w:tc>
        <w:tc>
          <w:tcPr>
            <w:tcW w:type="dxa" w:w="963"/>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-22,1%</w:t>
            </w:r>
          </w:p>
        </w:tc>
      </w:tr>
      <w:tr>
        <w:trPr>
          <w:trHeight w:hRule="atLeast" w:val="270"/>
          <w:cantSplit w:val="false"/>
        </w:trPr>
        <w:tc>
          <w:tcPr>
            <w:tcW w:type="dxa" w:w="3113"/>
            <w:tcBorders>
              <w:left w:color="00AEEF" w:space="0" w:sz="4" w:val="single"/>
              <w:bottom w:color="00AEEF" w:space="0" w:sz="4" w:val="single"/>
              <w:right w:color="00AEEF" w:space="0" w:sz="4" w:val="single"/>
            </w:tcBorders>
            <w:shd w:fill="FFFFFF" w:val="clear"/>
            <w:tcMar>
              <w:top w:type="dxa" w:w="0"/>
              <w:left w:type="dxa" w:w="108"/>
              <w:bottom w:type="dxa" w:w="0"/>
              <w:right w:type="dxa" w:w="108"/>
            </w:tcMar>
            <w:vAlign w:val="center"/>
          </w:tcPr>
          <w:p>
            <w:pPr>
              <w:pStyle w:val="style0"/>
              <w:ind w:firstLine="160" w:left="0" w:right="0"/>
            </w:pPr>
            <w:r>
              <w:rPr>
                <w:rFonts w:cs="Arial"/>
                <w:sz w:val="16"/>
                <w:szCs w:val="16"/>
              </w:rPr>
              <w:t>Κεφαλαιακές</w:t>
            </w:r>
          </w:p>
        </w:tc>
        <w:tc>
          <w:tcPr>
            <w:tcW w:type="dxa" w:w="991"/>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302,7</w:t>
            </w:r>
          </w:p>
        </w:tc>
        <w:tc>
          <w:tcPr>
            <w:tcW w:type="dxa" w:w="992"/>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508,7</w:t>
            </w:r>
          </w:p>
        </w:tc>
        <w:tc>
          <w:tcPr>
            <w:tcW w:type="dxa" w:w="850"/>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68,0%</w:t>
            </w:r>
          </w:p>
        </w:tc>
        <w:tc>
          <w:tcPr>
            <w:tcW w:type="dxa" w:w="811"/>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0,8</w:t>
            </w:r>
          </w:p>
        </w:tc>
        <w:tc>
          <w:tcPr>
            <w:tcW w:type="dxa" w:w="959"/>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0,7</w:t>
            </w:r>
          </w:p>
        </w:tc>
        <w:tc>
          <w:tcPr>
            <w:tcW w:type="dxa" w:w="963"/>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sz w:val="16"/>
                <w:szCs w:val="16"/>
              </w:rPr>
              <w:t>-3,1%</w:t>
            </w:r>
          </w:p>
        </w:tc>
      </w:tr>
      <w:tr>
        <w:trPr>
          <w:trHeight w:hRule="atLeast" w:val="270"/>
          <w:cantSplit w:val="false"/>
        </w:trPr>
        <w:tc>
          <w:tcPr>
            <w:tcW w:type="dxa" w:w="3113"/>
            <w:tcBorders>
              <w:left w:color="00AEEF" w:space="0" w:sz="4" w:val="single"/>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both"/>
            </w:pPr>
            <w:r>
              <w:rPr>
                <w:rFonts w:cs="Arial"/>
                <w:b/>
                <w:bCs/>
                <w:sz w:val="16"/>
                <w:szCs w:val="16"/>
              </w:rPr>
              <w:t>Ισοζύγιο τρεχουσών συναλλαγών*</w:t>
            </w:r>
          </w:p>
        </w:tc>
        <w:tc>
          <w:tcPr>
            <w:tcW w:type="dxa" w:w="991"/>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b/>
                <w:bCs/>
                <w:sz w:val="16"/>
                <w:szCs w:val="16"/>
              </w:rPr>
              <w:t>-1.191,0</w:t>
            </w:r>
          </w:p>
        </w:tc>
        <w:tc>
          <w:tcPr>
            <w:tcW w:type="dxa" w:w="992"/>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b/>
                <w:bCs/>
                <w:sz w:val="16"/>
                <w:szCs w:val="16"/>
              </w:rPr>
              <w:t>189,9</w:t>
            </w:r>
          </w:p>
        </w:tc>
        <w:tc>
          <w:tcPr>
            <w:tcW w:type="dxa" w:w="850"/>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b/>
                <w:bCs/>
                <w:sz w:val="16"/>
                <w:szCs w:val="16"/>
              </w:rPr>
              <w:t>-115,9%</w:t>
            </w:r>
          </w:p>
        </w:tc>
        <w:tc>
          <w:tcPr>
            <w:tcW w:type="dxa" w:w="811"/>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b/>
                <w:bCs/>
                <w:sz w:val="16"/>
                <w:szCs w:val="16"/>
              </w:rPr>
              <w:t>430,7</w:t>
            </w:r>
          </w:p>
        </w:tc>
        <w:tc>
          <w:tcPr>
            <w:tcW w:type="dxa" w:w="959"/>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b/>
                <w:bCs/>
                <w:sz w:val="16"/>
                <w:szCs w:val="16"/>
              </w:rPr>
              <w:t>839,0</w:t>
            </w:r>
          </w:p>
        </w:tc>
        <w:tc>
          <w:tcPr>
            <w:tcW w:type="dxa" w:w="963"/>
            <w:tcBorders>
              <w:bottom w:color="00AEEF" w:space="0" w:sz="4" w:val="single"/>
              <w:right w:color="00AEEF" w:space="0" w:sz="4" w:val="single"/>
            </w:tcBorders>
            <w:shd w:fill="FFFFFF" w:val="clear"/>
            <w:tcMar>
              <w:top w:type="dxa" w:w="0"/>
              <w:left w:type="dxa" w:w="108"/>
              <w:bottom w:type="dxa" w:w="0"/>
              <w:right w:type="dxa" w:w="108"/>
            </w:tcMar>
            <w:vAlign w:val="center"/>
          </w:tcPr>
          <w:p>
            <w:pPr>
              <w:pStyle w:val="style0"/>
              <w:jc w:val="right"/>
            </w:pPr>
            <w:r>
              <w:rPr>
                <w:rFonts w:cs="Arial"/>
                <w:b/>
                <w:bCs/>
                <w:sz w:val="16"/>
                <w:szCs w:val="16"/>
              </w:rPr>
              <w:t>94,8%</w:t>
            </w:r>
          </w:p>
        </w:tc>
      </w:tr>
    </w:tbl>
    <w:p>
      <w:pPr>
        <w:pStyle w:val="style0"/>
        <w:spacing w:after="0" w:before="120"/>
        <w:contextualSpacing w:val="false"/>
      </w:pPr>
      <w:r>
        <w:rPr>
          <w:rFonts w:cs="Arial"/>
          <w:sz w:val="16"/>
          <w:szCs w:val="16"/>
          <w:lang w:val="el-GR"/>
        </w:rPr>
        <w:t>* Περιλαμβάνονται οι κεφαλαιακές μεταβιβάσεις</w:t>
      </w:r>
    </w:p>
    <w:p>
      <w:pPr>
        <w:pStyle w:val="style0"/>
        <w:spacing w:after="80" w:before="0"/>
        <w:contextualSpacing w:val="false"/>
      </w:pPr>
      <w:r>
        <w:rPr>
          <w:rFonts w:cs="Arial"/>
          <w:b/>
          <w:color w:val="00AEEF"/>
          <w:lang w:val="el-GR"/>
        </w:rPr>
        <w:t>Δ19:</w:t>
      </w:r>
      <w:r>
        <w:rPr>
          <w:rFonts w:cs="Arial"/>
          <w:lang w:val="el-GR"/>
        </w:rPr>
        <w:t xml:space="preserve"> </w:t>
      </w:r>
      <w:r>
        <w:rPr>
          <w:rFonts w:cs="Arial"/>
          <w:b/>
          <w:lang w:val="el-GR"/>
        </w:rPr>
        <w:t xml:space="preserve">Βασικά μεγέθη ισοζυγίου τρεχουσών συναλλαγών </w:t>
      </w:r>
      <w:r>
        <w:rPr>
          <w:rFonts w:cs="Arial"/>
          <w:i/>
          <w:color w:val="00AEEF"/>
          <w:lang w:val="el-GR"/>
        </w:rPr>
        <w:t>(Τράπεζα της Ελλάδος, Σεπ. 2019)</w:t>
      </w:r>
    </w:p>
    <w:p>
      <w:pPr>
        <w:pStyle w:val="style0"/>
      </w:pPr>
      <w:r>
        <w:rPr>
          <w:lang w:val="el-GR"/>
        </w:rPr>
      </w:r>
    </w:p>
    <w:p>
      <w:pPr>
        <w:pStyle w:val="style0"/>
      </w:pPr>
      <w:r>
        <w:rPr>
          <w:lang w:val="el-GR"/>
        </w:rPr>
      </w:r>
    </w:p>
    <w:p>
      <w:pPr>
        <w:pStyle w:val="style0"/>
      </w:pPr>
      <w:r>
        <w:rPr>
          <w:rFonts w:cs="Arial"/>
          <w:lang w:val="el-GR"/>
        </w:rPr>
      </w:r>
    </w:p>
    <w:p>
      <w:pPr>
        <w:pStyle w:val="style0"/>
      </w:pPr>
      <w:r>
        <w:rPr>
          <w:rFonts w:cs="Arial"/>
          <w:lang w:val="el-GR"/>
        </w:rPr>
      </w:r>
    </w:p>
    <w:p>
      <w:pPr>
        <w:pStyle w:val="style0"/>
      </w:pPr>
      <w:r>
        <w:rPr>
          <w:rFonts w:cs="Arial"/>
          <w:lang w:val="el-GR"/>
        </w:rPr>
      </w:r>
    </w:p>
    <w:p>
      <w:pPr>
        <w:pStyle w:val="style0"/>
      </w:pPr>
      <w:r>
        <w:rPr>
          <w:rFonts w:cs="Arial"/>
          <w:lang w:val="el-GR"/>
        </w:rPr>
      </w:r>
    </w:p>
    <w:p>
      <w:pPr>
        <w:pStyle w:val="style0"/>
      </w:pPr>
      <w:r>
        <w:rPr>
          <w:rFonts w:cs="Arial"/>
          <w:lang w:val="el-GR"/>
        </w:rPr>
      </w:r>
    </w:p>
    <w:p>
      <w:pPr>
        <w:pStyle w:val="style0"/>
      </w:pPr>
      <w:r>
        <w:rPr>
          <w:rFonts w:cs="Arial"/>
          <w:lang w:val="el-GR"/>
        </w:rPr>
      </w:r>
    </w:p>
    <w:p>
      <w:pPr>
        <w:pStyle w:val="style0"/>
      </w:pPr>
      <w:r>
        <w:rPr>
          <w:rFonts w:cs="Arial"/>
          <w:lang w:val="el-GR"/>
        </w:rPr>
      </w:r>
    </w:p>
    <w:p>
      <w:pPr>
        <w:pStyle w:val="style0"/>
      </w:pPr>
      <w:r>
        <w:rPr>
          <w:rFonts w:cs="Arial"/>
          <w:lang w:val="el-GR"/>
        </w:rPr>
      </w:r>
    </w:p>
    <w:p>
      <w:pPr>
        <w:pStyle w:val="style0"/>
      </w:pPr>
      <w:r>
        <w:rPr>
          <w:rFonts w:cs="Arial"/>
          <w:lang w:val="el-GR"/>
        </w:rPr>
      </w:r>
    </w:p>
    <w:p>
      <w:pPr>
        <w:pStyle w:val="style0"/>
      </w:pPr>
      <w:r>
        <w:rPr>
          <w:rFonts w:cs="Arial"/>
          <w:lang w:val="el-GR"/>
        </w:rPr>
      </w:r>
    </w:p>
    <w:p>
      <w:pPr>
        <w:sectPr>
          <w:headerReference r:id="rId42" w:type="default"/>
          <w:footerReference r:id="rId43" w:type="default"/>
          <w:type w:val="nextPage"/>
          <w:pgSz w:h="16838" w:w="11906"/>
          <w:pgMar w:bottom="1134" w:footer="834" w:gutter="0" w:header="1701" w:left="199" w:right="454" w:top="1758"/>
          <w:pgNumType w:fmt="decimal"/>
          <w:formProt w:val="false"/>
          <w:textDirection w:val="lrTb"/>
          <w:docGrid w:charSpace="8192" w:linePitch="360" w:type="default"/>
        </w:sectPr>
      </w:pPr>
    </w:p>
    <w:p>
      <w:pPr>
        <w:pStyle w:val="style0"/>
      </w:pPr>
      <w:r>
        <w:rPr>
          <w:rFonts w:cs="Arial"/>
          <w:lang w:val="el-GR"/>
        </w:rPr>
      </w:r>
    </w:p>
    <w:p>
      <w:pPr>
        <w:pStyle w:val="style0"/>
      </w:pPr>
      <w:r>
        <w:rPr>
          <w:rFonts w:cs="Arial"/>
          <w:lang w:val="el-GR"/>
        </w:rPr>
      </w:r>
    </w:p>
    <w:p>
      <w:pPr>
        <w:pStyle w:val="style0"/>
      </w:pPr>
      <w:r>
        <w:rPr>
          <w:rFonts w:cs="Arial"/>
          <w:lang w:val="el-GR"/>
        </w:rPr>
      </w:r>
    </w:p>
    <w:p>
      <w:pPr>
        <w:pStyle w:val="style0"/>
      </w:pPr>
      <w:r>
        <w:rPr>
          <w:rFonts w:cs="Arial"/>
          <w:lang w:val="el-GR"/>
        </w:rPr>
      </w:r>
    </w:p>
    <w:p>
      <w:pPr>
        <w:pStyle w:val="style0"/>
      </w:pPr>
      <w:r>
        <w:rPr>
          <w:rFonts w:cs="Arial"/>
          <w:lang w:val="el-GR"/>
        </w:rPr>
      </w:r>
    </w:p>
    <w:p>
      <w:pPr>
        <w:pStyle w:val="style0"/>
      </w:pPr>
      <w:r>
        <w:rPr>
          <w:rFonts w:cs="Arial"/>
          <w:lang w:val="el-GR"/>
        </w:rPr>
      </w:r>
    </w:p>
    <w:p>
      <w:pPr>
        <w:pStyle w:val="style0"/>
      </w:pPr>
      <w:r>
        <w:rPr>
          <w:rFonts w:cs="Arial"/>
          <w:lang w:val="el-GR"/>
        </w:rPr>
      </w:r>
    </w:p>
    <w:p>
      <w:pPr>
        <w:pStyle w:val="style0"/>
      </w:pPr>
      <w:r>
        <w:rPr>
          <w:rFonts w:cs="Arial"/>
          <w:lang w:val="el-GR"/>
        </w:rPr>
      </w:r>
    </w:p>
    <w:p>
      <w:pPr>
        <w:pStyle w:val="style0"/>
      </w:pPr>
      <w:r>
        <w:rPr>
          <w:rFonts w:cs="Arial"/>
          <w:lang w:val="el-GR"/>
        </w:rPr>
      </w:r>
    </w:p>
    <w:p>
      <w:pPr>
        <w:pStyle w:val="style0"/>
      </w:pPr>
      <w:r>
        <w:rPr>
          <w:rFonts w:cs="Arial"/>
          <w:lang w:val="el-GR"/>
        </w:rPr>
      </w:r>
    </w:p>
    <w:p>
      <w:pPr>
        <w:pStyle w:val="style0"/>
      </w:pPr>
      <w:r>
        <w:rPr>
          <w:rFonts w:cs="Arial"/>
          <w:lang w:val="el-GR"/>
        </w:rPr>
      </w:r>
    </w:p>
    <w:p>
      <w:pPr>
        <w:pStyle w:val="style0"/>
      </w:pPr>
      <w:r>
        <w:rPr>
          <w:rFonts w:cs="Arial"/>
          <w:lang w:val="el-GR"/>
        </w:rPr>
      </w:r>
    </w:p>
    <w:p>
      <w:pPr>
        <w:pStyle w:val="style0"/>
      </w:pPr>
      <w:r>
        <w:rPr>
          <w:rFonts w:cs="Arial"/>
          <w:lang w:val="el-GR"/>
        </w:rPr>
      </w:r>
    </w:p>
    <w:p>
      <w:pPr>
        <w:pStyle w:val="style0"/>
      </w:pPr>
      <w:r>
        <w:rPr>
          <w:rFonts w:cs="Arial"/>
          <w:lang w:val="el-GR"/>
        </w:rPr>
      </w:r>
    </w:p>
    <w:p>
      <w:pPr>
        <w:pStyle w:val="style0"/>
      </w:pPr>
      <w:r>
        <w:rPr>
          <w:rFonts w:cs="Arial"/>
          <w:lang w:val="el-GR"/>
        </w:rPr>
      </w:r>
    </w:p>
    <w:p>
      <w:pPr>
        <w:pStyle w:val="style0"/>
      </w:pPr>
      <w:r>
        <w:rPr>
          <w:rFonts w:cs="Arial"/>
          <w:lang w:val="el-GR"/>
        </w:rPr>
      </w:r>
    </w:p>
    <w:p>
      <w:pPr>
        <w:pStyle w:val="style0"/>
      </w:pPr>
      <w:r>
        <w:rPr>
          <w:rFonts w:cs="Arial"/>
          <w:lang w:val="el-GR"/>
        </w:rPr>
      </w:r>
    </w:p>
    <w:p>
      <w:pPr>
        <w:pStyle w:val="style0"/>
      </w:pPr>
      <w:r>
        <w:rPr>
          <w:rFonts w:cs="Arial"/>
          <w:lang w:val="el-GR"/>
        </w:rPr>
      </w:r>
    </w:p>
    <w:p>
      <w:pPr>
        <w:pStyle w:val="style0"/>
      </w:pPr>
      <w:r>
        <w:rPr>
          <w:rFonts w:cs="Arial"/>
          <w:lang w:val="el-GR"/>
        </w:rPr>
      </w:r>
    </w:p>
    <w:p>
      <w:pPr>
        <w:pStyle w:val="style0"/>
        <w:jc w:val="center"/>
      </w:pPr>
      <w:r>
        <w:rPr>
          <w:rFonts w:cs="Arial"/>
          <w:i/>
          <w:iCs/>
          <w:color w:val="940068"/>
          <w:sz w:val="18"/>
          <w:szCs w:val="18"/>
          <w:lang w:val="el-GR"/>
        </w:rPr>
        <w:t xml:space="preserve">Αξιοποιήθηκαν στοιχεία που παράχθηκαν στο πλαίσιο του έργου «Μηχανισμός παρακολούθησης των αλλαγών και υποστήριξης των δράσεων ανάπτυξης και προσαρμοστικότητας της βιομηχανίας», το οποίο συγχρηματοδοτείται από την Ελλάδα και την ΕΕ (Ευρωπαϊκό Κοινωνικό Ταμείο) μέσω του ΕΠ «Ανταγωνιστικότητα, Επιχειρηματικότητα και Καινοτομία». </w:t>
      </w:r>
    </w:p>
    <w:p>
      <w:pPr>
        <w:pStyle w:val="style0"/>
        <w:jc w:val="center"/>
      </w:pPr>
      <w:r>
        <w:rPr>
          <w:rFonts w:cs="Arial"/>
          <w:i/>
          <w:iCs/>
          <w:color w:val="940068"/>
          <w:sz w:val="18"/>
          <w:szCs w:val="18"/>
          <w:lang w:val="el-GR"/>
        </w:rPr>
      </w:r>
    </w:p>
    <w:p>
      <w:pPr>
        <w:pStyle w:val="style0"/>
        <w:jc w:val="center"/>
      </w:pPr>
      <w:r>
        <w:rPr/>
      </w:r>
    </w:p>
    <w:p>
      <w:pPr>
        <w:sectPr>
          <w:type w:val="continuous"/>
          <w:pgSz w:h="16838" w:w="11906"/>
          <w:pgMar w:bottom="1134" w:footer="834" w:gutter="0" w:header="1701" w:left="199" w:right="454" w:top="1758"/>
          <w:formProt w:val="false"/>
          <w:textDirection w:val="lrTb"/>
          <w:docGrid w:charSpace="8192" w:linePitch="360" w:type="default"/>
        </w:sectPr>
      </w:pPr>
    </w:p>
    <w:p>
      <w:pPr>
        <w:pStyle w:val="style0"/>
      </w:pPr>
      <w:r>
        <w:rPr/>
        <w:drawing>
          <wp:inline distB="0" distL="0" distR="0" distT="0">
            <wp:extent cx="4705350" cy="1028700"/>
            <wp:effectExtent b="0" l="0" r="0" t="0"/>
            <wp:docPr descr="cid:image003.png@01D59F97.2FBEF720" id="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id:image003.png@01D59F97.2FBEF720" id="26" name="Picture"/>
                    <pic:cNvPicPr>
                      <a:picLocks noChangeArrowheads="1" noChangeAspect="1"/>
                    </pic:cNvPicPr>
                  </pic:nvPicPr>
                  <pic:blipFill>
                    <a:blip r:embed="rId44"/>
                    <a:srcRect/>
                    <a:stretch>
                      <a:fillRect/>
                    </a:stretch>
                  </pic:blipFill>
                  <pic:spPr bwMode="auto">
                    <a:xfrm>
                      <a:off x="0" y="0"/>
                      <a:ext cx="4705350" cy="1028700"/>
                    </a:xfrm>
                    <a:prstGeom prst="rect">
                      <a:avLst/>
                    </a:prstGeom>
                    <a:noFill/>
                    <a:ln w="9525">
                      <a:noFill/>
                      <a:miter lim="800000"/>
                      <a:headEnd/>
                      <a:tailEnd/>
                    </a:ln>
                  </pic:spPr>
                </pic:pic>
              </a:graphicData>
            </a:graphic>
          </wp:inline>
        </w:drawing>
      </w:r>
    </w:p>
    <w:p>
      <w:pPr>
        <w:pStyle w:val="style0"/>
      </w:pPr>
      <w:r>
        <w:rPr>
          <w:rFonts w:cs="Arial"/>
          <w:lang w:val="el-GR"/>
        </w:rPr>
      </w:r>
    </w:p>
    <w:p>
      <w:pPr>
        <w:pStyle w:val="style0"/>
      </w:pPr>
      <w:r>
        <w:rPr>
          <w:rFonts w:cs="Arial"/>
          <w:spacing w:val="-4"/>
          <w:sz w:val="22"/>
          <w:szCs w:val="22"/>
          <w:lang w:val="el-GR"/>
        </w:rPr>
      </w:r>
    </w:p>
    <w:p>
      <w:pPr>
        <w:pStyle w:val="style0"/>
        <w:pageBreakBefore/>
        <w:tabs>
          <w:tab w:leader="none" w:pos="2910" w:val="left"/>
        </w:tabs>
      </w:pPr>
      <w:r>
        <w:rPr>
          <w:rFonts w:cs=""/>
          <w:b/>
          <w:sz w:val="28"/>
          <w:szCs w:val="28"/>
          <w:lang w:val="el-GR"/>
        </w:rPr>
        <w:t>Οικονομικά μεγέθη μελών ΣΕΒ</w:t>
        <w:drawing>
          <wp:anchor allowOverlap="1" behindDoc="1" distB="0" distL="0" distR="0" distT="0" layoutInCell="1" locked="0" relativeHeight="0" simplePos="0">
            <wp:simplePos x="0" y="0"/>
            <wp:positionH relativeFrom="character">
              <wp:posOffset>-720090</wp:posOffset>
            </wp:positionH>
            <wp:positionV relativeFrom="line">
              <wp:posOffset>-899795</wp:posOffset>
            </wp:positionV>
            <wp:extent cx="7566660" cy="10692130"/>
            <wp:effectExtent b="0" l="0" r="0" t="0"/>
            <wp:wrapNone/>
            <wp:docPr descr="" id="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7" name="Picture"/>
                    <pic:cNvPicPr>
                      <a:picLocks noChangeArrowheads="1" noChangeAspect="1"/>
                    </pic:cNvPicPr>
                  </pic:nvPicPr>
                  <pic:blipFill>
                    <a:blip r:embed="rId45"/>
                    <a:srcRect/>
                    <a:stretch>
                      <a:fillRect/>
                    </a:stretch>
                  </pic:blipFill>
                  <pic:spPr bwMode="auto">
                    <a:xfrm>
                      <a:off x="0" y="0"/>
                      <a:ext cx="7566660" cy="10692130"/>
                    </a:xfrm>
                    <a:prstGeom prst="rect">
                      <a:avLst/>
                    </a:prstGeom>
                    <a:noFill/>
                    <a:ln w="9525">
                      <a:noFill/>
                      <a:miter lim="800000"/>
                      <a:headEnd/>
                      <a:tailEnd/>
                    </a:ln>
                  </pic:spPr>
                </pic:pic>
              </a:graphicData>
            </a:graphic>
          </wp:anchor>
        </w:drawing>
      </w:r>
    </w:p>
    <w:p>
      <w:pPr>
        <w:pStyle w:val="style57"/>
        <w:spacing w:after="0" w:before="0" w:line="100" w:lineRule="atLeast"/>
        <w:contextualSpacing w:val="false"/>
      </w:pPr>
      <w:r>
        <w:rPr/>
        <w:drawing>
          <wp:inline distB="0" distL="0" distR="0" distT="0">
            <wp:extent cx="6897370" cy="3021965"/>
            <wp:effectExtent b="0" l="0" r="0" t="0"/>
            <wp:docPr descr="" id="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8" name="Picture"/>
                    <pic:cNvPicPr>
                      <a:picLocks noChangeArrowheads="1" noChangeAspect="1"/>
                    </pic:cNvPicPr>
                  </pic:nvPicPr>
                  <pic:blipFill>
                    <a:blip r:embed="rId46"/>
                    <a:srcRect/>
                    <a:stretch>
                      <a:fillRect/>
                    </a:stretch>
                  </pic:blipFill>
                  <pic:spPr bwMode="auto">
                    <a:xfrm>
                      <a:off x="0" y="0"/>
                      <a:ext cx="6897370" cy="3021965"/>
                    </a:xfrm>
                    <a:prstGeom prst="rect">
                      <a:avLst/>
                    </a:prstGeom>
                    <a:noFill/>
                    <a:ln w="9525">
                      <a:noFill/>
                      <a:miter lim="800000"/>
                      <a:headEnd/>
                      <a:tailEnd/>
                    </a:ln>
                  </pic:spPr>
                </pic:pic>
              </a:graphicData>
            </a:graphic>
          </wp:inline>
        </w:drawing>
      </w:r>
    </w:p>
    <w:p>
      <w:pPr>
        <w:pStyle w:val="style0"/>
      </w:pPr>
      <w:r>
        <w:rPr>
          <w:rFonts w:cs="Arial"/>
          <w:sz w:val="14"/>
          <w:szCs w:val="14"/>
          <w:lang w:val="el-GR"/>
        </w:rPr>
      </w:r>
    </w:p>
    <w:p>
      <w:pPr>
        <w:pStyle w:val="style0"/>
      </w:pPr>
      <w:r>
        <w:rPr>
          <w:rFonts w:cs="Arial"/>
          <w:sz w:val="14"/>
          <w:szCs w:val="14"/>
          <w:lang w:val="el-GR"/>
        </w:rPr>
      </w:r>
    </w:p>
    <w:p>
      <w:pPr>
        <w:pStyle w:val="style0"/>
        <w:spacing w:after="0" w:before="120"/>
        <w:contextualSpacing w:val="false"/>
      </w:pPr>
      <w:r>
        <w:rPr>
          <w:rFonts w:cs="Arial"/>
          <w:sz w:val="14"/>
          <w:szCs w:val="14"/>
          <w:lang w:val="el-GR"/>
        </w:rPr>
        <w:t>*      21.075 δημοσιευμένοι ισολογισμοί χρήσης 2017 που περιλαμβάνονται στη βάση της ICAP</w:t>
      </w:r>
    </w:p>
    <w:p>
      <w:pPr>
        <w:pStyle w:val="style0"/>
      </w:pPr>
      <w:r>
        <w:rPr>
          <w:rFonts w:cs="Arial"/>
          <w:sz w:val="14"/>
          <w:szCs w:val="14"/>
          <w:lang w:val="el-GR"/>
        </w:rPr>
        <w:t>**     σύνολο κερδών κερδοφόρων επιχειρήσεων</w:t>
      </w:r>
    </w:p>
    <w:p>
      <w:pPr>
        <w:pStyle w:val="style0"/>
      </w:pPr>
      <w:r>
        <w:rPr>
          <w:rFonts w:cs="Arial"/>
          <w:sz w:val="14"/>
          <w:szCs w:val="14"/>
          <w:lang w:val="el-GR"/>
        </w:rPr>
        <w:t>***   % επί του συνόλου τακτικών αποδοχών (χωρίς bonus και υπερωρίες)/ασφαλιστικών εισφορών ασφαλισμένων στον ΕΦKA</w:t>
      </w:r>
    </w:p>
    <w:p>
      <w:pPr>
        <w:pStyle w:val="style59"/>
        <w:spacing w:line="100" w:lineRule="atLeast"/>
        <w:ind w:hanging="0" w:left="0" w:right="0"/>
      </w:pPr>
      <w:r>
        <w:rPr>
          <w:rFonts w:cs="Arial"/>
          <w:color w:val="00000A"/>
          <w:sz w:val="14"/>
          <w:szCs w:val="14"/>
        </w:rPr>
        <w:t>****  % επί του συνόλου εσόδων από φόρο εισοδήματος νομικών προσώπων</w:t>
      </w:r>
    </w:p>
    <w:p>
      <w:pPr>
        <w:pStyle w:val="style0"/>
      </w:pPr>
      <w:r>
        <w:rPr>
          <w:rFonts w:cs="Arial"/>
          <w:sz w:val="14"/>
          <w:szCs w:val="14"/>
          <w:lang w:val="el-GR"/>
        </w:rPr>
        <w:t xml:space="preserve">Πηγή: </w:t>
      </w:r>
      <w:r>
        <w:rPr>
          <w:rFonts w:cs="Arial"/>
          <w:sz w:val="14"/>
          <w:szCs w:val="14"/>
        </w:rPr>
        <w:t>ICAP</w:t>
      </w:r>
      <w:r>
        <w:rPr>
          <w:rFonts w:cs="Arial"/>
          <w:sz w:val="14"/>
          <w:szCs w:val="14"/>
          <w:lang w:val="el-GR"/>
        </w:rPr>
        <w:t xml:space="preserve">, </w:t>
      </w:r>
      <w:r>
        <w:rPr>
          <w:rFonts w:cs="Arial"/>
          <w:sz w:val="14"/>
          <w:szCs w:val="14"/>
        </w:rPr>
        <w:t>Hellastat</w:t>
      </w:r>
      <w:r>
        <w:rPr>
          <w:rFonts w:cs="Arial"/>
          <w:sz w:val="14"/>
          <w:szCs w:val="14"/>
          <w:lang w:val="el-GR"/>
        </w:rPr>
        <w:t>, Υπουργείο Οικονομικών, ΕΦΚΑ, ΕΛΣΤΑΤ</w:t>
      </w:r>
    </w:p>
    <w:p>
      <w:pPr>
        <w:pStyle w:val="style59"/>
        <w:spacing w:line="100" w:lineRule="atLeast"/>
      </w:pPr>
      <w:r>
        <w:rPr>
          <w:rFonts w:cs=""/>
          <w:sz w:val="16"/>
          <w:szCs w:val="16"/>
        </w:rPr>
      </w:r>
    </w:p>
    <w:p>
      <w:pPr>
        <w:pStyle w:val="style60"/>
        <w:spacing w:line="100" w:lineRule="atLeast"/>
      </w:pPr>
      <w:r>
        <w:rPr>
          <w:rFonts w:cs=""/>
          <w:color w:val="000000"/>
          <w:lang w:val="el-GR"/>
        </w:rPr>
        <w:t xml:space="preserve">Όραμα </w:t>
      </w:r>
    </w:p>
    <w:p>
      <w:pPr>
        <w:pStyle w:val="style57"/>
        <w:spacing w:line="100" w:lineRule="atLeast"/>
      </w:pPr>
      <w:r>
        <w:rPr>
          <w:rFonts w:cs=""/>
          <w:sz w:val="20"/>
          <w:szCs w:val="20"/>
          <w:lang w:val="el-GR"/>
        </w:rPr>
        <w:t xml:space="preserve">Οραματιζόμαστε την Ελλάδα ως τη χώρα, που κάθε πολίτης του κόσμου θα θέλει και θα μπορεί να επισκεφθεί, να ζήσει και να επενδύσει. Οραματιζόμαστε μια ανοιχτή, κοινωνικά υπεύθυνη και οικονομικά φιλελεύθερη χώρα-μέλος της Ευρωπαϊκής Ένωσης, που προτάσσει την ισχυρή ανάπτυξη ως παράγοντα κοινωνικής συνοχής. Θέλουμε μια Ελλάδα δυναμικό κέντρο της ευρωπαϊκής περιφέρειας, με στέρεους θεσμούς, ελκυστικό κοινωνικό και οικονομικό περιβάλλον, που προάγει τις εξαγωγές, την καινοτόμο επιχειρηματικότητα, την παραγωγή και τις ποιοτικές υπηρεσίες, τη βιώσιμη ανάπτυξη, τη γνώση, τη συνοχή, τις ίσες ευκαιρίες και το κράτος δικαίου.   </w:t>
      </w:r>
    </w:p>
    <w:p>
      <w:pPr>
        <w:pStyle w:val="style60"/>
        <w:spacing w:line="100" w:lineRule="atLeast"/>
      </w:pPr>
      <w:r>
        <w:rPr>
          <w:rFonts w:cs=""/>
          <w:color w:val="000000"/>
          <w:lang w:val="el-GR"/>
        </w:rPr>
      </w:r>
    </w:p>
    <w:p>
      <w:pPr>
        <w:pStyle w:val="style60"/>
        <w:spacing w:line="100" w:lineRule="atLeast"/>
      </w:pPr>
      <w:r>
        <w:rPr>
          <w:rFonts w:cs=""/>
          <w:color w:val="000000"/>
          <w:lang w:val="el-GR"/>
        </w:rPr>
      </w:r>
    </w:p>
    <w:p>
      <w:pPr>
        <w:pStyle w:val="style60"/>
        <w:spacing w:line="100" w:lineRule="atLeast"/>
      </w:pPr>
      <w:r>
        <w:rPr>
          <w:rFonts w:cs=""/>
          <w:color w:val="000000"/>
          <w:lang w:val="el-GR"/>
        </w:rPr>
      </w:r>
    </w:p>
    <w:p>
      <w:pPr>
        <w:pStyle w:val="style60"/>
        <w:spacing w:line="100" w:lineRule="atLeast"/>
      </w:pPr>
      <w:r>
        <w:rPr>
          <w:rFonts w:cs=""/>
          <w:color w:val="000000"/>
          <w:lang w:val="el-GR"/>
        </w:rPr>
      </w:r>
    </w:p>
    <w:p>
      <w:pPr>
        <w:pStyle w:val="style60"/>
        <w:spacing w:line="100" w:lineRule="atLeast"/>
      </w:pPr>
      <w:r>
        <w:rPr>
          <w:rFonts w:cs=""/>
          <w:color w:val="000000"/>
          <w:lang w:val="el-GR"/>
        </w:rPr>
      </w:r>
    </w:p>
    <w:p>
      <w:pPr>
        <w:pStyle w:val="style60"/>
        <w:spacing w:line="100" w:lineRule="atLeast"/>
      </w:pPr>
      <w:r>
        <w:rPr>
          <w:rFonts w:cs=""/>
          <w:color w:val="000000"/>
          <w:lang w:val="el-GR"/>
        </w:rPr>
      </w:r>
    </w:p>
    <w:p>
      <w:pPr>
        <w:pStyle w:val="style60"/>
        <w:spacing w:line="100" w:lineRule="atLeast"/>
      </w:pPr>
      <w:r>
        <w:rPr>
          <w:rFonts w:cs=""/>
          <w:color w:val="000000"/>
          <w:lang w:val="el-GR"/>
        </w:rPr>
        <w:t xml:space="preserve">Αποστολή </w:t>
      </w:r>
    </w:p>
    <w:p>
      <w:pPr>
        <w:pStyle w:val="style57"/>
        <w:spacing w:line="100" w:lineRule="atLeast"/>
      </w:pPr>
      <w:r>
        <w:rPr>
          <w:rFonts w:cs=""/>
          <w:b/>
          <w:sz w:val="20"/>
          <w:szCs w:val="20"/>
          <w:lang w:val="el-GR"/>
        </w:rPr>
        <w:t>Ηγεσία &amp; Γνώση</w:t>
      </w:r>
      <w:r>
        <w:rPr>
          <w:rFonts w:cs=""/>
          <w:sz w:val="20"/>
          <w:szCs w:val="20"/>
          <w:lang w:val="el-GR"/>
        </w:rPr>
        <w:t xml:space="preserve"> </w:t>
        <w:br/>
        <w:t xml:space="preserve">Ο ΣΕΒ διαδραματίζει ηγετικό ρόλο στον μετασχηματισμό της Ελλάδας σε μια παραγωγική, εξωστρεφή και ανταγωνιστική οικονομία, ως ανεξάρτητος και υπεύθυνος εκπρόσωπος της ιδιωτικής οικονομίας. </w:t>
      </w:r>
    </w:p>
    <w:p>
      <w:pPr>
        <w:pStyle w:val="style57"/>
        <w:spacing w:line="100" w:lineRule="atLeast"/>
      </w:pPr>
      <w:r>
        <w:rPr>
          <w:rFonts w:cs=""/>
          <w:b/>
          <w:sz w:val="20"/>
          <w:szCs w:val="20"/>
          <w:lang w:val="el-GR"/>
        </w:rPr>
        <w:t>Κοινωνικός Εταίρος</w:t>
      </w:r>
      <w:r>
        <w:rPr>
          <w:rFonts w:cs=""/>
          <w:sz w:val="20"/>
          <w:szCs w:val="20"/>
          <w:lang w:val="el-GR"/>
        </w:rPr>
        <w:t xml:space="preserve"> </w:t>
        <w:br/>
        <w:t xml:space="preserve">Ο ΣΕΒ, ως κοινωνικός εταίρος που πιστεύει στη λειτουργία των θεσμών, προωθεί στα αρμόδια όργανα της Πολιτείας και της Ε.Ε. τις απόψεις και θέσεις της επιχειρηματικής κοινότητας. </w:t>
      </w:r>
    </w:p>
    <w:p>
      <w:pPr>
        <w:pStyle w:val="style57"/>
        <w:spacing w:line="100" w:lineRule="atLeast"/>
      </w:pPr>
      <w:r>
        <w:rPr>
          <w:rFonts w:cs=""/>
          <w:b/>
          <w:sz w:val="20"/>
          <w:szCs w:val="20"/>
          <w:lang w:val="el-GR"/>
        </w:rPr>
        <w:t>Ισχυρός Εκπρόσωπος</w:t>
      </w:r>
      <w:r>
        <w:rPr>
          <w:rFonts w:cs=""/>
          <w:sz w:val="20"/>
          <w:szCs w:val="20"/>
          <w:lang w:val="el-GR"/>
        </w:rPr>
        <w:t xml:space="preserve"> </w:t>
        <w:br/>
        <w:t xml:space="preserve">Ο ΣΕΒ διαμορφώνει θέσεις, αναλύσεις και προτάσεις πολιτικής για την οικονομία, τη βιομηχανία, την καινοτομία, την απασχόληση, την παιδεία και τις εργασιακές δεξιότητες, τον κοινωνικό διάλογο, τη βιώσιμη ανάπτυξη, την εταιρική υπευθυνότητα. </w:t>
      </w:r>
    </w:p>
    <w:p>
      <w:pPr>
        <w:pStyle w:val="style66"/>
        <w:tabs>
          <w:tab w:leader="none" w:pos="5973" w:val="left"/>
          <w:tab w:leader="none" w:pos="11020" w:val="right"/>
        </w:tabs>
        <w:jc w:val="left"/>
      </w:pPr>
      <w:r>
        <w:rPr>
          <w:rFonts w:cs=""/>
          <w:b/>
          <w:sz w:val="20"/>
          <w:szCs w:val="20"/>
          <w:lang w:val="el-GR"/>
        </w:rPr>
        <w:t>Φορέας Δικτύωσης</w:t>
      </w:r>
      <w:r>
        <w:rPr>
          <w:rFonts w:cs=""/>
          <w:sz w:val="20"/>
          <w:szCs w:val="20"/>
          <w:lang w:val="el-GR"/>
        </w:rPr>
        <w:t xml:space="preserve"> </w:t>
        <w:br/>
        <w:t>Ο ΣΕΒ δικτυώνει τα μέλη του μεταξύ τους &amp; με τα κέντρα αποφάσεων (εγχώρια και διεθνή), με στόχο τη δημιουργία προστιθέμενης αξίας.</w:t>
      </w:r>
    </w:p>
    <w:p>
      <w:pPr>
        <w:sectPr>
          <w:type w:val="continuous"/>
          <w:pgSz w:h="16838" w:w="11906"/>
          <w:pgMar w:bottom="1134" w:footer="834" w:gutter="0" w:header="1701" w:left="199" w:right="454" w:top="1758"/>
          <w:cols w:equalWidth="true" w:num="2" w:sep="true" w:space="320"/>
          <w:formProt w:val="false"/>
          <w:textDirection w:val="lrTb"/>
          <w:docGrid w:charSpace="8192" w:linePitch="360" w:type="default"/>
        </w:sectPr>
      </w:pPr>
    </w:p>
    <w:p>
      <w:pPr>
        <w:pStyle w:val="style57"/>
        <w:spacing w:line="100" w:lineRule="atLeast"/>
      </w:pPr>
      <w:r>
        <w:rPr>
          <w:rFonts w:cs="Arial"/>
          <w:lang w:val="el-GR"/>
        </w:rPr>
        <w:t xml:space="preserve"> </w:t>
      </w:r>
    </w:p>
    <w:p>
      <w:pPr>
        <w:pStyle w:val="style60"/>
        <w:spacing w:line="100" w:lineRule="atLeast"/>
      </w:pPr>
      <w:r>
        <w:rPr>
          <w:rFonts w:cs=""/>
          <w:color w:val="000000"/>
          <w:lang w:val="el-GR"/>
        </w:rPr>
      </w:r>
    </w:p>
    <w:p>
      <w:pPr>
        <w:pStyle w:val="style60"/>
        <w:spacing w:line="100" w:lineRule="atLeast"/>
      </w:pPr>
      <w:r>
        <w:rPr/>
        <w:drawing>
          <wp:inline distB="0" distL="0" distR="0" distT="0">
            <wp:extent cx="6981825" cy="1117600"/>
            <wp:effectExtent b="0" l="0" r="0" t="0"/>
            <wp:docPr descr="" id="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9" name="Picture"/>
                    <pic:cNvPicPr>
                      <a:picLocks noChangeArrowheads="1" noChangeAspect="1"/>
                    </pic:cNvPicPr>
                  </pic:nvPicPr>
                  <pic:blipFill>
                    <a:blip r:embed="rId47"/>
                    <a:srcRect/>
                    <a:stretch>
                      <a:fillRect/>
                    </a:stretch>
                  </pic:blipFill>
                  <pic:spPr bwMode="auto">
                    <a:xfrm>
                      <a:off x="0" y="0"/>
                      <a:ext cx="6981825" cy="1117600"/>
                    </a:xfrm>
                    <a:prstGeom prst="rect">
                      <a:avLst/>
                    </a:prstGeom>
                    <a:noFill/>
                    <a:ln w="9525">
                      <a:noFill/>
                      <a:miter lim="800000"/>
                      <a:headEnd/>
                      <a:tailEnd/>
                    </a:ln>
                  </pic:spPr>
                </pic:pic>
              </a:graphicData>
            </a:graphic>
          </wp:inline>
        </w:drawing>
      </w:r>
      <w:r>
        <w:rPr/>
        <w:drawing>
          <wp:inline distB="0" distL="0" distR="0" distT="0">
            <wp:extent cx="321945" cy="342265"/>
            <wp:effectExtent b="0" l="0" r="0" t="0"/>
            <wp:docPr descr="" id="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0" name="Picture"/>
                    <pic:cNvPicPr>
                      <a:picLocks noChangeArrowheads="1" noChangeAspect="1"/>
                    </pic:cNvPicPr>
                  </pic:nvPicPr>
                  <pic:blipFill>
                    <a:blip r:embed="rId48"/>
                    <a:srcRect/>
                    <a:stretch>
                      <a:fillRect/>
                    </a:stretch>
                  </pic:blipFill>
                  <pic:spPr bwMode="auto">
                    <a:xfrm>
                      <a:off x="0" y="0"/>
                      <a:ext cx="321945" cy="342265"/>
                    </a:xfrm>
                    <a:prstGeom prst="rect">
                      <a:avLst/>
                    </a:prstGeom>
                    <a:noFill/>
                    <a:ln w="9525">
                      <a:noFill/>
                      <a:miter lim="800000"/>
                      <a:headEnd/>
                      <a:tailEnd/>
                    </a:ln>
                  </pic:spPr>
                </pic:pic>
              </a:graphicData>
            </a:graphic>
          </wp:inline>
        </w:drawing>
      </w:r>
      <w:r>
        <w:rPr/>
        <w:drawing>
          <wp:inline distB="0" distL="0" distR="0" distT="0">
            <wp:extent cx="321945" cy="342265"/>
            <wp:effectExtent b="0" l="0" r="0" t="0"/>
            <wp:docPr descr="" id="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1" name="Picture"/>
                    <pic:cNvPicPr>
                      <a:picLocks noChangeArrowheads="1" noChangeAspect="1"/>
                    </pic:cNvPicPr>
                  </pic:nvPicPr>
                  <pic:blipFill>
                    <a:blip r:embed="rId49"/>
                    <a:srcRect/>
                    <a:stretch>
                      <a:fillRect/>
                    </a:stretch>
                  </pic:blipFill>
                  <pic:spPr bwMode="auto">
                    <a:xfrm>
                      <a:off x="0" y="0"/>
                      <a:ext cx="321945" cy="342265"/>
                    </a:xfrm>
                    <a:prstGeom prst="rect">
                      <a:avLst/>
                    </a:prstGeom>
                    <a:noFill/>
                    <a:ln w="9525">
                      <a:noFill/>
                      <a:miter lim="800000"/>
                      <a:headEnd/>
                      <a:tailEnd/>
                    </a:ln>
                  </pic:spPr>
                </pic:pic>
              </a:graphicData>
            </a:graphic>
          </wp:inline>
        </w:drawing>
      </w:r>
      <w:r>
        <w:rPr/>
        <w:drawing>
          <wp:inline distB="0" distL="0" distR="0" distT="0">
            <wp:extent cx="321945" cy="342265"/>
            <wp:effectExtent b="0" l="0" r="0" t="0"/>
            <wp:docPr descr="" id="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2" name="Picture"/>
                    <pic:cNvPicPr>
                      <a:picLocks noChangeArrowheads="1" noChangeAspect="1"/>
                    </pic:cNvPicPr>
                  </pic:nvPicPr>
                  <pic:blipFill>
                    <a:blip r:embed="rId50"/>
                    <a:srcRect/>
                    <a:stretch>
                      <a:fillRect/>
                    </a:stretch>
                  </pic:blipFill>
                  <pic:spPr bwMode="auto">
                    <a:xfrm>
                      <a:off x="0" y="0"/>
                      <a:ext cx="321945" cy="342265"/>
                    </a:xfrm>
                    <a:prstGeom prst="rect">
                      <a:avLst/>
                    </a:prstGeom>
                    <a:noFill/>
                    <a:ln w="9525">
                      <a:noFill/>
                      <a:miter lim="800000"/>
                      <a:headEnd/>
                      <a:tailEnd/>
                    </a:ln>
                  </pic:spPr>
                </pic:pic>
              </a:graphicData>
            </a:graphic>
          </wp:inline>
        </w:drawing>
      </w:r>
      <w:r>
        <w:rPr/>
        <w:drawing>
          <wp:inline distB="0" distL="0" distR="0" distT="0">
            <wp:extent cx="315595" cy="335280"/>
            <wp:effectExtent b="0" l="0" r="0" t="0"/>
            <wp:docPr descr="" id="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3" name="Picture"/>
                    <pic:cNvPicPr>
                      <a:picLocks noChangeArrowheads="1" noChangeAspect="1"/>
                    </pic:cNvPicPr>
                  </pic:nvPicPr>
                  <pic:blipFill>
                    <a:blip r:embed="rId51"/>
                    <a:srcRect/>
                    <a:stretch>
                      <a:fillRect/>
                    </a:stretch>
                  </pic:blipFill>
                  <pic:spPr bwMode="auto">
                    <a:xfrm>
                      <a:off x="0" y="0"/>
                      <a:ext cx="315595" cy="335280"/>
                    </a:xfrm>
                    <a:prstGeom prst="rect">
                      <a:avLst/>
                    </a:prstGeom>
                    <a:noFill/>
                    <a:ln w="9525">
                      <a:noFill/>
                      <a:miter lim="800000"/>
                      <a:headEnd/>
                      <a:tailEnd/>
                    </a:ln>
                  </pic:spPr>
                </pic:pic>
              </a:graphicData>
            </a:graphic>
          </wp:inline>
        </w:drawing>
      </w:r>
    </w:p>
    <w:sectPr>
      <w:type w:val="continuous"/>
      <w:pgSz w:h="16838" w:w="11906"/>
      <w:pgMar w:bottom="1434" w:footer="1134" w:gutter="0" w:header="1134" w:left="1134" w:right="1134" w:top="1417"/>
      <w:pgNumType w:fmt="decimal"/>
      <w:formProt w:val="false"/>
      <w:textDirection w:val="lrTb"/>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a1"/>
    <w:family w:val="roman"/>
    <w:pitch w:val="variable"/>
  </w:font>
  <w:font w:name="Cambria">
    <w:charset w:val="a1"/>
    <w:family w:val="roman"/>
    <w:pitch w:val="variable"/>
  </w:font>
  <w:font w:name="Arial">
    <w:charset w:val="80"/>
    <w:family w:val="swiss"/>
    <w:pitch w:val="variable"/>
  </w:font>
  <w:font w:name="Courier New">
    <w:charset w:val="80"/>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66"/>
      <w:tabs>
        <w:tab w:leader="none" w:pos="5973" w:val="left"/>
        <w:tab w:leader="none" w:pos="11020" w:val="right"/>
      </w:tabs>
      <w:jc w:val="left"/>
    </w:pPr>
    <w:r>
      <w:rPr>
        <w:sz w:val="12"/>
        <w:szCs w:val="12"/>
      </w:rPr>
      <w:tab/>
      <w:t xml:space="preserve">                                                               </w:t>
    </w:r>
  </w:p>
  <w:p>
    <w:pPr>
      <w:pStyle w:val="style66"/>
      <w:tabs>
        <w:tab w:leader="none" w:pos="5973" w:val="left"/>
        <w:tab w:leader="none" w:pos="11020" w:val="right"/>
      </w:tabs>
      <w:spacing w:after="113" w:before="0"/>
      <w:contextualSpacing w:val="false"/>
      <w:jc w:val="left"/>
    </w:pPr>
    <w:r>
      <w:rPr>
        <w:sz w:val="12"/>
        <w:szCs w:val="12"/>
      </w:rPr>
      <w:tab/>
      <w:tab/>
      <w:tab/>
    </w:r>
  </w:p>
  <w:p>
    <w:pPr>
      <w:pStyle w:val="style59"/>
    </w:pPr>
    <w:r>
      <w:rPr>
        <w:b/>
      </w:rPr>
      <w:t>TEYXΟΣ 17</w:t>
    </w:r>
    <w:r>
      <w:rPr>
        <w:b/>
        <w:lang w:val="en-US"/>
      </w:rPr>
      <w:t>5</w:t>
    </w:r>
    <w:r>
      <w:rPr>
        <w:b/>
      </w:rPr>
      <w:t xml:space="preserve"> | </w:t>
    </w:r>
    <w:r>
      <w:rPr>
        <w:lang w:val="en-US"/>
      </w:rPr>
      <w:t>21</w:t>
    </w:r>
    <w:r>
      <w:rPr/>
      <w:t xml:space="preserve"> Νοεμβρίου 2019 | σελ. </w:t>
    </w:r>
    <w:r>
      <w:rPr>
        <w:lang w:val="en-US"/>
      </w:rPr>
      <w:fldChar w:fldCharType="begin"/>
    </w:r>
    <w:r>
      <w:instrText> PAGE </w:instrText>
    </w:r>
    <w:r>
      <w:fldChar w:fldCharType="separate"/>
    </w:r>
    <w:r>
      <w:t>22</w:t>
    </w:r>
    <w: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64"/>
    </w:pPr>
    <w:r>
      <w:rPr/>
      <w:drawing>
        <wp:anchor allowOverlap="1" behindDoc="0" distB="0" distL="0" distR="0" distT="0" layoutInCell="1" locked="0" relativeHeight="22" simplePos="0">
          <wp:simplePos x="0" y="0"/>
          <wp:positionH relativeFrom="character">
            <wp:posOffset>-1270</wp:posOffset>
          </wp:positionH>
          <wp:positionV relativeFrom="line">
            <wp:posOffset>-720725</wp:posOffset>
          </wp:positionV>
          <wp:extent cx="6985000" cy="431800"/>
          <wp:effectExtent b="0" l="0" r="0" t="0"/>
          <wp:wrapNone/>
          <wp:docPr descr="" id="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5" name="Picture"/>
                  <pic:cNvPicPr>
                    <a:picLocks noChangeArrowheads="1" noChangeAspect="1"/>
                  </pic:cNvPicPr>
                </pic:nvPicPr>
                <pic:blipFill>
                  <a:blip r:embed="rId1"/>
                  <a:srcRect/>
                  <a:stretch>
                    <a:fillRect/>
                  </a:stretch>
                </pic:blipFill>
                <pic:spPr bwMode="auto">
                  <a:xfrm>
                    <a:off x="0" y="0"/>
                    <a:ext cx="6985000" cy="431800"/>
                  </a:xfrm>
                  <a:prstGeom prst="rect">
                    <a:avLst/>
                  </a:prstGeom>
                  <a:noFill/>
                  <a:ln w="9525">
                    <a:noFill/>
                    <a:miter lim="800000"/>
                    <a:headEnd/>
                    <a:tailEnd/>
                  </a:ln>
                </pic:spPr>
              </pic:pic>
            </a:graphicData>
          </a:graphic>
        </wp:anchor>
      </w:drawing>
    </w:r>
  </w:p>
</w:hdr>
</file>

<file path=word/numbering.xml><?xml version="1.0" encoding="utf-8"?>
<w:numbering xmlns:w="http://schemas.openxmlformats.org/wordprocessingml/2006/main">
  <w:abstractNum w:abstractNumId="1">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abstractNum w:abstractNumId="2">
    <w:lvl w:ilvl="0">
      <w:start w:val="3"/>
      <w:numFmt w:val="bullet"/>
      <w:lvlText w:val="-"/>
      <w:lvlJc w:val="left"/>
      <w:pPr>
        <w:ind w:hanging="360" w:left="644"/>
      </w:pPr>
      <w:rPr>
        <w:rFonts w:ascii="Arial" w:cs="Arial" w:hAnsi="Arial" w:hint="default"/>
        <w:sz w:val="17"/>
        <w:b/>
      </w:rPr>
    </w:lvl>
    <w:lvl w:ilvl="1">
      <w:start w:val="1"/>
      <w:numFmt w:val="bullet"/>
      <w:lvlText w:val="o"/>
      <w:lvlJc w:val="left"/>
      <w:pPr>
        <w:ind w:hanging="360" w:left="1364"/>
      </w:pPr>
      <w:rPr>
        <w:rFonts w:ascii="Courier New" w:cs="Courier New" w:hAnsi="Courier New" w:hint="default"/>
      </w:rPr>
    </w:lvl>
    <w:lvl w:ilvl="2">
      <w:start w:val="1"/>
      <w:numFmt w:val="bullet"/>
      <w:lvlText w:val=""/>
      <w:lvlJc w:val="left"/>
      <w:pPr>
        <w:ind w:hanging="360" w:left="2084"/>
      </w:pPr>
      <w:rPr>
        <w:rFonts w:ascii="Wingdings" w:cs="Wingdings" w:hAnsi="Wingdings" w:hint="default"/>
      </w:rPr>
    </w:lvl>
    <w:lvl w:ilvl="3">
      <w:start w:val="1"/>
      <w:numFmt w:val="bullet"/>
      <w:lvlText w:val=""/>
      <w:lvlJc w:val="left"/>
      <w:pPr>
        <w:ind w:hanging="360" w:left="2804"/>
      </w:pPr>
      <w:rPr>
        <w:rFonts w:ascii="Symbol" w:cs="Symbol" w:hAnsi="Symbol" w:hint="default"/>
      </w:rPr>
    </w:lvl>
    <w:lvl w:ilvl="4">
      <w:start w:val="1"/>
      <w:numFmt w:val="bullet"/>
      <w:lvlText w:val="o"/>
      <w:lvlJc w:val="left"/>
      <w:pPr>
        <w:ind w:hanging="360" w:left="3524"/>
      </w:pPr>
      <w:rPr>
        <w:rFonts w:ascii="Courier New" w:cs="Courier New" w:hAnsi="Courier New" w:hint="default"/>
      </w:rPr>
    </w:lvl>
    <w:lvl w:ilvl="5">
      <w:start w:val="1"/>
      <w:numFmt w:val="bullet"/>
      <w:lvlText w:val=""/>
      <w:lvlJc w:val="left"/>
      <w:pPr>
        <w:ind w:hanging="360" w:left="4244"/>
      </w:pPr>
      <w:rPr>
        <w:rFonts w:ascii="Wingdings" w:cs="Wingdings" w:hAnsi="Wingdings" w:hint="default"/>
      </w:rPr>
    </w:lvl>
    <w:lvl w:ilvl="6">
      <w:start w:val="1"/>
      <w:numFmt w:val="bullet"/>
      <w:lvlText w:val=""/>
      <w:lvlJc w:val="left"/>
      <w:pPr>
        <w:ind w:hanging="360" w:left="4964"/>
      </w:pPr>
      <w:rPr>
        <w:rFonts w:ascii="Symbol" w:cs="Symbol" w:hAnsi="Symbol" w:hint="default"/>
      </w:rPr>
    </w:lvl>
    <w:lvl w:ilvl="7">
      <w:start w:val="1"/>
      <w:numFmt w:val="bullet"/>
      <w:lvlText w:val="o"/>
      <w:lvlJc w:val="left"/>
      <w:pPr>
        <w:ind w:hanging="360" w:left="5684"/>
      </w:pPr>
      <w:rPr>
        <w:rFonts w:ascii="Courier New" w:cs="Courier New" w:hAnsi="Courier New" w:hint="default"/>
      </w:rPr>
    </w:lvl>
    <w:lvl w:ilvl="8">
      <w:start w:val="1"/>
      <w:numFmt w:val="bullet"/>
      <w:lvlText w:val=""/>
      <w:lvlJc w:val="left"/>
      <w:pPr>
        <w:ind w:hanging="360" w:left="6404"/>
      </w:pPr>
      <w:rPr>
        <w:rFonts w:ascii="Wingdings" w:cs="Wingdings" w:hAnsi="Wingdings" w:hint="default"/>
      </w:rPr>
    </w:lvl>
  </w:abstractNum>
  <w:abstractNum w:abstractNumId="3">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4">
    <w:lvl w:ilvl="0">
      <w:start w:val="3"/>
      <w:numFmt w:val="bullet"/>
      <w:lvlText w:val="-"/>
      <w:lvlJc w:val="left"/>
      <w:pPr>
        <w:ind w:hanging="360" w:left="644"/>
      </w:pPr>
      <w:rPr>
        <w:rFonts w:ascii="Arial" w:cs="Arial" w:hAnsi="Arial" w:hint="default"/>
        <w:sz w:val="17"/>
        <w:b/>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20"/>
</w:settings>
</file>

<file path=word/styles.xml><?xml version="1.0" encoding="utf-8"?>
<w:styles xmlns:w="http://schemas.openxmlformats.org/wordprocessingml/2006/main">
  <w:style w:styleId="style0" w:type="paragraph">
    <w:name w:val="Προεπιλογή"/>
    <w:next w:val="style0"/>
    <w:pPr>
      <w:widowControl/>
      <w:tabs/>
      <w:suppressAutoHyphens w:val="true"/>
    </w:pPr>
    <w:rPr>
      <w:rFonts w:ascii="Arial" w:cs="Times New Roman" w:eastAsia="Times New Roman" w:hAnsi="Arial"/>
      <w:color w:val="auto"/>
      <w:sz w:val="20"/>
      <w:szCs w:val="20"/>
      <w:lang w:bidi="ar-SA" w:eastAsia="en-US" w:val="en-US"/>
    </w:rPr>
  </w:style>
  <w:style w:styleId="style1" w:type="paragraph">
    <w:name w:val="Επικεφαλίδα 1"/>
    <w:basedOn w:val="style0"/>
    <w:next w:val="style52"/>
    <w:pPr>
      <w:keepNext/>
      <w:keepLines/>
      <w:spacing w:after="0" w:before="240" w:line="300" w:lineRule="exact"/>
      <w:contextualSpacing w:val="false"/>
    </w:pPr>
    <w:rPr>
      <w:rFonts w:ascii="Calibri" w:cs="" w:hAnsi="Calibri"/>
      <w:color w:val="365F91"/>
      <w:sz w:val="32"/>
      <w:szCs w:val="32"/>
    </w:rPr>
  </w:style>
  <w:style w:styleId="style2" w:type="paragraph">
    <w:name w:val="Επικεφαλίδα 2"/>
    <w:basedOn w:val="style0"/>
    <w:next w:val="style52"/>
    <w:pPr>
      <w:keepNext/>
      <w:keepLines/>
      <w:numPr>
        <w:ilvl w:val="1"/>
        <w:numId w:val="1"/>
      </w:numPr>
      <w:spacing w:after="0" w:before="40" w:line="256" w:lineRule="auto"/>
      <w:contextualSpacing w:val="false"/>
      <w:outlineLvl w:val="1"/>
    </w:pPr>
    <w:rPr>
      <w:rFonts w:ascii="Calibri" w:cs="" w:hAnsi="Calibri"/>
      <w:color w:val="365F91"/>
      <w:sz w:val="26"/>
      <w:szCs w:val="26"/>
    </w:rPr>
  </w:style>
  <w:style w:styleId="style5" w:type="paragraph">
    <w:name w:val="Επικεφαλίδα 5"/>
    <w:basedOn w:val="style0"/>
    <w:next w:val="style52"/>
    <w:pPr>
      <w:keepNext/>
      <w:keepLines/>
      <w:numPr>
        <w:ilvl w:val="4"/>
        <w:numId w:val="1"/>
      </w:numPr>
      <w:spacing w:after="0" w:before="40" w:line="300" w:lineRule="exact"/>
      <w:contextualSpacing w:val="false"/>
      <w:outlineLvl w:val="4"/>
    </w:pPr>
    <w:rPr>
      <w:rFonts w:ascii="Calibri" w:cs="" w:hAnsi="Calibri"/>
      <w:color w:val="365F91"/>
      <w:sz w:val="24"/>
    </w:rPr>
  </w:style>
  <w:style w:styleId="style15" w:type="character">
    <w:name w:val="Default Paragraph Font"/>
    <w:next w:val="style15"/>
    <w:rPr/>
  </w:style>
  <w:style w:styleId="style16" w:type="character">
    <w:name w:val="Κείμενο πλαισίου Char"/>
    <w:basedOn w:val="style15"/>
    <w:next w:val="style16"/>
    <w:rPr>
      <w:rFonts w:ascii="Lucida Grande" w:cs="Lucida Grande" w:hAnsi="Lucida Grande"/>
      <w:sz w:val="18"/>
      <w:szCs w:val="18"/>
    </w:rPr>
  </w:style>
  <w:style w:styleId="style17" w:type="character">
    <w:name w:val="Κεφαλίδα Char"/>
    <w:basedOn w:val="style15"/>
    <w:next w:val="style17"/>
    <w:rPr>
      <w:rFonts w:ascii="Times New Roman" w:cs="Times New Roman" w:eastAsia="Times New Roman" w:hAnsi="Times New Roman"/>
      <w:sz w:val="20"/>
      <w:szCs w:val="20"/>
    </w:rPr>
  </w:style>
  <w:style w:styleId="style18" w:type="character">
    <w:name w:val="Υποσέλιδο Char"/>
    <w:basedOn w:val="style15"/>
    <w:next w:val="style18"/>
    <w:rPr>
      <w:rFonts w:ascii="Times New Roman" w:cs="Times New Roman" w:eastAsia="Times New Roman" w:hAnsi="Times New Roman"/>
      <w:sz w:val="20"/>
      <w:szCs w:val="20"/>
    </w:rPr>
  </w:style>
  <w:style w:styleId="style19" w:type="character">
    <w:name w:val="MAIN_TITLE Char"/>
    <w:basedOn w:val="style15"/>
    <w:next w:val="style19"/>
    <w:rPr>
      <w:rFonts w:ascii="Helvetica" w:cs="Helvetica" w:eastAsia="Times New Roman" w:hAnsi="Helvetica"/>
      <w:color w:val="000000"/>
      <w:sz w:val="40"/>
      <w:szCs w:val="40"/>
    </w:rPr>
  </w:style>
  <w:style w:styleId="style20" w:type="character">
    <w:name w:val="MAIN_TITLE2 Char"/>
    <w:basedOn w:val="style19"/>
    <w:next w:val="style20"/>
    <w:rPr>
      <w:rFonts w:ascii="Arial" w:cs="Helvetica" w:eastAsia="Times New Roman" w:hAnsi="Arial"/>
      <w:color w:val="000000"/>
      <w:sz w:val="40"/>
      <w:szCs w:val="40"/>
    </w:rPr>
  </w:style>
  <w:style w:styleId="style21" w:type="character">
    <w:name w:val="Δεσμός Internet"/>
    <w:basedOn w:val="style15"/>
    <w:next w:val="style21"/>
    <w:rPr>
      <w:color w:val="0000FF"/>
      <w:u w:val="single"/>
      <w:lang w:bidi="el-GR" w:eastAsia="el-GR" w:val="el-GR"/>
    </w:rPr>
  </w:style>
  <w:style w:styleId="style22" w:type="character">
    <w:name w:val="annotation reference"/>
    <w:basedOn w:val="style15"/>
    <w:next w:val="style22"/>
    <w:rPr>
      <w:sz w:val="16"/>
      <w:szCs w:val="16"/>
    </w:rPr>
  </w:style>
  <w:style w:styleId="style23" w:type="character">
    <w:name w:val="Κείμενο σχολίου Char"/>
    <w:basedOn w:val="style15"/>
    <w:next w:val="style23"/>
    <w:rPr>
      <w:rFonts w:ascii="Arial" w:cs="Times New Roman" w:eastAsia="Times New Roman" w:hAnsi="Arial"/>
      <w:sz w:val="20"/>
      <w:szCs w:val="20"/>
    </w:rPr>
  </w:style>
  <w:style w:styleId="style24" w:type="character">
    <w:name w:val="Θέμα σχολίου Char"/>
    <w:basedOn w:val="style23"/>
    <w:next w:val="style24"/>
    <w:rPr>
      <w:rFonts w:ascii="Arial" w:cs="Times New Roman" w:eastAsia="Times New Roman" w:hAnsi="Arial"/>
      <w:b/>
      <w:bCs/>
      <w:sz w:val="20"/>
      <w:szCs w:val="20"/>
    </w:rPr>
  </w:style>
  <w:style w:styleId="style25" w:type="character">
    <w:name w:val="FollowedHyperlink"/>
    <w:basedOn w:val="style15"/>
    <w:next w:val="style25"/>
    <w:rPr>
      <w:color w:val="800080"/>
      <w:u w:val="single"/>
    </w:rPr>
  </w:style>
  <w:style w:styleId="style26" w:type="character">
    <w:name w:val="apple-converted-space"/>
    <w:basedOn w:val="style15"/>
    <w:next w:val="style26"/>
    <w:rPr/>
  </w:style>
  <w:style w:styleId="style27" w:type="character">
    <w:name w:val="Χωρίς διάστιχο Char"/>
    <w:basedOn w:val="style15"/>
    <w:next w:val="style27"/>
    <w:rPr>
      <w:sz w:val="22"/>
      <w:szCs w:val="22"/>
    </w:rPr>
  </w:style>
  <w:style w:styleId="style28" w:type="character">
    <w:name w:val="MAIN_TEXT2 Char"/>
    <w:basedOn w:val="style15"/>
    <w:next w:val="style28"/>
    <w:rPr>
      <w:rFonts w:ascii="Helvetica" w:cs="Helvetica Light" w:hAnsi="Helvetica"/>
      <w:color w:val="000000"/>
      <w:sz w:val="22"/>
      <w:lang w:val="el-GR"/>
    </w:rPr>
  </w:style>
  <w:style w:styleId="style29" w:type="character">
    <w:name w:val="Επικεφαλίδα 1 Char"/>
    <w:basedOn w:val="style15"/>
    <w:next w:val="style29"/>
    <w:rPr>
      <w:rFonts w:ascii="Calibri" w:cs="" w:hAnsi="Calibri"/>
      <w:color w:val="365F91"/>
      <w:sz w:val="32"/>
      <w:szCs w:val="32"/>
    </w:rPr>
  </w:style>
  <w:style w:styleId="style30" w:type="character">
    <w:name w:val="Επικεφαλίδα 2 Char"/>
    <w:basedOn w:val="style15"/>
    <w:next w:val="style30"/>
    <w:rPr>
      <w:rFonts w:ascii="Calibri" w:cs="" w:hAnsi="Calibri"/>
      <w:color w:val="365F91"/>
      <w:sz w:val="26"/>
      <w:szCs w:val="26"/>
    </w:rPr>
  </w:style>
  <w:style w:styleId="style31" w:type="character">
    <w:name w:val="Επικεφαλίδα 5 Char"/>
    <w:basedOn w:val="style15"/>
    <w:next w:val="style31"/>
    <w:rPr>
      <w:rFonts w:ascii="Calibri" w:cs="" w:hAnsi="Calibri"/>
      <w:color w:val="365F91"/>
      <w:sz w:val="20"/>
      <w:szCs w:val="20"/>
    </w:rPr>
  </w:style>
  <w:style w:styleId="style32" w:type="character">
    <w:name w:val="MAIN_TEXT Char"/>
    <w:basedOn w:val="style15"/>
    <w:next w:val="style32"/>
    <w:rPr>
      <w:rFonts w:ascii="Helvetica" w:cs="Helvetica Light" w:hAnsi="Helvetica"/>
      <w:color w:val="000000"/>
      <w:sz w:val="22"/>
      <w:lang w:val="el-GR"/>
    </w:rPr>
  </w:style>
  <w:style w:styleId="style33" w:type="character">
    <w:name w:val="Κείμενο υποσημείωσης Char"/>
    <w:basedOn w:val="style15"/>
    <w:next w:val="style33"/>
    <w:rPr>
      <w:rFonts w:cs="Cambria"/>
      <w:sz w:val="20"/>
      <w:szCs w:val="20"/>
    </w:rPr>
  </w:style>
  <w:style w:styleId="style34" w:type="character">
    <w:name w:val="footnote reference"/>
    <w:basedOn w:val="style15"/>
    <w:next w:val="style34"/>
    <w:rPr>
      <w:vertAlign w:val="superscript"/>
    </w:rPr>
  </w:style>
  <w:style w:styleId="style35" w:type="character">
    <w:name w:val="Έντονη έμφαση"/>
    <w:basedOn w:val="style15"/>
    <w:next w:val="style35"/>
    <w:rPr>
      <w:b/>
      <w:bCs/>
    </w:rPr>
  </w:style>
  <w:style w:styleId="style36" w:type="character">
    <w:name w:val="line number"/>
    <w:basedOn w:val="style15"/>
    <w:next w:val="style36"/>
    <w:rPr/>
  </w:style>
  <w:style w:styleId="style37" w:type="character">
    <w:name w:val="Κείμενο σημείωσης τέλους Char"/>
    <w:basedOn w:val="style15"/>
    <w:next w:val="style37"/>
    <w:rPr>
      <w:rFonts w:ascii="Helvetica Light" w:cs="Times New Roman" w:eastAsia="Times New Roman" w:hAnsi="Helvetica Light"/>
      <w:sz w:val="20"/>
      <w:szCs w:val="20"/>
    </w:rPr>
  </w:style>
  <w:style w:styleId="style38" w:type="character">
    <w:name w:val="endnote reference"/>
    <w:basedOn w:val="style15"/>
    <w:next w:val="style38"/>
    <w:rPr>
      <w:vertAlign w:val="superscript"/>
    </w:rPr>
  </w:style>
  <w:style w:styleId="style39" w:type="character">
    <w:name w:val="Έμφασις"/>
    <w:basedOn w:val="style15"/>
    <w:next w:val="style39"/>
    <w:rPr>
      <w:i/>
      <w:iCs/>
    </w:rPr>
  </w:style>
  <w:style w:styleId="style40" w:type="character">
    <w:name w:val="Χάρτης εγγράφου Char"/>
    <w:basedOn w:val="style15"/>
    <w:next w:val="style40"/>
    <w:rPr>
      <w:rFonts w:ascii="Lucida Grande" w:cs="Lucida Grande" w:eastAsia="Times New Roman" w:hAnsi="Lucida Grande"/>
    </w:rPr>
  </w:style>
  <w:style w:styleId="style41" w:type="character">
    <w:name w:val="Απλό κείμενο Char"/>
    <w:basedOn w:val="style15"/>
    <w:next w:val="style41"/>
    <w:rPr>
      <w:rFonts w:ascii="Calibri" w:cs="Cambria" w:hAnsi="Calibri"/>
      <w:sz w:val="22"/>
      <w:szCs w:val="22"/>
    </w:rPr>
  </w:style>
  <w:style w:styleId="style42" w:type="character">
    <w:name w:val="Σώμα κειμένου Char"/>
    <w:basedOn w:val="style15"/>
    <w:next w:val="style42"/>
    <w:rPr>
      <w:rFonts w:ascii="Times New Roman" w:cs="Times New Roman" w:eastAsia="Times New Roman" w:hAnsi="Times New Roman"/>
      <w:sz w:val="20"/>
      <w:szCs w:val="20"/>
      <w:lang w:eastAsia="el-GR" w:val="el-GR"/>
    </w:rPr>
  </w:style>
  <w:style w:styleId="style43" w:type="character">
    <w:name w:val="A9"/>
    <w:next w:val="style43"/>
    <w:rPr>
      <w:rFonts w:ascii="CJSTMC+MyriadGreekBold" w:cs="CJSTMC+MyriadGreekBold" w:hAnsi="CJSTMC+MyriadGreekBold"/>
      <w:color w:val="000000"/>
      <w:sz w:val="12"/>
      <w:szCs w:val="12"/>
    </w:rPr>
  </w:style>
  <w:style w:styleId="style44" w:type="character">
    <w:name w:val="A8"/>
    <w:next w:val="style44"/>
    <w:rPr>
      <w:color w:val="000000"/>
    </w:rPr>
  </w:style>
  <w:style w:styleId="style45" w:type="character">
    <w:name w:val="Παράγραφος λίστας Char"/>
    <w:next w:val="style45"/>
    <w:rPr>
      <w:rFonts w:ascii="Helvetica" w:cs="Times New Roman" w:eastAsia="Times New Roman" w:hAnsi="Helvetica"/>
      <w:sz w:val="20"/>
      <w:szCs w:val="20"/>
    </w:rPr>
  </w:style>
  <w:style w:styleId="style46" w:type="character">
    <w:name w:val="ListLabel 1"/>
    <w:next w:val="style46"/>
    <w:rPr>
      <w:rFonts w:cs="Courier New"/>
    </w:rPr>
  </w:style>
  <w:style w:styleId="style47" w:type="character">
    <w:name w:val="ListLabel 2"/>
    <w:next w:val="style47"/>
    <w:rPr>
      <w:rFonts w:cs="Arial" w:eastAsia="Arial"/>
      <w:position w:val="0"/>
      <w:sz w:val="24"/>
      <w:vertAlign w:val="baseline"/>
    </w:rPr>
  </w:style>
  <w:style w:styleId="style48" w:type="character">
    <w:name w:val="ListLabel 3"/>
    <w:next w:val="style48"/>
    <w:rPr>
      <w:rFonts w:cs="Arial" w:eastAsia="Times New Roman"/>
    </w:rPr>
  </w:style>
  <w:style w:styleId="style49" w:type="character">
    <w:name w:val="ListLabel 4"/>
    <w:next w:val="style49"/>
    <w:rPr>
      <w:rFonts w:cs="Cambria"/>
    </w:rPr>
  </w:style>
  <w:style w:styleId="style50" w:type="character">
    <w:name w:val="ListLabel 5"/>
    <w:next w:val="style50"/>
    <w:rPr>
      <w:rFonts w:cs="Arial" w:eastAsia="Times New Roman"/>
      <w:b/>
      <w:sz w:val="17"/>
    </w:rPr>
  </w:style>
  <w:style w:styleId="style51" w:type="paragraph">
    <w:name w:val="Επικεφαλίδα"/>
    <w:basedOn w:val="style0"/>
    <w:next w:val="style52"/>
    <w:pPr>
      <w:keepNext/>
      <w:spacing w:after="120" w:before="240"/>
      <w:contextualSpacing w:val="false"/>
    </w:pPr>
    <w:rPr>
      <w:rFonts w:ascii="Arial" w:cs="Mangal" w:eastAsia="Microsoft YaHei" w:hAnsi="Arial"/>
      <w:sz w:val="28"/>
      <w:szCs w:val="28"/>
    </w:rPr>
  </w:style>
  <w:style w:styleId="style52" w:type="paragraph">
    <w:name w:val="Σώμα κειμένου"/>
    <w:basedOn w:val="style0"/>
    <w:next w:val="style52"/>
    <w:pPr>
      <w:jc w:val="both"/>
    </w:pPr>
    <w:rPr>
      <w:rFonts w:ascii="Times New Roman" w:hAnsi="Times New Roman"/>
      <w:lang w:eastAsia="el-GR" w:val="el-GR"/>
    </w:rPr>
  </w:style>
  <w:style w:styleId="style53" w:type="paragraph">
    <w:name w:val="Λίστα"/>
    <w:basedOn w:val="style52"/>
    <w:next w:val="style53"/>
    <w:pPr/>
    <w:rPr>
      <w:rFonts w:cs="Mangal"/>
    </w:rPr>
  </w:style>
  <w:style w:styleId="style54" w:type="paragraph">
    <w:name w:val="Λεζάντα"/>
    <w:basedOn w:val="style0"/>
    <w:next w:val="style54"/>
    <w:pPr>
      <w:suppressLineNumbers/>
      <w:spacing w:after="120" w:before="120"/>
      <w:contextualSpacing w:val="false"/>
    </w:pPr>
    <w:rPr>
      <w:rFonts w:cs="Mangal"/>
      <w:i/>
      <w:iCs/>
      <w:sz w:val="24"/>
      <w:szCs w:val="24"/>
    </w:rPr>
  </w:style>
  <w:style w:styleId="style55" w:type="paragraph">
    <w:name w:val="Ευρετήριο"/>
    <w:basedOn w:val="style0"/>
    <w:next w:val="style55"/>
    <w:pPr>
      <w:suppressLineNumbers/>
    </w:pPr>
    <w:rPr>
      <w:rFonts w:cs="Mangal"/>
    </w:rPr>
  </w:style>
  <w:style w:styleId="style56" w:type="paragraph">
    <w:name w:val="Balloon Text"/>
    <w:basedOn w:val="style0"/>
    <w:next w:val="style56"/>
    <w:pPr/>
    <w:rPr>
      <w:rFonts w:ascii="Lucida Grande" w:cs="Lucida Grande" w:hAnsi="Lucida Grande"/>
      <w:sz w:val="18"/>
      <w:szCs w:val="18"/>
    </w:rPr>
  </w:style>
  <w:style w:styleId="style57" w:type="paragraph">
    <w:name w:val="2C"/>
    <w:basedOn w:val="style0"/>
    <w:next w:val="style57"/>
    <w:pPr>
      <w:widowControl w:val="false"/>
      <w:spacing w:after="0" w:before="160" w:line="300" w:lineRule="exact"/>
      <w:ind w:hanging="0" w:left="0" w:right="-23"/>
      <w:contextualSpacing w:val="false"/>
    </w:pPr>
    <w:rPr>
      <w:rFonts w:cs="Helvetica Light"/>
      <w:color w:val="000000"/>
      <w:sz w:val="22"/>
      <w:szCs w:val="24"/>
    </w:rPr>
  </w:style>
  <w:style w:styleId="style58" w:type="paragraph">
    <w:name w:val="MAIN_TITLE"/>
    <w:basedOn w:val="style0"/>
    <w:next w:val="style58"/>
    <w:pPr>
      <w:widowControl w:val="false"/>
      <w:spacing w:after="0" w:before="60"/>
      <w:ind w:hanging="0" w:left="0" w:right="-23"/>
      <w:contextualSpacing w:val="false"/>
    </w:pPr>
    <w:rPr>
      <w:rFonts w:cs="Helvetica"/>
      <w:color w:val="000000"/>
      <w:sz w:val="40"/>
      <w:szCs w:val="40"/>
    </w:rPr>
  </w:style>
  <w:style w:styleId="style59" w:type="paragraph">
    <w:name w:val="EDIT_TEXT"/>
    <w:basedOn w:val="style0"/>
    <w:next w:val="style59"/>
    <w:pPr>
      <w:widowControl w:val="false"/>
      <w:spacing w:line="260" w:lineRule="exact"/>
      <w:ind w:hanging="0" w:left="0" w:right="-23"/>
    </w:pPr>
    <w:rPr>
      <w:rFonts w:cs="Helvetica Light"/>
      <w:color w:val="000000"/>
      <w:lang w:val="el-GR"/>
    </w:rPr>
  </w:style>
  <w:style w:styleId="style60" w:type="paragraph">
    <w:name w:val="Title1"/>
    <w:basedOn w:val="style0"/>
    <w:next w:val="style60"/>
    <w:pPr>
      <w:widowControl w:val="false"/>
      <w:spacing w:after="0" w:before="80" w:line="340" w:lineRule="exact"/>
      <w:ind w:hanging="0" w:left="0" w:right="-23"/>
      <w:contextualSpacing w:val="false"/>
    </w:pPr>
    <w:rPr>
      <w:rFonts w:cs="Helvetica Light"/>
      <w:b/>
      <w:color w:val="00AEEF"/>
      <w:sz w:val="28"/>
      <w:szCs w:val="28"/>
    </w:rPr>
  </w:style>
  <w:style w:styleId="style61" w:type="paragraph">
    <w:name w:val="Quote1"/>
    <w:basedOn w:val="style57"/>
    <w:next w:val="style61"/>
    <w:pPr>
      <w:spacing w:after="0" w:before="240" w:line="360" w:lineRule="exact"/>
      <w:contextualSpacing w:val="false"/>
    </w:pPr>
    <w:rPr>
      <w:rFonts w:cs=""/>
      <w:color w:val="00AEEF"/>
      <w:sz w:val="28"/>
      <w:szCs w:val="28"/>
    </w:rPr>
  </w:style>
  <w:style w:styleId="style62" w:type="paragraph">
    <w:name w:val="caption"/>
    <w:basedOn w:val="style0"/>
    <w:next w:val="style62"/>
    <w:pPr>
      <w:spacing w:after="200" w:before="0"/>
      <w:contextualSpacing w:val="false"/>
    </w:pPr>
    <w:rPr>
      <w:b/>
      <w:bCs/>
      <w:sz w:val="18"/>
      <w:szCs w:val="18"/>
    </w:rPr>
  </w:style>
  <w:style w:styleId="style63" w:type="paragraph">
    <w:name w:val="QUOTE_ITALIC"/>
    <w:basedOn w:val="style59"/>
    <w:next w:val="style63"/>
    <w:pPr/>
    <w:rPr>
      <w:i/>
      <w:color w:val="14A4FF"/>
    </w:rPr>
  </w:style>
  <w:style w:styleId="style64" w:type="paragraph">
    <w:name w:val="Κεφαλίδα"/>
    <w:basedOn w:val="style0"/>
    <w:next w:val="style64"/>
    <w:pPr>
      <w:suppressLineNumbers/>
      <w:tabs>
        <w:tab w:leader="none" w:pos="4320" w:val="center"/>
        <w:tab w:leader="none" w:pos="8640" w:val="right"/>
      </w:tabs>
    </w:pPr>
    <w:rPr/>
  </w:style>
  <w:style w:styleId="style65" w:type="paragraph">
    <w:name w:val="Υποσέλιδο"/>
    <w:basedOn w:val="style0"/>
    <w:next w:val="style65"/>
    <w:pPr>
      <w:suppressLineNumbers/>
      <w:tabs>
        <w:tab w:leader="none" w:pos="4320" w:val="center"/>
        <w:tab w:leader="none" w:pos="8640" w:val="right"/>
      </w:tabs>
    </w:pPr>
    <w:rPr/>
  </w:style>
  <w:style w:styleId="style66" w:type="paragraph">
    <w:name w:val="[Basic Paragraph]"/>
    <w:basedOn w:val="style0"/>
    <w:next w:val="style66"/>
    <w:pPr>
      <w:widowControl w:val="false"/>
      <w:spacing w:after="113" w:before="0" w:line="300" w:lineRule="atLeast"/>
      <w:contextualSpacing w:val="false"/>
      <w:jc w:val="both"/>
      <w:textAlignment w:val="center"/>
    </w:pPr>
    <w:rPr>
      <w:rFonts w:ascii="Helvetica-Light" w:cs="" w:hAnsi="Helvetica-Light"/>
      <w:color w:val="000000"/>
      <w:sz w:val="24"/>
      <w:szCs w:val="24"/>
      <w:lang w:val="el-GR"/>
    </w:rPr>
  </w:style>
  <w:style w:styleId="style67" w:type="paragraph">
    <w:name w:val="Style EDIT_TEXT + Helvetica Bold Custom Color(RGB(20"/>
    <w:basedOn w:val="style59"/>
    <w:next w:val="style67"/>
    <w:pPr/>
    <w:rPr>
      <w:b/>
      <w:bCs/>
      <w:color w:val="14A4FF"/>
    </w:rPr>
  </w:style>
  <w:style w:styleId="style68" w:type="paragraph">
    <w:name w:val="MAIN_TITLE2"/>
    <w:basedOn w:val="style58"/>
    <w:next w:val="style68"/>
    <w:pPr/>
    <w:rPr/>
  </w:style>
  <w:style w:styleId="style69" w:type="paragraph">
    <w:name w:val="List Paragraph"/>
    <w:basedOn w:val="style0"/>
    <w:next w:val="style69"/>
    <w:pPr>
      <w:spacing w:after="0" w:before="0"/>
      <w:ind w:hanging="0" w:left="720" w:right="0"/>
      <w:contextualSpacing/>
    </w:pPr>
    <w:rPr>
      <w:rFonts w:ascii="Helvetica" w:hAnsi="Helvetica"/>
    </w:rPr>
  </w:style>
  <w:style w:styleId="style70" w:type="paragraph">
    <w:name w:val="annotation text"/>
    <w:basedOn w:val="style0"/>
    <w:next w:val="style70"/>
    <w:pPr/>
    <w:rPr/>
  </w:style>
  <w:style w:styleId="style71" w:type="paragraph">
    <w:name w:val="annotation subject"/>
    <w:basedOn w:val="style70"/>
    <w:next w:val="style71"/>
    <w:pPr/>
    <w:rPr>
      <w:b/>
      <w:bCs/>
    </w:rPr>
  </w:style>
  <w:style w:styleId="style72" w:type="paragraph">
    <w:name w:val="Normal (Web)"/>
    <w:basedOn w:val="style0"/>
    <w:next w:val="style72"/>
    <w:pPr/>
    <w:rPr>
      <w:rFonts w:ascii="Times New Roman" w:eastAsia="Calibri" w:hAnsi="Times New Roman"/>
      <w:sz w:val="24"/>
      <w:szCs w:val="24"/>
    </w:rPr>
  </w:style>
  <w:style w:styleId="style73" w:type="paragraph">
    <w:name w:val="Revision"/>
    <w:next w:val="style73"/>
    <w:pPr>
      <w:widowControl/>
      <w:tabs/>
      <w:suppressAutoHyphens w:val="true"/>
    </w:pPr>
    <w:rPr>
      <w:rFonts w:ascii="Arial" w:cs="Times New Roman" w:eastAsia="Times New Roman" w:hAnsi="Arial"/>
      <w:color w:val="auto"/>
      <w:sz w:val="20"/>
      <w:szCs w:val="20"/>
      <w:lang w:bidi="ar-SA" w:eastAsia="en-US" w:val="en-US"/>
    </w:rPr>
  </w:style>
  <w:style w:styleId="style74" w:type="paragraph">
    <w:name w:val="No Spacing"/>
    <w:next w:val="style74"/>
    <w:pPr>
      <w:widowControl/>
      <w:tabs/>
      <w:suppressAutoHyphens w:val="true"/>
    </w:pPr>
    <w:rPr>
      <w:rFonts w:ascii="Cambria" w:cs="" w:eastAsia="SimSun" w:hAnsi="Cambria"/>
      <w:color w:val="auto"/>
      <w:sz w:val="22"/>
      <w:szCs w:val="22"/>
      <w:lang w:bidi="ar-SA" w:eastAsia="en-US" w:val="en-US"/>
    </w:rPr>
  </w:style>
  <w:style w:styleId="style75" w:type="paragraph">
    <w:name w:val="yiv9444893385msonormal"/>
    <w:basedOn w:val="style0"/>
    <w:next w:val="style75"/>
    <w:pPr>
      <w:spacing w:after="28" w:before="28"/>
      <w:contextualSpacing w:val="false"/>
    </w:pPr>
    <w:rPr>
      <w:rFonts w:ascii="Times New Roman" w:hAnsi="Times New Roman"/>
      <w:sz w:val="24"/>
      <w:szCs w:val="24"/>
    </w:rPr>
  </w:style>
  <w:style w:styleId="style76" w:type="paragraph">
    <w:name w:val="Normal"/>
    <w:next w:val="style76"/>
    <w:pPr>
      <w:widowControl/>
      <w:tabs/>
      <w:suppressAutoHyphens w:val="true"/>
    </w:pPr>
    <w:rPr>
      <w:rFonts w:ascii="Calibri" w:cs="Cambria" w:eastAsia="SimSun" w:hAnsi="Calibri"/>
      <w:color w:val="000000"/>
      <w:sz w:val="24"/>
      <w:szCs w:val="24"/>
      <w:lang w:bidi="ar-SA" w:eastAsia="en-US" w:val="en-US"/>
    </w:rPr>
  </w:style>
  <w:style w:styleId="style77" w:type="paragraph">
    <w:name w:val="MAIN_TEXT2"/>
    <w:basedOn w:val="style0"/>
    <w:next w:val="style77"/>
    <w:pPr>
      <w:spacing w:after="80" w:before="0" w:line="300" w:lineRule="exact"/>
      <w:contextualSpacing w:val="false"/>
      <w:jc w:val="both"/>
    </w:pPr>
    <w:rPr>
      <w:rFonts w:ascii="Helvetica" w:cs="" w:hAnsi="Helvetica"/>
      <w:color w:val="000000"/>
      <w:sz w:val="22"/>
      <w:szCs w:val="24"/>
      <w:lang w:val="el-GR"/>
    </w:rPr>
  </w:style>
  <w:style w:styleId="style78" w:type="paragraph">
    <w:name w:val="MAIN_TEXT"/>
    <w:next w:val="style78"/>
    <w:pPr>
      <w:widowControl/>
      <w:tabs/>
      <w:suppressAutoHyphens w:val="true"/>
      <w:spacing w:after="80" w:before="0" w:line="300" w:lineRule="exact"/>
      <w:contextualSpacing w:val="false"/>
      <w:jc w:val="both"/>
    </w:pPr>
    <w:rPr>
      <w:rFonts w:ascii="Helvetica" w:cs="Helvetica Light" w:eastAsia="SimSun" w:hAnsi="Helvetica"/>
      <w:color w:val="000000"/>
      <w:sz w:val="22"/>
      <w:szCs w:val="24"/>
      <w:lang w:bidi="ar-SA" w:eastAsia="en-US" w:val="el-GR"/>
    </w:rPr>
  </w:style>
  <w:style w:styleId="style79" w:type="paragraph">
    <w:name w:val="HEADLINE"/>
    <w:next w:val="style79"/>
    <w:pPr>
      <w:widowControl w:val="false"/>
      <w:tabs/>
      <w:suppressAutoHyphens w:val="true"/>
      <w:spacing w:after="80" w:before="0" w:line="260" w:lineRule="exact"/>
      <w:ind w:hanging="0" w:left="0" w:right="-23"/>
      <w:contextualSpacing w:val="false"/>
      <w:jc w:val="both"/>
    </w:pPr>
    <w:rPr>
      <w:rFonts w:ascii="Arial" w:cs="Helvetica Light" w:eastAsia="Times New Roman" w:hAnsi="Arial"/>
      <w:color w:val="000000"/>
      <w:sz w:val="20"/>
      <w:szCs w:val="20"/>
      <w:lang w:bidi="ar-SA" w:eastAsia="en-US" w:val="el-GR"/>
    </w:rPr>
  </w:style>
  <w:style w:styleId="style80" w:type="paragraph">
    <w:name w:val="footnote text"/>
    <w:basedOn w:val="style0"/>
    <w:next w:val="style80"/>
    <w:pPr/>
    <w:rPr>
      <w:rFonts w:ascii="Cambria" w:cs="Cambria" w:hAnsi="Cambria"/>
    </w:rPr>
  </w:style>
  <w:style w:styleId="style81" w:type="paragraph">
    <w:name w:val="Κυρίως κείμενο"/>
    <w:next w:val="style81"/>
    <w:pPr>
      <w:widowControl/>
      <w:pBdr/>
      <w:tabs/>
      <w:suppressAutoHyphens w:val="true"/>
      <w:spacing w:after="200" w:before="0" w:line="276" w:lineRule="auto"/>
      <w:contextualSpacing w:val="false"/>
    </w:pPr>
    <w:rPr>
      <w:rFonts w:ascii="Calibri" w:cs="Calibri" w:eastAsia="Calibri" w:hAnsi="Calibri"/>
      <w:color w:val="000000"/>
      <w:sz w:val="22"/>
      <w:szCs w:val="22"/>
      <w:u w:val="none"/>
      <w:lang w:bidi="ar-SA" w:eastAsia="el-GR" w:val="el-GR"/>
    </w:rPr>
  </w:style>
  <w:style w:styleId="style82" w:type="paragraph">
    <w:name w:val="endnote text"/>
    <w:basedOn w:val="style0"/>
    <w:next w:val="style82"/>
    <w:pPr/>
    <w:rPr>
      <w:rFonts w:ascii="Helvetica Light" w:hAnsi="Helvetica Light"/>
    </w:rPr>
  </w:style>
  <w:style w:styleId="style83" w:type="paragraph">
    <w:name w:val="Document Map"/>
    <w:basedOn w:val="style0"/>
    <w:next w:val="style83"/>
    <w:pPr/>
    <w:rPr>
      <w:rFonts w:ascii="Lucida Grande" w:cs="Lucida Grande" w:hAnsi="Lucida Grande"/>
      <w:sz w:val="24"/>
      <w:szCs w:val="24"/>
    </w:rPr>
  </w:style>
  <w:style w:styleId="style84" w:type="paragraph">
    <w:name w:val="c02alineaalta"/>
    <w:basedOn w:val="style0"/>
    <w:next w:val="style84"/>
    <w:pPr>
      <w:spacing w:after="28" w:before="28"/>
      <w:contextualSpacing w:val="false"/>
    </w:pPr>
    <w:rPr>
      <w:rFonts w:ascii="Times New Roman" w:cs="Cambria" w:hAnsi="Times New Roman"/>
      <w:sz w:val="24"/>
      <w:szCs w:val="24"/>
    </w:rPr>
  </w:style>
  <w:style w:styleId="style85" w:type="paragraph">
    <w:name w:val="Plain Text"/>
    <w:basedOn w:val="style0"/>
    <w:next w:val="style85"/>
    <w:pPr/>
    <w:rPr>
      <w:rFonts w:ascii="Calibri" w:cs="Cambria" w:hAnsi="Calibri"/>
      <w:sz w:val="22"/>
      <w:szCs w:val="22"/>
    </w:rPr>
  </w:style>
  <w:style w:styleId="style86" w:type="paragraph">
    <w:name w:val="Περιεχόμενα πλαισίου"/>
    <w:basedOn w:val="style52"/>
    <w:next w:val="style86"/>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Relationship Id="rId5" Type="http://schemas.openxmlformats.org/officeDocument/2006/relationships/image" Target="media/image4.png"/><Relationship Id="rId6" Type="http://schemas.openxmlformats.org/officeDocument/2006/relationships/image" Target="media/image5"/><Relationship Id="rId7" Type="http://schemas.openxmlformats.org/officeDocument/2006/relationships/image" Target="media/image6"/><Relationship Id="rId8" Type="http://schemas.openxmlformats.org/officeDocument/2006/relationships/image" Target="media/image7"/><Relationship Id="rId9" Type="http://schemas.openxmlformats.org/officeDocument/2006/relationships/image" Target="media/image8"/><Relationship Id="rId10" Type="http://schemas.openxmlformats.org/officeDocument/2006/relationships/image" Target="media/image9"/><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wmf"/><Relationship Id="rId14" Type="http://schemas.openxmlformats.org/officeDocument/2006/relationships/image" Target="media/image13.png"/><Relationship Id="rId15" Type="http://schemas.openxmlformats.org/officeDocument/2006/relationships/hyperlink" Target="https://www.sev.org.gr/vivliothiki-tekmiriosi/special-report/viomichania-4-0-oi-sympraxeis-kai-mia-olokliromeni-stratigiki-einai-ta-kleidia-tis-epitychias-11-noemvriou-2019/" TargetMode="External"/><Relationship Id="rId16" Type="http://schemas.openxmlformats.org/officeDocument/2006/relationships/image" Target="media/image14.png"/><Relationship Id="rId17" Type="http://schemas.openxmlformats.org/officeDocument/2006/relationships/image" Target="media/image15.wmf"/><Relationship Id="rId18" Type="http://schemas.openxmlformats.org/officeDocument/2006/relationships/image" Target="media/image16.png"/><Relationship Id="rId19" Type="http://schemas.openxmlformats.org/officeDocument/2006/relationships/hyperlink" Target="https://www.weforum.org/whitepapers/a-global-standard-for-lifelong-learning-and-worker-engagement-to-support-advanced-manufacturing" TargetMode="External"/><Relationship Id="rId20" Type="http://schemas.openxmlformats.org/officeDocument/2006/relationships/image" Target="media/image17.wmf"/><Relationship Id="rId21" Type="http://schemas.openxmlformats.org/officeDocument/2006/relationships/image" Target="media/image18.wmf"/><Relationship Id="rId22" Type="http://schemas.openxmlformats.org/officeDocument/2006/relationships/image" Target="media/image19.png"/><Relationship Id="rId23" Type="http://schemas.openxmlformats.org/officeDocument/2006/relationships/image" Target="media/image20.png"/><Relationship Id="rId24" Type="http://schemas.openxmlformats.org/officeDocument/2006/relationships/image" Target="media/image21.png"/><Relationship Id="rId25" Type="http://schemas.openxmlformats.org/officeDocument/2006/relationships/image" Target="media/image22.png"/><Relationship Id="rId26" Type="http://schemas.openxmlformats.org/officeDocument/2006/relationships/image" Target="media/image23.png"/><Relationship Id="rId27" Type="http://schemas.openxmlformats.org/officeDocument/2006/relationships/image" Target="media/image24.wmf"/><Relationship Id="rId28" Type="http://schemas.openxmlformats.org/officeDocument/2006/relationships/image" Target="media/image25.wmf"/><Relationship Id="rId29" Type="http://schemas.openxmlformats.org/officeDocument/2006/relationships/image" Target="media/image26.wmf"/><Relationship Id="rId30" Type="http://schemas.openxmlformats.org/officeDocument/2006/relationships/image" Target="media/image27.wmf"/><Relationship Id="rId31" Type="http://schemas.openxmlformats.org/officeDocument/2006/relationships/image" Target="media/image28.png"/><Relationship Id="rId32" Type="http://schemas.openxmlformats.org/officeDocument/2006/relationships/image" Target="media/image29.png"/><Relationship Id="rId33" Type="http://schemas.openxmlformats.org/officeDocument/2006/relationships/image" Target="media/image30.png"/><Relationship Id="rId34" Type="http://schemas.openxmlformats.org/officeDocument/2006/relationships/hyperlink" Target="https://www.weforum.org/whitepapers/a-global-standard-for-lifelong-learning-and-worker-engagement-to-support-advanced-manufacturing" TargetMode="External"/><Relationship Id="rId35" Type="http://schemas.openxmlformats.org/officeDocument/2006/relationships/image" Target="media/image31.png"/><Relationship Id="rId36" Type="http://schemas.openxmlformats.org/officeDocument/2006/relationships/hyperlink" Target="https://www.weforum.org/whitepapers/a-global-standard-for-lifelong-learning-and-worker-engagement-to-support-advanced-manufacturing" TargetMode="External"/><Relationship Id="rId37" Type="http://schemas.openxmlformats.org/officeDocument/2006/relationships/image" Target="media/image32.wmf"/><Relationship Id="rId38" Type="http://schemas.openxmlformats.org/officeDocument/2006/relationships/image" Target="media/image33.wmf"/><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header" Target="header1.xml"/><Relationship Id="rId43" Type="http://schemas.openxmlformats.org/officeDocument/2006/relationships/footer" Target="footer1.xml"/><Relationship Id="rId44" Type="http://schemas.openxmlformats.org/officeDocument/2006/relationships/image" Target="media/image38.png"/><Relationship Id="rId45" Type="http://schemas.openxmlformats.org/officeDocument/2006/relationships/image" Target="media/image39.wmf"/><Relationship Id="rId46" Type="http://schemas.openxmlformats.org/officeDocument/2006/relationships/image" Target="media/image40.png"/><Relationship Id="rId47" Type="http://schemas.openxmlformats.org/officeDocument/2006/relationships/image" Target="media/image41.wmf"/><Relationship Id="rId48" Type="http://schemas.openxmlformats.org/officeDocument/2006/relationships/image" Target="media/image42.wmf"/><Relationship Id="rId49" Type="http://schemas.openxmlformats.org/officeDocument/2006/relationships/image" Target="media/image43.wmf"/><Relationship Id="rId50" Type="http://schemas.openxmlformats.org/officeDocument/2006/relationships/image" Target="media/image44.wmf"/><Relationship Id="rId51" Type="http://schemas.openxmlformats.org/officeDocument/2006/relationships/image" Target="media/image45.wmf"/><Relationship Id="rId52" Type="http://schemas.openxmlformats.org/officeDocument/2006/relationships/numbering" Target="numbering.xml"/><Relationship Id="rId53" Type="http://schemas.openxmlformats.org/officeDocument/2006/relationships/fontTable" Target="fontTable.xml"/><Relationship Id="rId54"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37.wmf"/>
</Relationships>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2019-11-21T12:25:00.00Z</dcterms:created>
  <dcterms:modified xsi:type="dcterms:W3CDTF">2019-11-21T12:25:00.00Z</dcterms:modified>
  <cp:revision>1</cp:revision>
</cp:coreProperties>
</file>