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drawings/drawing1.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drawings/drawing2.xml" ContentType="application/vnd.openxmlformats-officedocument.drawingml.chartshapes+xml"/>
  <Override PartName="/word/charts/chart30.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31.xml" ContentType="application/vnd.openxmlformats-officedocument.drawingml.chart+xml"/>
  <Override PartName="/word/theme/themeOverride30.xml" ContentType="application/vnd.openxmlformats-officedocument.themeOverride+xml"/>
  <Override PartName="/word/charts/chart32.xml" ContentType="application/vnd.openxmlformats-officedocument.drawingml.chart+xml"/>
  <Override PartName="/word/theme/themeOverride31.xml" ContentType="application/vnd.openxmlformats-officedocument.themeOverride+xml"/>
  <Override PartName="/word/charts/chart33.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32.xml" ContentType="application/vnd.openxmlformats-officedocument.themeOverride+xml"/>
  <Override PartName="/word/charts/chart34.xml" ContentType="application/vnd.openxmlformats-officedocument.drawingml.chart+xml"/>
  <Override PartName="/word/theme/themeOverride33.xml" ContentType="application/vnd.openxmlformats-officedocument.themeOverride+xml"/>
  <Override PartName="/word/charts/chart35.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34.xml" ContentType="application/vnd.openxmlformats-officedocument.themeOverride+xml"/>
  <Override PartName="/word/charts/chart36.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35.xml" ContentType="application/vnd.openxmlformats-officedocument.themeOverride+xml"/>
  <Override PartName="/word/charts/chart37.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36.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C9372C" w14:textId="3CEC62A2" w:rsidR="00946991" w:rsidRPr="00D37923" w:rsidRDefault="00ED4CE1" w:rsidP="00946991">
      <w:pPr>
        <w:spacing w:after="160" w:line="259" w:lineRule="auto"/>
        <w:jc w:val="left"/>
        <w:rPr>
          <w:rFonts w:eastAsia="Calibri" w:cs="Times New Roman"/>
          <w:color w:val="auto"/>
        </w:rPr>
      </w:pPr>
      <w:r w:rsidRPr="00D37923">
        <w:rPr>
          <w:rFonts w:eastAsia="Calibri" w:cs="Times New Roman"/>
          <w:noProof/>
          <w:color w:val="auto"/>
          <w:lang w:eastAsia="el-GR"/>
        </w:rPr>
        <mc:AlternateContent>
          <mc:Choice Requires="wps">
            <w:drawing>
              <wp:anchor distT="0" distB="0" distL="114300" distR="114300" simplePos="0" relativeHeight="251660288" behindDoc="0" locked="0" layoutInCell="1" allowOverlap="1" wp14:anchorId="315425E9" wp14:editId="192A2039">
                <wp:simplePos x="0" y="0"/>
                <wp:positionH relativeFrom="page">
                  <wp:posOffset>3506400</wp:posOffset>
                </wp:positionH>
                <wp:positionV relativeFrom="page">
                  <wp:posOffset>266400</wp:posOffset>
                </wp:positionV>
                <wp:extent cx="2875915" cy="3437785"/>
                <wp:effectExtent l="0" t="0" r="3175" b="0"/>
                <wp:wrapNone/>
                <wp:docPr id="467" name="Ορθογώνιο 467"/>
                <wp:cNvGraphicFramePr/>
                <a:graphic xmlns:a="http://schemas.openxmlformats.org/drawingml/2006/main">
                  <a:graphicData uri="http://schemas.microsoft.com/office/word/2010/wordprocessingShape">
                    <wps:wsp>
                      <wps:cNvSpPr/>
                      <wps:spPr>
                        <a:xfrm>
                          <a:off x="0" y="0"/>
                          <a:ext cx="2875915" cy="3437785"/>
                        </a:xfrm>
                        <a:prstGeom prst="rect">
                          <a:avLst/>
                        </a:prstGeom>
                        <a:solidFill>
                          <a:srgbClr val="44546A"/>
                        </a:solidFill>
                        <a:ln w="12700" cap="flat" cmpd="sng" algn="ctr">
                          <a:noFill/>
                          <a:prstDash val="solid"/>
                          <a:miter lim="800000"/>
                        </a:ln>
                        <a:effectLst/>
                      </wps:spPr>
                      <wps:txbx>
                        <w:txbxContent>
                          <w:p w14:paraId="5F9A9754" w14:textId="46D27F69" w:rsidR="0003377E" w:rsidRDefault="0003377E" w:rsidP="00946991">
                            <w:pPr>
                              <w:spacing w:before="240"/>
                              <w:jc w:val="center"/>
                              <w:rPr>
                                <w:color w:val="FFFFFF" w:themeColor="background1"/>
                              </w:rPr>
                            </w:pPr>
                            <w:r w:rsidRPr="007B5BDE">
                              <w:rPr>
                                <w:noProof/>
                                <w:color w:val="FFFFFF" w:themeColor="background1"/>
                                <w:lang w:eastAsia="el-GR"/>
                              </w:rPr>
                              <w:drawing>
                                <wp:inline distT="0" distB="0" distL="0" distR="0" wp14:anchorId="146EB28B" wp14:editId="6AEA363C">
                                  <wp:extent cx="2415540" cy="1062907"/>
                                  <wp:effectExtent l="0" t="0" r="3810" b="4445"/>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15540" cy="1062907"/>
                                          </a:xfrm>
                                          <a:prstGeom prst="rect">
                                            <a:avLst/>
                                          </a:prstGeom>
                                          <a:noFill/>
                                          <a:ln>
                                            <a:noFill/>
                                          </a:ln>
                                        </pic:spPr>
                                      </pic:pic>
                                    </a:graphicData>
                                  </a:graphic>
                                </wp:inline>
                              </w:drawing>
                            </w: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0</wp14:pctHeight>
                </wp14:sizeRelV>
              </wp:anchor>
            </w:drawing>
          </mc:Choice>
          <mc:Fallback>
            <w:pict>
              <v:rect w14:anchorId="315425E9" id="Ορθογώνιο 467" o:spid="_x0000_s1026" style="position:absolute;margin-left:276.1pt;margin-top:21pt;width:226.45pt;height:270.7pt;z-index:251660288;visibility:visible;mso-wrap-style:square;mso-width-percent:370;mso-height-percent:0;mso-wrap-distance-left:9pt;mso-wrap-distance-top:0;mso-wrap-distance-right:9pt;mso-wrap-distance-bottom:0;mso-position-horizontal:absolute;mso-position-horizontal-relative:page;mso-position-vertical:absolute;mso-position-vertical-relative:page;mso-width-percent:37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gXJkgIAAOMEAAAOAAAAZHJzL2Uyb0RvYy54bWysVEtu2zAQ3RfoHQjuG9mOP6oQOTASpCgQ&#10;JAGSIusxRVkC+CtJW0p3vUCv0EN00y6K3EC5UoeUnDRpV0W9oGc4w3mcxzc6Om6lIDtuXa1VTscH&#10;I0q4Yrqo1SanH27O3qSUOA+qAKEVz+kdd/R4+frVUWMyPtGVFgW3BIsolzUmp5X3JksSxyouwR1o&#10;wxUGS20leHTtJiksNFhdimQyGs2TRtvCWM24c7h72gfpMtYvS878ZVk67onIKd7Nx9XGdR3WZHkE&#10;2caCqWo2XAP+4RYSaoWgj6VOwQPZ2vqPUrJmVjtd+gOmZaLLsmY89oDdjEcvurmuwPDYC5LjzCNN&#10;7v+VZRe7K0vqIqfT+YISBRIfqfv68Ln73t133x6+dD+7H909CVHkqjEuwyPX5soOnkMzNN6WVoZ/&#10;bIm0kd+7R3556wnDzUm6mL0dzyhhGDucHi4W6SxUTZ6OG+v8O64lCUZOLT5g5BV25873qfuUgOa0&#10;qIuzWojo2M36RFiyA3zs6XQ2na+G6s/ShCINSnWyGKEgGKDoSgEeTWmQBqc2lIDYoJqZtxFb6YCA&#10;4JAF7FNwVY8RywYIyGTtUceiljlNR+E3IAsVojwqceggcNizFizfrlusEMy1Lu7wMazuVeoMO6sR&#10;7xycvwKLssT74qj5S1xKobEJPViUVNp++tt+yEe1YJSSBmWODX7cguWUiPcKdTROJ2kaBuOZZ595&#10;6+gdzmeLOWaqrTzRSPAYB9uwaOKu9WJvllbLW5zKVUDGECiG+Dld780T3w8gTjXjq1VMwmkw4M/V&#10;tWGh9J7rm/YWrBnE4FFHF3o/FJC90ESfG04qvdp6XdZRME/MotCCg5MUJTdMfRjV3/2Y9fRtWv4C&#10;AAD//wMAUEsDBBQABgAIAAAAIQADDATL4QAAAAsBAAAPAAAAZHJzL2Rvd25yZXYueG1sTI9da8JA&#10;EEXfC/0PyxT6VndNTYkxGxGhUCi0qC2+jtkxid2PkF1j/Pddn9rH4R7unFssR6PZQL1vnZUwnQhg&#10;ZCunWltL+Nq9PmXAfECrUDtLEq7kYVne3xWYK3exGxq2oWaxxPocJTQhdDnnvmrIoJ+4jmzMjq43&#10;GOLZ11z1eInlRvNEiBdusLXxQ4MdrRuqfrZnI2E9XDP9/TY/HT/3p33AXb8aP96lfHwYVwtggcbw&#10;B8NNP6pDGZ0O7myVZ1pCmiZJRCXMkrjpBgiRToEdYpQ9z4CXBf+/ofwFAAD//wMAUEsBAi0AFAAG&#10;AAgAAAAhALaDOJL+AAAA4QEAABMAAAAAAAAAAAAAAAAAAAAAAFtDb250ZW50X1R5cGVzXS54bWxQ&#10;SwECLQAUAAYACAAAACEAOP0h/9YAAACUAQAACwAAAAAAAAAAAAAAAAAvAQAAX3JlbHMvLnJlbHNQ&#10;SwECLQAUAAYACAAAACEAlhYFyZICAADjBAAADgAAAAAAAAAAAAAAAAAuAgAAZHJzL2Uyb0RvYy54&#10;bWxQSwECLQAUAAYACAAAACEAAwwEy+EAAAALAQAADwAAAAAAAAAAAAAAAADsBAAAZHJzL2Rvd25y&#10;ZXYueG1sUEsFBgAAAAAEAAQA8wAAAPoFAAAAAA==&#10;" fillcolor="#44546a" stroked="f" strokeweight="1pt">
                <v:textbox inset="14.4pt,14.4pt,14.4pt,28.8pt">
                  <w:txbxContent>
                    <w:p w14:paraId="5F9A9754" w14:textId="46D27F69" w:rsidR="0003377E" w:rsidRDefault="0003377E" w:rsidP="00946991">
                      <w:pPr>
                        <w:spacing w:before="240"/>
                        <w:jc w:val="center"/>
                        <w:rPr>
                          <w:color w:val="FFFFFF" w:themeColor="background1"/>
                        </w:rPr>
                      </w:pPr>
                      <w:r w:rsidRPr="007B5BDE">
                        <w:rPr>
                          <w:noProof/>
                          <w:color w:val="FFFFFF" w:themeColor="background1"/>
                          <w:lang w:eastAsia="el-GR"/>
                        </w:rPr>
                        <w:drawing>
                          <wp:inline distT="0" distB="0" distL="0" distR="0" wp14:anchorId="146EB28B" wp14:editId="6AEA363C">
                            <wp:extent cx="2415540" cy="1062907"/>
                            <wp:effectExtent l="0" t="0" r="3810" b="4445"/>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5540" cy="1062907"/>
                                    </a:xfrm>
                                    <a:prstGeom prst="rect">
                                      <a:avLst/>
                                    </a:prstGeom>
                                    <a:noFill/>
                                    <a:ln>
                                      <a:noFill/>
                                    </a:ln>
                                  </pic:spPr>
                                </pic:pic>
                              </a:graphicData>
                            </a:graphic>
                          </wp:inline>
                        </w:drawing>
                      </w:r>
                    </w:p>
                  </w:txbxContent>
                </v:textbox>
                <w10:wrap anchorx="page" anchory="page"/>
              </v:rect>
            </w:pict>
          </mc:Fallback>
        </mc:AlternateContent>
      </w:r>
      <w:r w:rsidR="00946991" w:rsidRPr="00D37923">
        <w:rPr>
          <w:rFonts w:eastAsia="Calibri" w:cs="Times New Roman"/>
          <w:noProof/>
          <w:color w:val="auto"/>
          <w:lang w:eastAsia="el-GR"/>
        </w:rPr>
        <mc:AlternateContent>
          <mc:Choice Requires="wps">
            <w:drawing>
              <wp:anchor distT="0" distB="0" distL="114300" distR="114300" simplePos="0" relativeHeight="251659264" behindDoc="0" locked="0" layoutInCell="1" allowOverlap="1" wp14:anchorId="06ABF677" wp14:editId="597888B4">
                <wp:simplePos x="0" y="0"/>
                <wp:positionH relativeFrom="page">
                  <wp:posOffset>3031435</wp:posOffset>
                </wp:positionH>
                <wp:positionV relativeFrom="page">
                  <wp:posOffset>268357</wp:posOffset>
                </wp:positionV>
                <wp:extent cx="3568148" cy="7040880"/>
                <wp:effectExtent l="0" t="0" r="13335" b="20955"/>
                <wp:wrapNone/>
                <wp:docPr id="468" name="Ορθογώνιο 468"/>
                <wp:cNvGraphicFramePr/>
                <a:graphic xmlns:a="http://schemas.openxmlformats.org/drawingml/2006/main">
                  <a:graphicData uri="http://schemas.microsoft.com/office/word/2010/wordprocessingShape">
                    <wps:wsp>
                      <wps:cNvSpPr/>
                      <wps:spPr>
                        <a:xfrm>
                          <a:off x="0" y="0"/>
                          <a:ext cx="3568148" cy="7040880"/>
                        </a:xfrm>
                        <a:prstGeom prst="rect">
                          <a:avLst/>
                        </a:prstGeom>
                        <a:solidFill>
                          <a:sysClr val="window" lastClr="FFFFFF"/>
                        </a:solidFill>
                        <a:ln w="15875" cap="flat" cmpd="sng" algn="ctr">
                          <a:solidFill>
                            <a:srgbClr val="E7E6E6">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70000</wp14:pctHeight>
                </wp14:sizeRelV>
              </wp:anchor>
            </w:drawing>
          </mc:Choice>
          <mc:Fallback>
            <w:pict>
              <v:rect w14:anchorId="06B24A39" id="Ορθογώνιο 468" o:spid="_x0000_s1026" style="position:absolute;margin-left:238.7pt;margin-top:21.15pt;width:280.95pt;height:554.4pt;z-index:251659264;visibility:visible;mso-wrap-style:square;mso-width-percent:0;mso-height-percent:700;mso-wrap-distance-left:9pt;mso-wrap-distance-top:0;mso-wrap-distance-right:9pt;mso-wrap-distance-bottom:0;mso-position-horizontal:absolute;mso-position-horizontal-relative:page;mso-position-vertical:absolute;mso-position-vertical-relative:page;mso-width-percent:0;mso-height-percent:7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SFSqwIAADEFAAAOAAAAZHJzL2Uyb0RvYy54bWysVMtuEzEU3SPxD5b3dJKSF1EnVdQ2CKm0&#10;lVrUtePxJCP5he1kEnb8AL/AR7CBBeofpL/EsSdJX6wQs/Dc6/s+914fHa+UJEvhfGV0TtsHLUqE&#10;5qao9Cynn24mbwaU+MB0waTRIqdr4enx6PWro9oOxaGZG1kIR+BE+2FtczoPwQ6zzPO5UMwfGCs0&#10;hKVxigWwbpYVjtXwrmR22Gr1stq4wjrDhfe4PW2EdJT8l6Xg4bIsvQhE5hS5hXS6dE7jmY2O2HDm&#10;mJ1XfJsG+4csFKs0gu5dnbLAyMJVL1ypijvjTRkOuFGZKcuKi1QDqmm3nlVzPWdWpFoAjrd7mPz/&#10;c8svlleOVEVOOz20SjOFJm2+33/d/NzcbX7cf9v83vza3JEoBVa19UOYXNsrt+U8yFj4qnQq/lES&#10;WSV813t8xSoQjsu33d6g3UEYDlm/1WkNBqkD2YO5dT68F0aRSOTUoYEJV7Y89wEhobpTidG8kVUx&#10;qaRMzNqfSEeWDL3GiBSmpkQyH3CZ00n6Yg1w8cRMalJjdLuDfheZMQxhKVkAqSxg8XpGCZMzTDcP&#10;LuXyxNq72XQf9ax/1jvrJSW5UB9N0STTbeHbhW70X6YRyzplft6YpBjRhA1VFbAislI5HURHO09S&#10;R6lIQ74FJ7anaUikpqZYo7nONFPvLZ9UCHIOSK6Yw5hjIbC64RJHKQ1AMFuKkrlxX/52H/UxfZBS&#10;UmNtANDnBXMCSH/QmMt37U4n7lliOt3+IRj3WDJ9LNELdWLQrTYeCcsTGfWD3JGlM+oWGz6OUSFi&#10;miN204otcxKadcYbwcV4nNSwW5aFc31teXQecYrw3qxumbPb0QqYyguzWzE2fDZhjW601Ga8CKas&#10;0vg94IoORgZ7mXq5fUPi4j/mk9bDSzf6AwAA//8DAFBLAwQUAAYACAAAACEA2MTOkd4AAAAMAQAA&#10;DwAAAGRycy9kb3ducmV2LnhtbEyPwU7DMAyG70i8Q2QkLoil3cpGS9MJkOA6UbhwcxuvqdYkVZNt&#10;5e3xTnD7LP/6/bncznYQJ5pC752CdJGAINd63btOwdfn2/0jiBDRaRy8IwU/FGBbXV+VWGh/dh90&#10;qmMnuMSFAhWYGMdCytAashgWfiTHu72fLEYep07qCc9cbge5TJK1tNg7vmBwpFdD7aE+WgWHdWOt&#10;/5Yvdf5OWb7foWnuUKnbm/n5CUSkOf6F4aLP6lCxU+OPTgcxKMg2m4yjDMsViEsgWeVMDVP6kKYg&#10;q1L+f6L6BQAA//8DAFBLAQItABQABgAIAAAAIQC2gziS/gAAAOEBAAATAAAAAAAAAAAAAAAAAAAA&#10;AABbQ29udGVudF9UeXBlc10ueG1sUEsBAi0AFAAGAAgAAAAhADj9If/WAAAAlAEAAAsAAAAAAAAA&#10;AAAAAAAALwEAAF9yZWxzLy5yZWxzUEsBAi0AFAAGAAgAAAAhAFjxIVKrAgAAMQUAAA4AAAAAAAAA&#10;AAAAAAAALgIAAGRycy9lMm9Eb2MueG1sUEsBAi0AFAAGAAgAAAAhANjEzpHeAAAADAEAAA8AAAAA&#10;AAAAAAAAAAAABQUAAGRycy9kb3ducmV2LnhtbFBLBQYAAAAABAAEAPMAAAAQBgAAAAA=&#10;" fillcolor="window" strokecolor="#767171" strokeweight="1.25pt">
                <w10:wrap anchorx="page" anchory="page"/>
              </v:rect>
            </w:pict>
          </mc:Fallback>
        </mc:AlternateContent>
      </w:r>
      <w:r w:rsidR="00946991" w:rsidRPr="00D37923">
        <w:rPr>
          <w:rFonts w:eastAsia="Calibri" w:cs="Times New Roman"/>
          <w:noProof/>
          <w:color w:val="auto"/>
          <w:lang w:eastAsia="el-GR"/>
        </w:rPr>
        <mc:AlternateContent>
          <mc:Choice Requires="wps">
            <w:drawing>
              <wp:anchor distT="0" distB="0" distL="114300" distR="114300" simplePos="0" relativeHeight="251663360" behindDoc="1" locked="0" layoutInCell="1" allowOverlap="1" wp14:anchorId="07563D19" wp14:editId="12729EB5">
                <wp:simplePos x="0" y="0"/>
                <wp:positionH relativeFrom="page">
                  <wp:posOffset>104774</wp:posOffset>
                </wp:positionH>
                <wp:positionV relativeFrom="page">
                  <wp:posOffset>266700</wp:posOffset>
                </wp:positionV>
                <wp:extent cx="7324725" cy="10163175"/>
                <wp:effectExtent l="0" t="0" r="9525" b="9525"/>
                <wp:wrapNone/>
                <wp:docPr id="466" name="Ορθογώνιο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24725" cy="10163175"/>
                        </a:xfrm>
                        <a:prstGeom prst="rect">
                          <a:avLst/>
                        </a:prstGeom>
                        <a:gradFill rotWithShape="1">
                          <a:gsLst>
                            <a:gs pos="0">
                              <a:srgbClr val="5B9BD5">
                                <a:lumMod val="20000"/>
                                <a:lumOff val="80000"/>
                              </a:srgbClr>
                            </a:gs>
                            <a:gs pos="100000">
                              <a:srgbClr val="5B9BD5">
                                <a:lumMod val="60000"/>
                                <a:lumOff val="40000"/>
                              </a:srgbClr>
                            </a:gs>
                          </a:gsLst>
                          <a:lin ang="5400000" scaled="0"/>
                        </a:gradFill>
                        <a:ln w="12700" cap="flat" cmpd="sng" algn="ctr">
                          <a:noFill/>
                          <a:prstDash val="solid"/>
                          <a:miter lim="800000"/>
                        </a:ln>
                        <a:effectLst/>
                      </wps:spPr>
                      <wps:txbx>
                        <w:txbxContent>
                          <w:p w14:paraId="5E38A881" w14:textId="77777777" w:rsidR="0003377E" w:rsidRDefault="0003377E" w:rsidP="00946991"/>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7563D19" id="Ορθογώνιο 466" o:spid="_x0000_s1027" style="position:absolute;margin-left:8.25pt;margin-top:21pt;width:576.75pt;height:800.2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bUo+AIAAAEGAAAOAAAAZHJzL2Uyb0RvYy54bWysVEtuFDEQ3SNxB8t70tOT+YRWeqIhoyCk&#10;kERKUNY1bve0hds2tucTdlyAK3AINrBAucHkSpTd3ckkZIEQG6tc/3r1OTza1JKsuHVCq5ymez1K&#10;uGK6EGqR0w9XJ68OKHEeVAFSK57TG+7o0eTli8O1yXhfV1oW3BJ0oly2NjmtvDdZkjhW8RrcnjZc&#10;obDUtgaPX7tICgtr9F7LpN/rjZK1toWxmnHnkDtrhHQS/ZclZ/68LB33ROYUc/PxtfGdhzeZHEK2&#10;sGAqwdo04B+yqEEoDHrvagYeyNKKP1zVglntdOn3mK4TXZaC8VgDVpP2nlRzWYHhsRYEx5l7mNz/&#10;c8vOVheWiCKng9GIEgU1Nmn77e7L9sf2dvv97uv21/bn9pYEKWK1Ni5Dk0tzYUO1zpxq9tGhIHkk&#10;CR/X6mxKWwddrJVsIvA398DzjScMmeP9/mDcH1LCUJb20tF+Oh6GeAlknb2xzr/luiaByKnF1kbE&#10;YXXqfKPaqbSNKE6ElMRqfy18FbFE502XHNpELUeMRjh7ke3sYn4sLVkBTsvwzes3s2Hky2X9XhcN&#10;G4eu144NsnG4GvZBx8aMWzcx+4XbDZMGrb+PNeqcQrYba9Cxn4mFrEVXnBSKQNjDYbTA8XcMJMde&#10;xwKCqoUIUshRKrJGfPpjTJAwwF0sJXgka4MWTi0oAbnAJWfeRlSUDvgi8pAF4GfgqgYLp6Uoms2q&#10;hcf1lqLOaUSoCyxVMONxQdv2PcxMoPxmvoljmXZjN9fFDY4qtjPkT5xhJwLDnoLzF2BxaZGJh8if&#10;41NKjbXolqKk0vbzc/ygj7uEUkrWeASwzk9LsJwS+U7hWPTHg/0++vXxNxiOw8c+Es13RWpZH2uc&#10;nTTmF8lg4GVHllbX13ixpiEuikAxjN5g2n6OfXOe8OYxPp1GNbwVBvypujSsG+EA+dXmGqxpF8Lj&#10;Mp3p7mRA9mQvGt2AutLTpdeliEsTsG6QbXcY70wzuM1NDIds9x+1Hi735DcAAAD//wMAUEsDBBQA&#10;BgAIAAAAIQBM1bmC3wAAAAsBAAAPAAAAZHJzL2Rvd25yZXYueG1sTI9BT4NAEIXvJv6HzZh4s0tJ&#10;aQ2yNI3Eg/EktYnHhZ0CkZ2l7Lal/97hpLd5+V7evJdtJ9uLC46+c6RguYhAINXOdNQo+Nq/PT2D&#10;8EGT0b0jVHBDD9v8/i7TqXFX+sRLGRrBIeRTraANYUil9HWLVvuFG5CYHd1odWA5NtKM+srhtpdx&#10;FK2l1R3xh1YP+Npi/VOerYLjofR7W3zfChs276fkUBWn3YdSjw/T7gVEwCn8mWGuz9Uh506VO5Px&#10;ome9TtipYBXzpJkvNxFf1UxWcQIyz+T/DfkvAAAA//8DAFBLAQItABQABgAIAAAAIQC2gziS/gAA&#10;AOEBAAATAAAAAAAAAAAAAAAAAAAAAABbQ29udGVudF9UeXBlc10ueG1sUEsBAi0AFAAGAAgAAAAh&#10;ADj9If/WAAAAlAEAAAsAAAAAAAAAAAAAAAAALwEAAF9yZWxzLy5yZWxzUEsBAi0AFAAGAAgAAAAh&#10;AG2xtSj4AgAAAQYAAA4AAAAAAAAAAAAAAAAALgIAAGRycy9lMm9Eb2MueG1sUEsBAi0AFAAGAAgA&#10;AAAhAEzVuYLfAAAACwEAAA8AAAAAAAAAAAAAAAAAUgUAAGRycy9kb3ducmV2LnhtbFBLBQYAAAAA&#10;BAAEAPMAAABeBgAAAAA=&#10;" fillcolor="#deebf7" stroked="f" strokeweight="1pt">
                <v:fill color2="#9dc3e6" rotate="t" focus="100%" type="gradient">
                  <o:fill v:ext="view" type="gradientUnscaled"/>
                </v:fill>
                <v:path arrowok="t"/>
                <v:textbox inset="21.6pt,,21.6pt">
                  <w:txbxContent>
                    <w:p w14:paraId="5E38A881" w14:textId="77777777" w:rsidR="0003377E" w:rsidRDefault="0003377E" w:rsidP="00946991"/>
                  </w:txbxContent>
                </v:textbox>
                <w10:wrap anchorx="page" anchory="page"/>
              </v:rect>
            </w:pict>
          </mc:Fallback>
        </mc:AlternateContent>
      </w:r>
      <w:r w:rsidR="00946991" w:rsidRPr="00D37923">
        <w:rPr>
          <w:rFonts w:eastAsia="Calibri" w:cs="Times New Roman"/>
          <w:noProof/>
          <w:color w:val="auto"/>
          <w:lang w:eastAsia="el-GR"/>
        </w:rPr>
        <mc:AlternateContent>
          <mc:Choice Requires="wps">
            <w:drawing>
              <wp:anchor distT="0" distB="0" distL="114300" distR="114300" simplePos="0" relativeHeight="251664384" behindDoc="0" locked="0" layoutInCell="1" allowOverlap="1" wp14:anchorId="523F4930" wp14:editId="5390B991">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66000</wp14:pctPosVOffset>
                    </wp:positionV>
                  </mc:Choice>
                  <mc:Fallback>
                    <wp:positionV relativeFrom="page">
                      <wp:posOffset>7056755</wp:posOffset>
                    </wp:positionV>
                  </mc:Fallback>
                </mc:AlternateContent>
                <wp:extent cx="2797810" cy="268605"/>
                <wp:effectExtent l="0" t="0" r="0" b="0"/>
                <wp:wrapSquare wrapText="bothSides"/>
                <wp:docPr id="465" name="Πλαίσιο κειμένου 465"/>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14:paraId="674C79BA" w14:textId="683C7161" w:rsidR="0003377E" w:rsidRPr="00301125" w:rsidRDefault="0003377E" w:rsidP="00946991">
                            <w:pPr>
                              <w:pStyle w:val="NoSpacing"/>
                              <w:jc w:val="center"/>
                              <w:rPr>
                                <w:rFonts w:ascii="Trebuchet MS" w:hAnsi="Trebuchet MS"/>
                                <w:color w:val="44546A" w:themeColor="text2"/>
                                <w:sz w:val="28"/>
                                <w:szCs w:val="28"/>
                              </w:rPr>
                            </w:pPr>
                            <w:r>
                              <w:rPr>
                                <w:rFonts w:ascii="Trebuchet MS" w:hAnsi="Trebuchet MS"/>
                                <w:color w:val="44546A" w:themeColor="text2"/>
                                <w:sz w:val="28"/>
                                <w:szCs w:val="28"/>
                              </w:rPr>
                              <w:t xml:space="preserve">ΜΑΪΟΣ </w:t>
                            </w:r>
                            <w:r>
                              <w:rPr>
                                <w:rFonts w:ascii="Trebuchet MS" w:hAnsi="Trebuchet MS"/>
                                <w:color w:val="44546A" w:themeColor="text2"/>
                                <w:sz w:val="28"/>
                                <w:szCs w:val="28"/>
                                <w:lang w:val="en-US"/>
                              </w:rPr>
                              <w:t>202</w:t>
                            </w:r>
                            <w:r>
                              <w:rPr>
                                <w:rFonts w:ascii="Trebuchet MS" w:hAnsi="Trebuchet MS"/>
                                <w:color w:val="44546A" w:themeColor="text2"/>
                                <w:sz w:val="28"/>
                                <w:szCs w:val="28"/>
                              </w:rPr>
                              <w:t>1</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type w14:anchorId="523F4930" id="_x0000_t202" coordsize="21600,21600" o:spt="202" path="m,l,21600r21600,l21600,xe">
                <v:stroke joinstyle="miter"/>
                <v:path gradientshapeok="t" o:connecttype="rect"/>
              </v:shapetype>
              <v:shape id="Πλαίσιο κειμένου 465" o:spid="_x0000_s1028" type="#_x0000_t202" style="position:absolute;margin-left:0;margin-top:0;width:220.3pt;height:21.15pt;z-index:251664384;visibility:visible;mso-wrap-style:square;mso-width-percent:360;mso-height-percent:0;mso-left-percent:455;mso-top-percent:660;mso-wrap-distance-left:9pt;mso-wrap-distance-top:0;mso-wrap-distance-right:9pt;mso-wrap-distance-bottom:0;mso-position-horizontal-relative:page;mso-position-vertical-relative:page;mso-width-percent:360;mso-height-percent:0;mso-left-percent:455;mso-top-percent:66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TfiZAIAAIEEAAAOAAAAZHJzL2Uyb0RvYy54bWysVEtu2zAQ3RfoHQjua9mu7TiG5cBN4KKA&#10;kQRwiqxpirIFSCRL0pbcbdF75AJF0UUX/SE3UK7UR/oTI+2q6IYazgzn896MhmdVkZO1MDZTMqat&#10;RpMSIblKMrmI6dubyYs+JdYxmbBcSRHTjbD0bPT82bDUA9FWS5UnwhAEkXZQ6pgundODKLJ8KQpm&#10;G0oLCWOqTMEcrmYRJYaViF7kUbvZ7EWlMok2igtrob3YGukoxE9Twd1VmlrhSB5T1ObCacI592c0&#10;GrLBwjC9zPiuDPYPVRQsk0h6CHXBHCMrk/0Rqsi4UValrsFVEak0zbgIPaCbVvNJN7Ml0yL0AnCs&#10;PsBk/19Yfrm+NiRLYtrpdSmRrABJ9V39o/5Sf374UH+r70n9vf4K4Wf9qf5V3z98JN4VwJXaDvB+&#10;phHBVa9UhQHY6y2UHo8qNYX/olMCOyjYHGAXlSMcyvbJ6Um/BROHrd3r95ohfPT4WhvrXgtVEC/E&#10;1IDWgDZbT61DJXDdu/hkUk2yPA/U5pKUMe297DbDg4MFL3LpfUUYkl0Y39G2ci+5al4FaNr7ruYq&#10;2aBZo7ZzZDWfZKhoyqy7ZgaDgyawDO4KR5orZFY7iZKlMu//pvf+4BNWSkoMYkztuxUzgpL8jQTT&#10;p61Ox09uuHS6J21czLFlfmyRq+JcYdZbWDvNg+j9Xb4XU6OKW+zM2GeFiUmO3DGd78Vzt10P7BwX&#10;43Fwwqxq5qZyprkP7XHzeN9Ut8zoHSkOdF6q/ciywRNutr7+pdXjlQNDgTiP8xZVsOgvmPPA524n&#10;/SId34PX459j9BsAAP//AwBQSwMEFAAGAAgAAAAhAFPNtu/eAAAABAEAAA8AAABkcnMvZG93bnJl&#10;di54bWxMj09Lw0AQxe+C32EZwUuxm8RSS5pNKYIHEaH2D/S4zY5JNDsbsts09dN39FIvwxve8N5v&#10;ssVgG9Fj52tHCuJxBAKpcKamUsF28/IwA+GDJqMbR6jgjB4W+e1NplPjTvSB/TqUgkPIp1pBFUKb&#10;SumLCq32Y9cisffpOqsDr10pTadPHG4bmUTRVFpdEzdUusXnCovv9dEqGC3D9u31PR6t9v3+aXeO&#10;k9nXT6LU/d2wnIMIOITrMfziMzrkzHRwRzJeNAr4kfA32ZtMoimIA4vkEWSeyf/w+QUAAP//AwBQ&#10;SwECLQAUAAYACAAAACEAtoM4kv4AAADhAQAAEwAAAAAAAAAAAAAAAAAAAAAAW0NvbnRlbnRfVHlw&#10;ZXNdLnhtbFBLAQItABQABgAIAAAAIQA4/SH/1gAAAJQBAAALAAAAAAAAAAAAAAAAAC8BAABfcmVs&#10;cy8ucmVsc1BLAQItABQABgAIAAAAIQB67TfiZAIAAIEEAAAOAAAAAAAAAAAAAAAAAC4CAABkcnMv&#10;ZTJvRG9jLnhtbFBLAQItABQABgAIAAAAIQBTzbbv3gAAAAQBAAAPAAAAAAAAAAAAAAAAAL4EAABk&#10;cnMvZG93bnJldi54bWxQSwUGAAAAAAQABADzAAAAyQUAAAAA&#10;" filled="f" stroked="f" strokeweight=".5pt">
                <v:textbox style="mso-fit-shape-to-text:t">
                  <w:txbxContent>
                    <w:p w14:paraId="674C79BA" w14:textId="683C7161" w:rsidR="0003377E" w:rsidRPr="00301125" w:rsidRDefault="0003377E" w:rsidP="00946991">
                      <w:pPr>
                        <w:pStyle w:val="af7"/>
                        <w:jc w:val="center"/>
                        <w:rPr>
                          <w:rFonts w:ascii="Trebuchet MS" w:hAnsi="Trebuchet MS"/>
                          <w:color w:val="44546A" w:themeColor="text2"/>
                          <w:sz w:val="28"/>
                          <w:szCs w:val="28"/>
                        </w:rPr>
                      </w:pPr>
                      <w:r>
                        <w:rPr>
                          <w:rFonts w:ascii="Trebuchet MS" w:hAnsi="Trebuchet MS"/>
                          <w:color w:val="44546A" w:themeColor="text2"/>
                          <w:sz w:val="28"/>
                          <w:szCs w:val="28"/>
                        </w:rPr>
                        <w:t xml:space="preserve">ΜΑΪΟΣ </w:t>
                      </w:r>
                      <w:r>
                        <w:rPr>
                          <w:rFonts w:ascii="Trebuchet MS" w:hAnsi="Trebuchet MS"/>
                          <w:color w:val="44546A" w:themeColor="text2"/>
                          <w:sz w:val="28"/>
                          <w:szCs w:val="28"/>
                          <w:lang w:val="en-US"/>
                        </w:rPr>
                        <w:t>202</w:t>
                      </w:r>
                      <w:r>
                        <w:rPr>
                          <w:rFonts w:ascii="Trebuchet MS" w:hAnsi="Trebuchet MS"/>
                          <w:color w:val="44546A" w:themeColor="text2"/>
                          <w:sz w:val="28"/>
                          <w:szCs w:val="28"/>
                        </w:rPr>
                        <w:t>1</w:t>
                      </w:r>
                    </w:p>
                  </w:txbxContent>
                </v:textbox>
                <w10:wrap type="square" anchorx="page" anchory="page"/>
              </v:shape>
            </w:pict>
          </mc:Fallback>
        </mc:AlternateContent>
      </w:r>
      <w:r w:rsidR="00946991" w:rsidRPr="00D37923">
        <w:rPr>
          <w:rFonts w:eastAsia="Calibri" w:cs="Times New Roman"/>
          <w:noProof/>
          <w:color w:val="auto"/>
          <w:lang w:eastAsia="el-GR"/>
        </w:rPr>
        <mc:AlternateContent>
          <mc:Choice Requires="wps">
            <w:drawing>
              <wp:anchor distT="0" distB="0" distL="114300" distR="114300" simplePos="0" relativeHeight="251662336" behindDoc="0" locked="0" layoutInCell="1" allowOverlap="1" wp14:anchorId="3A6A6FE8" wp14:editId="2053F4DE">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69000</wp14:pctPosVOffset>
                    </wp:positionV>
                  </mc:Choice>
                  <mc:Fallback>
                    <wp:positionV relativeFrom="page">
                      <wp:posOffset>7377430</wp:posOffset>
                    </wp:positionV>
                  </mc:Fallback>
                </mc:AlternateContent>
                <wp:extent cx="2875915" cy="118745"/>
                <wp:effectExtent l="0" t="0" r="0" b="0"/>
                <wp:wrapNone/>
                <wp:docPr id="469" name="Ορθογώνιο 469"/>
                <wp:cNvGraphicFramePr/>
                <a:graphic xmlns:a="http://schemas.openxmlformats.org/drawingml/2006/main">
                  <a:graphicData uri="http://schemas.microsoft.com/office/word/2010/wordprocessingShape">
                    <wps:wsp>
                      <wps:cNvSpPr/>
                      <wps:spPr>
                        <a:xfrm>
                          <a:off x="0" y="0"/>
                          <a:ext cx="2875915" cy="118745"/>
                        </a:xfrm>
                        <a:prstGeom prst="rect">
                          <a:avLst/>
                        </a:pr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w14:anchorId="7D2EA215" id="Ορθογώνιο 469" o:spid="_x0000_s1026" style="position:absolute;margin-left:0;margin-top:0;width:226.45pt;height:9.35pt;z-index:251662336;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xOohwIAANUEAAAOAAAAZHJzL2Uyb0RvYy54bWysVM1OGzEQvlfqO1i+l81GCUlWbFAgoqqE&#10;AAkqzo7XzlryX20nG3rrC/QV+hBc2kPFGyyv1LF3A5T2VDUHZ8Yzns/z+Zs9Ot4pibbMeWF0ifOD&#10;AUZMU1MJvS7xx5uzd1OMfCC6ItJoVuI75vHx/O2bo8YWbGhqIyvmEBTRvmhsiesQbJFlntZMEX9g&#10;LNMQ5MYpEsB166xypIHqSmbDweAwa4yrrDOUeQ+7yy6I56k+54yGS849C0iWGO4W0urSuoprNj8i&#10;xdoRWwvaX4P8wy0UERpAn0otSSBo48QfpZSgznjDwwE1KjOcC8pSD9BNPnjVzXVNLEu9ADnePtHk&#10;/19ZerG9ckhUJR4dzjDSRMEjtd8ev7Tf24f2/vFr+7P90T6gGAWuGusLOHJtr1zveTBj4zvuVPyH&#10;ltAu8Xv3xC/bBURhczidjGf5GCMKsTyfTkbjWDR7Pm2dD++ZUSgaJXbwfolWsj33oUvdp0Qwb6So&#10;zoSUyXHr1al0aEvgrccns5PlvvpvaVKjBtCHkwHogRLQHJckgKkssOD1GiMi1yBmGlzC1iYiADgp&#10;IvaS+LrDSGU7BSkRQMZSqBJPB/HX9yV1PMaSEPsOIoUdadFameoOHsCZTpne0jMBIOfEhyviQIpw&#10;SRivcAkLlwZubnoLo9q4z3/bj/mgEIhi1IC0oatPG+IYRvKDBu3M8tEozkJyRuPJEBz3MrJ6GdEb&#10;dWqA0RwG2dJkxvwg9yZ3Rt3CFC4iKoSIpoDd8dc7p6EbOZhjyhaLlAb6tySc62tLY/E9vTe7W+Js&#10;//4BlHNh9mNAilcy6HLjSW0Wm2C4SBp55hW0FR2YnaSyfs7jcL70U9bz12j+CwAA//8DAFBLAwQU&#10;AAYACAAAACEA5HDfBtwAAAAEAQAADwAAAGRycy9kb3ducmV2LnhtbEyPzU7DMBCE70i8g7VI3KhD&#10;BaUNcSqohFRx4CdUPTv2EkfE6yh22sDTs3CBy0irGc18W6wn34kDDrENpOByloFAMsG21CjYvT1c&#10;LEHEpMnqLhAq+MQI6/L0pNC5DUd6xUOVGsElFHOtwKXU51JG49DrOAs9EnvvYfA68Tk00g76yOW+&#10;k/MsW0ivW+IFp3vcODQf1egV1PJ5NNVme99v3fhk5GL/+PWyV+r8bLq7BZFwSn9h+MFndCiZqQ4j&#10;2Sg6BfxI+lX2rq7nKxA1h5Y3IMtC/ocvvwEAAP//AwBQSwECLQAUAAYACAAAACEAtoM4kv4AAADh&#10;AQAAEwAAAAAAAAAAAAAAAAAAAAAAW0NvbnRlbnRfVHlwZXNdLnhtbFBLAQItABQABgAIAAAAIQA4&#10;/SH/1gAAAJQBAAALAAAAAAAAAAAAAAAAAC8BAABfcmVscy8ucmVsc1BLAQItABQABgAIAAAAIQD9&#10;VxOohwIAANUEAAAOAAAAAAAAAAAAAAAAAC4CAABkcnMvZTJvRG9jLnhtbFBLAQItABQABgAIAAAA&#10;IQDkcN8G3AAAAAQBAAAPAAAAAAAAAAAAAAAAAOEEAABkcnMvZG93bnJldi54bWxQSwUGAAAAAAQA&#10;BADzAAAA6gUAAAAA&#10;" fillcolor="#5b9bd5" stroked="f" strokeweight="1pt">
                <w10:wrap anchorx="page" anchory="page"/>
              </v:rect>
            </w:pict>
          </mc:Fallback>
        </mc:AlternateContent>
      </w:r>
    </w:p>
    <w:p w14:paraId="25B8CF3C" w14:textId="578DCB4F" w:rsidR="00247E25" w:rsidRPr="00D37923" w:rsidRDefault="00946991" w:rsidP="008E5601">
      <w:r w:rsidRPr="00D37923">
        <w:rPr>
          <w:rFonts w:eastAsia="Calibri" w:cs="Times New Roman"/>
          <w:noProof/>
          <w:color w:val="auto"/>
          <w:lang w:eastAsia="el-GR"/>
        </w:rPr>
        <mc:AlternateContent>
          <mc:Choice Requires="wps">
            <w:drawing>
              <wp:anchor distT="0" distB="0" distL="114300" distR="114300" simplePos="0" relativeHeight="251661312" behindDoc="0" locked="0" layoutInCell="1" allowOverlap="1" wp14:anchorId="4FE5BD77" wp14:editId="393D2DA6">
                <wp:simplePos x="0" y="0"/>
                <wp:positionH relativeFrom="page">
                  <wp:posOffset>3210339</wp:posOffset>
                </wp:positionH>
                <wp:positionV relativeFrom="page">
                  <wp:posOffset>3747052</wp:posOffset>
                </wp:positionV>
                <wp:extent cx="3220085" cy="2475230"/>
                <wp:effectExtent l="0" t="0" r="0" b="0"/>
                <wp:wrapSquare wrapText="bothSides"/>
                <wp:docPr id="470" name="Πλαίσιο κειμένου 470"/>
                <wp:cNvGraphicFramePr/>
                <a:graphic xmlns:a="http://schemas.openxmlformats.org/drawingml/2006/main">
                  <a:graphicData uri="http://schemas.microsoft.com/office/word/2010/wordprocessingShape">
                    <wps:wsp>
                      <wps:cNvSpPr txBox="1"/>
                      <wps:spPr>
                        <a:xfrm>
                          <a:off x="0" y="0"/>
                          <a:ext cx="3220085" cy="2475230"/>
                        </a:xfrm>
                        <a:prstGeom prst="rect">
                          <a:avLst/>
                        </a:prstGeom>
                        <a:noFill/>
                        <a:ln w="6350">
                          <a:noFill/>
                        </a:ln>
                        <a:effectLst/>
                      </wps:spPr>
                      <wps:txbx>
                        <w:txbxContent>
                          <w:sdt>
                            <w:sdtPr>
                              <w:rPr>
                                <w:rFonts w:eastAsia="Times New Roman" w:cs="Times New Roman"/>
                                <w:b/>
                                <w:color w:val="5B9BD5" w:themeColor="accent1"/>
                                <w:sz w:val="62"/>
                                <w:szCs w:val="62"/>
                              </w:rPr>
                              <w:alias w:val="Τίτλος"/>
                              <w:id w:val="-958338334"/>
                              <w:dataBinding w:prefixMappings="xmlns:ns0='http://schemas.openxmlformats.org/package/2006/metadata/core-properties' xmlns:ns1='http://purl.org/dc/elements/1.1/'" w:xpath="/ns0:coreProperties[1]/ns1:title[1]" w:storeItemID="{6C3C8BC8-F283-45AE-878A-BAB7291924A1}"/>
                              <w:text/>
                            </w:sdtPr>
                            <w:sdtEndPr/>
                            <w:sdtContent>
                              <w:p w14:paraId="7E61106E" w14:textId="5C9A12DA" w:rsidR="0003377E" w:rsidRPr="008131E1" w:rsidRDefault="0003377E" w:rsidP="00946991">
                                <w:pPr>
                                  <w:spacing w:line="240" w:lineRule="auto"/>
                                  <w:jc w:val="center"/>
                                  <w:rPr>
                                    <w:rFonts w:asciiTheme="majorHAnsi" w:eastAsiaTheme="majorEastAsia" w:hAnsiTheme="majorHAnsi" w:cstheme="majorBidi"/>
                                    <w:b/>
                                    <w:color w:val="5B9BD5" w:themeColor="accent1"/>
                                    <w:sz w:val="72"/>
                                    <w:szCs w:val="72"/>
                                  </w:rPr>
                                </w:pPr>
                                <w:r>
                                  <w:rPr>
                                    <w:rFonts w:eastAsia="Times New Roman" w:cs="Times New Roman"/>
                                    <w:b/>
                                    <w:color w:val="5B9BD5" w:themeColor="accent1"/>
                                    <w:sz w:val="62"/>
                                    <w:szCs w:val="62"/>
                                  </w:rPr>
                                  <w:t>ΕΑΡΙΝΗ</w:t>
                                </w:r>
                                <w:r w:rsidRPr="00946991">
                                  <w:rPr>
                                    <w:rFonts w:eastAsia="Times New Roman" w:cs="Times New Roman"/>
                                    <w:b/>
                                    <w:color w:val="5B9BD5" w:themeColor="accent1"/>
                                    <w:sz w:val="62"/>
                                    <w:szCs w:val="62"/>
                                  </w:rPr>
                                  <w:t xml:space="preserve"> ΕΚΘΕΣΗ </w:t>
                                </w:r>
                                <w:r>
                                  <w:rPr>
                                    <w:rFonts w:eastAsia="Times New Roman" w:cs="Times New Roman"/>
                                    <w:b/>
                                    <w:color w:val="5B9BD5" w:themeColor="accent1"/>
                                    <w:sz w:val="62"/>
                                    <w:szCs w:val="62"/>
                                    <w:lang w:val="en-US"/>
                                  </w:rPr>
                                  <w:t>202</w:t>
                                </w:r>
                                <w:r>
                                  <w:rPr>
                                    <w:rFonts w:eastAsia="Times New Roman" w:cs="Times New Roman"/>
                                    <w:b/>
                                    <w:color w:val="5B9BD5" w:themeColor="accent1"/>
                                    <w:sz w:val="62"/>
                                    <w:szCs w:val="62"/>
                                  </w:rPr>
                                  <w:t>1</w:t>
                                </w:r>
                              </w:p>
                            </w:sdtContent>
                          </w:sdt>
                          <w:p w14:paraId="6CC0445E" w14:textId="77777777" w:rsidR="0003377E" w:rsidRDefault="0003377E" w:rsidP="00946991">
                            <w:pPr>
                              <w:rPr>
                                <w:rFonts w:asciiTheme="majorHAnsi" w:eastAsiaTheme="majorEastAsia" w:hAnsiTheme="majorHAnsi" w:cstheme="majorBidi"/>
                                <w:color w:val="44546A" w:themeColor="text2"/>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28000</wp14:pctHeight>
                </wp14:sizeRelV>
              </wp:anchor>
            </w:drawing>
          </mc:Choice>
          <mc:Fallback>
            <w:pict>
              <v:shape w14:anchorId="4FE5BD77" id="Πλαίσιο κειμένου 470" o:spid="_x0000_s1029" type="#_x0000_t202" style="position:absolute;left:0;text-align:left;margin-left:252.8pt;margin-top:295.05pt;width:253.55pt;height:194.9pt;z-index:251661312;visibility:visible;mso-wrap-style:square;mso-width-percent:0;mso-height-percent:280;mso-wrap-distance-left:9pt;mso-wrap-distance-top:0;mso-wrap-distance-right:9pt;mso-wrap-distance-bottom:0;mso-position-horizontal:absolute;mso-position-horizontal-relative:page;mso-position-vertical:absolute;mso-position-vertical-relative:page;mso-width-percent:0;mso-height-percent:28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mZYwIAAIIEAAAOAAAAZHJzL2Uyb0RvYy54bWysVEtu2zAQ3RfoHQjua/kbp4blwE3gooCR&#10;BHCKrGmKsgVIJEvSltxt0XvkAkXRRRf9ITdQrtRH+hMj7arohprhDOfz3oyGZ1WRk7UwNlMypq1G&#10;kxIhuUoyuYjp25vJi1NKrGMyYbmSIqYbYenZ6PmzYakHoq2WKk+EIQgi7aDUMV06pwdRZPlSFMw2&#10;lBYSxlSZgjmoZhElhpWIXuRRu9k8iUplEm0UF9bi9mJrpKMQP00Fd1dpaoUjeUxRmwunCefcn9Fo&#10;yAYLw/Qy47sy2D9UUbBMIukh1AVzjKxM9keoIuNGWZW6BldFpNI04yL0gG5azSfdzJZMi9ALwLH6&#10;AJP9f2H55frakCyJabcPfCQrQFJ9V/+ov9SfHz7U3+p7Un+vv0L4WX+qf9X3Dx+JdwVwpbYDvJ9p&#10;RHDVK1VhAPb3Fpcejyo1hf+iUwI7UmwOsIvKEY7LThtMnvYo4bC1u/1euxPiR4/PtbHutVAF8UJM&#10;DXgNcLP11DqUAte9i88m1STL88BtLkkZ05NOrxkeHCx4kUvvK8KU7ML4lrale8lV8ypg09m3NVfJ&#10;Bt0atR0kq/kkQ0VTZt01M5gcNIhtcFc40lwhs9pJlCyVef+3e+8PQmGlpMQkxtS+WzEjKMnfSFD9&#10;stXt+tENSrfXb0Mxx5b5sUWuinOFYW9h7zQPovd3+V5MjSpusTRjnxUmJjlyx9TtxXO33Q8sHRfj&#10;cXDCsGrmpnKmuQ/tcfN431S3zOgdKQ58Xqr9zLLBE262vv6l1eOVA0OBOI/zFlWw6BUMeuBzt5R+&#10;k4714PX46xj9BgAA//8DAFBLAwQUAAYACAAAACEA57eoOeIAAAAMAQAADwAAAGRycy9kb3ducmV2&#10;LnhtbEyPQW7CMBBF95V6B2uQuit2UAJ1iIOqSpUqdYEKOYCJp0lEPE5jA6Gnr1mV3Yzm6c/7xWay&#10;PTvj6DtHCpK5AIZUO9NRo6Davz+/APNBk9G9I1RwRQ+b8vGh0LlxF/rC8y40LIaQz7WCNoQh59zX&#10;LVrt525AirdvN1od4jo23Iz6EsNtzxdCLLnVHcUPrR7wrcX6uDtZBWF7zKRPf/31o/6sXLtPq+1P&#10;qtTTbHpdAws4hX8YbvpRHcrodHAnMp71CjKRLSMaBykSYDdCJIsVsIMCuZISeFnw+xLlHwAAAP//&#10;AwBQSwECLQAUAAYACAAAACEAtoM4kv4AAADhAQAAEwAAAAAAAAAAAAAAAAAAAAAAW0NvbnRlbnRf&#10;VHlwZXNdLnhtbFBLAQItABQABgAIAAAAIQA4/SH/1gAAAJQBAAALAAAAAAAAAAAAAAAAAC8BAABf&#10;cmVscy8ucmVsc1BLAQItABQABgAIAAAAIQBcp+mZYwIAAIIEAAAOAAAAAAAAAAAAAAAAAC4CAABk&#10;cnMvZTJvRG9jLnhtbFBLAQItABQABgAIAAAAIQDnt6g54gAAAAwBAAAPAAAAAAAAAAAAAAAAAL0E&#10;AABkcnMvZG93bnJldi54bWxQSwUGAAAAAAQABADzAAAAzAUAAAAA&#10;" filled="f" stroked="f" strokeweight=".5pt">
                <v:textbox style="mso-fit-shape-to-text:t">
                  <w:txbxContent>
                    <w:sdt>
                      <w:sdtPr>
                        <w:rPr>
                          <w:rFonts w:eastAsia="Times New Roman" w:cs="Times New Roman"/>
                          <w:b/>
                          <w:color w:val="5B9BD5" w:themeColor="accent1"/>
                          <w:sz w:val="62"/>
                          <w:szCs w:val="62"/>
                        </w:rPr>
                        <w:alias w:val="Τίτλος"/>
                        <w:id w:val="-958338334"/>
                        <w:dataBinding w:prefixMappings="xmlns:ns0='http://schemas.openxmlformats.org/package/2006/metadata/core-properties' xmlns:ns1='http://purl.org/dc/elements/1.1/'" w:xpath="/ns0:coreProperties[1]/ns1:title[1]" w:storeItemID="{6C3C8BC8-F283-45AE-878A-BAB7291924A1}"/>
                        <w:text/>
                      </w:sdtPr>
                      <w:sdtContent>
                        <w:p w14:paraId="7E61106E" w14:textId="5C9A12DA" w:rsidR="0003377E" w:rsidRPr="008131E1" w:rsidRDefault="0003377E" w:rsidP="00946991">
                          <w:pPr>
                            <w:spacing w:line="240" w:lineRule="auto"/>
                            <w:jc w:val="center"/>
                            <w:rPr>
                              <w:rFonts w:asciiTheme="majorHAnsi" w:eastAsiaTheme="majorEastAsia" w:hAnsiTheme="majorHAnsi" w:cstheme="majorBidi"/>
                              <w:b/>
                              <w:color w:val="5B9BD5" w:themeColor="accent1"/>
                              <w:sz w:val="72"/>
                              <w:szCs w:val="72"/>
                            </w:rPr>
                          </w:pPr>
                          <w:r>
                            <w:rPr>
                              <w:rFonts w:eastAsia="Times New Roman" w:cs="Times New Roman"/>
                              <w:b/>
                              <w:color w:val="5B9BD5" w:themeColor="accent1"/>
                              <w:sz w:val="62"/>
                              <w:szCs w:val="62"/>
                            </w:rPr>
                            <w:t>ΕΑΡΙΝΗ</w:t>
                          </w:r>
                          <w:r w:rsidRPr="00946991">
                            <w:rPr>
                              <w:rFonts w:eastAsia="Times New Roman" w:cs="Times New Roman"/>
                              <w:b/>
                              <w:color w:val="5B9BD5" w:themeColor="accent1"/>
                              <w:sz w:val="62"/>
                              <w:szCs w:val="62"/>
                            </w:rPr>
                            <w:t xml:space="preserve"> ΕΚΘΕΣΗ </w:t>
                          </w:r>
                          <w:r>
                            <w:rPr>
                              <w:rFonts w:eastAsia="Times New Roman" w:cs="Times New Roman"/>
                              <w:b/>
                              <w:color w:val="5B9BD5" w:themeColor="accent1"/>
                              <w:sz w:val="62"/>
                              <w:szCs w:val="62"/>
                              <w:lang w:val="en-US"/>
                            </w:rPr>
                            <w:t>202</w:t>
                          </w:r>
                          <w:r>
                            <w:rPr>
                              <w:rFonts w:eastAsia="Times New Roman" w:cs="Times New Roman"/>
                              <w:b/>
                              <w:color w:val="5B9BD5" w:themeColor="accent1"/>
                              <w:sz w:val="62"/>
                              <w:szCs w:val="62"/>
                            </w:rPr>
                            <w:t>1</w:t>
                          </w:r>
                        </w:p>
                      </w:sdtContent>
                    </w:sdt>
                    <w:p w14:paraId="6CC0445E" w14:textId="77777777" w:rsidR="0003377E" w:rsidRDefault="0003377E" w:rsidP="00946991">
                      <w:pPr>
                        <w:rPr>
                          <w:rFonts w:asciiTheme="majorHAnsi" w:eastAsiaTheme="majorEastAsia" w:hAnsiTheme="majorHAnsi" w:cstheme="majorBidi"/>
                          <w:color w:val="44546A" w:themeColor="text2"/>
                          <w:sz w:val="32"/>
                          <w:szCs w:val="32"/>
                        </w:rPr>
                      </w:pPr>
                    </w:p>
                  </w:txbxContent>
                </v:textbox>
                <w10:wrap type="square" anchorx="page" anchory="page"/>
              </v:shape>
            </w:pict>
          </mc:Fallback>
        </mc:AlternateContent>
      </w:r>
    </w:p>
    <w:p w14:paraId="2D426C3B" w14:textId="030728B4" w:rsidR="00247E25" w:rsidRPr="00D37923" w:rsidRDefault="00247E25">
      <w:pPr>
        <w:spacing w:after="160" w:line="0" w:lineRule="auto"/>
        <w:jc w:val="left"/>
        <w:rPr>
          <w:color w:val="FFFFFF" w:themeColor="background1"/>
        </w:rPr>
      </w:pPr>
      <w:r w:rsidRPr="00D37923">
        <w:br w:type="page"/>
      </w:r>
      <w:r w:rsidRPr="00D37923">
        <w:rPr>
          <w:color w:val="FFFFFF" w:themeColor="background1"/>
        </w:rPr>
        <w:lastRenderedPageBreak/>
        <w:t>Σ</w:t>
      </w:r>
    </w:p>
    <w:p w14:paraId="4BB417CF" w14:textId="4BA4DD9D" w:rsidR="00D5158D" w:rsidRDefault="00D5158D" w:rsidP="008E5601">
      <w:pPr>
        <w:rPr>
          <w:color w:val="FFFFFF" w:themeColor="background1"/>
        </w:rPr>
      </w:pPr>
    </w:p>
    <w:p w14:paraId="0ED6B6EA" w14:textId="77777777" w:rsidR="00D5158D" w:rsidRPr="00D37923" w:rsidRDefault="00D5158D" w:rsidP="008E5601">
      <w:pPr>
        <w:rPr>
          <w:color w:val="FFFFFF" w:themeColor="background1"/>
        </w:rPr>
      </w:pPr>
    </w:p>
    <w:p w14:paraId="3A959EC3" w14:textId="7FFFB404" w:rsidR="00247E25" w:rsidRPr="00D37923" w:rsidRDefault="00247E25" w:rsidP="008E5601">
      <w:pPr>
        <w:rPr>
          <w:color w:val="FFFFFF" w:themeColor="background1"/>
        </w:rPr>
      </w:pPr>
    </w:p>
    <w:p w14:paraId="0FA9EE4C" w14:textId="2EC4DB43" w:rsidR="00247E25" w:rsidRPr="00D37923" w:rsidRDefault="00247E25" w:rsidP="008E5601">
      <w:pPr>
        <w:rPr>
          <w:color w:val="FFFFFF" w:themeColor="background1"/>
        </w:rPr>
      </w:pPr>
    </w:p>
    <w:p w14:paraId="5510B9C4" w14:textId="77777777" w:rsidR="006516D7" w:rsidRPr="00D37923" w:rsidRDefault="006516D7" w:rsidP="008E5601">
      <w:pPr>
        <w:rPr>
          <w:color w:val="FFFFFF" w:themeColor="background1"/>
        </w:rPr>
      </w:pPr>
    </w:p>
    <w:p w14:paraId="11F48093" w14:textId="77777777" w:rsidR="006516D7" w:rsidRPr="00D37923" w:rsidRDefault="006516D7" w:rsidP="008E5601">
      <w:pPr>
        <w:rPr>
          <w:color w:val="FFFFFF" w:themeColor="background1"/>
        </w:rPr>
      </w:pPr>
    </w:p>
    <w:p w14:paraId="349336DB" w14:textId="77777777" w:rsidR="006516D7" w:rsidRPr="00D37923" w:rsidRDefault="006516D7" w:rsidP="008E5601">
      <w:pPr>
        <w:rPr>
          <w:color w:val="FFFFFF" w:themeColor="background1"/>
        </w:rPr>
      </w:pPr>
    </w:p>
    <w:p w14:paraId="07CF42BB" w14:textId="77777777" w:rsidR="006516D7" w:rsidRPr="00D37923" w:rsidRDefault="006516D7" w:rsidP="008E5601">
      <w:pPr>
        <w:rPr>
          <w:color w:val="FFFFFF" w:themeColor="background1"/>
        </w:rPr>
      </w:pPr>
    </w:p>
    <w:p w14:paraId="3DBE1CA2" w14:textId="77777777" w:rsidR="006516D7" w:rsidRPr="00D37923" w:rsidRDefault="006516D7" w:rsidP="008E5601">
      <w:pPr>
        <w:rPr>
          <w:color w:val="FFFFFF" w:themeColor="background1"/>
        </w:rPr>
      </w:pPr>
    </w:p>
    <w:p w14:paraId="4CC2629F" w14:textId="77777777" w:rsidR="006516D7" w:rsidRPr="00D37923" w:rsidRDefault="006516D7" w:rsidP="008E5601">
      <w:pPr>
        <w:rPr>
          <w:color w:val="FFFFFF" w:themeColor="background1"/>
        </w:rPr>
      </w:pPr>
    </w:p>
    <w:p w14:paraId="4F26DA2A" w14:textId="77777777" w:rsidR="006516D7" w:rsidRPr="00D37923" w:rsidRDefault="006516D7" w:rsidP="008E5601">
      <w:pPr>
        <w:rPr>
          <w:color w:val="FFFFFF" w:themeColor="background1"/>
        </w:rPr>
      </w:pPr>
    </w:p>
    <w:p w14:paraId="64D9D214" w14:textId="77777777" w:rsidR="006516D7" w:rsidRPr="00D37923" w:rsidRDefault="006516D7" w:rsidP="008E5601">
      <w:pPr>
        <w:rPr>
          <w:color w:val="FFFFFF" w:themeColor="background1"/>
        </w:rPr>
      </w:pPr>
    </w:p>
    <w:p w14:paraId="1AE07450" w14:textId="77777777" w:rsidR="006516D7" w:rsidRPr="00D37923" w:rsidRDefault="006516D7" w:rsidP="008E5601">
      <w:pPr>
        <w:rPr>
          <w:color w:val="FFFFFF" w:themeColor="background1"/>
        </w:rPr>
      </w:pPr>
    </w:p>
    <w:p w14:paraId="1768C7B1" w14:textId="77777777" w:rsidR="006516D7" w:rsidRPr="00D37923" w:rsidRDefault="006516D7" w:rsidP="008E5601">
      <w:pPr>
        <w:rPr>
          <w:color w:val="FFFFFF" w:themeColor="background1"/>
        </w:rPr>
      </w:pPr>
    </w:p>
    <w:p w14:paraId="4CD49AC3" w14:textId="77777777" w:rsidR="006516D7" w:rsidRPr="00D37923" w:rsidRDefault="006516D7" w:rsidP="008E5601">
      <w:pPr>
        <w:rPr>
          <w:color w:val="FFFFFF" w:themeColor="background1"/>
        </w:rPr>
      </w:pPr>
    </w:p>
    <w:p w14:paraId="60727975" w14:textId="77777777" w:rsidR="006516D7" w:rsidRPr="00D37923" w:rsidRDefault="006516D7" w:rsidP="008E5601">
      <w:pPr>
        <w:rPr>
          <w:color w:val="FFFFFF" w:themeColor="background1"/>
        </w:rPr>
      </w:pPr>
    </w:p>
    <w:p w14:paraId="407CB8C6" w14:textId="77777777" w:rsidR="006516D7" w:rsidRPr="00D37923" w:rsidRDefault="006516D7" w:rsidP="006516D7">
      <w:pPr>
        <w:spacing w:after="120"/>
        <w:rPr>
          <w:b/>
          <w:color w:val="00A3E0"/>
        </w:rPr>
      </w:pPr>
    </w:p>
    <w:p w14:paraId="0041E37D" w14:textId="77777777" w:rsidR="006516D7" w:rsidRPr="00D37923" w:rsidRDefault="006516D7" w:rsidP="006516D7">
      <w:pPr>
        <w:spacing w:after="120"/>
        <w:rPr>
          <w:b/>
          <w:color w:val="00A3E0"/>
        </w:rPr>
      </w:pPr>
    </w:p>
    <w:p w14:paraId="5CBA6A77" w14:textId="22BECC69" w:rsidR="00946991" w:rsidRPr="00D37923" w:rsidRDefault="006516D7" w:rsidP="009F1EF9">
      <w:pPr>
        <w:spacing w:after="80"/>
        <w:rPr>
          <w:b/>
          <w:color w:val="00A3E0"/>
        </w:rPr>
      </w:pPr>
      <w:r w:rsidRPr="00D37923">
        <w:rPr>
          <w:b/>
          <w:color w:val="00A3E0"/>
        </w:rPr>
        <w:t>ΕΛΛΗΝΙΚΟ ΔΗΜΟΣΙΟΝΟΜΙΚΟ ΣΥΜΒΟΥΛΙΟ</w:t>
      </w:r>
    </w:p>
    <w:p w14:paraId="2C2D5AB2" w14:textId="7DBC4390" w:rsidR="006516D7" w:rsidRPr="00D37923" w:rsidRDefault="006516D7" w:rsidP="009F1EF9">
      <w:pPr>
        <w:spacing w:after="80"/>
      </w:pPr>
      <w:r w:rsidRPr="00D37923">
        <w:t>Αμερικής 11</w:t>
      </w:r>
    </w:p>
    <w:p w14:paraId="3A78E765" w14:textId="638B1397" w:rsidR="006516D7" w:rsidRPr="00D37923" w:rsidRDefault="006516D7" w:rsidP="009F1EF9">
      <w:pPr>
        <w:spacing w:after="80"/>
      </w:pPr>
      <w:r w:rsidRPr="00D37923">
        <w:t>Αθήνα 106 72</w:t>
      </w:r>
    </w:p>
    <w:p w14:paraId="697B7FBD" w14:textId="36D0033C" w:rsidR="006516D7" w:rsidRPr="00D37923" w:rsidRDefault="006516D7" w:rsidP="009F1EF9">
      <w:pPr>
        <w:spacing w:after="120"/>
      </w:pPr>
    </w:p>
    <w:p w14:paraId="6518D54F" w14:textId="39CF5296" w:rsidR="006516D7" w:rsidRPr="00D37923" w:rsidRDefault="00D5744E" w:rsidP="008E5601">
      <w:hyperlink r:id="rId10" w:history="1">
        <w:r w:rsidR="006516D7" w:rsidRPr="00D37923">
          <w:rPr>
            <w:rStyle w:val="Hyperlink"/>
            <w:lang w:val="en-US"/>
          </w:rPr>
          <w:t>www</w:t>
        </w:r>
        <w:r w:rsidR="006516D7" w:rsidRPr="00D37923">
          <w:rPr>
            <w:rStyle w:val="Hyperlink"/>
          </w:rPr>
          <w:t>.</w:t>
        </w:r>
        <w:r w:rsidR="006516D7" w:rsidRPr="00D37923">
          <w:rPr>
            <w:rStyle w:val="Hyperlink"/>
            <w:lang w:val="en-US"/>
          </w:rPr>
          <w:t>hfisc</w:t>
        </w:r>
        <w:r w:rsidR="006516D7" w:rsidRPr="00D37923">
          <w:rPr>
            <w:rStyle w:val="Hyperlink"/>
          </w:rPr>
          <w:t>.</w:t>
        </w:r>
        <w:r w:rsidR="006516D7" w:rsidRPr="00D37923">
          <w:rPr>
            <w:rStyle w:val="Hyperlink"/>
            <w:lang w:val="en-US"/>
          </w:rPr>
          <w:t>gr</w:t>
        </w:r>
      </w:hyperlink>
    </w:p>
    <w:p w14:paraId="7BE6E74E" w14:textId="615F5336" w:rsidR="006516D7" w:rsidRPr="00D37923" w:rsidRDefault="006516D7" w:rsidP="009F1EF9">
      <w:pPr>
        <w:spacing w:after="120"/>
      </w:pPr>
    </w:p>
    <w:p w14:paraId="21082340" w14:textId="7592CD7E" w:rsidR="006516D7" w:rsidRPr="0068122D" w:rsidRDefault="006516D7" w:rsidP="009F1EF9">
      <w:pPr>
        <w:spacing w:after="80"/>
      </w:pPr>
      <w:r w:rsidRPr="00D37923">
        <w:rPr>
          <w:lang w:val="en-US"/>
        </w:rPr>
        <w:t>T</w:t>
      </w:r>
      <w:r w:rsidRPr="0068122D">
        <w:t>: 211 1039600</w:t>
      </w:r>
    </w:p>
    <w:p w14:paraId="1BE25DFA" w14:textId="222BBC25" w:rsidR="006516D7" w:rsidRPr="00DB1DCB" w:rsidRDefault="006516D7" w:rsidP="009F1EF9">
      <w:pPr>
        <w:spacing w:after="80"/>
        <w:rPr>
          <w:lang w:val="en-US"/>
        </w:rPr>
      </w:pPr>
      <w:r w:rsidRPr="00D37923">
        <w:t>Φ</w:t>
      </w:r>
      <w:r w:rsidRPr="00DB1DCB">
        <w:rPr>
          <w:lang w:val="en-US"/>
        </w:rPr>
        <w:t>: 210 3615531</w:t>
      </w:r>
    </w:p>
    <w:p w14:paraId="02DD95B6" w14:textId="6D76286F" w:rsidR="006516D7" w:rsidRDefault="006516D7" w:rsidP="009F1EF9">
      <w:pPr>
        <w:spacing w:after="80"/>
        <w:rPr>
          <w:lang w:val="en-US"/>
        </w:rPr>
      </w:pPr>
      <w:r w:rsidRPr="00D37923">
        <w:rPr>
          <w:lang w:val="en-US"/>
        </w:rPr>
        <w:t xml:space="preserve">e-mail: </w:t>
      </w:r>
      <w:hyperlink r:id="rId11" w:history="1">
        <w:r w:rsidR="00D5158D" w:rsidRPr="00CA11A6">
          <w:rPr>
            <w:rStyle w:val="Hyperlink"/>
            <w:lang w:val="en-US"/>
          </w:rPr>
          <w:t>hfisc@hfisc.gr</w:t>
        </w:r>
      </w:hyperlink>
    </w:p>
    <w:p w14:paraId="08CB6226" w14:textId="7D095AF9" w:rsidR="00D5158D" w:rsidRDefault="00D5158D" w:rsidP="009F1EF9">
      <w:pPr>
        <w:spacing w:after="80"/>
        <w:rPr>
          <w:lang w:val="en-US"/>
        </w:rPr>
      </w:pPr>
    </w:p>
    <w:p w14:paraId="6AF3EF07" w14:textId="3654475C" w:rsidR="00D5158D" w:rsidRDefault="00D5158D" w:rsidP="009F1EF9">
      <w:pPr>
        <w:spacing w:after="80"/>
        <w:rPr>
          <w:lang w:val="en-US"/>
        </w:rPr>
      </w:pPr>
    </w:p>
    <w:p w14:paraId="5A4267D1" w14:textId="3EC13EF0" w:rsidR="00D5158D" w:rsidRDefault="00D5158D" w:rsidP="009F1EF9">
      <w:pPr>
        <w:spacing w:after="80"/>
        <w:rPr>
          <w:lang w:val="en-US"/>
        </w:rPr>
      </w:pPr>
    </w:p>
    <w:p w14:paraId="489562B9" w14:textId="77777777" w:rsidR="00946991" w:rsidRPr="006535B0" w:rsidRDefault="00946991">
      <w:pPr>
        <w:spacing w:after="160" w:line="0" w:lineRule="auto"/>
        <w:jc w:val="left"/>
        <w:rPr>
          <w:lang w:val="en-US"/>
        </w:rPr>
      </w:pPr>
      <w:r w:rsidRPr="006535B0">
        <w:rPr>
          <w:lang w:val="en-US"/>
        </w:rPr>
        <w:br w:type="page"/>
      </w:r>
    </w:p>
    <w:sdt>
      <w:sdtPr>
        <w:rPr>
          <w:rFonts w:ascii="Trebuchet MS" w:eastAsiaTheme="minorHAnsi" w:hAnsi="Trebuchet MS" w:cstheme="minorBidi"/>
          <w:b/>
          <w:i/>
          <w:noProof/>
          <w:color w:val="auto"/>
          <w:spacing w:val="20"/>
          <w:sz w:val="22"/>
          <w:szCs w:val="22"/>
          <w:lang w:eastAsia="en-US"/>
        </w:rPr>
        <w:id w:val="8959902"/>
        <w:docPartObj>
          <w:docPartGallery w:val="Table of Contents"/>
          <w:docPartUnique/>
        </w:docPartObj>
      </w:sdtPr>
      <w:sdtEndPr>
        <w:rPr>
          <w:rFonts w:eastAsia="Calibri" w:cs="Times New Roman"/>
          <w:b w:val="0"/>
          <w:color w:val="00B0F0"/>
          <w:lang w:eastAsia="el-GR"/>
        </w:rPr>
      </w:sdtEndPr>
      <w:sdtContent>
        <w:p w14:paraId="432F52F6" w14:textId="0A3926C0" w:rsidR="00247E25" w:rsidRPr="00B103F0" w:rsidRDefault="00D65F57" w:rsidP="008D2932">
          <w:pPr>
            <w:pStyle w:val="TOCHeading"/>
            <w:spacing w:after="120"/>
            <w:jc w:val="center"/>
            <w:rPr>
              <w:rFonts w:ascii="Trebuchet MS" w:hAnsi="Trebuchet MS"/>
              <w:b/>
              <w:color w:val="auto"/>
              <w:sz w:val="24"/>
              <w:szCs w:val="24"/>
              <w:lang w:val="en-US"/>
            </w:rPr>
          </w:pPr>
          <w:r w:rsidRPr="00B103F0">
            <w:rPr>
              <w:rFonts w:ascii="Trebuchet MS" w:hAnsi="Trebuchet MS"/>
              <w:b/>
              <w:color w:val="auto"/>
              <w:sz w:val="24"/>
              <w:szCs w:val="24"/>
            </w:rPr>
            <w:t>ΠΕΡΙΕΧΟΜΕΝΑ</w:t>
          </w:r>
        </w:p>
        <w:p w14:paraId="5A96B31D" w14:textId="6D51F797" w:rsidR="00230B3D" w:rsidRPr="00910A75" w:rsidRDefault="00230B3D" w:rsidP="00A94AB4">
          <w:pPr>
            <w:pStyle w:val="TOC1"/>
          </w:pPr>
          <w:r w:rsidRPr="00B103F0">
            <w:t>Πρόλογος</w:t>
          </w:r>
          <w:r w:rsidRPr="00910A75">
            <w:t xml:space="preserve"> </w:t>
          </w:r>
          <w:r w:rsidRPr="00174E94">
            <w:t>………………………………………………………………………………………………….</w:t>
          </w:r>
          <w:r w:rsidRPr="00910A75">
            <w:t xml:space="preserve"> </w:t>
          </w:r>
          <w:r w:rsidRPr="00174E94">
            <w:t>6</w:t>
          </w:r>
        </w:p>
        <w:p w14:paraId="51C9BF4E" w14:textId="4E42E7C0" w:rsidR="00A94AB4" w:rsidRDefault="00247E25" w:rsidP="00A94AB4">
          <w:pPr>
            <w:pStyle w:val="TOC1"/>
            <w:rPr>
              <w:rFonts w:asciiTheme="minorHAnsi" w:eastAsiaTheme="minorEastAsia" w:hAnsiTheme="minorHAnsi" w:cstheme="minorBidi"/>
              <w:b/>
              <w:color w:val="auto"/>
              <w:spacing w:val="0"/>
            </w:rPr>
          </w:pPr>
          <w:r w:rsidRPr="00910A75">
            <w:rPr>
              <w:color w:val="auto"/>
            </w:rPr>
            <w:fldChar w:fldCharType="begin"/>
          </w:r>
          <w:r w:rsidRPr="00910A75">
            <w:rPr>
              <w:color w:val="auto"/>
            </w:rPr>
            <w:instrText xml:space="preserve"> TOC \o "1-3" \h \z \u </w:instrText>
          </w:r>
          <w:r w:rsidRPr="00910A75">
            <w:rPr>
              <w:color w:val="auto"/>
            </w:rPr>
            <w:fldChar w:fldCharType="separate"/>
          </w:r>
          <w:hyperlink w:anchor="_Toc73435730" w:history="1">
            <w:r w:rsidR="00A94AB4" w:rsidRPr="00A94AB4">
              <w:rPr>
                <w:rStyle w:val="Hyperlink"/>
                <w:b/>
              </w:rPr>
              <w:t>ΚΕΦΑΛΑΙΟ I: ΜΑΚΡΟΟΙΚΟΝΟΜΙΚΕΣ ΕΞΕΛΙΞΕΙΣ 2020 &amp; 2021</w:t>
            </w:r>
            <w:r w:rsidR="00A94AB4">
              <w:rPr>
                <w:webHidden/>
              </w:rPr>
              <w:tab/>
            </w:r>
            <w:r w:rsidR="00A94AB4">
              <w:rPr>
                <w:webHidden/>
              </w:rPr>
              <w:fldChar w:fldCharType="begin"/>
            </w:r>
            <w:r w:rsidR="00A94AB4">
              <w:rPr>
                <w:webHidden/>
              </w:rPr>
              <w:instrText xml:space="preserve"> PAGEREF _Toc73435730 \h </w:instrText>
            </w:r>
            <w:r w:rsidR="00A94AB4">
              <w:rPr>
                <w:webHidden/>
              </w:rPr>
            </w:r>
            <w:r w:rsidR="00A94AB4">
              <w:rPr>
                <w:webHidden/>
              </w:rPr>
              <w:fldChar w:fldCharType="separate"/>
            </w:r>
            <w:r w:rsidR="00CC05A7">
              <w:rPr>
                <w:webHidden/>
              </w:rPr>
              <w:t>9</w:t>
            </w:r>
            <w:r w:rsidR="00A94AB4">
              <w:rPr>
                <w:webHidden/>
              </w:rPr>
              <w:fldChar w:fldCharType="end"/>
            </w:r>
          </w:hyperlink>
        </w:p>
        <w:p w14:paraId="43BCF39F" w14:textId="598F3644" w:rsidR="00A94AB4" w:rsidRDefault="00D5744E">
          <w:pPr>
            <w:pStyle w:val="TOC2"/>
            <w:rPr>
              <w:rFonts w:asciiTheme="minorHAnsi" w:eastAsiaTheme="minorEastAsia" w:hAnsiTheme="minorHAnsi"/>
              <w:lang w:eastAsia="el-GR"/>
            </w:rPr>
          </w:pPr>
          <w:hyperlink w:anchor="_Toc73435731" w:history="1">
            <w:r w:rsidR="00A94AB4" w:rsidRPr="00A94AB4">
              <w:rPr>
                <w:rStyle w:val="Hyperlink"/>
                <w:b/>
              </w:rPr>
              <w:t>1. Μακροοικονομικά αποτελέσματα 2020</w:t>
            </w:r>
            <w:r w:rsidR="00A94AB4">
              <w:rPr>
                <w:webHidden/>
              </w:rPr>
              <w:tab/>
            </w:r>
            <w:r w:rsidR="00A94AB4">
              <w:rPr>
                <w:webHidden/>
              </w:rPr>
              <w:fldChar w:fldCharType="begin"/>
            </w:r>
            <w:r w:rsidR="00A94AB4">
              <w:rPr>
                <w:webHidden/>
              </w:rPr>
              <w:instrText xml:space="preserve"> PAGEREF _Toc73435731 \h </w:instrText>
            </w:r>
            <w:r w:rsidR="00A94AB4">
              <w:rPr>
                <w:webHidden/>
              </w:rPr>
            </w:r>
            <w:r w:rsidR="00A94AB4">
              <w:rPr>
                <w:webHidden/>
              </w:rPr>
              <w:fldChar w:fldCharType="separate"/>
            </w:r>
            <w:r w:rsidR="00CC05A7">
              <w:rPr>
                <w:webHidden/>
              </w:rPr>
              <w:t>9</w:t>
            </w:r>
            <w:r w:rsidR="00A94AB4">
              <w:rPr>
                <w:webHidden/>
              </w:rPr>
              <w:fldChar w:fldCharType="end"/>
            </w:r>
          </w:hyperlink>
        </w:p>
        <w:p w14:paraId="42DAEC49" w14:textId="337137FF" w:rsidR="00A94AB4" w:rsidRDefault="00D5744E">
          <w:pPr>
            <w:pStyle w:val="TOC3"/>
            <w:rPr>
              <w:rFonts w:asciiTheme="minorHAnsi" w:eastAsiaTheme="minorEastAsia" w:hAnsiTheme="minorHAnsi"/>
              <w:i w:val="0"/>
              <w:sz w:val="22"/>
              <w:szCs w:val="22"/>
              <w:lang w:eastAsia="el-GR"/>
            </w:rPr>
          </w:pPr>
          <w:hyperlink w:anchor="_Toc73435732" w:history="1">
            <w:r w:rsidR="00A94AB4" w:rsidRPr="00C4496D">
              <w:rPr>
                <w:rStyle w:val="Hyperlink"/>
              </w:rPr>
              <w:t>1.1. Ακαθάριστο Εγχώριο Προϊόν</w:t>
            </w:r>
            <w:r w:rsidR="00A94AB4">
              <w:rPr>
                <w:webHidden/>
              </w:rPr>
              <w:tab/>
            </w:r>
            <w:r w:rsidR="00A94AB4">
              <w:rPr>
                <w:webHidden/>
              </w:rPr>
              <w:fldChar w:fldCharType="begin"/>
            </w:r>
            <w:r w:rsidR="00A94AB4">
              <w:rPr>
                <w:webHidden/>
              </w:rPr>
              <w:instrText xml:space="preserve"> PAGEREF _Toc73435732 \h </w:instrText>
            </w:r>
            <w:r w:rsidR="00A94AB4">
              <w:rPr>
                <w:webHidden/>
              </w:rPr>
            </w:r>
            <w:r w:rsidR="00A94AB4">
              <w:rPr>
                <w:webHidden/>
              </w:rPr>
              <w:fldChar w:fldCharType="separate"/>
            </w:r>
            <w:r w:rsidR="00CC05A7">
              <w:rPr>
                <w:webHidden/>
              </w:rPr>
              <w:t>10</w:t>
            </w:r>
            <w:r w:rsidR="00A94AB4">
              <w:rPr>
                <w:webHidden/>
              </w:rPr>
              <w:fldChar w:fldCharType="end"/>
            </w:r>
          </w:hyperlink>
        </w:p>
        <w:p w14:paraId="63A777F8" w14:textId="146B4EE8" w:rsidR="00A94AB4" w:rsidRDefault="00D5744E">
          <w:pPr>
            <w:pStyle w:val="TOC3"/>
            <w:rPr>
              <w:rFonts w:asciiTheme="minorHAnsi" w:eastAsiaTheme="minorEastAsia" w:hAnsiTheme="minorHAnsi"/>
              <w:i w:val="0"/>
              <w:sz w:val="22"/>
              <w:szCs w:val="22"/>
              <w:lang w:eastAsia="el-GR"/>
            </w:rPr>
          </w:pPr>
          <w:hyperlink w:anchor="_Toc73435733" w:history="1">
            <w:r w:rsidR="00A94AB4" w:rsidRPr="00C4496D">
              <w:rPr>
                <w:rStyle w:val="Hyperlink"/>
              </w:rPr>
              <w:t>1.2. Λοιπές μακροοικονομικές εξελίξεις 2020</w:t>
            </w:r>
            <w:r w:rsidR="00A94AB4">
              <w:rPr>
                <w:webHidden/>
              </w:rPr>
              <w:tab/>
            </w:r>
            <w:r w:rsidR="00A94AB4">
              <w:rPr>
                <w:webHidden/>
              </w:rPr>
              <w:fldChar w:fldCharType="begin"/>
            </w:r>
            <w:r w:rsidR="00A94AB4">
              <w:rPr>
                <w:webHidden/>
              </w:rPr>
              <w:instrText xml:space="preserve"> PAGEREF _Toc73435733 \h </w:instrText>
            </w:r>
            <w:r w:rsidR="00A94AB4">
              <w:rPr>
                <w:webHidden/>
              </w:rPr>
            </w:r>
            <w:r w:rsidR="00A94AB4">
              <w:rPr>
                <w:webHidden/>
              </w:rPr>
              <w:fldChar w:fldCharType="separate"/>
            </w:r>
            <w:r w:rsidR="00CC05A7">
              <w:rPr>
                <w:webHidden/>
              </w:rPr>
              <w:t>14</w:t>
            </w:r>
            <w:r w:rsidR="00A94AB4">
              <w:rPr>
                <w:webHidden/>
              </w:rPr>
              <w:fldChar w:fldCharType="end"/>
            </w:r>
          </w:hyperlink>
        </w:p>
        <w:p w14:paraId="2AB261ED" w14:textId="7D6934CC" w:rsidR="00A94AB4" w:rsidRDefault="00D5744E">
          <w:pPr>
            <w:pStyle w:val="TOC3"/>
            <w:rPr>
              <w:rFonts w:asciiTheme="minorHAnsi" w:eastAsiaTheme="minorEastAsia" w:hAnsiTheme="minorHAnsi"/>
              <w:i w:val="0"/>
              <w:sz w:val="22"/>
              <w:szCs w:val="22"/>
              <w:lang w:eastAsia="el-GR"/>
            </w:rPr>
          </w:pPr>
          <w:hyperlink w:anchor="_Toc73435734" w:history="1">
            <w:r w:rsidR="00A94AB4" w:rsidRPr="00C4496D">
              <w:rPr>
                <w:rStyle w:val="Hyperlink"/>
              </w:rPr>
              <w:t>1.3. Χρηματοπιστωτικός τομέας – μη εξυπηρετούμενα δάνεια (ΜΕΔ)</w:t>
            </w:r>
            <w:r w:rsidR="00A94AB4">
              <w:rPr>
                <w:webHidden/>
              </w:rPr>
              <w:tab/>
            </w:r>
            <w:r w:rsidR="00A94AB4">
              <w:rPr>
                <w:webHidden/>
              </w:rPr>
              <w:fldChar w:fldCharType="begin"/>
            </w:r>
            <w:r w:rsidR="00A94AB4">
              <w:rPr>
                <w:webHidden/>
              </w:rPr>
              <w:instrText xml:space="preserve"> PAGEREF _Toc73435734 \h </w:instrText>
            </w:r>
            <w:r w:rsidR="00A94AB4">
              <w:rPr>
                <w:webHidden/>
              </w:rPr>
            </w:r>
            <w:r w:rsidR="00A94AB4">
              <w:rPr>
                <w:webHidden/>
              </w:rPr>
              <w:fldChar w:fldCharType="separate"/>
            </w:r>
            <w:r w:rsidR="00CC05A7">
              <w:rPr>
                <w:webHidden/>
              </w:rPr>
              <w:t>22</w:t>
            </w:r>
            <w:r w:rsidR="00A94AB4">
              <w:rPr>
                <w:webHidden/>
              </w:rPr>
              <w:fldChar w:fldCharType="end"/>
            </w:r>
          </w:hyperlink>
        </w:p>
        <w:p w14:paraId="18638C1B" w14:textId="5D944F78" w:rsidR="00A94AB4" w:rsidRDefault="00D5744E">
          <w:pPr>
            <w:pStyle w:val="TOC2"/>
            <w:rPr>
              <w:rFonts w:asciiTheme="minorHAnsi" w:eastAsiaTheme="minorEastAsia" w:hAnsiTheme="minorHAnsi"/>
              <w:lang w:eastAsia="el-GR"/>
            </w:rPr>
          </w:pPr>
          <w:hyperlink w:anchor="_Toc73435735" w:history="1">
            <w:r w:rsidR="00A94AB4" w:rsidRPr="00A94AB4">
              <w:rPr>
                <w:rStyle w:val="Hyperlink"/>
                <w:b/>
              </w:rPr>
              <w:t>2. Μακροοικονομικές εξελίξεις 2021, πρόδρομοι δείκτες και χρηματοπιστωτικός τομέας</w:t>
            </w:r>
            <w:r w:rsidR="00A94AB4">
              <w:rPr>
                <w:webHidden/>
              </w:rPr>
              <w:tab/>
            </w:r>
            <w:r w:rsidR="00A94AB4">
              <w:rPr>
                <w:webHidden/>
              </w:rPr>
              <w:fldChar w:fldCharType="begin"/>
            </w:r>
            <w:r w:rsidR="00A94AB4">
              <w:rPr>
                <w:webHidden/>
              </w:rPr>
              <w:instrText xml:space="preserve"> PAGEREF _Toc73435735 \h </w:instrText>
            </w:r>
            <w:r w:rsidR="00A94AB4">
              <w:rPr>
                <w:webHidden/>
              </w:rPr>
            </w:r>
            <w:r w:rsidR="00A94AB4">
              <w:rPr>
                <w:webHidden/>
              </w:rPr>
              <w:fldChar w:fldCharType="separate"/>
            </w:r>
            <w:r w:rsidR="00CC05A7">
              <w:rPr>
                <w:webHidden/>
              </w:rPr>
              <w:t>24</w:t>
            </w:r>
            <w:r w:rsidR="00A94AB4">
              <w:rPr>
                <w:webHidden/>
              </w:rPr>
              <w:fldChar w:fldCharType="end"/>
            </w:r>
          </w:hyperlink>
        </w:p>
        <w:p w14:paraId="3E029477" w14:textId="71777EB6" w:rsidR="00A94AB4" w:rsidRDefault="00D5744E">
          <w:pPr>
            <w:pStyle w:val="TOC3"/>
            <w:rPr>
              <w:rFonts w:asciiTheme="minorHAnsi" w:eastAsiaTheme="minorEastAsia" w:hAnsiTheme="minorHAnsi"/>
              <w:i w:val="0"/>
              <w:sz w:val="22"/>
              <w:szCs w:val="22"/>
              <w:lang w:eastAsia="el-GR"/>
            </w:rPr>
          </w:pPr>
          <w:hyperlink w:anchor="_Toc73435736" w:history="1">
            <w:r w:rsidR="00A94AB4" w:rsidRPr="00C4496D">
              <w:rPr>
                <w:rStyle w:val="Hyperlink"/>
              </w:rPr>
              <w:t>2.1. Πληθωρισμός</w:t>
            </w:r>
            <w:r w:rsidR="00A94AB4">
              <w:rPr>
                <w:webHidden/>
              </w:rPr>
              <w:tab/>
            </w:r>
            <w:r w:rsidR="00A94AB4">
              <w:rPr>
                <w:webHidden/>
              </w:rPr>
              <w:fldChar w:fldCharType="begin"/>
            </w:r>
            <w:r w:rsidR="00A94AB4">
              <w:rPr>
                <w:webHidden/>
              </w:rPr>
              <w:instrText xml:space="preserve"> PAGEREF _Toc73435736 \h </w:instrText>
            </w:r>
            <w:r w:rsidR="00A94AB4">
              <w:rPr>
                <w:webHidden/>
              </w:rPr>
            </w:r>
            <w:r w:rsidR="00A94AB4">
              <w:rPr>
                <w:webHidden/>
              </w:rPr>
              <w:fldChar w:fldCharType="separate"/>
            </w:r>
            <w:r w:rsidR="00CC05A7">
              <w:rPr>
                <w:webHidden/>
              </w:rPr>
              <w:t>25</w:t>
            </w:r>
            <w:r w:rsidR="00A94AB4">
              <w:rPr>
                <w:webHidden/>
              </w:rPr>
              <w:fldChar w:fldCharType="end"/>
            </w:r>
          </w:hyperlink>
        </w:p>
        <w:p w14:paraId="04067CF7" w14:textId="3F9E0983" w:rsidR="00A94AB4" w:rsidRDefault="00D5744E">
          <w:pPr>
            <w:pStyle w:val="TOC3"/>
            <w:rPr>
              <w:rFonts w:asciiTheme="minorHAnsi" w:eastAsiaTheme="minorEastAsia" w:hAnsiTheme="minorHAnsi"/>
              <w:i w:val="0"/>
              <w:sz w:val="22"/>
              <w:szCs w:val="22"/>
              <w:lang w:eastAsia="el-GR"/>
            </w:rPr>
          </w:pPr>
          <w:hyperlink w:anchor="_Toc73435737" w:history="1">
            <w:r w:rsidR="00A94AB4" w:rsidRPr="00C4496D">
              <w:rPr>
                <w:rStyle w:val="Hyperlink"/>
              </w:rPr>
              <w:t>2.2. Απασχόληση</w:t>
            </w:r>
            <w:r w:rsidR="00A94AB4">
              <w:rPr>
                <w:webHidden/>
              </w:rPr>
              <w:tab/>
            </w:r>
            <w:r w:rsidR="00A94AB4">
              <w:rPr>
                <w:webHidden/>
              </w:rPr>
              <w:fldChar w:fldCharType="begin"/>
            </w:r>
            <w:r w:rsidR="00A94AB4">
              <w:rPr>
                <w:webHidden/>
              </w:rPr>
              <w:instrText xml:space="preserve"> PAGEREF _Toc73435737 \h </w:instrText>
            </w:r>
            <w:r w:rsidR="00A94AB4">
              <w:rPr>
                <w:webHidden/>
              </w:rPr>
            </w:r>
            <w:r w:rsidR="00A94AB4">
              <w:rPr>
                <w:webHidden/>
              </w:rPr>
              <w:fldChar w:fldCharType="separate"/>
            </w:r>
            <w:r w:rsidR="00CC05A7">
              <w:rPr>
                <w:webHidden/>
              </w:rPr>
              <w:t>26</w:t>
            </w:r>
            <w:r w:rsidR="00A94AB4">
              <w:rPr>
                <w:webHidden/>
              </w:rPr>
              <w:fldChar w:fldCharType="end"/>
            </w:r>
          </w:hyperlink>
        </w:p>
        <w:p w14:paraId="07F4BA25" w14:textId="1C5F4ABC" w:rsidR="00A94AB4" w:rsidRDefault="00D5744E">
          <w:pPr>
            <w:pStyle w:val="TOC3"/>
            <w:rPr>
              <w:rFonts w:asciiTheme="minorHAnsi" w:eastAsiaTheme="minorEastAsia" w:hAnsiTheme="minorHAnsi"/>
              <w:i w:val="0"/>
              <w:sz w:val="22"/>
              <w:szCs w:val="22"/>
              <w:lang w:eastAsia="el-GR"/>
            </w:rPr>
          </w:pPr>
          <w:hyperlink w:anchor="_Toc73435738" w:history="1">
            <w:r w:rsidR="00A94AB4" w:rsidRPr="00C4496D">
              <w:rPr>
                <w:rStyle w:val="Hyperlink"/>
              </w:rPr>
              <w:t>2.3. Ισοζύγιο πληρωμών</w:t>
            </w:r>
            <w:r w:rsidR="00A94AB4">
              <w:rPr>
                <w:webHidden/>
              </w:rPr>
              <w:tab/>
            </w:r>
            <w:r w:rsidR="00A94AB4">
              <w:rPr>
                <w:webHidden/>
              </w:rPr>
              <w:fldChar w:fldCharType="begin"/>
            </w:r>
            <w:r w:rsidR="00A94AB4">
              <w:rPr>
                <w:webHidden/>
              </w:rPr>
              <w:instrText xml:space="preserve"> PAGEREF _Toc73435738 \h </w:instrText>
            </w:r>
            <w:r w:rsidR="00A94AB4">
              <w:rPr>
                <w:webHidden/>
              </w:rPr>
            </w:r>
            <w:r w:rsidR="00A94AB4">
              <w:rPr>
                <w:webHidden/>
              </w:rPr>
              <w:fldChar w:fldCharType="separate"/>
            </w:r>
            <w:r w:rsidR="00CC05A7">
              <w:rPr>
                <w:webHidden/>
              </w:rPr>
              <w:t>27</w:t>
            </w:r>
            <w:r w:rsidR="00A94AB4">
              <w:rPr>
                <w:webHidden/>
              </w:rPr>
              <w:fldChar w:fldCharType="end"/>
            </w:r>
          </w:hyperlink>
        </w:p>
        <w:p w14:paraId="5295C993" w14:textId="61797020" w:rsidR="00A94AB4" w:rsidRDefault="00D5744E">
          <w:pPr>
            <w:pStyle w:val="TOC3"/>
            <w:rPr>
              <w:rFonts w:asciiTheme="minorHAnsi" w:eastAsiaTheme="minorEastAsia" w:hAnsiTheme="minorHAnsi"/>
              <w:i w:val="0"/>
              <w:sz w:val="22"/>
              <w:szCs w:val="22"/>
              <w:lang w:eastAsia="el-GR"/>
            </w:rPr>
          </w:pPr>
          <w:hyperlink w:anchor="_Toc73435739" w:history="1">
            <w:r w:rsidR="00A94AB4" w:rsidRPr="00C4496D">
              <w:rPr>
                <w:rStyle w:val="Hyperlink"/>
              </w:rPr>
              <w:t>2.4. Οικονομική συγκυρία &amp; βιομηχανία</w:t>
            </w:r>
            <w:r w:rsidR="00A94AB4">
              <w:rPr>
                <w:webHidden/>
              </w:rPr>
              <w:tab/>
            </w:r>
            <w:r w:rsidR="00A94AB4">
              <w:rPr>
                <w:webHidden/>
              </w:rPr>
              <w:fldChar w:fldCharType="begin"/>
            </w:r>
            <w:r w:rsidR="00A94AB4">
              <w:rPr>
                <w:webHidden/>
              </w:rPr>
              <w:instrText xml:space="preserve"> PAGEREF _Toc73435739 \h </w:instrText>
            </w:r>
            <w:r w:rsidR="00A94AB4">
              <w:rPr>
                <w:webHidden/>
              </w:rPr>
            </w:r>
            <w:r w:rsidR="00A94AB4">
              <w:rPr>
                <w:webHidden/>
              </w:rPr>
              <w:fldChar w:fldCharType="separate"/>
            </w:r>
            <w:r w:rsidR="00CC05A7">
              <w:rPr>
                <w:webHidden/>
              </w:rPr>
              <w:t>28</w:t>
            </w:r>
            <w:r w:rsidR="00A94AB4">
              <w:rPr>
                <w:webHidden/>
              </w:rPr>
              <w:fldChar w:fldCharType="end"/>
            </w:r>
          </w:hyperlink>
        </w:p>
        <w:p w14:paraId="5762E5B7" w14:textId="50B514E4" w:rsidR="00A94AB4" w:rsidRDefault="00D5744E">
          <w:pPr>
            <w:pStyle w:val="TOC3"/>
            <w:rPr>
              <w:rFonts w:asciiTheme="minorHAnsi" w:eastAsiaTheme="minorEastAsia" w:hAnsiTheme="minorHAnsi"/>
              <w:i w:val="0"/>
              <w:sz w:val="22"/>
              <w:szCs w:val="22"/>
              <w:lang w:eastAsia="el-GR"/>
            </w:rPr>
          </w:pPr>
          <w:hyperlink w:anchor="_Toc73435740" w:history="1">
            <w:r w:rsidR="00A94AB4" w:rsidRPr="00C4496D">
              <w:rPr>
                <w:rStyle w:val="Hyperlink"/>
              </w:rPr>
              <w:t>2.5. Χρηματοπιστωτικός τομέας – καταθέσεις/χορηγήσεις</w:t>
            </w:r>
            <w:r w:rsidR="00A94AB4">
              <w:rPr>
                <w:webHidden/>
              </w:rPr>
              <w:tab/>
            </w:r>
            <w:r w:rsidR="00A94AB4">
              <w:rPr>
                <w:webHidden/>
              </w:rPr>
              <w:fldChar w:fldCharType="begin"/>
            </w:r>
            <w:r w:rsidR="00A94AB4">
              <w:rPr>
                <w:webHidden/>
              </w:rPr>
              <w:instrText xml:space="preserve"> PAGEREF _Toc73435740 \h </w:instrText>
            </w:r>
            <w:r w:rsidR="00A94AB4">
              <w:rPr>
                <w:webHidden/>
              </w:rPr>
            </w:r>
            <w:r w:rsidR="00A94AB4">
              <w:rPr>
                <w:webHidden/>
              </w:rPr>
              <w:fldChar w:fldCharType="separate"/>
            </w:r>
            <w:r w:rsidR="00CC05A7">
              <w:rPr>
                <w:webHidden/>
              </w:rPr>
              <w:t>31</w:t>
            </w:r>
            <w:r w:rsidR="00A94AB4">
              <w:rPr>
                <w:webHidden/>
              </w:rPr>
              <w:fldChar w:fldCharType="end"/>
            </w:r>
          </w:hyperlink>
        </w:p>
        <w:p w14:paraId="08138B1B" w14:textId="70E5ECBA" w:rsidR="00A94AB4" w:rsidRDefault="00D5744E">
          <w:pPr>
            <w:pStyle w:val="TOC2"/>
            <w:rPr>
              <w:rFonts w:asciiTheme="minorHAnsi" w:eastAsiaTheme="minorEastAsia" w:hAnsiTheme="minorHAnsi"/>
              <w:lang w:eastAsia="el-GR"/>
            </w:rPr>
          </w:pPr>
          <w:hyperlink w:anchor="_Toc73435741" w:history="1">
            <w:r w:rsidR="00A94AB4" w:rsidRPr="00C4496D">
              <w:rPr>
                <w:rStyle w:val="Hyperlink"/>
              </w:rPr>
              <w:t>3. Οι μακροοικονομικές προβλέψεις 2021: Μια πρώτη αξιολόγηση</w:t>
            </w:r>
            <w:r w:rsidR="00A94AB4">
              <w:rPr>
                <w:webHidden/>
              </w:rPr>
              <w:tab/>
            </w:r>
            <w:r w:rsidR="00A94AB4">
              <w:rPr>
                <w:webHidden/>
              </w:rPr>
              <w:fldChar w:fldCharType="begin"/>
            </w:r>
            <w:r w:rsidR="00A94AB4">
              <w:rPr>
                <w:webHidden/>
              </w:rPr>
              <w:instrText xml:space="preserve"> PAGEREF _Toc73435741 \h </w:instrText>
            </w:r>
            <w:r w:rsidR="00A94AB4">
              <w:rPr>
                <w:webHidden/>
              </w:rPr>
            </w:r>
            <w:r w:rsidR="00A94AB4">
              <w:rPr>
                <w:webHidden/>
              </w:rPr>
              <w:fldChar w:fldCharType="separate"/>
            </w:r>
            <w:r w:rsidR="00CC05A7">
              <w:rPr>
                <w:webHidden/>
              </w:rPr>
              <w:t>34</w:t>
            </w:r>
            <w:r w:rsidR="00A94AB4">
              <w:rPr>
                <w:webHidden/>
              </w:rPr>
              <w:fldChar w:fldCharType="end"/>
            </w:r>
          </w:hyperlink>
        </w:p>
        <w:p w14:paraId="70CC3451" w14:textId="02ABE393" w:rsidR="00A94AB4" w:rsidRDefault="00D5744E">
          <w:pPr>
            <w:pStyle w:val="TOC3"/>
            <w:rPr>
              <w:rFonts w:asciiTheme="minorHAnsi" w:eastAsiaTheme="minorEastAsia" w:hAnsiTheme="minorHAnsi"/>
              <w:i w:val="0"/>
              <w:sz w:val="22"/>
              <w:szCs w:val="22"/>
              <w:lang w:eastAsia="el-GR"/>
            </w:rPr>
          </w:pPr>
          <w:hyperlink w:anchor="_Toc73435742" w:history="1">
            <w:r w:rsidR="00A94AB4" w:rsidRPr="00C4496D">
              <w:rPr>
                <w:rStyle w:val="Hyperlink"/>
              </w:rPr>
              <w:t>3.1. Προβλέψεις για το ελληνικό ΑΕΠ 2021: Εγχώριοι και διεθνείς φορείς</w:t>
            </w:r>
            <w:r w:rsidR="00A94AB4">
              <w:rPr>
                <w:webHidden/>
              </w:rPr>
              <w:tab/>
            </w:r>
            <w:r w:rsidR="00A94AB4">
              <w:rPr>
                <w:webHidden/>
              </w:rPr>
              <w:fldChar w:fldCharType="begin"/>
            </w:r>
            <w:r w:rsidR="00A94AB4">
              <w:rPr>
                <w:webHidden/>
              </w:rPr>
              <w:instrText xml:space="preserve"> PAGEREF _Toc73435742 \h </w:instrText>
            </w:r>
            <w:r w:rsidR="00A94AB4">
              <w:rPr>
                <w:webHidden/>
              </w:rPr>
            </w:r>
            <w:r w:rsidR="00A94AB4">
              <w:rPr>
                <w:webHidden/>
              </w:rPr>
              <w:fldChar w:fldCharType="separate"/>
            </w:r>
            <w:r w:rsidR="00CC05A7">
              <w:rPr>
                <w:webHidden/>
              </w:rPr>
              <w:t>35</w:t>
            </w:r>
            <w:r w:rsidR="00A94AB4">
              <w:rPr>
                <w:webHidden/>
              </w:rPr>
              <w:fldChar w:fldCharType="end"/>
            </w:r>
          </w:hyperlink>
        </w:p>
        <w:p w14:paraId="64FFF964" w14:textId="795F08A5" w:rsidR="00A94AB4" w:rsidRDefault="00D5744E">
          <w:pPr>
            <w:pStyle w:val="TOC3"/>
            <w:rPr>
              <w:rFonts w:asciiTheme="minorHAnsi" w:eastAsiaTheme="minorEastAsia" w:hAnsiTheme="minorHAnsi"/>
              <w:i w:val="0"/>
              <w:sz w:val="22"/>
              <w:szCs w:val="22"/>
              <w:lang w:eastAsia="el-GR"/>
            </w:rPr>
          </w:pPr>
          <w:hyperlink w:anchor="_Toc73435743" w:history="1">
            <w:r w:rsidR="00A94AB4" w:rsidRPr="00C4496D">
              <w:rPr>
                <w:rStyle w:val="Hyperlink"/>
              </w:rPr>
              <w:t>3.2. Συνιστώσες του ΑΕΠ και μακροοικονομικοί δείκτες της ελληνικής οικονομίας</w:t>
            </w:r>
            <w:r w:rsidR="00A94AB4">
              <w:rPr>
                <w:webHidden/>
              </w:rPr>
              <w:tab/>
            </w:r>
            <w:r w:rsidR="00A94AB4">
              <w:rPr>
                <w:webHidden/>
              </w:rPr>
              <w:fldChar w:fldCharType="begin"/>
            </w:r>
            <w:r w:rsidR="00A94AB4">
              <w:rPr>
                <w:webHidden/>
              </w:rPr>
              <w:instrText xml:space="preserve"> PAGEREF _Toc73435743 \h </w:instrText>
            </w:r>
            <w:r w:rsidR="00A94AB4">
              <w:rPr>
                <w:webHidden/>
              </w:rPr>
            </w:r>
            <w:r w:rsidR="00A94AB4">
              <w:rPr>
                <w:webHidden/>
              </w:rPr>
              <w:fldChar w:fldCharType="separate"/>
            </w:r>
            <w:r w:rsidR="00CC05A7">
              <w:rPr>
                <w:webHidden/>
              </w:rPr>
              <w:t>36</w:t>
            </w:r>
            <w:r w:rsidR="00A94AB4">
              <w:rPr>
                <w:webHidden/>
              </w:rPr>
              <w:fldChar w:fldCharType="end"/>
            </w:r>
          </w:hyperlink>
        </w:p>
        <w:p w14:paraId="4B0F55CE" w14:textId="7C6148C6" w:rsidR="00A94AB4" w:rsidRDefault="00D5744E">
          <w:pPr>
            <w:pStyle w:val="TOC3"/>
            <w:rPr>
              <w:rFonts w:asciiTheme="minorHAnsi" w:eastAsiaTheme="minorEastAsia" w:hAnsiTheme="minorHAnsi"/>
              <w:i w:val="0"/>
              <w:sz w:val="22"/>
              <w:szCs w:val="22"/>
              <w:lang w:eastAsia="el-GR"/>
            </w:rPr>
          </w:pPr>
          <w:hyperlink w:anchor="_Toc73435744" w:history="1">
            <w:r w:rsidR="00A94AB4" w:rsidRPr="00C4496D">
              <w:rPr>
                <w:rStyle w:val="Hyperlink"/>
              </w:rPr>
              <w:t>3.3. Μακροοικονομικές αβεβαιότητες για το 2021</w:t>
            </w:r>
            <w:r w:rsidR="00A94AB4">
              <w:rPr>
                <w:webHidden/>
              </w:rPr>
              <w:tab/>
            </w:r>
            <w:r w:rsidR="00A94AB4">
              <w:rPr>
                <w:webHidden/>
              </w:rPr>
              <w:fldChar w:fldCharType="begin"/>
            </w:r>
            <w:r w:rsidR="00A94AB4">
              <w:rPr>
                <w:webHidden/>
              </w:rPr>
              <w:instrText xml:space="preserve"> PAGEREF _Toc73435744 \h </w:instrText>
            </w:r>
            <w:r w:rsidR="00A94AB4">
              <w:rPr>
                <w:webHidden/>
              </w:rPr>
            </w:r>
            <w:r w:rsidR="00A94AB4">
              <w:rPr>
                <w:webHidden/>
              </w:rPr>
              <w:fldChar w:fldCharType="separate"/>
            </w:r>
            <w:r w:rsidR="00CC05A7">
              <w:rPr>
                <w:webHidden/>
              </w:rPr>
              <w:t>38</w:t>
            </w:r>
            <w:r w:rsidR="00A94AB4">
              <w:rPr>
                <w:webHidden/>
              </w:rPr>
              <w:fldChar w:fldCharType="end"/>
            </w:r>
          </w:hyperlink>
        </w:p>
        <w:p w14:paraId="265BAFEE" w14:textId="005F1CCB" w:rsidR="00A94AB4" w:rsidRDefault="00D5744E" w:rsidP="00A94AB4">
          <w:pPr>
            <w:pStyle w:val="TOC1"/>
            <w:rPr>
              <w:rFonts w:asciiTheme="minorHAnsi" w:eastAsiaTheme="minorEastAsia" w:hAnsiTheme="minorHAnsi" w:cstheme="minorBidi"/>
              <w:b/>
              <w:color w:val="auto"/>
              <w:spacing w:val="0"/>
            </w:rPr>
          </w:pPr>
          <w:hyperlink w:anchor="_Toc73435745" w:history="1">
            <w:r w:rsidR="00A94AB4" w:rsidRPr="00A94AB4">
              <w:rPr>
                <w:rStyle w:val="Hyperlink"/>
                <w:b/>
              </w:rPr>
              <w:t>ΚΕΦΑΛΑΙΟ II: ΔΗΜΟΣΙΟΝΟΜΙΚΕΣ ΕΞΕΛΙΞΕΙΣ</w:t>
            </w:r>
            <w:r w:rsidR="00A94AB4" w:rsidRPr="00A94AB4">
              <w:rPr>
                <w:rStyle w:val="Hyperlink"/>
                <w:b/>
                <w:lang w:val="en-US"/>
              </w:rPr>
              <w:t xml:space="preserve"> 2020 &amp; 2021</w:t>
            </w:r>
            <w:r w:rsidR="00A94AB4">
              <w:rPr>
                <w:webHidden/>
              </w:rPr>
              <w:tab/>
            </w:r>
            <w:r w:rsidR="00A94AB4">
              <w:rPr>
                <w:webHidden/>
              </w:rPr>
              <w:fldChar w:fldCharType="begin"/>
            </w:r>
            <w:r w:rsidR="00A94AB4">
              <w:rPr>
                <w:webHidden/>
              </w:rPr>
              <w:instrText xml:space="preserve"> PAGEREF _Toc73435745 \h </w:instrText>
            </w:r>
            <w:r w:rsidR="00A94AB4">
              <w:rPr>
                <w:webHidden/>
              </w:rPr>
            </w:r>
            <w:r w:rsidR="00A94AB4">
              <w:rPr>
                <w:webHidden/>
              </w:rPr>
              <w:fldChar w:fldCharType="separate"/>
            </w:r>
            <w:r w:rsidR="00CC05A7">
              <w:rPr>
                <w:webHidden/>
              </w:rPr>
              <w:t>40</w:t>
            </w:r>
            <w:r w:rsidR="00A94AB4">
              <w:rPr>
                <w:webHidden/>
              </w:rPr>
              <w:fldChar w:fldCharType="end"/>
            </w:r>
          </w:hyperlink>
        </w:p>
        <w:p w14:paraId="26790D1D" w14:textId="43C45D22" w:rsidR="00A94AB4" w:rsidRDefault="00D5744E">
          <w:pPr>
            <w:pStyle w:val="TOC2"/>
            <w:rPr>
              <w:rFonts w:asciiTheme="minorHAnsi" w:eastAsiaTheme="minorEastAsia" w:hAnsiTheme="minorHAnsi"/>
              <w:lang w:eastAsia="el-GR"/>
            </w:rPr>
          </w:pPr>
          <w:hyperlink w:anchor="_Toc73435746" w:history="1">
            <w:r w:rsidR="00A94AB4" w:rsidRPr="00A94AB4">
              <w:rPr>
                <w:rStyle w:val="Hyperlink"/>
                <w:b/>
              </w:rPr>
              <w:t>1. Δημοσιονομικά αποτελέσματα 2020</w:t>
            </w:r>
            <w:r w:rsidR="00A94AB4">
              <w:rPr>
                <w:webHidden/>
              </w:rPr>
              <w:tab/>
            </w:r>
            <w:r w:rsidR="00A94AB4">
              <w:rPr>
                <w:webHidden/>
              </w:rPr>
              <w:fldChar w:fldCharType="begin"/>
            </w:r>
            <w:r w:rsidR="00A94AB4">
              <w:rPr>
                <w:webHidden/>
              </w:rPr>
              <w:instrText xml:space="preserve"> PAGEREF _Toc73435746 \h </w:instrText>
            </w:r>
            <w:r w:rsidR="00A94AB4">
              <w:rPr>
                <w:webHidden/>
              </w:rPr>
            </w:r>
            <w:r w:rsidR="00A94AB4">
              <w:rPr>
                <w:webHidden/>
              </w:rPr>
              <w:fldChar w:fldCharType="separate"/>
            </w:r>
            <w:r w:rsidR="00CC05A7">
              <w:rPr>
                <w:webHidden/>
              </w:rPr>
              <w:t>40</w:t>
            </w:r>
            <w:r w:rsidR="00A94AB4">
              <w:rPr>
                <w:webHidden/>
              </w:rPr>
              <w:fldChar w:fldCharType="end"/>
            </w:r>
          </w:hyperlink>
        </w:p>
        <w:p w14:paraId="0CF8C83C" w14:textId="2DA85DF6" w:rsidR="00A94AB4" w:rsidRDefault="00D5744E">
          <w:pPr>
            <w:pStyle w:val="TOC3"/>
            <w:rPr>
              <w:rFonts w:asciiTheme="minorHAnsi" w:eastAsiaTheme="minorEastAsia" w:hAnsiTheme="minorHAnsi"/>
              <w:i w:val="0"/>
              <w:sz w:val="22"/>
              <w:szCs w:val="22"/>
              <w:lang w:eastAsia="el-GR"/>
            </w:rPr>
          </w:pPr>
          <w:hyperlink w:anchor="_Toc73435747" w:history="1">
            <w:r w:rsidR="00A94AB4" w:rsidRPr="00C4496D">
              <w:rPr>
                <w:rStyle w:val="Hyperlink"/>
              </w:rPr>
              <w:t>1.1. Αποτελέσματα Γενικής Κυβέρνησης (ΓΚ) 2020 – ταμειακά και σύμφωνα με το Σύστημα ευρωπαϊκών Λογαριασμών (ESA)</w:t>
            </w:r>
            <w:r w:rsidR="00A94AB4">
              <w:rPr>
                <w:webHidden/>
              </w:rPr>
              <w:tab/>
            </w:r>
            <w:r w:rsidR="00A94AB4">
              <w:rPr>
                <w:webHidden/>
              </w:rPr>
              <w:fldChar w:fldCharType="begin"/>
            </w:r>
            <w:r w:rsidR="00A94AB4">
              <w:rPr>
                <w:webHidden/>
              </w:rPr>
              <w:instrText xml:space="preserve"> PAGEREF _Toc73435747 \h </w:instrText>
            </w:r>
            <w:r w:rsidR="00A94AB4">
              <w:rPr>
                <w:webHidden/>
              </w:rPr>
            </w:r>
            <w:r w:rsidR="00A94AB4">
              <w:rPr>
                <w:webHidden/>
              </w:rPr>
              <w:fldChar w:fldCharType="separate"/>
            </w:r>
            <w:r w:rsidR="00CC05A7">
              <w:rPr>
                <w:webHidden/>
              </w:rPr>
              <w:t>41</w:t>
            </w:r>
            <w:r w:rsidR="00A94AB4">
              <w:rPr>
                <w:webHidden/>
              </w:rPr>
              <w:fldChar w:fldCharType="end"/>
            </w:r>
          </w:hyperlink>
        </w:p>
        <w:p w14:paraId="3F267033" w14:textId="65F7651F" w:rsidR="00A94AB4" w:rsidRPr="00A94AB4" w:rsidRDefault="00D5744E" w:rsidP="00A94AB4">
          <w:pPr>
            <w:pStyle w:val="TOC1"/>
            <w:rPr>
              <w:rFonts w:asciiTheme="minorHAnsi" w:eastAsiaTheme="minorEastAsia" w:hAnsiTheme="minorHAnsi" w:cstheme="minorBidi"/>
              <w:color w:val="7F7F7F" w:themeColor="text1" w:themeTint="80"/>
              <w:spacing w:val="0"/>
            </w:rPr>
          </w:pPr>
          <w:hyperlink w:anchor="_Toc73435748" w:history="1">
            <w:r w:rsidR="00A94AB4" w:rsidRPr="00A94AB4">
              <w:rPr>
                <w:rStyle w:val="Hyperlink"/>
                <w:color w:val="7F7F7F" w:themeColor="text1" w:themeTint="80"/>
              </w:rPr>
              <w:t>Ένθετο Ι: H μεθοδολογία για τη «δημοσιονομική λογιστική» και τα πρωτογενή πλεονάσματα</w:t>
            </w:r>
            <w:r w:rsidR="00A94AB4" w:rsidRPr="00A94AB4">
              <w:rPr>
                <w:rStyle w:val="Hyperlink"/>
                <w:b/>
                <w:color w:val="7F7F7F" w:themeColor="text1" w:themeTint="80"/>
              </w:rPr>
              <w:t>.</w:t>
            </w:r>
            <w:r w:rsidR="00A94AB4" w:rsidRPr="00A94AB4">
              <w:rPr>
                <w:webHidden/>
                <w:color w:val="7F7F7F" w:themeColor="text1" w:themeTint="80"/>
              </w:rPr>
              <w:tab/>
            </w:r>
            <w:r w:rsidR="00A94AB4" w:rsidRPr="00A94AB4">
              <w:rPr>
                <w:webHidden/>
                <w:color w:val="7F7F7F" w:themeColor="text1" w:themeTint="80"/>
              </w:rPr>
              <w:fldChar w:fldCharType="begin"/>
            </w:r>
            <w:r w:rsidR="00A94AB4" w:rsidRPr="00A94AB4">
              <w:rPr>
                <w:webHidden/>
                <w:color w:val="7F7F7F" w:themeColor="text1" w:themeTint="80"/>
              </w:rPr>
              <w:instrText xml:space="preserve"> PAGEREF _Toc73435748 \h </w:instrText>
            </w:r>
            <w:r w:rsidR="00A94AB4" w:rsidRPr="00A94AB4">
              <w:rPr>
                <w:webHidden/>
                <w:color w:val="7F7F7F" w:themeColor="text1" w:themeTint="80"/>
              </w:rPr>
            </w:r>
            <w:r w:rsidR="00A94AB4" w:rsidRPr="00A94AB4">
              <w:rPr>
                <w:webHidden/>
                <w:color w:val="7F7F7F" w:themeColor="text1" w:themeTint="80"/>
              </w:rPr>
              <w:fldChar w:fldCharType="separate"/>
            </w:r>
            <w:r w:rsidR="00CC05A7">
              <w:rPr>
                <w:webHidden/>
                <w:color w:val="7F7F7F" w:themeColor="text1" w:themeTint="80"/>
              </w:rPr>
              <w:t>42</w:t>
            </w:r>
            <w:r w:rsidR="00A94AB4" w:rsidRPr="00A94AB4">
              <w:rPr>
                <w:webHidden/>
                <w:color w:val="7F7F7F" w:themeColor="text1" w:themeTint="80"/>
              </w:rPr>
              <w:fldChar w:fldCharType="end"/>
            </w:r>
          </w:hyperlink>
        </w:p>
        <w:p w14:paraId="40AB3C87" w14:textId="1DC3D131" w:rsidR="00A94AB4" w:rsidRDefault="00D5744E">
          <w:pPr>
            <w:pStyle w:val="TOC3"/>
            <w:rPr>
              <w:rFonts w:asciiTheme="minorHAnsi" w:eastAsiaTheme="minorEastAsia" w:hAnsiTheme="minorHAnsi"/>
              <w:i w:val="0"/>
              <w:sz w:val="22"/>
              <w:szCs w:val="22"/>
              <w:lang w:eastAsia="el-GR"/>
            </w:rPr>
          </w:pPr>
          <w:hyperlink w:anchor="_Toc73435749" w:history="1">
            <w:r w:rsidR="00A94AB4" w:rsidRPr="00C4496D">
              <w:rPr>
                <w:rStyle w:val="Hyperlink"/>
              </w:rPr>
              <w:t>1.2. Ταμειακά Αποτελέσματα Κρατικού Προϋπολογισμού (ΚΠ) και λοιπών υποτομέων της ΓΚ για το 2020</w:t>
            </w:r>
            <w:r w:rsidR="00A94AB4">
              <w:rPr>
                <w:webHidden/>
              </w:rPr>
              <w:tab/>
            </w:r>
            <w:r w:rsidR="00A94AB4">
              <w:rPr>
                <w:webHidden/>
              </w:rPr>
              <w:fldChar w:fldCharType="begin"/>
            </w:r>
            <w:r w:rsidR="00A94AB4">
              <w:rPr>
                <w:webHidden/>
              </w:rPr>
              <w:instrText xml:space="preserve"> PAGEREF _Toc73435749 \h </w:instrText>
            </w:r>
            <w:r w:rsidR="00A94AB4">
              <w:rPr>
                <w:webHidden/>
              </w:rPr>
            </w:r>
            <w:r w:rsidR="00A94AB4">
              <w:rPr>
                <w:webHidden/>
              </w:rPr>
              <w:fldChar w:fldCharType="separate"/>
            </w:r>
            <w:r w:rsidR="00CC05A7">
              <w:rPr>
                <w:webHidden/>
              </w:rPr>
              <w:t>45</w:t>
            </w:r>
            <w:r w:rsidR="00A94AB4">
              <w:rPr>
                <w:webHidden/>
              </w:rPr>
              <w:fldChar w:fldCharType="end"/>
            </w:r>
          </w:hyperlink>
        </w:p>
        <w:p w14:paraId="043DE562" w14:textId="4B2A20A9" w:rsidR="00A94AB4" w:rsidRDefault="00D5744E">
          <w:pPr>
            <w:pStyle w:val="TOC2"/>
            <w:rPr>
              <w:rFonts w:asciiTheme="minorHAnsi" w:eastAsiaTheme="minorEastAsia" w:hAnsiTheme="minorHAnsi"/>
              <w:lang w:eastAsia="el-GR"/>
            </w:rPr>
          </w:pPr>
          <w:hyperlink w:anchor="_Toc73435750" w:history="1">
            <w:r w:rsidR="00A94AB4" w:rsidRPr="00A94AB4">
              <w:rPr>
                <w:rStyle w:val="Hyperlink"/>
                <w:b/>
              </w:rPr>
              <w:t>2. Δημοσιονομικές εξελίξεις 2021</w:t>
            </w:r>
            <w:r w:rsidR="00A94AB4">
              <w:rPr>
                <w:webHidden/>
              </w:rPr>
              <w:tab/>
            </w:r>
            <w:r w:rsidR="00A94AB4">
              <w:rPr>
                <w:webHidden/>
              </w:rPr>
              <w:fldChar w:fldCharType="begin"/>
            </w:r>
            <w:r w:rsidR="00A94AB4">
              <w:rPr>
                <w:webHidden/>
              </w:rPr>
              <w:instrText xml:space="preserve"> PAGEREF _Toc73435750 \h </w:instrText>
            </w:r>
            <w:r w:rsidR="00A94AB4">
              <w:rPr>
                <w:webHidden/>
              </w:rPr>
            </w:r>
            <w:r w:rsidR="00A94AB4">
              <w:rPr>
                <w:webHidden/>
              </w:rPr>
              <w:fldChar w:fldCharType="separate"/>
            </w:r>
            <w:r w:rsidR="00CC05A7">
              <w:rPr>
                <w:webHidden/>
              </w:rPr>
              <w:t>52</w:t>
            </w:r>
            <w:r w:rsidR="00A94AB4">
              <w:rPr>
                <w:webHidden/>
              </w:rPr>
              <w:fldChar w:fldCharType="end"/>
            </w:r>
          </w:hyperlink>
        </w:p>
        <w:p w14:paraId="55958803" w14:textId="226070EF" w:rsidR="00A94AB4" w:rsidRDefault="00D5744E">
          <w:pPr>
            <w:pStyle w:val="TOC3"/>
            <w:rPr>
              <w:rFonts w:asciiTheme="minorHAnsi" w:eastAsiaTheme="minorEastAsia" w:hAnsiTheme="minorHAnsi"/>
              <w:i w:val="0"/>
              <w:sz w:val="22"/>
              <w:szCs w:val="22"/>
              <w:lang w:eastAsia="el-GR"/>
            </w:rPr>
          </w:pPr>
          <w:hyperlink w:anchor="_Toc73435751" w:history="1">
            <w:r w:rsidR="00A94AB4" w:rsidRPr="00C4496D">
              <w:rPr>
                <w:rStyle w:val="Hyperlink"/>
              </w:rPr>
              <w:t>2.1. Εκτέλεση Κρατικού Προϋπολογισμού Α’ τριμήνου 2021</w:t>
            </w:r>
            <w:r w:rsidR="00A94AB4">
              <w:rPr>
                <w:webHidden/>
              </w:rPr>
              <w:tab/>
            </w:r>
            <w:r w:rsidR="00A94AB4">
              <w:rPr>
                <w:webHidden/>
              </w:rPr>
              <w:fldChar w:fldCharType="begin"/>
            </w:r>
            <w:r w:rsidR="00A94AB4">
              <w:rPr>
                <w:webHidden/>
              </w:rPr>
              <w:instrText xml:space="preserve"> PAGEREF _Toc73435751 \h </w:instrText>
            </w:r>
            <w:r w:rsidR="00A94AB4">
              <w:rPr>
                <w:webHidden/>
              </w:rPr>
            </w:r>
            <w:r w:rsidR="00A94AB4">
              <w:rPr>
                <w:webHidden/>
              </w:rPr>
              <w:fldChar w:fldCharType="separate"/>
            </w:r>
            <w:r w:rsidR="00CC05A7">
              <w:rPr>
                <w:webHidden/>
              </w:rPr>
              <w:t>53</w:t>
            </w:r>
            <w:r w:rsidR="00A94AB4">
              <w:rPr>
                <w:webHidden/>
              </w:rPr>
              <w:fldChar w:fldCharType="end"/>
            </w:r>
          </w:hyperlink>
        </w:p>
        <w:p w14:paraId="648FC9C2" w14:textId="723C22AC" w:rsidR="00A94AB4" w:rsidRDefault="00D5744E">
          <w:pPr>
            <w:pStyle w:val="TOC3"/>
            <w:rPr>
              <w:rFonts w:asciiTheme="minorHAnsi" w:eastAsiaTheme="minorEastAsia" w:hAnsiTheme="minorHAnsi"/>
              <w:i w:val="0"/>
              <w:sz w:val="22"/>
              <w:szCs w:val="22"/>
              <w:lang w:eastAsia="el-GR"/>
            </w:rPr>
          </w:pPr>
          <w:hyperlink w:anchor="_Toc73435752" w:history="1">
            <w:r w:rsidR="00A94AB4" w:rsidRPr="00C4496D">
              <w:rPr>
                <w:rStyle w:val="Hyperlink"/>
              </w:rPr>
              <w:t>2.2. Εκτέλεση προϋπολογισμού Γενικής Κυβέρνησης Α’ τριμήνου 2021</w:t>
            </w:r>
            <w:r w:rsidR="00A94AB4">
              <w:rPr>
                <w:webHidden/>
              </w:rPr>
              <w:tab/>
            </w:r>
            <w:r w:rsidR="00A94AB4">
              <w:rPr>
                <w:webHidden/>
              </w:rPr>
              <w:fldChar w:fldCharType="begin"/>
            </w:r>
            <w:r w:rsidR="00A94AB4">
              <w:rPr>
                <w:webHidden/>
              </w:rPr>
              <w:instrText xml:space="preserve"> PAGEREF _Toc73435752 \h </w:instrText>
            </w:r>
            <w:r w:rsidR="00A94AB4">
              <w:rPr>
                <w:webHidden/>
              </w:rPr>
            </w:r>
            <w:r w:rsidR="00A94AB4">
              <w:rPr>
                <w:webHidden/>
              </w:rPr>
              <w:fldChar w:fldCharType="separate"/>
            </w:r>
            <w:r w:rsidR="00CC05A7">
              <w:rPr>
                <w:webHidden/>
              </w:rPr>
              <w:t>57</w:t>
            </w:r>
            <w:r w:rsidR="00A94AB4">
              <w:rPr>
                <w:webHidden/>
              </w:rPr>
              <w:fldChar w:fldCharType="end"/>
            </w:r>
          </w:hyperlink>
        </w:p>
        <w:p w14:paraId="7B3BFC2D" w14:textId="2D84969A" w:rsidR="00A94AB4" w:rsidRDefault="00D5744E">
          <w:pPr>
            <w:pStyle w:val="TOC2"/>
            <w:rPr>
              <w:rFonts w:asciiTheme="minorHAnsi" w:eastAsiaTheme="minorEastAsia" w:hAnsiTheme="minorHAnsi"/>
              <w:lang w:eastAsia="el-GR"/>
            </w:rPr>
          </w:pPr>
          <w:hyperlink w:anchor="_Toc73435753" w:history="1">
            <w:r w:rsidR="00A94AB4" w:rsidRPr="00A94AB4">
              <w:rPr>
                <w:rStyle w:val="Hyperlink"/>
                <w:b/>
              </w:rPr>
              <w:t>3. Εξέλιξη ληξιπρόθεσμων υποχρεώσεων, απαιτήσεων και εγγυήσεων ελληνικού Δημοσίου</w:t>
            </w:r>
            <w:r w:rsidR="00A94AB4">
              <w:rPr>
                <w:webHidden/>
              </w:rPr>
              <w:tab/>
            </w:r>
            <w:r w:rsidR="00A94AB4">
              <w:rPr>
                <w:webHidden/>
              </w:rPr>
              <w:fldChar w:fldCharType="begin"/>
            </w:r>
            <w:r w:rsidR="00A94AB4">
              <w:rPr>
                <w:webHidden/>
              </w:rPr>
              <w:instrText xml:space="preserve"> PAGEREF _Toc73435753 \h </w:instrText>
            </w:r>
            <w:r w:rsidR="00A94AB4">
              <w:rPr>
                <w:webHidden/>
              </w:rPr>
            </w:r>
            <w:r w:rsidR="00A94AB4">
              <w:rPr>
                <w:webHidden/>
              </w:rPr>
              <w:fldChar w:fldCharType="separate"/>
            </w:r>
            <w:r w:rsidR="00CC05A7">
              <w:rPr>
                <w:webHidden/>
              </w:rPr>
              <w:t>59</w:t>
            </w:r>
            <w:r w:rsidR="00A94AB4">
              <w:rPr>
                <w:webHidden/>
              </w:rPr>
              <w:fldChar w:fldCharType="end"/>
            </w:r>
          </w:hyperlink>
        </w:p>
        <w:p w14:paraId="47464F58" w14:textId="51F0E139" w:rsidR="00A94AB4" w:rsidRDefault="00D5744E">
          <w:pPr>
            <w:pStyle w:val="TOC3"/>
            <w:rPr>
              <w:rFonts w:asciiTheme="minorHAnsi" w:eastAsiaTheme="minorEastAsia" w:hAnsiTheme="minorHAnsi"/>
              <w:i w:val="0"/>
              <w:sz w:val="22"/>
              <w:szCs w:val="22"/>
              <w:lang w:eastAsia="el-GR"/>
            </w:rPr>
          </w:pPr>
          <w:hyperlink w:anchor="_Toc73435754" w:history="1">
            <w:r w:rsidR="00A94AB4" w:rsidRPr="00C4496D">
              <w:rPr>
                <w:rStyle w:val="Hyperlink"/>
              </w:rPr>
              <w:t>3.1. Ληξιπρόθεσμες υποχρεώσεις Γενικής Κυβέρνησης</w:t>
            </w:r>
            <w:r w:rsidR="00A94AB4">
              <w:rPr>
                <w:webHidden/>
              </w:rPr>
              <w:tab/>
            </w:r>
            <w:r w:rsidR="00A94AB4">
              <w:rPr>
                <w:webHidden/>
              </w:rPr>
              <w:fldChar w:fldCharType="begin"/>
            </w:r>
            <w:r w:rsidR="00A94AB4">
              <w:rPr>
                <w:webHidden/>
              </w:rPr>
              <w:instrText xml:space="preserve"> PAGEREF _Toc73435754 \h </w:instrText>
            </w:r>
            <w:r w:rsidR="00A94AB4">
              <w:rPr>
                <w:webHidden/>
              </w:rPr>
            </w:r>
            <w:r w:rsidR="00A94AB4">
              <w:rPr>
                <w:webHidden/>
              </w:rPr>
              <w:fldChar w:fldCharType="separate"/>
            </w:r>
            <w:r w:rsidR="00CC05A7">
              <w:rPr>
                <w:webHidden/>
              </w:rPr>
              <w:t>60</w:t>
            </w:r>
            <w:r w:rsidR="00A94AB4">
              <w:rPr>
                <w:webHidden/>
              </w:rPr>
              <w:fldChar w:fldCharType="end"/>
            </w:r>
          </w:hyperlink>
        </w:p>
        <w:p w14:paraId="6F5ECCB1" w14:textId="2ABD60DE" w:rsidR="00A94AB4" w:rsidRDefault="00D5744E">
          <w:pPr>
            <w:pStyle w:val="TOC3"/>
            <w:rPr>
              <w:rFonts w:asciiTheme="minorHAnsi" w:eastAsiaTheme="minorEastAsia" w:hAnsiTheme="minorHAnsi"/>
              <w:i w:val="0"/>
              <w:sz w:val="22"/>
              <w:szCs w:val="22"/>
              <w:lang w:eastAsia="el-GR"/>
            </w:rPr>
          </w:pPr>
          <w:hyperlink w:anchor="_Toc73435755" w:history="1">
            <w:r w:rsidR="00A94AB4" w:rsidRPr="00C4496D">
              <w:rPr>
                <w:rStyle w:val="Hyperlink"/>
              </w:rPr>
              <w:t>3.2. Ληξιπρόθεσμες απαιτήσεις Γενικής Κυβέρνησης</w:t>
            </w:r>
            <w:r w:rsidR="00A94AB4">
              <w:rPr>
                <w:webHidden/>
              </w:rPr>
              <w:tab/>
            </w:r>
            <w:r w:rsidR="00A94AB4">
              <w:rPr>
                <w:webHidden/>
              </w:rPr>
              <w:fldChar w:fldCharType="begin"/>
            </w:r>
            <w:r w:rsidR="00A94AB4">
              <w:rPr>
                <w:webHidden/>
              </w:rPr>
              <w:instrText xml:space="preserve"> PAGEREF _Toc73435755 \h </w:instrText>
            </w:r>
            <w:r w:rsidR="00A94AB4">
              <w:rPr>
                <w:webHidden/>
              </w:rPr>
            </w:r>
            <w:r w:rsidR="00A94AB4">
              <w:rPr>
                <w:webHidden/>
              </w:rPr>
              <w:fldChar w:fldCharType="separate"/>
            </w:r>
            <w:r w:rsidR="00CC05A7">
              <w:rPr>
                <w:webHidden/>
              </w:rPr>
              <w:t>61</w:t>
            </w:r>
            <w:r w:rsidR="00A94AB4">
              <w:rPr>
                <w:webHidden/>
              </w:rPr>
              <w:fldChar w:fldCharType="end"/>
            </w:r>
          </w:hyperlink>
        </w:p>
        <w:p w14:paraId="22DF8775" w14:textId="50B140EB" w:rsidR="00A94AB4" w:rsidRDefault="00D5744E">
          <w:pPr>
            <w:pStyle w:val="TOC3"/>
            <w:rPr>
              <w:rFonts w:asciiTheme="minorHAnsi" w:eastAsiaTheme="minorEastAsia" w:hAnsiTheme="minorHAnsi"/>
              <w:i w:val="0"/>
              <w:sz w:val="22"/>
              <w:szCs w:val="22"/>
              <w:lang w:eastAsia="el-GR"/>
            </w:rPr>
          </w:pPr>
          <w:hyperlink w:anchor="_Toc73435756" w:history="1">
            <w:r w:rsidR="00A94AB4" w:rsidRPr="00C4496D">
              <w:rPr>
                <w:rStyle w:val="Hyperlink"/>
              </w:rPr>
              <w:t>3.3. Εξέλιξη εγγυήσεων του ελληνικού Δημοσίου</w:t>
            </w:r>
            <w:r w:rsidR="00A94AB4">
              <w:rPr>
                <w:webHidden/>
              </w:rPr>
              <w:tab/>
            </w:r>
            <w:r w:rsidR="00A94AB4">
              <w:rPr>
                <w:webHidden/>
              </w:rPr>
              <w:fldChar w:fldCharType="begin"/>
            </w:r>
            <w:r w:rsidR="00A94AB4">
              <w:rPr>
                <w:webHidden/>
              </w:rPr>
              <w:instrText xml:space="preserve"> PAGEREF _Toc73435756 \h </w:instrText>
            </w:r>
            <w:r w:rsidR="00A94AB4">
              <w:rPr>
                <w:webHidden/>
              </w:rPr>
            </w:r>
            <w:r w:rsidR="00A94AB4">
              <w:rPr>
                <w:webHidden/>
              </w:rPr>
              <w:fldChar w:fldCharType="separate"/>
            </w:r>
            <w:r w:rsidR="00CC05A7">
              <w:rPr>
                <w:webHidden/>
              </w:rPr>
              <w:t>62</w:t>
            </w:r>
            <w:r w:rsidR="00A94AB4">
              <w:rPr>
                <w:webHidden/>
              </w:rPr>
              <w:fldChar w:fldCharType="end"/>
            </w:r>
          </w:hyperlink>
        </w:p>
        <w:p w14:paraId="745C4F5E" w14:textId="18425659" w:rsidR="00A94AB4" w:rsidRDefault="00D5744E">
          <w:pPr>
            <w:pStyle w:val="TOC2"/>
            <w:rPr>
              <w:rFonts w:asciiTheme="minorHAnsi" w:eastAsiaTheme="minorEastAsia" w:hAnsiTheme="minorHAnsi"/>
              <w:lang w:eastAsia="el-GR"/>
            </w:rPr>
          </w:pPr>
          <w:hyperlink w:anchor="_Toc73435757" w:history="1">
            <w:r w:rsidR="00A94AB4" w:rsidRPr="00A94AB4">
              <w:rPr>
                <w:rStyle w:val="Hyperlink"/>
                <w:b/>
              </w:rPr>
              <w:t>4. Δημόσιο Χρέος</w:t>
            </w:r>
            <w:r w:rsidR="00A94AB4">
              <w:rPr>
                <w:webHidden/>
              </w:rPr>
              <w:tab/>
            </w:r>
            <w:r w:rsidR="00A94AB4">
              <w:rPr>
                <w:webHidden/>
              </w:rPr>
              <w:fldChar w:fldCharType="begin"/>
            </w:r>
            <w:r w:rsidR="00A94AB4">
              <w:rPr>
                <w:webHidden/>
              </w:rPr>
              <w:instrText xml:space="preserve"> PAGEREF _Toc73435757 \h </w:instrText>
            </w:r>
            <w:r w:rsidR="00A94AB4">
              <w:rPr>
                <w:webHidden/>
              </w:rPr>
            </w:r>
            <w:r w:rsidR="00A94AB4">
              <w:rPr>
                <w:webHidden/>
              </w:rPr>
              <w:fldChar w:fldCharType="separate"/>
            </w:r>
            <w:r w:rsidR="00CC05A7">
              <w:rPr>
                <w:webHidden/>
              </w:rPr>
              <w:t>66</w:t>
            </w:r>
            <w:r w:rsidR="00A94AB4">
              <w:rPr>
                <w:webHidden/>
              </w:rPr>
              <w:fldChar w:fldCharType="end"/>
            </w:r>
          </w:hyperlink>
        </w:p>
        <w:p w14:paraId="145DCE60" w14:textId="032863BE" w:rsidR="00A94AB4" w:rsidRDefault="00D5744E" w:rsidP="00A94AB4">
          <w:pPr>
            <w:pStyle w:val="TOC1"/>
            <w:rPr>
              <w:rFonts w:asciiTheme="minorHAnsi" w:eastAsiaTheme="minorEastAsia" w:hAnsiTheme="minorHAnsi" w:cstheme="minorBidi"/>
              <w:b/>
              <w:color w:val="auto"/>
              <w:spacing w:val="0"/>
            </w:rPr>
          </w:pPr>
          <w:hyperlink w:anchor="_Toc73435758" w:history="1">
            <w:r w:rsidR="00A94AB4" w:rsidRPr="00A94AB4">
              <w:rPr>
                <w:rStyle w:val="Hyperlink"/>
                <w:color w:val="7F7F7F" w:themeColor="text1" w:themeTint="80"/>
              </w:rPr>
              <w:t>Ένθετο Ι</w:t>
            </w:r>
            <w:r w:rsidR="00A94AB4" w:rsidRPr="00A94AB4">
              <w:rPr>
                <w:rStyle w:val="Hyperlink"/>
                <w:color w:val="7F7F7F" w:themeColor="text1" w:themeTint="80"/>
                <w:lang w:val="en-US"/>
              </w:rPr>
              <w:t>I</w:t>
            </w:r>
            <w:r w:rsidR="00A94AB4" w:rsidRPr="00A94AB4">
              <w:rPr>
                <w:rStyle w:val="Hyperlink"/>
                <w:color w:val="7F7F7F" w:themeColor="text1" w:themeTint="80"/>
              </w:rPr>
              <w:t>: Η διαχειρισιμότητα του ελληνικού δημοσίου χρέους</w:t>
            </w:r>
            <w:r w:rsidR="00A94AB4" w:rsidRPr="00A94AB4">
              <w:rPr>
                <w:rStyle w:val="Hyperlink"/>
                <w:b/>
                <w:color w:val="7F7F7F" w:themeColor="text1" w:themeTint="80"/>
              </w:rPr>
              <w:t>.</w:t>
            </w:r>
            <w:r w:rsidR="00A94AB4" w:rsidRPr="00A94AB4">
              <w:rPr>
                <w:webHidden/>
                <w:color w:val="7F7F7F" w:themeColor="text1" w:themeTint="80"/>
              </w:rPr>
              <w:tab/>
            </w:r>
            <w:r w:rsidR="00A94AB4" w:rsidRPr="00A94AB4">
              <w:rPr>
                <w:webHidden/>
                <w:color w:val="7F7F7F" w:themeColor="text1" w:themeTint="80"/>
              </w:rPr>
              <w:fldChar w:fldCharType="begin"/>
            </w:r>
            <w:r w:rsidR="00A94AB4" w:rsidRPr="00A94AB4">
              <w:rPr>
                <w:webHidden/>
                <w:color w:val="7F7F7F" w:themeColor="text1" w:themeTint="80"/>
              </w:rPr>
              <w:instrText xml:space="preserve"> PAGEREF _Toc73435758 \h </w:instrText>
            </w:r>
            <w:r w:rsidR="00A94AB4" w:rsidRPr="00A94AB4">
              <w:rPr>
                <w:webHidden/>
                <w:color w:val="7F7F7F" w:themeColor="text1" w:themeTint="80"/>
              </w:rPr>
            </w:r>
            <w:r w:rsidR="00A94AB4" w:rsidRPr="00A94AB4">
              <w:rPr>
                <w:webHidden/>
                <w:color w:val="7F7F7F" w:themeColor="text1" w:themeTint="80"/>
              </w:rPr>
              <w:fldChar w:fldCharType="separate"/>
            </w:r>
            <w:r w:rsidR="00CC05A7">
              <w:rPr>
                <w:webHidden/>
                <w:color w:val="7F7F7F" w:themeColor="text1" w:themeTint="80"/>
              </w:rPr>
              <w:t>68</w:t>
            </w:r>
            <w:r w:rsidR="00A94AB4" w:rsidRPr="00A94AB4">
              <w:rPr>
                <w:webHidden/>
                <w:color w:val="7F7F7F" w:themeColor="text1" w:themeTint="80"/>
              </w:rPr>
              <w:fldChar w:fldCharType="end"/>
            </w:r>
          </w:hyperlink>
        </w:p>
        <w:p w14:paraId="6DC2EADA" w14:textId="3E2D59E4" w:rsidR="00A94AB4" w:rsidRDefault="00D5744E">
          <w:pPr>
            <w:pStyle w:val="TOC2"/>
            <w:rPr>
              <w:rFonts w:asciiTheme="minorHAnsi" w:eastAsiaTheme="minorEastAsia" w:hAnsiTheme="minorHAnsi"/>
              <w:lang w:eastAsia="el-GR"/>
            </w:rPr>
          </w:pPr>
          <w:hyperlink w:anchor="_Toc73435759" w:history="1">
            <w:r w:rsidR="00A94AB4" w:rsidRPr="00A94AB4">
              <w:rPr>
                <w:rStyle w:val="Hyperlink"/>
                <w:b/>
              </w:rPr>
              <w:t>5. Δημοσιονομικοί στόχοι για το 2021</w:t>
            </w:r>
            <w:r w:rsidR="00A94AB4">
              <w:rPr>
                <w:webHidden/>
              </w:rPr>
              <w:tab/>
            </w:r>
            <w:r w:rsidR="00A94AB4">
              <w:rPr>
                <w:webHidden/>
              </w:rPr>
              <w:fldChar w:fldCharType="begin"/>
            </w:r>
            <w:r w:rsidR="00A94AB4">
              <w:rPr>
                <w:webHidden/>
              </w:rPr>
              <w:instrText xml:space="preserve"> PAGEREF _Toc73435759 \h </w:instrText>
            </w:r>
            <w:r w:rsidR="00A94AB4">
              <w:rPr>
                <w:webHidden/>
              </w:rPr>
            </w:r>
            <w:r w:rsidR="00A94AB4">
              <w:rPr>
                <w:webHidden/>
              </w:rPr>
              <w:fldChar w:fldCharType="separate"/>
            </w:r>
            <w:r w:rsidR="00CC05A7">
              <w:rPr>
                <w:webHidden/>
              </w:rPr>
              <w:t>72</w:t>
            </w:r>
            <w:r w:rsidR="00A94AB4">
              <w:rPr>
                <w:webHidden/>
              </w:rPr>
              <w:fldChar w:fldCharType="end"/>
            </w:r>
          </w:hyperlink>
        </w:p>
        <w:p w14:paraId="69B88CF4" w14:textId="283CD124" w:rsidR="00A94AB4" w:rsidRDefault="00D5744E">
          <w:pPr>
            <w:pStyle w:val="TOC2"/>
            <w:rPr>
              <w:rFonts w:asciiTheme="minorHAnsi" w:eastAsiaTheme="minorEastAsia" w:hAnsiTheme="minorHAnsi"/>
              <w:lang w:eastAsia="el-GR"/>
            </w:rPr>
          </w:pPr>
          <w:hyperlink w:anchor="_Toc73435760" w:history="1">
            <w:r w:rsidR="00A94AB4" w:rsidRPr="00C4496D">
              <w:rPr>
                <w:rStyle w:val="Hyperlink"/>
                <w:i/>
              </w:rPr>
              <w:t>ΠΑΡΑΡΤΗΜΑ Ι: Ο μηχανισμός ανάκαμψης και ανθεκτικότητας (</w:t>
            </w:r>
            <w:r w:rsidR="00A94AB4" w:rsidRPr="00C4496D">
              <w:rPr>
                <w:rStyle w:val="Hyperlink"/>
                <w:i/>
                <w:lang w:val="en-US"/>
              </w:rPr>
              <w:t>Recovery</w:t>
            </w:r>
            <w:r w:rsidR="00A94AB4" w:rsidRPr="00C4496D">
              <w:rPr>
                <w:rStyle w:val="Hyperlink"/>
                <w:i/>
              </w:rPr>
              <w:t xml:space="preserve"> </w:t>
            </w:r>
            <w:r w:rsidR="00A94AB4" w:rsidRPr="00C4496D">
              <w:rPr>
                <w:rStyle w:val="Hyperlink"/>
                <w:i/>
                <w:lang w:val="en-US"/>
              </w:rPr>
              <w:t>and</w:t>
            </w:r>
            <w:r w:rsidR="00A94AB4" w:rsidRPr="00C4496D">
              <w:rPr>
                <w:rStyle w:val="Hyperlink"/>
                <w:i/>
              </w:rPr>
              <w:t xml:space="preserve"> </w:t>
            </w:r>
            <w:r w:rsidR="00A94AB4" w:rsidRPr="00C4496D">
              <w:rPr>
                <w:rStyle w:val="Hyperlink"/>
                <w:i/>
                <w:lang w:val="en-US"/>
              </w:rPr>
              <w:t>Resilience</w:t>
            </w:r>
            <w:r w:rsidR="00A94AB4" w:rsidRPr="00C4496D">
              <w:rPr>
                <w:rStyle w:val="Hyperlink"/>
                <w:i/>
              </w:rPr>
              <w:t xml:space="preserve"> </w:t>
            </w:r>
            <w:r w:rsidR="00A94AB4" w:rsidRPr="00C4496D">
              <w:rPr>
                <w:rStyle w:val="Hyperlink"/>
                <w:i/>
                <w:lang w:val="en-US"/>
              </w:rPr>
              <w:t>Facility</w:t>
            </w:r>
            <w:r w:rsidR="00A94AB4" w:rsidRPr="00C4496D">
              <w:rPr>
                <w:rStyle w:val="Hyperlink"/>
                <w:i/>
              </w:rPr>
              <w:t>)</w:t>
            </w:r>
            <w:r w:rsidR="00A94AB4">
              <w:rPr>
                <w:webHidden/>
              </w:rPr>
              <w:tab/>
            </w:r>
            <w:r w:rsidR="00A94AB4">
              <w:rPr>
                <w:webHidden/>
              </w:rPr>
              <w:fldChar w:fldCharType="begin"/>
            </w:r>
            <w:r w:rsidR="00A94AB4">
              <w:rPr>
                <w:webHidden/>
              </w:rPr>
              <w:instrText xml:space="preserve"> PAGEREF _Toc73435760 \h </w:instrText>
            </w:r>
            <w:r w:rsidR="00A94AB4">
              <w:rPr>
                <w:webHidden/>
              </w:rPr>
            </w:r>
            <w:r w:rsidR="00A94AB4">
              <w:rPr>
                <w:webHidden/>
              </w:rPr>
              <w:fldChar w:fldCharType="separate"/>
            </w:r>
            <w:r w:rsidR="00CC05A7">
              <w:rPr>
                <w:webHidden/>
              </w:rPr>
              <w:t>74</w:t>
            </w:r>
            <w:r w:rsidR="00A94AB4">
              <w:rPr>
                <w:webHidden/>
              </w:rPr>
              <w:fldChar w:fldCharType="end"/>
            </w:r>
          </w:hyperlink>
        </w:p>
        <w:p w14:paraId="68044BDF" w14:textId="10B04377" w:rsidR="00A94AB4" w:rsidRDefault="00D5744E">
          <w:pPr>
            <w:pStyle w:val="TOC2"/>
            <w:rPr>
              <w:rFonts w:asciiTheme="minorHAnsi" w:eastAsiaTheme="minorEastAsia" w:hAnsiTheme="minorHAnsi"/>
              <w:lang w:eastAsia="el-GR"/>
            </w:rPr>
          </w:pPr>
          <w:hyperlink w:anchor="_Toc73435761" w:history="1">
            <w:r w:rsidR="00A94AB4" w:rsidRPr="00C4496D">
              <w:rPr>
                <w:rStyle w:val="Hyperlink"/>
                <w:i/>
              </w:rPr>
              <w:t>ΠΑΡΑΡΤΗΜΑ ΙΙ: Δημοσιονομικά μέτρα 2021</w:t>
            </w:r>
            <w:r w:rsidR="00A94AB4">
              <w:rPr>
                <w:webHidden/>
              </w:rPr>
              <w:tab/>
            </w:r>
            <w:r w:rsidR="00A94AB4">
              <w:rPr>
                <w:webHidden/>
              </w:rPr>
              <w:fldChar w:fldCharType="begin"/>
            </w:r>
            <w:r w:rsidR="00A94AB4">
              <w:rPr>
                <w:webHidden/>
              </w:rPr>
              <w:instrText xml:space="preserve"> PAGEREF _Toc73435761 \h </w:instrText>
            </w:r>
            <w:r w:rsidR="00A94AB4">
              <w:rPr>
                <w:webHidden/>
              </w:rPr>
            </w:r>
            <w:r w:rsidR="00A94AB4">
              <w:rPr>
                <w:webHidden/>
              </w:rPr>
              <w:fldChar w:fldCharType="separate"/>
            </w:r>
            <w:r w:rsidR="00CC05A7">
              <w:rPr>
                <w:webHidden/>
              </w:rPr>
              <w:t>78</w:t>
            </w:r>
            <w:r w:rsidR="00A94AB4">
              <w:rPr>
                <w:webHidden/>
              </w:rPr>
              <w:fldChar w:fldCharType="end"/>
            </w:r>
          </w:hyperlink>
        </w:p>
        <w:p w14:paraId="098E7AB1" w14:textId="756DF65C" w:rsidR="00247E25" w:rsidRPr="00743A5E" w:rsidRDefault="00247E25" w:rsidP="00A94AB4">
          <w:pPr>
            <w:pStyle w:val="TOC1"/>
          </w:pPr>
          <w:r w:rsidRPr="00910A75">
            <w:fldChar w:fldCharType="end"/>
          </w:r>
        </w:p>
      </w:sdtContent>
    </w:sdt>
    <w:p w14:paraId="4729B852" w14:textId="1D748954" w:rsidR="00247E25" w:rsidRPr="00D37923" w:rsidRDefault="00247E25" w:rsidP="008E5601"/>
    <w:p w14:paraId="6D7C01B9" w14:textId="7751254E" w:rsidR="00C233BE" w:rsidRDefault="00C233BE">
      <w:pPr>
        <w:spacing w:after="160" w:line="0" w:lineRule="auto"/>
        <w:jc w:val="left"/>
      </w:pPr>
      <w:r>
        <w:br w:type="page"/>
      </w:r>
    </w:p>
    <w:p w14:paraId="1FEE2F87" w14:textId="342C3170" w:rsidR="00D365BB" w:rsidRPr="00EB7AF8" w:rsidRDefault="008D2932" w:rsidP="008E5601">
      <w:pPr>
        <w:rPr>
          <w:b/>
          <w:color w:val="00A3E0"/>
          <w:sz w:val="28"/>
          <w:szCs w:val="28"/>
        </w:rPr>
      </w:pPr>
      <w:r w:rsidRPr="00EB7AF8">
        <w:rPr>
          <w:b/>
          <w:color w:val="00A3E0"/>
          <w:sz w:val="28"/>
          <w:szCs w:val="28"/>
        </w:rPr>
        <w:t>Ευρετήριο Πινάκων</w:t>
      </w:r>
    </w:p>
    <w:p w14:paraId="3DB0D3A3" w14:textId="34EC4434" w:rsidR="00A94AB4" w:rsidRDefault="00D365BB">
      <w:pPr>
        <w:pStyle w:val="TableofFigures"/>
        <w:tabs>
          <w:tab w:val="right" w:leader="dot" w:pos="8302"/>
        </w:tabs>
        <w:rPr>
          <w:rFonts w:asciiTheme="minorHAnsi" w:eastAsiaTheme="minorEastAsia" w:hAnsiTheme="minorHAnsi"/>
          <w:noProof/>
          <w:color w:val="auto"/>
          <w:lang w:eastAsia="el-GR"/>
        </w:rPr>
      </w:pPr>
      <w:r w:rsidRPr="00D0444F">
        <w:rPr>
          <w:i/>
        </w:rPr>
        <w:fldChar w:fldCharType="begin"/>
      </w:r>
      <w:r w:rsidRPr="00D0444F">
        <w:rPr>
          <w:i/>
        </w:rPr>
        <w:instrText xml:space="preserve"> TOC \h \z \c "Πίνακας" </w:instrText>
      </w:r>
      <w:r w:rsidRPr="00D0444F">
        <w:rPr>
          <w:i/>
        </w:rPr>
        <w:fldChar w:fldCharType="separate"/>
      </w:r>
      <w:hyperlink w:anchor="_Toc73435762" w:history="1">
        <w:r w:rsidR="00A94AB4" w:rsidRPr="00A277D8">
          <w:rPr>
            <w:rStyle w:val="Hyperlink"/>
            <w:rFonts w:eastAsia="Calibri" w:cs="Times New Roman"/>
            <w:iCs/>
            <w:noProof/>
          </w:rPr>
          <w:t>Πίνακας 1:</w:t>
        </w:r>
        <w:r w:rsidR="00A94AB4" w:rsidRPr="00A277D8">
          <w:rPr>
            <w:rStyle w:val="Hyperlink"/>
            <w:rFonts w:cstheme="minorHAnsi"/>
            <w:noProof/>
          </w:rPr>
          <w:t xml:space="preserve"> </w:t>
        </w:r>
        <w:r w:rsidR="00A94AB4" w:rsidRPr="00A277D8">
          <w:rPr>
            <w:rStyle w:val="Hyperlink"/>
            <w:rFonts w:eastAsia="Calibri"/>
            <w:iCs/>
            <w:noProof/>
          </w:rPr>
          <w:t xml:space="preserve"> </w:t>
        </w:r>
        <w:r w:rsidR="00A94AB4" w:rsidRPr="00A277D8">
          <w:rPr>
            <w:rStyle w:val="Hyperlink"/>
            <w:noProof/>
          </w:rPr>
          <w:t>Εισαγωγές και εξαγωγές αγαθών και υπηρεσιών (σε εκατ. ευρώ)</w:t>
        </w:r>
        <w:r w:rsidR="00A94AB4">
          <w:rPr>
            <w:noProof/>
            <w:webHidden/>
          </w:rPr>
          <w:tab/>
        </w:r>
        <w:r w:rsidR="00A94AB4">
          <w:rPr>
            <w:noProof/>
            <w:webHidden/>
          </w:rPr>
          <w:fldChar w:fldCharType="begin"/>
        </w:r>
        <w:r w:rsidR="00A94AB4">
          <w:rPr>
            <w:noProof/>
            <w:webHidden/>
          </w:rPr>
          <w:instrText xml:space="preserve"> PAGEREF _Toc73435762 \h </w:instrText>
        </w:r>
        <w:r w:rsidR="00A94AB4">
          <w:rPr>
            <w:noProof/>
            <w:webHidden/>
          </w:rPr>
        </w:r>
        <w:r w:rsidR="00A94AB4">
          <w:rPr>
            <w:noProof/>
            <w:webHidden/>
          </w:rPr>
          <w:fldChar w:fldCharType="separate"/>
        </w:r>
        <w:r w:rsidR="00CC05A7">
          <w:rPr>
            <w:noProof/>
            <w:webHidden/>
          </w:rPr>
          <w:t>11</w:t>
        </w:r>
        <w:r w:rsidR="00A94AB4">
          <w:rPr>
            <w:noProof/>
            <w:webHidden/>
          </w:rPr>
          <w:fldChar w:fldCharType="end"/>
        </w:r>
      </w:hyperlink>
    </w:p>
    <w:p w14:paraId="43B3E570" w14:textId="3A3FC966" w:rsidR="00A94AB4" w:rsidRDefault="00D5744E">
      <w:pPr>
        <w:pStyle w:val="TableofFigures"/>
        <w:tabs>
          <w:tab w:val="right" w:leader="dot" w:pos="8302"/>
        </w:tabs>
        <w:rPr>
          <w:rFonts w:asciiTheme="minorHAnsi" w:eastAsiaTheme="minorEastAsia" w:hAnsiTheme="minorHAnsi"/>
          <w:noProof/>
          <w:color w:val="auto"/>
          <w:lang w:eastAsia="el-GR"/>
        </w:rPr>
      </w:pPr>
      <w:hyperlink w:anchor="_Toc73435763" w:history="1">
        <w:r w:rsidR="00A94AB4" w:rsidRPr="00A277D8">
          <w:rPr>
            <w:rStyle w:val="Hyperlink"/>
            <w:rFonts w:eastAsia="Calibri" w:cs="Times New Roman"/>
            <w:iCs/>
            <w:noProof/>
          </w:rPr>
          <w:t>Πίνακας 2:</w:t>
        </w:r>
        <w:r w:rsidR="00A94AB4" w:rsidRPr="00A277D8">
          <w:rPr>
            <w:rStyle w:val="Hyperlink"/>
            <w:rFonts w:cstheme="minorHAnsi"/>
            <w:noProof/>
          </w:rPr>
          <w:t xml:space="preserve"> </w:t>
        </w:r>
        <w:r w:rsidR="00A94AB4" w:rsidRPr="00A277D8">
          <w:rPr>
            <w:rStyle w:val="Hyperlink"/>
            <w:rFonts w:eastAsia="Calibri"/>
            <w:iCs/>
            <w:noProof/>
          </w:rPr>
          <w:t xml:space="preserve"> </w:t>
        </w:r>
        <w:r w:rsidR="00A94AB4" w:rsidRPr="00A277D8">
          <w:rPr>
            <w:rStyle w:val="Hyperlink"/>
            <w:rFonts w:eastAsia="Calibri" w:cs="Times New Roman"/>
            <w:iCs/>
            <w:noProof/>
          </w:rPr>
          <w:t>Ακαθάριστος σχηματισμός  παγίου κεφαλαίου ανά κατηγορία (2020)</w:t>
        </w:r>
        <w:r w:rsidR="00A94AB4">
          <w:rPr>
            <w:noProof/>
            <w:webHidden/>
          </w:rPr>
          <w:tab/>
        </w:r>
        <w:r w:rsidR="00A94AB4">
          <w:rPr>
            <w:noProof/>
            <w:webHidden/>
          </w:rPr>
          <w:fldChar w:fldCharType="begin"/>
        </w:r>
        <w:r w:rsidR="00A94AB4">
          <w:rPr>
            <w:noProof/>
            <w:webHidden/>
          </w:rPr>
          <w:instrText xml:space="preserve"> PAGEREF _Toc73435763 \h </w:instrText>
        </w:r>
        <w:r w:rsidR="00A94AB4">
          <w:rPr>
            <w:noProof/>
            <w:webHidden/>
          </w:rPr>
        </w:r>
        <w:r w:rsidR="00A94AB4">
          <w:rPr>
            <w:noProof/>
            <w:webHidden/>
          </w:rPr>
          <w:fldChar w:fldCharType="separate"/>
        </w:r>
        <w:r w:rsidR="00CC05A7">
          <w:rPr>
            <w:noProof/>
            <w:webHidden/>
          </w:rPr>
          <w:t>12</w:t>
        </w:r>
        <w:r w:rsidR="00A94AB4">
          <w:rPr>
            <w:noProof/>
            <w:webHidden/>
          </w:rPr>
          <w:fldChar w:fldCharType="end"/>
        </w:r>
      </w:hyperlink>
    </w:p>
    <w:p w14:paraId="6775CFA1" w14:textId="6AF618FC" w:rsidR="00A94AB4" w:rsidRDefault="00D5744E">
      <w:pPr>
        <w:pStyle w:val="TableofFigures"/>
        <w:tabs>
          <w:tab w:val="right" w:leader="dot" w:pos="8302"/>
        </w:tabs>
        <w:rPr>
          <w:rFonts w:asciiTheme="minorHAnsi" w:eastAsiaTheme="minorEastAsia" w:hAnsiTheme="minorHAnsi"/>
          <w:noProof/>
          <w:color w:val="auto"/>
          <w:lang w:eastAsia="el-GR"/>
        </w:rPr>
      </w:pPr>
      <w:hyperlink w:anchor="_Toc73435764" w:history="1">
        <w:r w:rsidR="00A94AB4" w:rsidRPr="00A277D8">
          <w:rPr>
            <w:rStyle w:val="Hyperlink"/>
            <w:rFonts w:eastAsia="Calibri" w:cs="Times New Roman"/>
            <w:iCs/>
            <w:noProof/>
          </w:rPr>
          <w:t>Πίνακας 3:</w:t>
        </w:r>
        <w:r w:rsidR="00A94AB4" w:rsidRPr="00A277D8">
          <w:rPr>
            <w:rStyle w:val="Hyperlink"/>
            <w:rFonts w:cstheme="minorHAnsi"/>
            <w:noProof/>
          </w:rPr>
          <w:t xml:space="preserve"> </w:t>
        </w:r>
        <w:r w:rsidR="00A94AB4" w:rsidRPr="00A277D8">
          <w:rPr>
            <w:rStyle w:val="Hyperlink"/>
            <w:rFonts w:eastAsia="Calibri"/>
            <w:iCs/>
            <w:noProof/>
          </w:rPr>
          <w:t xml:space="preserve"> </w:t>
        </w:r>
        <w:r w:rsidR="00A94AB4" w:rsidRPr="00A277D8">
          <w:rPr>
            <w:rStyle w:val="Hyperlink"/>
            <w:rFonts w:eastAsia="Calibri" w:cs="Times New Roman"/>
            <w:iCs/>
            <w:noProof/>
          </w:rPr>
          <w:t>Αριθμός εργαζομένων (σε χιλ.) ανά είδος απασχόλησης (πλήρης/μερική)</w:t>
        </w:r>
        <w:r w:rsidR="00A94AB4">
          <w:rPr>
            <w:noProof/>
            <w:webHidden/>
          </w:rPr>
          <w:tab/>
        </w:r>
        <w:r w:rsidR="00A94AB4">
          <w:rPr>
            <w:noProof/>
            <w:webHidden/>
          </w:rPr>
          <w:fldChar w:fldCharType="begin"/>
        </w:r>
        <w:r w:rsidR="00A94AB4">
          <w:rPr>
            <w:noProof/>
            <w:webHidden/>
          </w:rPr>
          <w:instrText xml:space="preserve"> PAGEREF _Toc73435764 \h </w:instrText>
        </w:r>
        <w:r w:rsidR="00A94AB4">
          <w:rPr>
            <w:noProof/>
            <w:webHidden/>
          </w:rPr>
        </w:r>
        <w:r w:rsidR="00A94AB4">
          <w:rPr>
            <w:noProof/>
            <w:webHidden/>
          </w:rPr>
          <w:fldChar w:fldCharType="separate"/>
        </w:r>
        <w:r w:rsidR="00CC05A7">
          <w:rPr>
            <w:noProof/>
            <w:webHidden/>
          </w:rPr>
          <w:t>17</w:t>
        </w:r>
        <w:r w:rsidR="00A94AB4">
          <w:rPr>
            <w:noProof/>
            <w:webHidden/>
          </w:rPr>
          <w:fldChar w:fldCharType="end"/>
        </w:r>
      </w:hyperlink>
    </w:p>
    <w:p w14:paraId="2DAB3A71" w14:textId="140AF9B6" w:rsidR="00A94AB4" w:rsidRDefault="00D5744E">
      <w:pPr>
        <w:pStyle w:val="TableofFigures"/>
        <w:tabs>
          <w:tab w:val="right" w:leader="dot" w:pos="8302"/>
        </w:tabs>
        <w:rPr>
          <w:rFonts w:asciiTheme="minorHAnsi" w:eastAsiaTheme="minorEastAsia" w:hAnsiTheme="minorHAnsi"/>
          <w:noProof/>
          <w:color w:val="auto"/>
          <w:lang w:eastAsia="el-GR"/>
        </w:rPr>
      </w:pPr>
      <w:hyperlink w:anchor="_Toc73435765" w:history="1">
        <w:r w:rsidR="00A94AB4" w:rsidRPr="00A277D8">
          <w:rPr>
            <w:rStyle w:val="Hyperlink"/>
            <w:rFonts w:eastAsia="Calibri" w:cs="Times New Roman"/>
            <w:iCs/>
            <w:noProof/>
          </w:rPr>
          <w:t>Πίνακας 4:</w:t>
        </w:r>
        <w:r w:rsidR="00A94AB4" w:rsidRPr="00A277D8">
          <w:rPr>
            <w:rStyle w:val="Hyperlink"/>
            <w:rFonts w:cstheme="minorHAnsi"/>
            <w:noProof/>
          </w:rPr>
          <w:t xml:space="preserve"> </w:t>
        </w:r>
        <w:r w:rsidR="00A94AB4" w:rsidRPr="00A277D8">
          <w:rPr>
            <w:rStyle w:val="Hyperlink"/>
            <w:rFonts w:eastAsia="Calibri"/>
            <w:iCs/>
            <w:noProof/>
          </w:rPr>
          <w:t xml:space="preserve"> </w:t>
        </w:r>
        <w:r w:rsidR="00A94AB4" w:rsidRPr="00A277D8">
          <w:rPr>
            <w:rStyle w:val="Hyperlink"/>
            <w:rFonts w:eastAsia="Calibri" w:cs="Times New Roman"/>
            <w:iCs/>
            <w:noProof/>
          </w:rPr>
          <w:t>Αριθμός μακροχρόνια ανέργων (σε χιλ.)</w:t>
        </w:r>
        <w:r w:rsidR="00A94AB4">
          <w:rPr>
            <w:noProof/>
            <w:webHidden/>
          </w:rPr>
          <w:tab/>
        </w:r>
        <w:r w:rsidR="00A94AB4">
          <w:rPr>
            <w:noProof/>
            <w:webHidden/>
          </w:rPr>
          <w:fldChar w:fldCharType="begin"/>
        </w:r>
        <w:r w:rsidR="00A94AB4">
          <w:rPr>
            <w:noProof/>
            <w:webHidden/>
          </w:rPr>
          <w:instrText xml:space="preserve"> PAGEREF _Toc73435765 \h </w:instrText>
        </w:r>
        <w:r w:rsidR="00A94AB4">
          <w:rPr>
            <w:noProof/>
            <w:webHidden/>
          </w:rPr>
        </w:r>
        <w:r w:rsidR="00A94AB4">
          <w:rPr>
            <w:noProof/>
            <w:webHidden/>
          </w:rPr>
          <w:fldChar w:fldCharType="separate"/>
        </w:r>
        <w:r w:rsidR="00CC05A7">
          <w:rPr>
            <w:noProof/>
            <w:webHidden/>
          </w:rPr>
          <w:t>17</w:t>
        </w:r>
        <w:r w:rsidR="00A94AB4">
          <w:rPr>
            <w:noProof/>
            <w:webHidden/>
          </w:rPr>
          <w:fldChar w:fldCharType="end"/>
        </w:r>
      </w:hyperlink>
    </w:p>
    <w:p w14:paraId="1CEDCA8F" w14:textId="0927DFD2" w:rsidR="00A94AB4" w:rsidRDefault="00D5744E">
      <w:pPr>
        <w:pStyle w:val="TableofFigures"/>
        <w:tabs>
          <w:tab w:val="right" w:leader="dot" w:pos="8302"/>
        </w:tabs>
        <w:rPr>
          <w:rFonts w:asciiTheme="minorHAnsi" w:eastAsiaTheme="minorEastAsia" w:hAnsiTheme="minorHAnsi"/>
          <w:noProof/>
          <w:color w:val="auto"/>
          <w:lang w:eastAsia="el-GR"/>
        </w:rPr>
      </w:pPr>
      <w:hyperlink w:anchor="_Toc73435766" w:history="1">
        <w:r w:rsidR="00A94AB4" w:rsidRPr="00A277D8">
          <w:rPr>
            <w:rStyle w:val="Hyperlink"/>
            <w:rFonts w:eastAsia="Calibri" w:cs="Times New Roman"/>
            <w:iCs/>
            <w:noProof/>
          </w:rPr>
          <w:t>Πίνακας 5:</w:t>
        </w:r>
        <w:r w:rsidR="00A94AB4" w:rsidRPr="00A277D8">
          <w:rPr>
            <w:rStyle w:val="Hyperlink"/>
            <w:rFonts w:cstheme="minorHAnsi"/>
            <w:noProof/>
          </w:rPr>
          <w:t xml:space="preserve"> </w:t>
        </w:r>
        <w:r w:rsidR="00A94AB4" w:rsidRPr="00A277D8">
          <w:rPr>
            <w:rStyle w:val="Hyperlink"/>
            <w:rFonts w:eastAsia="Calibri"/>
            <w:iCs/>
            <w:noProof/>
          </w:rPr>
          <w:t xml:space="preserve"> </w:t>
        </w:r>
        <w:r w:rsidR="00A94AB4" w:rsidRPr="00A277D8">
          <w:rPr>
            <w:rStyle w:val="Hyperlink"/>
            <w:rFonts w:eastAsia="Calibri" w:cs="Times New Roman"/>
            <w:iCs/>
            <w:noProof/>
          </w:rPr>
          <w:t>Ισοζύγιο ροών μισθωτής απασχόλησης στον ιδιωτικό τομέα, Φεβρουάριος 2021</w:t>
        </w:r>
        <w:r w:rsidR="00A94AB4">
          <w:rPr>
            <w:noProof/>
            <w:webHidden/>
          </w:rPr>
          <w:tab/>
        </w:r>
        <w:r w:rsidR="00A94AB4">
          <w:rPr>
            <w:noProof/>
            <w:webHidden/>
          </w:rPr>
          <w:fldChar w:fldCharType="begin"/>
        </w:r>
        <w:r w:rsidR="00A94AB4">
          <w:rPr>
            <w:noProof/>
            <w:webHidden/>
          </w:rPr>
          <w:instrText xml:space="preserve"> PAGEREF _Toc73435766 \h </w:instrText>
        </w:r>
        <w:r w:rsidR="00A94AB4">
          <w:rPr>
            <w:noProof/>
            <w:webHidden/>
          </w:rPr>
        </w:r>
        <w:r w:rsidR="00A94AB4">
          <w:rPr>
            <w:noProof/>
            <w:webHidden/>
          </w:rPr>
          <w:fldChar w:fldCharType="separate"/>
        </w:r>
        <w:r w:rsidR="00CC05A7">
          <w:rPr>
            <w:noProof/>
            <w:webHidden/>
          </w:rPr>
          <w:t>27</w:t>
        </w:r>
        <w:r w:rsidR="00A94AB4">
          <w:rPr>
            <w:noProof/>
            <w:webHidden/>
          </w:rPr>
          <w:fldChar w:fldCharType="end"/>
        </w:r>
      </w:hyperlink>
    </w:p>
    <w:p w14:paraId="69808AB1" w14:textId="08E22E61" w:rsidR="00A94AB4" w:rsidRDefault="00D5744E">
      <w:pPr>
        <w:pStyle w:val="TableofFigures"/>
        <w:tabs>
          <w:tab w:val="right" w:leader="dot" w:pos="8302"/>
        </w:tabs>
        <w:rPr>
          <w:rFonts w:asciiTheme="minorHAnsi" w:eastAsiaTheme="minorEastAsia" w:hAnsiTheme="minorHAnsi"/>
          <w:noProof/>
          <w:color w:val="auto"/>
          <w:lang w:eastAsia="el-GR"/>
        </w:rPr>
      </w:pPr>
      <w:hyperlink w:anchor="_Toc73435767" w:history="1">
        <w:r w:rsidR="00A94AB4" w:rsidRPr="00A277D8">
          <w:rPr>
            <w:rStyle w:val="Hyperlink"/>
            <w:rFonts w:eastAsia="Calibri" w:cs="Times New Roman"/>
            <w:iCs/>
            <w:noProof/>
          </w:rPr>
          <w:t>Πίνακας 6:</w:t>
        </w:r>
        <w:r w:rsidR="00A94AB4" w:rsidRPr="00A277D8">
          <w:rPr>
            <w:rStyle w:val="Hyperlink"/>
            <w:rFonts w:cstheme="minorHAnsi"/>
            <w:b/>
            <w:noProof/>
          </w:rPr>
          <w:t xml:space="preserve"> </w:t>
        </w:r>
        <w:r w:rsidR="00A94AB4" w:rsidRPr="00A277D8">
          <w:rPr>
            <w:rStyle w:val="Hyperlink"/>
            <w:rFonts w:eastAsia="Calibri"/>
            <w:iCs/>
            <w:noProof/>
          </w:rPr>
          <w:t xml:space="preserve"> </w:t>
        </w:r>
        <w:r w:rsidR="00A94AB4" w:rsidRPr="00A277D8">
          <w:rPr>
            <w:rStyle w:val="Hyperlink"/>
            <w:rFonts w:eastAsia="Calibri" w:cs="Times New Roman"/>
            <w:noProof/>
          </w:rPr>
          <w:t>Προβλέψεις για τη μεταβολή του ΑΕΠ, σύμφωνα με εγχώριους και διεθνείς φορείς (σταθερές τιμές 2015)</w:t>
        </w:r>
        <w:r w:rsidR="00A94AB4">
          <w:rPr>
            <w:noProof/>
            <w:webHidden/>
          </w:rPr>
          <w:tab/>
        </w:r>
        <w:r w:rsidR="00A94AB4">
          <w:rPr>
            <w:noProof/>
            <w:webHidden/>
          </w:rPr>
          <w:fldChar w:fldCharType="begin"/>
        </w:r>
        <w:r w:rsidR="00A94AB4">
          <w:rPr>
            <w:noProof/>
            <w:webHidden/>
          </w:rPr>
          <w:instrText xml:space="preserve"> PAGEREF _Toc73435767 \h </w:instrText>
        </w:r>
        <w:r w:rsidR="00A94AB4">
          <w:rPr>
            <w:noProof/>
            <w:webHidden/>
          </w:rPr>
        </w:r>
        <w:r w:rsidR="00A94AB4">
          <w:rPr>
            <w:noProof/>
            <w:webHidden/>
          </w:rPr>
          <w:fldChar w:fldCharType="separate"/>
        </w:r>
        <w:r w:rsidR="00CC05A7">
          <w:rPr>
            <w:noProof/>
            <w:webHidden/>
          </w:rPr>
          <w:t>35</w:t>
        </w:r>
        <w:r w:rsidR="00A94AB4">
          <w:rPr>
            <w:noProof/>
            <w:webHidden/>
          </w:rPr>
          <w:fldChar w:fldCharType="end"/>
        </w:r>
      </w:hyperlink>
    </w:p>
    <w:p w14:paraId="035591BB" w14:textId="47C319AB" w:rsidR="00A94AB4" w:rsidRDefault="00D5744E">
      <w:pPr>
        <w:pStyle w:val="TableofFigures"/>
        <w:tabs>
          <w:tab w:val="right" w:leader="dot" w:pos="8302"/>
        </w:tabs>
        <w:rPr>
          <w:rFonts w:asciiTheme="minorHAnsi" w:eastAsiaTheme="minorEastAsia" w:hAnsiTheme="minorHAnsi"/>
          <w:noProof/>
          <w:color w:val="auto"/>
          <w:lang w:eastAsia="el-GR"/>
        </w:rPr>
      </w:pPr>
      <w:hyperlink w:anchor="_Toc73435768" w:history="1">
        <w:r w:rsidR="00A94AB4" w:rsidRPr="00A277D8">
          <w:rPr>
            <w:rStyle w:val="Hyperlink"/>
            <w:rFonts w:eastAsia="Calibri" w:cs="Times New Roman"/>
            <w:iCs/>
            <w:noProof/>
          </w:rPr>
          <w:t>Πίνακας 7:</w:t>
        </w:r>
        <w:r w:rsidR="00A94AB4" w:rsidRPr="00A277D8">
          <w:rPr>
            <w:rStyle w:val="Hyperlink"/>
            <w:rFonts w:cstheme="minorHAnsi"/>
            <w:noProof/>
          </w:rPr>
          <w:t xml:space="preserve"> </w:t>
        </w:r>
        <w:r w:rsidR="00A94AB4" w:rsidRPr="00A277D8">
          <w:rPr>
            <w:rStyle w:val="Hyperlink"/>
            <w:rFonts w:eastAsia="Calibri"/>
            <w:iCs/>
            <w:noProof/>
          </w:rPr>
          <w:t xml:space="preserve"> </w:t>
        </w:r>
        <w:r w:rsidR="00A94AB4" w:rsidRPr="00A277D8">
          <w:rPr>
            <w:rStyle w:val="Hyperlink"/>
            <w:rFonts w:eastAsia="Calibri" w:cs="Times New Roman"/>
            <w:iCs/>
            <w:noProof/>
          </w:rPr>
          <w:t>Προβλέψεις (2021-2022) για ετήσια μεταβολή των συνιστωσών του ΑΕΠ σε σταθερές τιμές 2015 (%)</w:t>
        </w:r>
        <w:r w:rsidR="00A94AB4">
          <w:rPr>
            <w:noProof/>
            <w:webHidden/>
          </w:rPr>
          <w:tab/>
        </w:r>
        <w:r w:rsidR="00A94AB4">
          <w:rPr>
            <w:noProof/>
            <w:webHidden/>
          </w:rPr>
          <w:fldChar w:fldCharType="begin"/>
        </w:r>
        <w:r w:rsidR="00A94AB4">
          <w:rPr>
            <w:noProof/>
            <w:webHidden/>
          </w:rPr>
          <w:instrText xml:space="preserve"> PAGEREF _Toc73435768 \h </w:instrText>
        </w:r>
        <w:r w:rsidR="00A94AB4">
          <w:rPr>
            <w:noProof/>
            <w:webHidden/>
          </w:rPr>
        </w:r>
        <w:r w:rsidR="00A94AB4">
          <w:rPr>
            <w:noProof/>
            <w:webHidden/>
          </w:rPr>
          <w:fldChar w:fldCharType="separate"/>
        </w:r>
        <w:r w:rsidR="00CC05A7">
          <w:rPr>
            <w:noProof/>
            <w:webHidden/>
          </w:rPr>
          <w:t>36</w:t>
        </w:r>
        <w:r w:rsidR="00A94AB4">
          <w:rPr>
            <w:noProof/>
            <w:webHidden/>
          </w:rPr>
          <w:fldChar w:fldCharType="end"/>
        </w:r>
      </w:hyperlink>
    </w:p>
    <w:p w14:paraId="04C455DB" w14:textId="368607E3" w:rsidR="00A94AB4" w:rsidRDefault="00D5744E">
      <w:pPr>
        <w:pStyle w:val="TableofFigures"/>
        <w:tabs>
          <w:tab w:val="right" w:leader="dot" w:pos="8302"/>
        </w:tabs>
        <w:rPr>
          <w:rFonts w:asciiTheme="minorHAnsi" w:eastAsiaTheme="minorEastAsia" w:hAnsiTheme="minorHAnsi"/>
          <w:noProof/>
          <w:color w:val="auto"/>
          <w:lang w:eastAsia="el-GR"/>
        </w:rPr>
      </w:pPr>
      <w:hyperlink w:anchor="_Toc73435769" w:history="1">
        <w:r w:rsidR="00A94AB4" w:rsidRPr="00A277D8">
          <w:rPr>
            <w:rStyle w:val="Hyperlink"/>
            <w:rFonts w:eastAsia="Calibri" w:cs="Times New Roman"/>
            <w:iCs/>
            <w:noProof/>
          </w:rPr>
          <w:t>Πίνακας 8:</w:t>
        </w:r>
        <w:r w:rsidR="00A94AB4" w:rsidRPr="00A277D8">
          <w:rPr>
            <w:rStyle w:val="Hyperlink"/>
            <w:rFonts w:cstheme="minorHAnsi"/>
            <w:noProof/>
          </w:rPr>
          <w:t xml:space="preserve"> </w:t>
        </w:r>
        <w:r w:rsidR="00A94AB4" w:rsidRPr="00A277D8">
          <w:rPr>
            <w:rStyle w:val="Hyperlink"/>
            <w:rFonts w:eastAsia="Calibri"/>
            <w:iCs/>
            <w:noProof/>
          </w:rPr>
          <w:t xml:space="preserve"> </w:t>
        </w:r>
        <w:r w:rsidR="00A94AB4" w:rsidRPr="00A277D8">
          <w:rPr>
            <w:rStyle w:val="Hyperlink"/>
            <w:noProof/>
          </w:rPr>
          <w:t>Δείκτες της ελληνικής οικονομίας</w:t>
        </w:r>
        <w:r w:rsidR="00A94AB4">
          <w:rPr>
            <w:noProof/>
            <w:webHidden/>
          </w:rPr>
          <w:tab/>
        </w:r>
        <w:r w:rsidR="00A94AB4">
          <w:rPr>
            <w:noProof/>
            <w:webHidden/>
          </w:rPr>
          <w:fldChar w:fldCharType="begin"/>
        </w:r>
        <w:r w:rsidR="00A94AB4">
          <w:rPr>
            <w:noProof/>
            <w:webHidden/>
          </w:rPr>
          <w:instrText xml:space="preserve"> PAGEREF _Toc73435769 \h </w:instrText>
        </w:r>
        <w:r w:rsidR="00A94AB4">
          <w:rPr>
            <w:noProof/>
            <w:webHidden/>
          </w:rPr>
        </w:r>
        <w:r w:rsidR="00A94AB4">
          <w:rPr>
            <w:noProof/>
            <w:webHidden/>
          </w:rPr>
          <w:fldChar w:fldCharType="separate"/>
        </w:r>
        <w:r w:rsidR="00CC05A7">
          <w:rPr>
            <w:noProof/>
            <w:webHidden/>
          </w:rPr>
          <w:t>37</w:t>
        </w:r>
        <w:r w:rsidR="00A94AB4">
          <w:rPr>
            <w:noProof/>
            <w:webHidden/>
          </w:rPr>
          <w:fldChar w:fldCharType="end"/>
        </w:r>
      </w:hyperlink>
    </w:p>
    <w:p w14:paraId="7B1E5865" w14:textId="67BF51F1" w:rsidR="00A94AB4" w:rsidRDefault="00D5744E">
      <w:pPr>
        <w:pStyle w:val="TableofFigures"/>
        <w:tabs>
          <w:tab w:val="right" w:leader="dot" w:pos="8302"/>
        </w:tabs>
        <w:rPr>
          <w:rFonts w:asciiTheme="minorHAnsi" w:eastAsiaTheme="minorEastAsia" w:hAnsiTheme="minorHAnsi"/>
          <w:noProof/>
          <w:color w:val="auto"/>
          <w:lang w:eastAsia="el-GR"/>
        </w:rPr>
      </w:pPr>
      <w:hyperlink w:anchor="_Toc73435770" w:history="1">
        <w:r w:rsidR="00A94AB4" w:rsidRPr="00A277D8">
          <w:rPr>
            <w:rStyle w:val="Hyperlink"/>
            <w:noProof/>
          </w:rPr>
          <w:t>Πίνακας 9:</w:t>
        </w:r>
        <w:r w:rsidR="00A94AB4" w:rsidRPr="00A277D8">
          <w:rPr>
            <w:rStyle w:val="Hyperlink"/>
            <w:iCs/>
            <w:noProof/>
          </w:rPr>
          <w:t xml:space="preserve"> </w:t>
        </w:r>
        <w:r w:rsidR="00A94AB4" w:rsidRPr="00A277D8">
          <w:rPr>
            <w:rStyle w:val="Hyperlink"/>
            <w:noProof/>
          </w:rPr>
          <w:t>Έσοδα, δαπάνες, καθαρή απόκτηση χρημ/κών περιουσιακών στοιχείων και ισοζύγιο Γενικής Κυβέρνησης, 2020, σε ταμειακή βάση.</w:t>
        </w:r>
        <w:r w:rsidR="00A94AB4">
          <w:rPr>
            <w:noProof/>
            <w:webHidden/>
          </w:rPr>
          <w:tab/>
        </w:r>
        <w:r w:rsidR="00A94AB4">
          <w:rPr>
            <w:noProof/>
            <w:webHidden/>
          </w:rPr>
          <w:fldChar w:fldCharType="begin"/>
        </w:r>
        <w:r w:rsidR="00A94AB4">
          <w:rPr>
            <w:noProof/>
            <w:webHidden/>
          </w:rPr>
          <w:instrText xml:space="preserve"> PAGEREF _Toc73435770 \h </w:instrText>
        </w:r>
        <w:r w:rsidR="00A94AB4">
          <w:rPr>
            <w:noProof/>
            <w:webHidden/>
          </w:rPr>
        </w:r>
        <w:r w:rsidR="00A94AB4">
          <w:rPr>
            <w:noProof/>
            <w:webHidden/>
          </w:rPr>
          <w:fldChar w:fldCharType="separate"/>
        </w:r>
        <w:r w:rsidR="00CC05A7">
          <w:rPr>
            <w:noProof/>
            <w:webHidden/>
          </w:rPr>
          <w:t>41</w:t>
        </w:r>
        <w:r w:rsidR="00A94AB4">
          <w:rPr>
            <w:noProof/>
            <w:webHidden/>
          </w:rPr>
          <w:fldChar w:fldCharType="end"/>
        </w:r>
      </w:hyperlink>
    </w:p>
    <w:p w14:paraId="5632107A" w14:textId="675336CE" w:rsidR="00A94AB4" w:rsidRDefault="00D5744E">
      <w:pPr>
        <w:pStyle w:val="TableofFigures"/>
        <w:tabs>
          <w:tab w:val="right" w:leader="dot" w:pos="8302"/>
        </w:tabs>
        <w:rPr>
          <w:rFonts w:asciiTheme="minorHAnsi" w:eastAsiaTheme="minorEastAsia" w:hAnsiTheme="minorHAnsi"/>
          <w:noProof/>
          <w:color w:val="auto"/>
          <w:lang w:eastAsia="el-GR"/>
        </w:rPr>
      </w:pPr>
      <w:hyperlink w:anchor="_Toc73435771" w:history="1">
        <w:r w:rsidR="00A94AB4" w:rsidRPr="00A277D8">
          <w:rPr>
            <w:rStyle w:val="Hyperlink"/>
            <w:noProof/>
          </w:rPr>
          <w:t xml:space="preserve">Πίνακας 10: </w:t>
        </w:r>
        <w:r w:rsidR="00A94AB4" w:rsidRPr="00A277D8">
          <w:rPr>
            <w:rStyle w:val="Hyperlink"/>
            <w:rFonts w:eastAsia="Calibri" w:cs="Times New Roman"/>
            <w:iCs/>
            <w:noProof/>
          </w:rPr>
          <w:t>Δημοσιονομικά στοιχεία Γενικής Κυβέρνησης 2</w:t>
        </w:r>
        <w:r w:rsidR="00CD01C6">
          <w:rPr>
            <w:rStyle w:val="Hyperlink"/>
            <w:rFonts w:eastAsia="Calibri" w:cs="Times New Roman"/>
            <w:iCs/>
            <w:noProof/>
          </w:rPr>
          <w:t xml:space="preserve">016-2020 σε ταμειακή και κατά </w:t>
        </w:r>
        <w:r w:rsidR="00A94AB4" w:rsidRPr="00A277D8">
          <w:rPr>
            <w:rStyle w:val="Hyperlink"/>
            <w:rFonts w:eastAsia="Calibri" w:cs="Times New Roman"/>
            <w:iCs/>
            <w:noProof/>
          </w:rPr>
          <w:t>ESA 2010 βάση (εκατ.ευρώ)</w:t>
        </w:r>
        <w:r w:rsidR="00A94AB4">
          <w:rPr>
            <w:noProof/>
            <w:webHidden/>
          </w:rPr>
          <w:tab/>
        </w:r>
        <w:r w:rsidR="00A94AB4">
          <w:rPr>
            <w:noProof/>
            <w:webHidden/>
          </w:rPr>
          <w:fldChar w:fldCharType="begin"/>
        </w:r>
        <w:r w:rsidR="00A94AB4">
          <w:rPr>
            <w:noProof/>
            <w:webHidden/>
          </w:rPr>
          <w:instrText xml:space="preserve"> PAGEREF _Toc73435771 \h </w:instrText>
        </w:r>
        <w:r w:rsidR="00A94AB4">
          <w:rPr>
            <w:noProof/>
            <w:webHidden/>
          </w:rPr>
        </w:r>
        <w:r w:rsidR="00A94AB4">
          <w:rPr>
            <w:noProof/>
            <w:webHidden/>
          </w:rPr>
          <w:fldChar w:fldCharType="separate"/>
        </w:r>
        <w:r w:rsidR="00CC05A7">
          <w:rPr>
            <w:noProof/>
            <w:webHidden/>
          </w:rPr>
          <w:t>44</w:t>
        </w:r>
        <w:r w:rsidR="00A94AB4">
          <w:rPr>
            <w:noProof/>
            <w:webHidden/>
          </w:rPr>
          <w:fldChar w:fldCharType="end"/>
        </w:r>
      </w:hyperlink>
    </w:p>
    <w:p w14:paraId="59AF06D7" w14:textId="512CF547" w:rsidR="00A94AB4" w:rsidRDefault="00D5744E">
      <w:pPr>
        <w:pStyle w:val="TableofFigures"/>
        <w:tabs>
          <w:tab w:val="right" w:leader="dot" w:pos="8302"/>
        </w:tabs>
        <w:rPr>
          <w:rFonts w:asciiTheme="minorHAnsi" w:eastAsiaTheme="minorEastAsia" w:hAnsiTheme="minorHAnsi"/>
          <w:noProof/>
          <w:color w:val="auto"/>
          <w:lang w:eastAsia="el-GR"/>
        </w:rPr>
      </w:pPr>
      <w:hyperlink w:anchor="_Toc73435772" w:history="1">
        <w:r w:rsidR="00A94AB4" w:rsidRPr="00A277D8">
          <w:rPr>
            <w:rStyle w:val="Hyperlink"/>
            <w:noProof/>
          </w:rPr>
          <w:t xml:space="preserve">Πίνακας 11: </w:t>
        </w:r>
        <w:r w:rsidR="00A94AB4" w:rsidRPr="00A277D8">
          <w:rPr>
            <w:rStyle w:val="Hyperlink"/>
            <w:rFonts w:eastAsia="Calibri" w:cs="Times New Roman"/>
            <w:iCs/>
            <w:noProof/>
          </w:rPr>
          <w:t>Πρωτογενή ελλείμματα 2020</w:t>
        </w:r>
        <w:r w:rsidR="00A94AB4">
          <w:rPr>
            <w:noProof/>
            <w:webHidden/>
          </w:rPr>
          <w:tab/>
        </w:r>
        <w:r w:rsidR="00A94AB4">
          <w:rPr>
            <w:noProof/>
            <w:webHidden/>
          </w:rPr>
          <w:fldChar w:fldCharType="begin"/>
        </w:r>
        <w:r w:rsidR="00A94AB4">
          <w:rPr>
            <w:noProof/>
            <w:webHidden/>
          </w:rPr>
          <w:instrText xml:space="preserve"> PAGEREF _Toc73435772 \h </w:instrText>
        </w:r>
        <w:r w:rsidR="00A94AB4">
          <w:rPr>
            <w:noProof/>
            <w:webHidden/>
          </w:rPr>
        </w:r>
        <w:r w:rsidR="00A94AB4">
          <w:rPr>
            <w:noProof/>
            <w:webHidden/>
          </w:rPr>
          <w:fldChar w:fldCharType="separate"/>
        </w:r>
        <w:r w:rsidR="00CC05A7">
          <w:rPr>
            <w:noProof/>
            <w:webHidden/>
          </w:rPr>
          <w:t>44</w:t>
        </w:r>
        <w:r w:rsidR="00A94AB4">
          <w:rPr>
            <w:noProof/>
            <w:webHidden/>
          </w:rPr>
          <w:fldChar w:fldCharType="end"/>
        </w:r>
      </w:hyperlink>
    </w:p>
    <w:p w14:paraId="2AA63CE0" w14:textId="27466014" w:rsidR="00A94AB4" w:rsidRDefault="00D5744E">
      <w:pPr>
        <w:pStyle w:val="TableofFigures"/>
        <w:tabs>
          <w:tab w:val="right" w:leader="dot" w:pos="8302"/>
        </w:tabs>
        <w:rPr>
          <w:rFonts w:asciiTheme="minorHAnsi" w:eastAsiaTheme="minorEastAsia" w:hAnsiTheme="minorHAnsi"/>
          <w:noProof/>
          <w:color w:val="auto"/>
          <w:lang w:eastAsia="el-GR"/>
        </w:rPr>
      </w:pPr>
      <w:hyperlink w:anchor="_Toc73435773" w:history="1">
        <w:r w:rsidR="00A94AB4" w:rsidRPr="00A277D8">
          <w:rPr>
            <w:rStyle w:val="Hyperlink"/>
            <w:noProof/>
          </w:rPr>
          <w:t>Πίνακας 12:</w:t>
        </w:r>
        <w:r w:rsidR="00A94AB4" w:rsidRPr="00A277D8">
          <w:rPr>
            <w:rStyle w:val="Hyperlink"/>
            <w:iCs/>
            <w:noProof/>
          </w:rPr>
          <w:t xml:space="preserve"> Εκτέλεση Κρατικού Προϋπολογισμού 2019-2020  (εκατ. Ευρώ)</w:t>
        </w:r>
        <w:r w:rsidR="00A94AB4">
          <w:rPr>
            <w:noProof/>
            <w:webHidden/>
          </w:rPr>
          <w:tab/>
        </w:r>
        <w:r w:rsidR="00A94AB4">
          <w:rPr>
            <w:noProof/>
            <w:webHidden/>
          </w:rPr>
          <w:fldChar w:fldCharType="begin"/>
        </w:r>
        <w:r w:rsidR="00A94AB4">
          <w:rPr>
            <w:noProof/>
            <w:webHidden/>
          </w:rPr>
          <w:instrText xml:space="preserve"> PAGEREF _Toc73435773 \h </w:instrText>
        </w:r>
        <w:r w:rsidR="00A94AB4">
          <w:rPr>
            <w:noProof/>
            <w:webHidden/>
          </w:rPr>
        </w:r>
        <w:r w:rsidR="00A94AB4">
          <w:rPr>
            <w:noProof/>
            <w:webHidden/>
          </w:rPr>
          <w:fldChar w:fldCharType="separate"/>
        </w:r>
        <w:r w:rsidR="00CC05A7">
          <w:rPr>
            <w:noProof/>
            <w:webHidden/>
          </w:rPr>
          <w:t>45</w:t>
        </w:r>
        <w:r w:rsidR="00A94AB4">
          <w:rPr>
            <w:noProof/>
            <w:webHidden/>
          </w:rPr>
          <w:fldChar w:fldCharType="end"/>
        </w:r>
      </w:hyperlink>
    </w:p>
    <w:p w14:paraId="467A1DE3" w14:textId="31028255" w:rsidR="00A94AB4" w:rsidRDefault="00D5744E">
      <w:pPr>
        <w:pStyle w:val="TableofFigures"/>
        <w:tabs>
          <w:tab w:val="right" w:leader="dot" w:pos="8302"/>
        </w:tabs>
        <w:rPr>
          <w:rFonts w:asciiTheme="minorHAnsi" w:eastAsiaTheme="minorEastAsia" w:hAnsiTheme="minorHAnsi"/>
          <w:noProof/>
          <w:color w:val="auto"/>
          <w:lang w:eastAsia="el-GR"/>
        </w:rPr>
      </w:pPr>
      <w:hyperlink w:anchor="_Toc73435774" w:history="1">
        <w:r w:rsidR="00A94AB4" w:rsidRPr="00A277D8">
          <w:rPr>
            <w:rStyle w:val="Hyperlink"/>
            <w:noProof/>
          </w:rPr>
          <w:t>Πίνακας 13:</w:t>
        </w:r>
        <w:r w:rsidR="00A94AB4" w:rsidRPr="00A277D8">
          <w:rPr>
            <w:rStyle w:val="Hyperlink"/>
            <w:iCs/>
            <w:noProof/>
          </w:rPr>
          <w:t xml:space="preserve"> Φορολογικά Έσοδα Κρατικού Προϋπολογισμού 2019- 2020 (εκατ. ευρώ)</w:t>
        </w:r>
        <w:r w:rsidR="00A94AB4">
          <w:rPr>
            <w:noProof/>
            <w:webHidden/>
          </w:rPr>
          <w:tab/>
        </w:r>
        <w:r w:rsidR="00A94AB4">
          <w:rPr>
            <w:noProof/>
            <w:webHidden/>
          </w:rPr>
          <w:fldChar w:fldCharType="begin"/>
        </w:r>
        <w:r w:rsidR="00A94AB4">
          <w:rPr>
            <w:noProof/>
            <w:webHidden/>
          </w:rPr>
          <w:instrText xml:space="preserve"> PAGEREF _Toc73435774 \h </w:instrText>
        </w:r>
        <w:r w:rsidR="00A94AB4">
          <w:rPr>
            <w:noProof/>
            <w:webHidden/>
          </w:rPr>
        </w:r>
        <w:r w:rsidR="00A94AB4">
          <w:rPr>
            <w:noProof/>
            <w:webHidden/>
          </w:rPr>
          <w:fldChar w:fldCharType="separate"/>
        </w:r>
        <w:r w:rsidR="00CC05A7">
          <w:rPr>
            <w:noProof/>
            <w:webHidden/>
          </w:rPr>
          <w:t>46</w:t>
        </w:r>
        <w:r w:rsidR="00A94AB4">
          <w:rPr>
            <w:noProof/>
            <w:webHidden/>
          </w:rPr>
          <w:fldChar w:fldCharType="end"/>
        </w:r>
      </w:hyperlink>
    </w:p>
    <w:p w14:paraId="55D9765D" w14:textId="1123061B" w:rsidR="00A94AB4" w:rsidRDefault="00D5744E">
      <w:pPr>
        <w:pStyle w:val="TableofFigures"/>
        <w:tabs>
          <w:tab w:val="right" w:leader="dot" w:pos="8302"/>
        </w:tabs>
        <w:rPr>
          <w:rFonts w:asciiTheme="minorHAnsi" w:eastAsiaTheme="minorEastAsia" w:hAnsiTheme="minorHAnsi"/>
          <w:noProof/>
          <w:color w:val="auto"/>
          <w:lang w:eastAsia="el-GR"/>
        </w:rPr>
      </w:pPr>
      <w:hyperlink w:anchor="_Toc73435775" w:history="1">
        <w:r w:rsidR="00A94AB4" w:rsidRPr="00A277D8">
          <w:rPr>
            <w:rStyle w:val="Hyperlink"/>
            <w:noProof/>
          </w:rPr>
          <w:t>Πίνακας 14:</w:t>
        </w:r>
        <w:r w:rsidR="00A94AB4" w:rsidRPr="00A277D8">
          <w:rPr>
            <w:rStyle w:val="Hyperlink"/>
            <w:iCs/>
            <w:noProof/>
          </w:rPr>
          <w:t xml:space="preserve"> Δαπάνες Κρατικού Προϋπολογισμού περιόδου Ιανουαρίου-Σεπτεμβρίου 2020 (εκατ. ευρώ)</w:t>
        </w:r>
        <w:r w:rsidR="00A94AB4">
          <w:rPr>
            <w:noProof/>
            <w:webHidden/>
          </w:rPr>
          <w:tab/>
        </w:r>
        <w:r w:rsidR="00A94AB4">
          <w:rPr>
            <w:noProof/>
            <w:webHidden/>
          </w:rPr>
          <w:fldChar w:fldCharType="begin"/>
        </w:r>
        <w:r w:rsidR="00A94AB4">
          <w:rPr>
            <w:noProof/>
            <w:webHidden/>
          </w:rPr>
          <w:instrText xml:space="preserve"> PAGEREF _Toc73435775 \h </w:instrText>
        </w:r>
        <w:r w:rsidR="00A94AB4">
          <w:rPr>
            <w:noProof/>
            <w:webHidden/>
          </w:rPr>
        </w:r>
        <w:r w:rsidR="00A94AB4">
          <w:rPr>
            <w:noProof/>
            <w:webHidden/>
          </w:rPr>
          <w:fldChar w:fldCharType="separate"/>
        </w:r>
        <w:r w:rsidR="00CC05A7">
          <w:rPr>
            <w:noProof/>
            <w:webHidden/>
          </w:rPr>
          <w:t>47</w:t>
        </w:r>
        <w:r w:rsidR="00A94AB4">
          <w:rPr>
            <w:noProof/>
            <w:webHidden/>
          </w:rPr>
          <w:fldChar w:fldCharType="end"/>
        </w:r>
      </w:hyperlink>
    </w:p>
    <w:p w14:paraId="129EB304" w14:textId="39E4739E" w:rsidR="00A94AB4" w:rsidRDefault="00D5744E">
      <w:pPr>
        <w:pStyle w:val="TableofFigures"/>
        <w:tabs>
          <w:tab w:val="right" w:leader="dot" w:pos="8302"/>
        </w:tabs>
        <w:rPr>
          <w:rFonts w:asciiTheme="minorHAnsi" w:eastAsiaTheme="minorEastAsia" w:hAnsiTheme="minorHAnsi"/>
          <w:noProof/>
          <w:color w:val="auto"/>
          <w:lang w:eastAsia="el-GR"/>
        </w:rPr>
      </w:pPr>
      <w:hyperlink w:anchor="_Toc73435776" w:history="1">
        <w:r w:rsidR="00A94AB4" w:rsidRPr="00A277D8">
          <w:rPr>
            <w:rStyle w:val="Hyperlink"/>
            <w:noProof/>
          </w:rPr>
          <w:t>Πίνακας 15:</w:t>
        </w:r>
        <w:r w:rsidR="00A94AB4" w:rsidRPr="00A277D8">
          <w:rPr>
            <w:rStyle w:val="Hyperlink"/>
            <w:iCs/>
            <w:noProof/>
          </w:rPr>
          <w:t xml:space="preserve"> Ταμειακά αποτελέσματα 2019-2020 υποτομέων ΓΚ (σε εκατ. ευρώ)</w:t>
        </w:r>
        <w:r w:rsidR="00A94AB4">
          <w:rPr>
            <w:noProof/>
            <w:webHidden/>
          </w:rPr>
          <w:tab/>
        </w:r>
        <w:r w:rsidR="00A94AB4">
          <w:rPr>
            <w:noProof/>
            <w:webHidden/>
          </w:rPr>
          <w:fldChar w:fldCharType="begin"/>
        </w:r>
        <w:r w:rsidR="00A94AB4">
          <w:rPr>
            <w:noProof/>
            <w:webHidden/>
          </w:rPr>
          <w:instrText xml:space="preserve"> PAGEREF _Toc73435776 \h </w:instrText>
        </w:r>
        <w:r w:rsidR="00A94AB4">
          <w:rPr>
            <w:noProof/>
            <w:webHidden/>
          </w:rPr>
        </w:r>
        <w:r w:rsidR="00A94AB4">
          <w:rPr>
            <w:noProof/>
            <w:webHidden/>
          </w:rPr>
          <w:fldChar w:fldCharType="separate"/>
        </w:r>
        <w:r w:rsidR="00CC05A7">
          <w:rPr>
            <w:noProof/>
            <w:webHidden/>
          </w:rPr>
          <w:t>50</w:t>
        </w:r>
        <w:r w:rsidR="00A94AB4">
          <w:rPr>
            <w:noProof/>
            <w:webHidden/>
          </w:rPr>
          <w:fldChar w:fldCharType="end"/>
        </w:r>
      </w:hyperlink>
    </w:p>
    <w:p w14:paraId="6D466323" w14:textId="4E56C412" w:rsidR="00A94AB4" w:rsidRDefault="00D5744E">
      <w:pPr>
        <w:pStyle w:val="TableofFigures"/>
        <w:tabs>
          <w:tab w:val="right" w:leader="dot" w:pos="8302"/>
        </w:tabs>
        <w:rPr>
          <w:rFonts w:asciiTheme="minorHAnsi" w:eastAsiaTheme="minorEastAsia" w:hAnsiTheme="minorHAnsi"/>
          <w:noProof/>
          <w:color w:val="auto"/>
          <w:lang w:eastAsia="el-GR"/>
        </w:rPr>
      </w:pPr>
      <w:hyperlink w:anchor="_Toc73435777" w:history="1">
        <w:r w:rsidR="00A94AB4" w:rsidRPr="00A277D8">
          <w:rPr>
            <w:rStyle w:val="Hyperlink"/>
            <w:noProof/>
          </w:rPr>
          <w:t>Πίνακας 16:</w:t>
        </w:r>
        <w:r w:rsidR="00A94AB4" w:rsidRPr="00A277D8">
          <w:rPr>
            <w:rStyle w:val="Hyperlink"/>
            <w:iCs/>
            <w:noProof/>
          </w:rPr>
          <w:t xml:space="preserve"> Εκτέλεση Κρατικού Προϋπολογισμού Ιανουάριος-Μάρτιος 2021 (εκατ. ευρώ)</w:t>
        </w:r>
        <w:r w:rsidR="00A94AB4">
          <w:rPr>
            <w:noProof/>
            <w:webHidden/>
          </w:rPr>
          <w:tab/>
        </w:r>
        <w:r w:rsidR="00A94AB4">
          <w:rPr>
            <w:noProof/>
            <w:webHidden/>
          </w:rPr>
          <w:fldChar w:fldCharType="begin"/>
        </w:r>
        <w:r w:rsidR="00A94AB4">
          <w:rPr>
            <w:noProof/>
            <w:webHidden/>
          </w:rPr>
          <w:instrText xml:space="preserve"> PAGEREF _Toc73435777 \h </w:instrText>
        </w:r>
        <w:r w:rsidR="00A94AB4">
          <w:rPr>
            <w:noProof/>
            <w:webHidden/>
          </w:rPr>
        </w:r>
        <w:r w:rsidR="00A94AB4">
          <w:rPr>
            <w:noProof/>
            <w:webHidden/>
          </w:rPr>
          <w:fldChar w:fldCharType="separate"/>
        </w:r>
        <w:r w:rsidR="00CC05A7">
          <w:rPr>
            <w:noProof/>
            <w:webHidden/>
          </w:rPr>
          <w:t>53</w:t>
        </w:r>
        <w:r w:rsidR="00A94AB4">
          <w:rPr>
            <w:noProof/>
            <w:webHidden/>
          </w:rPr>
          <w:fldChar w:fldCharType="end"/>
        </w:r>
      </w:hyperlink>
    </w:p>
    <w:p w14:paraId="405628E1" w14:textId="0E7C36F6" w:rsidR="00A94AB4" w:rsidRDefault="00D5744E">
      <w:pPr>
        <w:pStyle w:val="TableofFigures"/>
        <w:tabs>
          <w:tab w:val="right" w:leader="dot" w:pos="8302"/>
        </w:tabs>
        <w:rPr>
          <w:rFonts w:asciiTheme="minorHAnsi" w:eastAsiaTheme="minorEastAsia" w:hAnsiTheme="minorHAnsi"/>
          <w:noProof/>
          <w:color w:val="auto"/>
          <w:lang w:eastAsia="el-GR"/>
        </w:rPr>
      </w:pPr>
      <w:hyperlink w:anchor="_Toc73435778" w:history="1">
        <w:r w:rsidR="00A94AB4" w:rsidRPr="00A277D8">
          <w:rPr>
            <w:rStyle w:val="Hyperlink"/>
            <w:noProof/>
          </w:rPr>
          <w:t>Πίνακας 17:</w:t>
        </w:r>
        <w:r w:rsidR="00A94AB4" w:rsidRPr="00A277D8">
          <w:rPr>
            <w:rStyle w:val="Hyperlink"/>
            <w:iCs/>
            <w:noProof/>
          </w:rPr>
          <w:t xml:space="preserve"> Έσοδα Κρατικού Προ</w:t>
        </w:r>
        <w:r w:rsidR="007311D7">
          <w:rPr>
            <w:rStyle w:val="Hyperlink"/>
            <w:iCs/>
            <w:noProof/>
          </w:rPr>
          <w:t xml:space="preserve">ϋπολογισμού Ιανουάριος-Μάρτιος  </w:t>
        </w:r>
        <w:r w:rsidR="00A94AB4" w:rsidRPr="00A277D8">
          <w:rPr>
            <w:rStyle w:val="Hyperlink"/>
            <w:iCs/>
            <w:noProof/>
          </w:rPr>
          <w:t>2021 (εκατ. ευρώ)</w:t>
        </w:r>
        <w:r w:rsidR="00A94AB4">
          <w:rPr>
            <w:noProof/>
            <w:webHidden/>
          </w:rPr>
          <w:tab/>
        </w:r>
        <w:r w:rsidR="00A94AB4">
          <w:rPr>
            <w:noProof/>
            <w:webHidden/>
          </w:rPr>
          <w:fldChar w:fldCharType="begin"/>
        </w:r>
        <w:r w:rsidR="00A94AB4">
          <w:rPr>
            <w:noProof/>
            <w:webHidden/>
          </w:rPr>
          <w:instrText xml:space="preserve"> PAGEREF _Toc73435778 \h </w:instrText>
        </w:r>
        <w:r w:rsidR="00A94AB4">
          <w:rPr>
            <w:noProof/>
            <w:webHidden/>
          </w:rPr>
        </w:r>
        <w:r w:rsidR="00A94AB4">
          <w:rPr>
            <w:noProof/>
            <w:webHidden/>
          </w:rPr>
          <w:fldChar w:fldCharType="separate"/>
        </w:r>
        <w:r w:rsidR="00CC05A7">
          <w:rPr>
            <w:noProof/>
            <w:webHidden/>
          </w:rPr>
          <w:t>54</w:t>
        </w:r>
        <w:r w:rsidR="00A94AB4">
          <w:rPr>
            <w:noProof/>
            <w:webHidden/>
          </w:rPr>
          <w:fldChar w:fldCharType="end"/>
        </w:r>
      </w:hyperlink>
    </w:p>
    <w:p w14:paraId="446B209F" w14:textId="35AADDDD" w:rsidR="00A94AB4" w:rsidRDefault="00D5744E">
      <w:pPr>
        <w:pStyle w:val="TableofFigures"/>
        <w:tabs>
          <w:tab w:val="right" w:leader="dot" w:pos="8302"/>
        </w:tabs>
        <w:rPr>
          <w:rFonts w:asciiTheme="minorHAnsi" w:eastAsiaTheme="minorEastAsia" w:hAnsiTheme="minorHAnsi"/>
          <w:noProof/>
          <w:color w:val="auto"/>
          <w:lang w:eastAsia="el-GR"/>
        </w:rPr>
      </w:pPr>
      <w:hyperlink w:anchor="_Toc73435779" w:history="1">
        <w:r w:rsidR="00A94AB4" w:rsidRPr="00A277D8">
          <w:rPr>
            <w:rStyle w:val="Hyperlink"/>
            <w:noProof/>
          </w:rPr>
          <w:t xml:space="preserve">Πίνακας 18: </w:t>
        </w:r>
        <w:r w:rsidR="00A94AB4" w:rsidRPr="00A277D8">
          <w:rPr>
            <w:rStyle w:val="Hyperlink"/>
            <w:iCs/>
            <w:noProof/>
          </w:rPr>
          <w:t>Φορολογικά Έσοδα Κρατικού Προϋπολογισμού Ιανουάριος- Μάρτιος 2021</w:t>
        </w:r>
        <w:r w:rsidR="00A94AB4">
          <w:rPr>
            <w:noProof/>
            <w:webHidden/>
          </w:rPr>
          <w:tab/>
        </w:r>
        <w:r w:rsidR="00A94AB4">
          <w:rPr>
            <w:noProof/>
            <w:webHidden/>
          </w:rPr>
          <w:fldChar w:fldCharType="begin"/>
        </w:r>
        <w:r w:rsidR="00A94AB4">
          <w:rPr>
            <w:noProof/>
            <w:webHidden/>
          </w:rPr>
          <w:instrText xml:space="preserve"> PAGEREF _Toc73435779 \h </w:instrText>
        </w:r>
        <w:r w:rsidR="00A94AB4">
          <w:rPr>
            <w:noProof/>
            <w:webHidden/>
          </w:rPr>
        </w:r>
        <w:r w:rsidR="00A94AB4">
          <w:rPr>
            <w:noProof/>
            <w:webHidden/>
          </w:rPr>
          <w:fldChar w:fldCharType="separate"/>
        </w:r>
        <w:r w:rsidR="00CC05A7">
          <w:rPr>
            <w:noProof/>
            <w:webHidden/>
          </w:rPr>
          <w:t>55</w:t>
        </w:r>
        <w:r w:rsidR="00A94AB4">
          <w:rPr>
            <w:noProof/>
            <w:webHidden/>
          </w:rPr>
          <w:fldChar w:fldCharType="end"/>
        </w:r>
      </w:hyperlink>
    </w:p>
    <w:p w14:paraId="5CCF4848" w14:textId="798BF2CB" w:rsidR="00A94AB4" w:rsidRDefault="00D5744E">
      <w:pPr>
        <w:pStyle w:val="TableofFigures"/>
        <w:tabs>
          <w:tab w:val="right" w:leader="dot" w:pos="8302"/>
        </w:tabs>
        <w:rPr>
          <w:rFonts w:asciiTheme="minorHAnsi" w:eastAsiaTheme="minorEastAsia" w:hAnsiTheme="minorHAnsi"/>
          <w:noProof/>
          <w:color w:val="auto"/>
          <w:lang w:eastAsia="el-GR"/>
        </w:rPr>
      </w:pPr>
      <w:hyperlink w:anchor="_Toc73435780" w:history="1">
        <w:r w:rsidR="00A94AB4" w:rsidRPr="00A277D8">
          <w:rPr>
            <w:rStyle w:val="Hyperlink"/>
            <w:noProof/>
          </w:rPr>
          <w:t xml:space="preserve">Πίνακας 19: </w:t>
        </w:r>
        <w:r w:rsidR="00A94AB4" w:rsidRPr="00A277D8">
          <w:rPr>
            <w:rStyle w:val="Hyperlink"/>
            <w:iCs/>
            <w:noProof/>
          </w:rPr>
          <w:t>Δαπάνες Κρατικού Προϋπολογισμού Ιανουάριος- Μάρτιος 2021</w:t>
        </w:r>
        <w:r w:rsidR="00A94AB4">
          <w:rPr>
            <w:noProof/>
            <w:webHidden/>
          </w:rPr>
          <w:tab/>
        </w:r>
        <w:r w:rsidR="00A94AB4">
          <w:rPr>
            <w:noProof/>
            <w:webHidden/>
          </w:rPr>
          <w:fldChar w:fldCharType="begin"/>
        </w:r>
        <w:r w:rsidR="00A94AB4">
          <w:rPr>
            <w:noProof/>
            <w:webHidden/>
          </w:rPr>
          <w:instrText xml:space="preserve"> PAGEREF _Toc73435780 \h </w:instrText>
        </w:r>
        <w:r w:rsidR="00A94AB4">
          <w:rPr>
            <w:noProof/>
            <w:webHidden/>
          </w:rPr>
        </w:r>
        <w:r w:rsidR="00A94AB4">
          <w:rPr>
            <w:noProof/>
            <w:webHidden/>
          </w:rPr>
          <w:fldChar w:fldCharType="separate"/>
        </w:r>
        <w:r w:rsidR="00CC05A7">
          <w:rPr>
            <w:noProof/>
            <w:webHidden/>
          </w:rPr>
          <w:t>56</w:t>
        </w:r>
        <w:r w:rsidR="00A94AB4">
          <w:rPr>
            <w:noProof/>
            <w:webHidden/>
          </w:rPr>
          <w:fldChar w:fldCharType="end"/>
        </w:r>
      </w:hyperlink>
    </w:p>
    <w:p w14:paraId="1714C7CD" w14:textId="38FFAD10" w:rsidR="00A94AB4" w:rsidRDefault="00D5744E">
      <w:pPr>
        <w:pStyle w:val="TableofFigures"/>
        <w:tabs>
          <w:tab w:val="right" w:leader="dot" w:pos="8302"/>
        </w:tabs>
        <w:rPr>
          <w:rFonts w:asciiTheme="minorHAnsi" w:eastAsiaTheme="minorEastAsia" w:hAnsiTheme="minorHAnsi"/>
          <w:noProof/>
          <w:color w:val="auto"/>
          <w:lang w:eastAsia="el-GR"/>
        </w:rPr>
      </w:pPr>
      <w:hyperlink w:anchor="_Toc73435781" w:history="1">
        <w:r w:rsidR="00A94AB4" w:rsidRPr="00A277D8">
          <w:rPr>
            <w:rStyle w:val="Hyperlink"/>
            <w:noProof/>
          </w:rPr>
          <w:t xml:space="preserve">Πίνακας 20: </w:t>
        </w:r>
        <w:r w:rsidR="00A94AB4" w:rsidRPr="00A277D8">
          <w:rPr>
            <w:rStyle w:val="Hyperlink"/>
            <w:iCs/>
            <w:noProof/>
          </w:rPr>
          <w:t>Εκτέλεση προϋπολογισμού σε επίπεδο ΓΚ (εκατ. ευρώ*)</w:t>
        </w:r>
        <w:r w:rsidR="00A94AB4">
          <w:rPr>
            <w:noProof/>
            <w:webHidden/>
          </w:rPr>
          <w:tab/>
        </w:r>
        <w:r w:rsidR="00A94AB4">
          <w:rPr>
            <w:noProof/>
            <w:webHidden/>
          </w:rPr>
          <w:fldChar w:fldCharType="begin"/>
        </w:r>
        <w:r w:rsidR="00A94AB4">
          <w:rPr>
            <w:noProof/>
            <w:webHidden/>
          </w:rPr>
          <w:instrText xml:space="preserve"> PAGEREF _Toc73435781 \h </w:instrText>
        </w:r>
        <w:r w:rsidR="00A94AB4">
          <w:rPr>
            <w:noProof/>
            <w:webHidden/>
          </w:rPr>
        </w:r>
        <w:r w:rsidR="00A94AB4">
          <w:rPr>
            <w:noProof/>
            <w:webHidden/>
          </w:rPr>
          <w:fldChar w:fldCharType="separate"/>
        </w:r>
        <w:r w:rsidR="00CC05A7">
          <w:rPr>
            <w:noProof/>
            <w:webHidden/>
          </w:rPr>
          <w:t>57</w:t>
        </w:r>
        <w:r w:rsidR="00A94AB4">
          <w:rPr>
            <w:noProof/>
            <w:webHidden/>
          </w:rPr>
          <w:fldChar w:fldCharType="end"/>
        </w:r>
      </w:hyperlink>
    </w:p>
    <w:p w14:paraId="1341CE8E" w14:textId="46935218" w:rsidR="00A94AB4" w:rsidRDefault="00D5744E">
      <w:pPr>
        <w:pStyle w:val="TableofFigures"/>
        <w:tabs>
          <w:tab w:val="right" w:leader="dot" w:pos="8302"/>
        </w:tabs>
        <w:rPr>
          <w:rFonts w:asciiTheme="minorHAnsi" w:eastAsiaTheme="minorEastAsia" w:hAnsiTheme="minorHAnsi"/>
          <w:noProof/>
          <w:color w:val="auto"/>
          <w:lang w:eastAsia="el-GR"/>
        </w:rPr>
      </w:pPr>
      <w:hyperlink w:anchor="_Toc73435782" w:history="1">
        <w:r w:rsidR="00A94AB4" w:rsidRPr="00A277D8">
          <w:rPr>
            <w:rStyle w:val="Hyperlink"/>
            <w:noProof/>
          </w:rPr>
          <w:t>Πίνακας 21: Ανεξόφλητα εγγυημένα υπόλοιπα φορέων εντός και εκτός ΓΚ στις 31/12/2020</w:t>
        </w:r>
        <w:r w:rsidR="00A94AB4">
          <w:rPr>
            <w:noProof/>
            <w:webHidden/>
          </w:rPr>
          <w:tab/>
        </w:r>
        <w:r w:rsidR="00A94AB4">
          <w:rPr>
            <w:noProof/>
            <w:webHidden/>
          </w:rPr>
          <w:fldChar w:fldCharType="begin"/>
        </w:r>
        <w:r w:rsidR="00A94AB4">
          <w:rPr>
            <w:noProof/>
            <w:webHidden/>
          </w:rPr>
          <w:instrText xml:space="preserve"> PAGEREF _Toc73435782 \h </w:instrText>
        </w:r>
        <w:r w:rsidR="00A94AB4">
          <w:rPr>
            <w:noProof/>
            <w:webHidden/>
          </w:rPr>
        </w:r>
        <w:r w:rsidR="00A94AB4">
          <w:rPr>
            <w:noProof/>
            <w:webHidden/>
          </w:rPr>
          <w:fldChar w:fldCharType="separate"/>
        </w:r>
        <w:r w:rsidR="00CC05A7">
          <w:rPr>
            <w:noProof/>
            <w:webHidden/>
          </w:rPr>
          <w:t>64</w:t>
        </w:r>
        <w:r w:rsidR="00A94AB4">
          <w:rPr>
            <w:noProof/>
            <w:webHidden/>
          </w:rPr>
          <w:fldChar w:fldCharType="end"/>
        </w:r>
      </w:hyperlink>
    </w:p>
    <w:p w14:paraId="5E9DD136" w14:textId="3C6269F1" w:rsidR="00A94AB4" w:rsidRDefault="00D5744E">
      <w:pPr>
        <w:pStyle w:val="TableofFigures"/>
        <w:tabs>
          <w:tab w:val="right" w:leader="dot" w:pos="8302"/>
        </w:tabs>
        <w:rPr>
          <w:rFonts w:asciiTheme="minorHAnsi" w:eastAsiaTheme="minorEastAsia" w:hAnsiTheme="minorHAnsi"/>
          <w:noProof/>
          <w:color w:val="auto"/>
          <w:lang w:eastAsia="el-GR"/>
        </w:rPr>
      </w:pPr>
      <w:hyperlink w:anchor="_Toc73435783" w:history="1">
        <w:r w:rsidR="00A94AB4" w:rsidRPr="00A277D8">
          <w:rPr>
            <w:rStyle w:val="Hyperlink"/>
            <w:noProof/>
          </w:rPr>
          <w:t xml:space="preserve">Πίνακας 22: </w:t>
        </w:r>
        <w:r w:rsidR="00A94AB4" w:rsidRPr="00A277D8">
          <w:rPr>
            <w:rStyle w:val="Hyperlink"/>
            <w:rFonts w:eastAsia="Calibri" w:cstheme="minorHAnsi"/>
            <w:bCs/>
            <w:noProof/>
          </w:rPr>
          <w:t>Εκδόσεις ομολόγων ελληνικού Δημοσίου  (Απρίλιος 2020- Μάιος 2021)</w:t>
        </w:r>
        <w:r w:rsidR="00A94AB4">
          <w:rPr>
            <w:noProof/>
            <w:webHidden/>
          </w:rPr>
          <w:tab/>
        </w:r>
        <w:r w:rsidR="00A94AB4">
          <w:rPr>
            <w:noProof/>
            <w:webHidden/>
          </w:rPr>
          <w:fldChar w:fldCharType="begin"/>
        </w:r>
        <w:r w:rsidR="00A94AB4">
          <w:rPr>
            <w:noProof/>
            <w:webHidden/>
          </w:rPr>
          <w:instrText xml:space="preserve"> PAGEREF _Toc73435783 \h </w:instrText>
        </w:r>
        <w:r w:rsidR="00A94AB4">
          <w:rPr>
            <w:noProof/>
            <w:webHidden/>
          </w:rPr>
        </w:r>
        <w:r w:rsidR="00A94AB4">
          <w:rPr>
            <w:noProof/>
            <w:webHidden/>
          </w:rPr>
          <w:fldChar w:fldCharType="separate"/>
        </w:r>
        <w:r w:rsidR="00CC05A7">
          <w:rPr>
            <w:noProof/>
            <w:webHidden/>
          </w:rPr>
          <w:t>68</w:t>
        </w:r>
        <w:r w:rsidR="00A94AB4">
          <w:rPr>
            <w:noProof/>
            <w:webHidden/>
          </w:rPr>
          <w:fldChar w:fldCharType="end"/>
        </w:r>
      </w:hyperlink>
    </w:p>
    <w:p w14:paraId="676FE439" w14:textId="26003508" w:rsidR="00A94AB4" w:rsidRDefault="00D5744E">
      <w:pPr>
        <w:pStyle w:val="TableofFigures"/>
        <w:tabs>
          <w:tab w:val="right" w:leader="dot" w:pos="8302"/>
        </w:tabs>
        <w:rPr>
          <w:rFonts w:asciiTheme="minorHAnsi" w:eastAsiaTheme="minorEastAsia" w:hAnsiTheme="minorHAnsi"/>
          <w:noProof/>
          <w:color w:val="auto"/>
          <w:lang w:eastAsia="el-GR"/>
        </w:rPr>
      </w:pPr>
      <w:hyperlink w:anchor="_Toc73435784" w:history="1">
        <w:r w:rsidR="00A94AB4" w:rsidRPr="00A277D8">
          <w:rPr>
            <w:rStyle w:val="Hyperlink"/>
            <w:rFonts w:eastAsia="Calibri" w:cs="Times New Roman"/>
            <w:iCs/>
            <w:noProof/>
          </w:rPr>
          <w:t>Πίνακας 23:</w:t>
        </w:r>
        <w:r w:rsidR="00A94AB4" w:rsidRPr="00A277D8">
          <w:rPr>
            <w:rStyle w:val="Hyperlink"/>
            <w:rFonts w:cstheme="minorHAnsi"/>
            <w:noProof/>
          </w:rPr>
          <w:t xml:space="preserve"> </w:t>
        </w:r>
        <w:r w:rsidR="00A94AB4" w:rsidRPr="00A277D8">
          <w:rPr>
            <w:rStyle w:val="Hyperlink"/>
            <w:rFonts w:eastAsia="Calibri"/>
            <w:iCs/>
            <w:noProof/>
          </w:rPr>
          <w:t xml:space="preserve"> Δημοσιονομικό αποτέλεσμα 2021</w:t>
        </w:r>
        <w:r w:rsidR="00A94AB4">
          <w:rPr>
            <w:noProof/>
            <w:webHidden/>
          </w:rPr>
          <w:tab/>
        </w:r>
        <w:r w:rsidR="00A94AB4">
          <w:rPr>
            <w:noProof/>
            <w:webHidden/>
          </w:rPr>
          <w:fldChar w:fldCharType="begin"/>
        </w:r>
        <w:r w:rsidR="00A94AB4">
          <w:rPr>
            <w:noProof/>
            <w:webHidden/>
          </w:rPr>
          <w:instrText xml:space="preserve"> PAGEREF _Toc73435784 \h </w:instrText>
        </w:r>
        <w:r w:rsidR="00A94AB4">
          <w:rPr>
            <w:noProof/>
            <w:webHidden/>
          </w:rPr>
        </w:r>
        <w:r w:rsidR="00A94AB4">
          <w:rPr>
            <w:noProof/>
            <w:webHidden/>
          </w:rPr>
          <w:fldChar w:fldCharType="separate"/>
        </w:r>
        <w:r w:rsidR="00CC05A7">
          <w:rPr>
            <w:noProof/>
            <w:webHidden/>
          </w:rPr>
          <w:t>72</w:t>
        </w:r>
        <w:r w:rsidR="00A94AB4">
          <w:rPr>
            <w:noProof/>
            <w:webHidden/>
          </w:rPr>
          <w:fldChar w:fldCharType="end"/>
        </w:r>
      </w:hyperlink>
    </w:p>
    <w:p w14:paraId="4A935638" w14:textId="0A1D6F2E" w:rsidR="00A94AB4" w:rsidRDefault="00D5744E">
      <w:pPr>
        <w:pStyle w:val="TableofFigures"/>
        <w:tabs>
          <w:tab w:val="right" w:leader="dot" w:pos="8302"/>
        </w:tabs>
        <w:rPr>
          <w:rFonts w:asciiTheme="minorHAnsi" w:eastAsiaTheme="minorEastAsia" w:hAnsiTheme="minorHAnsi"/>
          <w:noProof/>
          <w:color w:val="auto"/>
          <w:lang w:eastAsia="el-GR"/>
        </w:rPr>
      </w:pPr>
      <w:hyperlink w:anchor="_Toc73435785" w:history="1">
        <w:r w:rsidR="00A94AB4" w:rsidRPr="00A277D8">
          <w:rPr>
            <w:rStyle w:val="Hyperlink"/>
            <w:rFonts w:eastAsia="Calibri" w:cs="Times New Roman"/>
            <w:iCs/>
            <w:noProof/>
          </w:rPr>
          <w:t>Πίνακας 24:</w:t>
        </w:r>
        <w:r w:rsidR="00A94AB4" w:rsidRPr="00A277D8">
          <w:rPr>
            <w:rStyle w:val="Hyperlink"/>
            <w:rFonts w:cstheme="minorHAnsi"/>
            <w:noProof/>
          </w:rPr>
          <w:t xml:space="preserve"> </w:t>
        </w:r>
        <w:r w:rsidR="00A94AB4" w:rsidRPr="00A277D8">
          <w:rPr>
            <w:rStyle w:val="Hyperlink"/>
            <w:rFonts w:eastAsia="Calibri"/>
            <w:iCs/>
            <w:noProof/>
          </w:rPr>
          <w:t xml:space="preserve"> Πρωτογενές αποτέλεσμα (% του ΑΕΠ) για το 2021</w:t>
        </w:r>
        <w:r w:rsidR="00A94AB4">
          <w:rPr>
            <w:noProof/>
            <w:webHidden/>
          </w:rPr>
          <w:tab/>
        </w:r>
        <w:r w:rsidR="00A94AB4">
          <w:rPr>
            <w:noProof/>
            <w:webHidden/>
          </w:rPr>
          <w:fldChar w:fldCharType="begin"/>
        </w:r>
        <w:r w:rsidR="00A94AB4">
          <w:rPr>
            <w:noProof/>
            <w:webHidden/>
          </w:rPr>
          <w:instrText xml:space="preserve"> PAGEREF _Toc73435785 \h </w:instrText>
        </w:r>
        <w:r w:rsidR="00A94AB4">
          <w:rPr>
            <w:noProof/>
            <w:webHidden/>
          </w:rPr>
        </w:r>
        <w:r w:rsidR="00A94AB4">
          <w:rPr>
            <w:noProof/>
            <w:webHidden/>
          </w:rPr>
          <w:fldChar w:fldCharType="separate"/>
        </w:r>
        <w:r w:rsidR="00CC05A7">
          <w:rPr>
            <w:noProof/>
            <w:webHidden/>
          </w:rPr>
          <w:t>73</w:t>
        </w:r>
        <w:r w:rsidR="00A94AB4">
          <w:rPr>
            <w:noProof/>
            <w:webHidden/>
          </w:rPr>
          <w:fldChar w:fldCharType="end"/>
        </w:r>
      </w:hyperlink>
    </w:p>
    <w:p w14:paraId="115F7152" w14:textId="55C8EE02" w:rsidR="00A94AB4" w:rsidRDefault="00D5744E">
      <w:pPr>
        <w:pStyle w:val="TableofFigures"/>
        <w:tabs>
          <w:tab w:val="right" w:leader="dot" w:pos="8302"/>
        </w:tabs>
        <w:rPr>
          <w:rFonts w:asciiTheme="minorHAnsi" w:eastAsiaTheme="minorEastAsia" w:hAnsiTheme="minorHAnsi"/>
          <w:noProof/>
          <w:color w:val="auto"/>
          <w:lang w:eastAsia="el-GR"/>
        </w:rPr>
      </w:pPr>
      <w:hyperlink w:anchor="_Toc73435786" w:history="1">
        <w:r w:rsidR="00A94AB4" w:rsidRPr="00A277D8">
          <w:rPr>
            <w:rStyle w:val="Hyperlink"/>
            <w:noProof/>
          </w:rPr>
          <w:t>Πίνακας 25: Δημοσιονομικές παρεμβάσεις αντιμετώπισης των συνεπειών της πανδημίας το 2021 (εκατ. ευρώ)</w:t>
        </w:r>
        <w:r w:rsidR="00A94AB4">
          <w:rPr>
            <w:noProof/>
            <w:webHidden/>
          </w:rPr>
          <w:tab/>
        </w:r>
        <w:r w:rsidR="00A94AB4">
          <w:rPr>
            <w:noProof/>
            <w:webHidden/>
          </w:rPr>
          <w:fldChar w:fldCharType="begin"/>
        </w:r>
        <w:r w:rsidR="00A94AB4">
          <w:rPr>
            <w:noProof/>
            <w:webHidden/>
          </w:rPr>
          <w:instrText xml:space="preserve"> PAGEREF _Toc73435786 \h </w:instrText>
        </w:r>
        <w:r w:rsidR="00A94AB4">
          <w:rPr>
            <w:noProof/>
            <w:webHidden/>
          </w:rPr>
        </w:r>
        <w:r w:rsidR="00A94AB4">
          <w:rPr>
            <w:noProof/>
            <w:webHidden/>
          </w:rPr>
          <w:fldChar w:fldCharType="separate"/>
        </w:r>
        <w:r w:rsidR="00CC05A7">
          <w:rPr>
            <w:noProof/>
            <w:webHidden/>
          </w:rPr>
          <w:t>78</w:t>
        </w:r>
        <w:r w:rsidR="00A94AB4">
          <w:rPr>
            <w:noProof/>
            <w:webHidden/>
          </w:rPr>
          <w:fldChar w:fldCharType="end"/>
        </w:r>
      </w:hyperlink>
    </w:p>
    <w:p w14:paraId="31C03242" w14:textId="12E386A3" w:rsidR="00AE797D" w:rsidRPr="00D0444F" w:rsidRDefault="00D365BB" w:rsidP="00743A5E">
      <w:pPr>
        <w:spacing w:after="120"/>
        <w:jc w:val="left"/>
        <w:rPr>
          <w:i/>
        </w:rPr>
      </w:pPr>
      <w:r w:rsidRPr="00D0444F">
        <w:rPr>
          <w:i/>
        </w:rPr>
        <w:fldChar w:fldCharType="end"/>
      </w:r>
    </w:p>
    <w:p w14:paraId="2D5A7131" w14:textId="77777777" w:rsidR="00AE797D" w:rsidRPr="00D37923" w:rsidRDefault="00AE797D">
      <w:pPr>
        <w:spacing w:after="160" w:line="0" w:lineRule="auto"/>
        <w:jc w:val="left"/>
      </w:pPr>
      <w:r w:rsidRPr="00D37923">
        <w:br w:type="page"/>
      </w:r>
    </w:p>
    <w:p w14:paraId="6128756A" w14:textId="28A9B94E" w:rsidR="00D365BB" w:rsidRPr="00EB7AF8" w:rsidRDefault="008D2932" w:rsidP="00AA4DDB">
      <w:pPr>
        <w:spacing w:after="120"/>
        <w:rPr>
          <w:b/>
          <w:color w:val="00A3E0"/>
          <w:sz w:val="28"/>
          <w:szCs w:val="28"/>
        </w:rPr>
      </w:pPr>
      <w:r w:rsidRPr="00EB7AF8">
        <w:rPr>
          <w:b/>
          <w:color w:val="00A3E0"/>
          <w:sz w:val="28"/>
          <w:szCs w:val="28"/>
        </w:rPr>
        <w:t>Ευρετήριο Διαγραμμάτων</w:t>
      </w:r>
    </w:p>
    <w:p w14:paraId="4BBADA2A" w14:textId="264880E3" w:rsidR="00A94AB4" w:rsidRDefault="00E648C9">
      <w:pPr>
        <w:pStyle w:val="TableofFigures"/>
        <w:tabs>
          <w:tab w:val="right" w:leader="dot" w:pos="8302"/>
        </w:tabs>
        <w:rPr>
          <w:rFonts w:asciiTheme="minorHAnsi" w:eastAsiaTheme="minorEastAsia" w:hAnsiTheme="minorHAnsi"/>
          <w:noProof/>
          <w:color w:val="auto"/>
          <w:lang w:eastAsia="el-GR"/>
        </w:rPr>
      </w:pPr>
      <w:r w:rsidRPr="00D0444F">
        <w:fldChar w:fldCharType="begin"/>
      </w:r>
      <w:r w:rsidRPr="00D0444F">
        <w:instrText xml:space="preserve"> TOC \h \z \c "Διάγραμμα" </w:instrText>
      </w:r>
      <w:r w:rsidRPr="00D0444F">
        <w:fldChar w:fldCharType="separate"/>
      </w:r>
      <w:hyperlink w:anchor="_Toc73435787" w:history="1">
        <w:r w:rsidR="00A94AB4" w:rsidRPr="000D1607">
          <w:rPr>
            <w:rStyle w:val="Hyperlink"/>
            <w:iCs/>
            <w:noProof/>
          </w:rPr>
          <w:t xml:space="preserve">Διάγραμμα 1: </w:t>
        </w:r>
        <w:r w:rsidR="00A94AB4" w:rsidRPr="000D1607">
          <w:rPr>
            <w:rStyle w:val="Hyperlink"/>
            <w:rFonts w:eastAsia="Calibri" w:cs="Times New Roman"/>
            <w:iCs/>
            <w:noProof/>
          </w:rPr>
          <w:t xml:space="preserve"> ΑΕΠ, 2008-2020 (εκατ. ευρώ και ετήσια μεταβολή σε %)</w:t>
        </w:r>
        <w:r w:rsidR="00A94AB4">
          <w:rPr>
            <w:noProof/>
            <w:webHidden/>
          </w:rPr>
          <w:tab/>
        </w:r>
        <w:r w:rsidR="00A94AB4">
          <w:rPr>
            <w:noProof/>
            <w:webHidden/>
          </w:rPr>
          <w:fldChar w:fldCharType="begin"/>
        </w:r>
        <w:r w:rsidR="00A94AB4">
          <w:rPr>
            <w:noProof/>
            <w:webHidden/>
          </w:rPr>
          <w:instrText xml:space="preserve"> PAGEREF _Toc73435787 \h </w:instrText>
        </w:r>
        <w:r w:rsidR="00A94AB4">
          <w:rPr>
            <w:noProof/>
            <w:webHidden/>
          </w:rPr>
        </w:r>
        <w:r w:rsidR="00A94AB4">
          <w:rPr>
            <w:noProof/>
            <w:webHidden/>
          </w:rPr>
          <w:fldChar w:fldCharType="separate"/>
        </w:r>
        <w:r w:rsidR="00CC05A7">
          <w:rPr>
            <w:noProof/>
            <w:webHidden/>
          </w:rPr>
          <w:t>10</w:t>
        </w:r>
        <w:r w:rsidR="00A94AB4">
          <w:rPr>
            <w:noProof/>
            <w:webHidden/>
          </w:rPr>
          <w:fldChar w:fldCharType="end"/>
        </w:r>
      </w:hyperlink>
    </w:p>
    <w:p w14:paraId="5A506555" w14:textId="0032E50E" w:rsidR="00A94AB4" w:rsidRDefault="00D5744E">
      <w:pPr>
        <w:pStyle w:val="TableofFigures"/>
        <w:tabs>
          <w:tab w:val="right" w:leader="dot" w:pos="8302"/>
        </w:tabs>
        <w:rPr>
          <w:rFonts w:asciiTheme="minorHAnsi" w:eastAsiaTheme="minorEastAsia" w:hAnsiTheme="minorHAnsi"/>
          <w:noProof/>
          <w:color w:val="auto"/>
          <w:lang w:eastAsia="el-GR"/>
        </w:rPr>
      </w:pPr>
      <w:hyperlink w:anchor="_Toc73435788" w:history="1">
        <w:r w:rsidR="00A94AB4" w:rsidRPr="000D1607">
          <w:rPr>
            <w:rStyle w:val="Hyperlink"/>
            <w:iCs/>
            <w:noProof/>
          </w:rPr>
          <w:t xml:space="preserve">Διάγραμμα 2: </w:t>
        </w:r>
        <w:r w:rsidR="00F70DC0">
          <w:rPr>
            <w:rStyle w:val="Hyperlink"/>
            <w:iCs/>
            <w:noProof/>
          </w:rPr>
          <w:t xml:space="preserve"> </w:t>
        </w:r>
        <w:r w:rsidR="00A94AB4" w:rsidRPr="000D1607">
          <w:rPr>
            <w:rStyle w:val="Hyperlink"/>
            <w:rFonts w:eastAsia="Calibri" w:cs="Times New Roman"/>
            <w:iCs/>
            <w:noProof/>
          </w:rPr>
          <w:t>Βασικές συνιστώσες του ΑΕΠ, 2020 (εκατ. ευρώ/αριστερός άξονας και % μεταβολή σε σχέση με το 2019/δεξιός άξονας)</w:t>
        </w:r>
        <w:r w:rsidR="00A94AB4">
          <w:rPr>
            <w:noProof/>
            <w:webHidden/>
          </w:rPr>
          <w:tab/>
        </w:r>
        <w:r w:rsidR="00A94AB4">
          <w:rPr>
            <w:noProof/>
            <w:webHidden/>
          </w:rPr>
          <w:fldChar w:fldCharType="begin"/>
        </w:r>
        <w:r w:rsidR="00A94AB4">
          <w:rPr>
            <w:noProof/>
            <w:webHidden/>
          </w:rPr>
          <w:instrText xml:space="preserve"> PAGEREF _Toc73435788 \h </w:instrText>
        </w:r>
        <w:r w:rsidR="00A94AB4">
          <w:rPr>
            <w:noProof/>
            <w:webHidden/>
          </w:rPr>
        </w:r>
        <w:r w:rsidR="00A94AB4">
          <w:rPr>
            <w:noProof/>
            <w:webHidden/>
          </w:rPr>
          <w:fldChar w:fldCharType="separate"/>
        </w:r>
        <w:r w:rsidR="00CC05A7">
          <w:rPr>
            <w:noProof/>
            <w:webHidden/>
          </w:rPr>
          <w:t>11</w:t>
        </w:r>
        <w:r w:rsidR="00A94AB4">
          <w:rPr>
            <w:noProof/>
            <w:webHidden/>
          </w:rPr>
          <w:fldChar w:fldCharType="end"/>
        </w:r>
      </w:hyperlink>
    </w:p>
    <w:p w14:paraId="594C532E" w14:textId="360B236C" w:rsidR="00A94AB4" w:rsidRDefault="00D5744E">
      <w:pPr>
        <w:pStyle w:val="TableofFigures"/>
        <w:tabs>
          <w:tab w:val="right" w:leader="dot" w:pos="8302"/>
        </w:tabs>
        <w:rPr>
          <w:rFonts w:asciiTheme="minorHAnsi" w:eastAsiaTheme="minorEastAsia" w:hAnsiTheme="minorHAnsi"/>
          <w:noProof/>
          <w:color w:val="auto"/>
          <w:lang w:eastAsia="el-GR"/>
        </w:rPr>
      </w:pPr>
      <w:hyperlink w:anchor="_Toc73435789" w:history="1">
        <w:r w:rsidR="00A94AB4" w:rsidRPr="000D1607">
          <w:rPr>
            <w:rStyle w:val="Hyperlink"/>
            <w:noProof/>
          </w:rPr>
          <w:t>Διάγραμμα 3: Ποσοστά Προστιθέμενης Αξίας Κλάδων το Έτος 2020 και Ετήσια Μεταβολή από 2019</w:t>
        </w:r>
        <w:r w:rsidR="00A94AB4">
          <w:rPr>
            <w:noProof/>
            <w:webHidden/>
          </w:rPr>
          <w:tab/>
        </w:r>
        <w:r w:rsidR="00A94AB4">
          <w:rPr>
            <w:noProof/>
            <w:webHidden/>
          </w:rPr>
          <w:fldChar w:fldCharType="begin"/>
        </w:r>
        <w:r w:rsidR="00A94AB4">
          <w:rPr>
            <w:noProof/>
            <w:webHidden/>
          </w:rPr>
          <w:instrText xml:space="preserve"> PAGEREF _Toc73435789 \h </w:instrText>
        </w:r>
        <w:r w:rsidR="00A94AB4">
          <w:rPr>
            <w:noProof/>
            <w:webHidden/>
          </w:rPr>
        </w:r>
        <w:r w:rsidR="00A94AB4">
          <w:rPr>
            <w:noProof/>
            <w:webHidden/>
          </w:rPr>
          <w:fldChar w:fldCharType="separate"/>
        </w:r>
        <w:r w:rsidR="00CC05A7">
          <w:rPr>
            <w:noProof/>
            <w:webHidden/>
          </w:rPr>
          <w:t>13</w:t>
        </w:r>
        <w:r w:rsidR="00A94AB4">
          <w:rPr>
            <w:noProof/>
            <w:webHidden/>
          </w:rPr>
          <w:fldChar w:fldCharType="end"/>
        </w:r>
      </w:hyperlink>
    </w:p>
    <w:p w14:paraId="601FFBBA" w14:textId="04B6168D" w:rsidR="00A94AB4" w:rsidRDefault="00D5744E">
      <w:pPr>
        <w:pStyle w:val="TableofFigures"/>
        <w:tabs>
          <w:tab w:val="right" w:leader="dot" w:pos="8302"/>
        </w:tabs>
        <w:rPr>
          <w:rFonts w:asciiTheme="minorHAnsi" w:eastAsiaTheme="minorEastAsia" w:hAnsiTheme="minorHAnsi"/>
          <w:noProof/>
          <w:color w:val="auto"/>
          <w:lang w:eastAsia="el-GR"/>
        </w:rPr>
      </w:pPr>
      <w:hyperlink w:anchor="_Toc73435790" w:history="1">
        <w:r w:rsidR="00A94AB4" w:rsidRPr="000D1607">
          <w:rPr>
            <w:rStyle w:val="Hyperlink"/>
            <w:rFonts w:cs="Times New Roman"/>
            <w:noProof/>
          </w:rPr>
          <w:t>Διάγραμμα 4:</w:t>
        </w:r>
        <w:r w:rsidR="00A94AB4" w:rsidRPr="000D1607">
          <w:rPr>
            <w:rStyle w:val="Hyperlink"/>
            <w:noProof/>
            <w:kern w:val="24"/>
            <w:lang w:eastAsia="el-GR"/>
          </w:rPr>
          <w:t xml:space="preserve"> </w:t>
        </w:r>
        <w:r w:rsidR="00A94AB4" w:rsidRPr="000D1607">
          <w:rPr>
            <w:rStyle w:val="Hyperlink"/>
            <w:noProof/>
          </w:rPr>
          <w:t>Εναρμονισμένος Δείκτης Τιμών Καταναλωτή (ετήσιες % μεταβολές)</w:t>
        </w:r>
        <w:r w:rsidR="00A94AB4">
          <w:rPr>
            <w:noProof/>
            <w:webHidden/>
          </w:rPr>
          <w:tab/>
        </w:r>
        <w:r w:rsidR="00A94AB4">
          <w:rPr>
            <w:noProof/>
            <w:webHidden/>
          </w:rPr>
          <w:fldChar w:fldCharType="begin"/>
        </w:r>
        <w:r w:rsidR="00A94AB4">
          <w:rPr>
            <w:noProof/>
            <w:webHidden/>
          </w:rPr>
          <w:instrText xml:space="preserve"> PAGEREF _Toc73435790 \h </w:instrText>
        </w:r>
        <w:r w:rsidR="00A94AB4">
          <w:rPr>
            <w:noProof/>
            <w:webHidden/>
          </w:rPr>
        </w:r>
        <w:r w:rsidR="00A94AB4">
          <w:rPr>
            <w:noProof/>
            <w:webHidden/>
          </w:rPr>
          <w:fldChar w:fldCharType="separate"/>
        </w:r>
        <w:r w:rsidR="00CC05A7">
          <w:rPr>
            <w:noProof/>
            <w:webHidden/>
          </w:rPr>
          <w:t>14</w:t>
        </w:r>
        <w:r w:rsidR="00A94AB4">
          <w:rPr>
            <w:noProof/>
            <w:webHidden/>
          </w:rPr>
          <w:fldChar w:fldCharType="end"/>
        </w:r>
      </w:hyperlink>
    </w:p>
    <w:p w14:paraId="4608FD9D" w14:textId="04504F09" w:rsidR="00A94AB4" w:rsidRDefault="00D5744E">
      <w:pPr>
        <w:pStyle w:val="TableofFigures"/>
        <w:tabs>
          <w:tab w:val="right" w:leader="dot" w:pos="8302"/>
        </w:tabs>
        <w:rPr>
          <w:rFonts w:asciiTheme="minorHAnsi" w:eastAsiaTheme="minorEastAsia" w:hAnsiTheme="minorHAnsi"/>
          <w:noProof/>
          <w:color w:val="auto"/>
          <w:lang w:eastAsia="el-GR"/>
        </w:rPr>
      </w:pPr>
      <w:hyperlink w:anchor="_Toc73435791" w:history="1">
        <w:r w:rsidR="00A94AB4" w:rsidRPr="000D1607">
          <w:rPr>
            <w:rStyle w:val="Hyperlink"/>
            <w:rFonts w:cs="Times New Roman"/>
            <w:noProof/>
          </w:rPr>
          <w:t>Διάγραμμα 5:</w:t>
        </w:r>
        <w:r w:rsidR="00A94AB4" w:rsidRPr="000D1607">
          <w:rPr>
            <w:rStyle w:val="Hyperlink"/>
            <w:noProof/>
            <w:kern w:val="24"/>
            <w:lang w:eastAsia="el-GR"/>
          </w:rPr>
          <w:t xml:space="preserve"> </w:t>
        </w:r>
        <w:r w:rsidR="00A94AB4" w:rsidRPr="000D1607">
          <w:rPr>
            <w:rStyle w:val="Hyperlink"/>
            <w:noProof/>
          </w:rPr>
          <w:t>Ανάλυση μεταβολής μέσου Εν.ΔΤΚ 2020 (% μεταβολές)</w:t>
        </w:r>
        <w:r w:rsidR="00A94AB4">
          <w:rPr>
            <w:noProof/>
            <w:webHidden/>
          </w:rPr>
          <w:tab/>
        </w:r>
        <w:r w:rsidR="00A94AB4">
          <w:rPr>
            <w:noProof/>
            <w:webHidden/>
          </w:rPr>
          <w:fldChar w:fldCharType="begin"/>
        </w:r>
        <w:r w:rsidR="00A94AB4">
          <w:rPr>
            <w:noProof/>
            <w:webHidden/>
          </w:rPr>
          <w:instrText xml:space="preserve"> PAGEREF _Toc73435791 \h </w:instrText>
        </w:r>
        <w:r w:rsidR="00A94AB4">
          <w:rPr>
            <w:noProof/>
            <w:webHidden/>
          </w:rPr>
        </w:r>
        <w:r w:rsidR="00A94AB4">
          <w:rPr>
            <w:noProof/>
            <w:webHidden/>
          </w:rPr>
          <w:fldChar w:fldCharType="separate"/>
        </w:r>
        <w:r w:rsidR="00CC05A7">
          <w:rPr>
            <w:noProof/>
            <w:webHidden/>
          </w:rPr>
          <w:t>15</w:t>
        </w:r>
        <w:r w:rsidR="00A94AB4">
          <w:rPr>
            <w:noProof/>
            <w:webHidden/>
          </w:rPr>
          <w:fldChar w:fldCharType="end"/>
        </w:r>
      </w:hyperlink>
    </w:p>
    <w:p w14:paraId="61F65137" w14:textId="2286DE68" w:rsidR="00A94AB4" w:rsidRDefault="00D5744E">
      <w:pPr>
        <w:pStyle w:val="TableofFigures"/>
        <w:tabs>
          <w:tab w:val="right" w:leader="dot" w:pos="8302"/>
        </w:tabs>
        <w:rPr>
          <w:rFonts w:asciiTheme="minorHAnsi" w:eastAsiaTheme="minorEastAsia" w:hAnsiTheme="minorHAnsi"/>
          <w:noProof/>
          <w:color w:val="auto"/>
          <w:lang w:eastAsia="el-GR"/>
        </w:rPr>
      </w:pPr>
      <w:hyperlink w:anchor="_Toc73435792" w:history="1">
        <w:r w:rsidR="00A94AB4" w:rsidRPr="000D1607">
          <w:rPr>
            <w:rStyle w:val="Hyperlink"/>
            <w:rFonts w:cs="Times New Roman"/>
            <w:noProof/>
          </w:rPr>
          <w:t>Διάγραμμα 6:</w:t>
        </w:r>
        <w:r w:rsidR="00A94AB4" w:rsidRPr="000D1607">
          <w:rPr>
            <w:rStyle w:val="Hyperlink"/>
            <w:noProof/>
            <w:kern w:val="24"/>
            <w:lang w:eastAsia="el-GR"/>
          </w:rPr>
          <w:t xml:space="preserve"> </w:t>
        </w:r>
        <w:r w:rsidR="00A94AB4" w:rsidRPr="000D1607">
          <w:rPr>
            <w:rStyle w:val="Hyperlink"/>
            <w:noProof/>
          </w:rPr>
          <w:t>Εν.ΔΤΚ Ελλάδας και ευρωζώνης (ετήσιες % μεταβολές)</w:t>
        </w:r>
        <w:r w:rsidR="00A94AB4">
          <w:rPr>
            <w:noProof/>
            <w:webHidden/>
          </w:rPr>
          <w:tab/>
        </w:r>
        <w:r w:rsidR="00A94AB4">
          <w:rPr>
            <w:noProof/>
            <w:webHidden/>
          </w:rPr>
          <w:fldChar w:fldCharType="begin"/>
        </w:r>
        <w:r w:rsidR="00A94AB4">
          <w:rPr>
            <w:noProof/>
            <w:webHidden/>
          </w:rPr>
          <w:instrText xml:space="preserve"> PAGEREF _Toc73435792 \h </w:instrText>
        </w:r>
        <w:r w:rsidR="00A94AB4">
          <w:rPr>
            <w:noProof/>
            <w:webHidden/>
          </w:rPr>
        </w:r>
        <w:r w:rsidR="00A94AB4">
          <w:rPr>
            <w:noProof/>
            <w:webHidden/>
          </w:rPr>
          <w:fldChar w:fldCharType="separate"/>
        </w:r>
        <w:r w:rsidR="00CC05A7">
          <w:rPr>
            <w:noProof/>
            <w:webHidden/>
          </w:rPr>
          <w:t>15</w:t>
        </w:r>
        <w:r w:rsidR="00A94AB4">
          <w:rPr>
            <w:noProof/>
            <w:webHidden/>
          </w:rPr>
          <w:fldChar w:fldCharType="end"/>
        </w:r>
      </w:hyperlink>
    </w:p>
    <w:p w14:paraId="41969B60" w14:textId="7A56221B" w:rsidR="00A94AB4" w:rsidRDefault="00D5744E">
      <w:pPr>
        <w:pStyle w:val="TableofFigures"/>
        <w:tabs>
          <w:tab w:val="right" w:leader="dot" w:pos="8302"/>
        </w:tabs>
        <w:rPr>
          <w:rFonts w:asciiTheme="minorHAnsi" w:eastAsiaTheme="minorEastAsia" w:hAnsiTheme="minorHAnsi"/>
          <w:noProof/>
          <w:color w:val="auto"/>
          <w:lang w:eastAsia="el-GR"/>
        </w:rPr>
      </w:pPr>
      <w:hyperlink w:anchor="_Toc73435793" w:history="1">
        <w:r w:rsidR="00A94AB4" w:rsidRPr="000D1607">
          <w:rPr>
            <w:rStyle w:val="Hyperlink"/>
            <w:rFonts w:cs="Times New Roman"/>
            <w:noProof/>
          </w:rPr>
          <w:t>Διάγραμμα 7:</w:t>
        </w:r>
        <w:r w:rsidR="00A94AB4" w:rsidRPr="000D1607">
          <w:rPr>
            <w:rStyle w:val="Hyperlink"/>
            <w:noProof/>
            <w:kern w:val="24"/>
            <w:lang w:eastAsia="el-GR"/>
          </w:rPr>
          <w:t xml:space="preserve"> </w:t>
        </w:r>
        <w:r w:rsidR="00A94AB4" w:rsidRPr="000D1607">
          <w:rPr>
            <w:rStyle w:val="Hyperlink"/>
            <w:rFonts w:eastAsia="Calibri" w:cs="Times New Roman"/>
            <w:iCs/>
            <w:noProof/>
          </w:rPr>
          <w:t>Εξέλιξη εργατικού δυναμικού, απασχόλησης και ποσοστού ανεργίας</w:t>
        </w:r>
        <w:r w:rsidR="00A94AB4">
          <w:rPr>
            <w:noProof/>
            <w:webHidden/>
          </w:rPr>
          <w:tab/>
        </w:r>
        <w:r w:rsidR="00A94AB4">
          <w:rPr>
            <w:noProof/>
            <w:webHidden/>
          </w:rPr>
          <w:fldChar w:fldCharType="begin"/>
        </w:r>
        <w:r w:rsidR="00A94AB4">
          <w:rPr>
            <w:noProof/>
            <w:webHidden/>
          </w:rPr>
          <w:instrText xml:space="preserve"> PAGEREF _Toc73435793 \h </w:instrText>
        </w:r>
        <w:r w:rsidR="00A94AB4">
          <w:rPr>
            <w:noProof/>
            <w:webHidden/>
          </w:rPr>
        </w:r>
        <w:r w:rsidR="00A94AB4">
          <w:rPr>
            <w:noProof/>
            <w:webHidden/>
          </w:rPr>
          <w:fldChar w:fldCharType="separate"/>
        </w:r>
        <w:r w:rsidR="00CC05A7">
          <w:rPr>
            <w:noProof/>
            <w:webHidden/>
          </w:rPr>
          <w:t>16</w:t>
        </w:r>
        <w:r w:rsidR="00A94AB4">
          <w:rPr>
            <w:noProof/>
            <w:webHidden/>
          </w:rPr>
          <w:fldChar w:fldCharType="end"/>
        </w:r>
      </w:hyperlink>
    </w:p>
    <w:p w14:paraId="49D37709" w14:textId="7A9ED463" w:rsidR="00A94AB4" w:rsidRDefault="00D5744E">
      <w:pPr>
        <w:pStyle w:val="TableofFigures"/>
        <w:tabs>
          <w:tab w:val="right" w:leader="dot" w:pos="8302"/>
        </w:tabs>
        <w:rPr>
          <w:rFonts w:asciiTheme="minorHAnsi" w:eastAsiaTheme="minorEastAsia" w:hAnsiTheme="minorHAnsi"/>
          <w:noProof/>
          <w:color w:val="auto"/>
          <w:lang w:eastAsia="el-GR"/>
        </w:rPr>
      </w:pPr>
      <w:hyperlink w:anchor="_Toc73435794" w:history="1">
        <w:r w:rsidR="00A94AB4" w:rsidRPr="000D1607">
          <w:rPr>
            <w:rStyle w:val="Hyperlink"/>
            <w:iCs/>
            <w:noProof/>
          </w:rPr>
          <w:t xml:space="preserve">Διάγραμμα 8: </w:t>
        </w:r>
        <w:r w:rsidR="00A94AB4" w:rsidRPr="000D1607">
          <w:rPr>
            <w:rStyle w:val="Hyperlink"/>
            <w:noProof/>
          </w:rPr>
          <w:t>Ισοζύγιο τρεχουσών συναλλαγών (εκατ. ευρώ)</w:t>
        </w:r>
        <w:r w:rsidR="00A94AB4">
          <w:rPr>
            <w:noProof/>
            <w:webHidden/>
          </w:rPr>
          <w:tab/>
        </w:r>
        <w:r w:rsidR="00A94AB4">
          <w:rPr>
            <w:noProof/>
            <w:webHidden/>
          </w:rPr>
          <w:fldChar w:fldCharType="begin"/>
        </w:r>
        <w:r w:rsidR="00A94AB4">
          <w:rPr>
            <w:noProof/>
            <w:webHidden/>
          </w:rPr>
          <w:instrText xml:space="preserve"> PAGEREF _Toc73435794 \h </w:instrText>
        </w:r>
        <w:r w:rsidR="00A94AB4">
          <w:rPr>
            <w:noProof/>
            <w:webHidden/>
          </w:rPr>
        </w:r>
        <w:r w:rsidR="00A94AB4">
          <w:rPr>
            <w:noProof/>
            <w:webHidden/>
          </w:rPr>
          <w:fldChar w:fldCharType="separate"/>
        </w:r>
        <w:r w:rsidR="00CC05A7">
          <w:rPr>
            <w:noProof/>
            <w:webHidden/>
          </w:rPr>
          <w:t>18</w:t>
        </w:r>
        <w:r w:rsidR="00A94AB4">
          <w:rPr>
            <w:noProof/>
            <w:webHidden/>
          </w:rPr>
          <w:fldChar w:fldCharType="end"/>
        </w:r>
      </w:hyperlink>
    </w:p>
    <w:p w14:paraId="508A60D8" w14:textId="48103944" w:rsidR="00A94AB4" w:rsidRDefault="00D5744E">
      <w:pPr>
        <w:pStyle w:val="TableofFigures"/>
        <w:tabs>
          <w:tab w:val="right" w:leader="dot" w:pos="8302"/>
        </w:tabs>
        <w:rPr>
          <w:rFonts w:asciiTheme="minorHAnsi" w:eastAsiaTheme="minorEastAsia" w:hAnsiTheme="minorHAnsi"/>
          <w:noProof/>
          <w:color w:val="auto"/>
          <w:lang w:eastAsia="el-GR"/>
        </w:rPr>
      </w:pPr>
      <w:hyperlink w:anchor="_Toc73435795" w:history="1">
        <w:r w:rsidR="00A94AB4" w:rsidRPr="000D1607">
          <w:rPr>
            <w:rStyle w:val="Hyperlink"/>
            <w:iCs/>
            <w:noProof/>
          </w:rPr>
          <w:t xml:space="preserve">Διάγραμμα 9: </w:t>
        </w:r>
        <w:r w:rsidR="00A94AB4" w:rsidRPr="000D1607">
          <w:rPr>
            <w:rStyle w:val="Hyperlink"/>
            <w:noProof/>
          </w:rPr>
          <w:t>Ισοζύγιο αγαθών (εκατ. ευρώ)</w:t>
        </w:r>
        <w:r w:rsidR="00A94AB4">
          <w:rPr>
            <w:noProof/>
            <w:webHidden/>
          </w:rPr>
          <w:tab/>
        </w:r>
        <w:r w:rsidR="00A94AB4">
          <w:rPr>
            <w:noProof/>
            <w:webHidden/>
          </w:rPr>
          <w:fldChar w:fldCharType="begin"/>
        </w:r>
        <w:r w:rsidR="00A94AB4">
          <w:rPr>
            <w:noProof/>
            <w:webHidden/>
          </w:rPr>
          <w:instrText xml:space="preserve"> PAGEREF _Toc73435795 \h </w:instrText>
        </w:r>
        <w:r w:rsidR="00A94AB4">
          <w:rPr>
            <w:noProof/>
            <w:webHidden/>
          </w:rPr>
        </w:r>
        <w:r w:rsidR="00A94AB4">
          <w:rPr>
            <w:noProof/>
            <w:webHidden/>
          </w:rPr>
          <w:fldChar w:fldCharType="separate"/>
        </w:r>
        <w:r w:rsidR="00CC05A7">
          <w:rPr>
            <w:noProof/>
            <w:webHidden/>
          </w:rPr>
          <w:t>18</w:t>
        </w:r>
        <w:r w:rsidR="00A94AB4">
          <w:rPr>
            <w:noProof/>
            <w:webHidden/>
          </w:rPr>
          <w:fldChar w:fldCharType="end"/>
        </w:r>
      </w:hyperlink>
    </w:p>
    <w:p w14:paraId="67B230BB" w14:textId="746C220D" w:rsidR="00A94AB4" w:rsidRDefault="00D5744E">
      <w:pPr>
        <w:pStyle w:val="TableofFigures"/>
        <w:tabs>
          <w:tab w:val="right" w:leader="dot" w:pos="8302"/>
        </w:tabs>
        <w:rPr>
          <w:rFonts w:asciiTheme="minorHAnsi" w:eastAsiaTheme="minorEastAsia" w:hAnsiTheme="minorHAnsi"/>
          <w:noProof/>
          <w:color w:val="auto"/>
          <w:lang w:eastAsia="el-GR"/>
        </w:rPr>
      </w:pPr>
      <w:hyperlink w:anchor="_Toc73435796" w:history="1">
        <w:r w:rsidR="00A94AB4" w:rsidRPr="000D1607">
          <w:rPr>
            <w:rStyle w:val="Hyperlink"/>
            <w:iCs/>
            <w:noProof/>
          </w:rPr>
          <w:t xml:space="preserve">Διάγραμμα 10: </w:t>
        </w:r>
        <w:r w:rsidR="00A94AB4" w:rsidRPr="000D1607">
          <w:rPr>
            <w:rStyle w:val="Hyperlink"/>
            <w:noProof/>
          </w:rPr>
          <w:t>Εισαγωγές και εξαγωγές αγαθών (εκατ. ευρώ)</w:t>
        </w:r>
        <w:r w:rsidR="00A94AB4">
          <w:rPr>
            <w:noProof/>
            <w:webHidden/>
          </w:rPr>
          <w:tab/>
        </w:r>
        <w:r w:rsidR="00A94AB4">
          <w:rPr>
            <w:noProof/>
            <w:webHidden/>
          </w:rPr>
          <w:fldChar w:fldCharType="begin"/>
        </w:r>
        <w:r w:rsidR="00A94AB4">
          <w:rPr>
            <w:noProof/>
            <w:webHidden/>
          </w:rPr>
          <w:instrText xml:space="preserve"> PAGEREF _Toc73435796 \h </w:instrText>
        </w:r>
        <w:r w:rsidR="00A94AB4">
          <w:rPr>
            <w:noProof/>
            <w:webHidden/>
          </w:rPr>
        </w:r>
        <w:r w:rsidR="00A94AB4">
          <w:rPr>
            <w:noProof/>
            <w:webHidden/>
          </w:rPr>
          <w:fldChar w:fldCharType="separate"/>
        </w:r>
        <w:r w:rsidR="00CC05A7">
          <w:rPr>
            <w:noProof/>
            <w:webHidden/>
          </w:rPr>
          <w:t>19</w:t>
        </w:r>
        <w:r w:rsidR="00A94AB4">
          <w:rPr>
            <w:noProof/>
            <w:webHidden/>
          </w:rPr>
          <w:fldChar w:fldCharType="end"/>
        </w:r>
      </w:hyperlink>
    </w:p>
    <w:p w14:paraId="3A047636" w14:textId="4400CC78" w:rsidR="00A94AB4" w:rsidRDefault="00D5744E">
      <w:pPr>
        <w:pStyle w:val="TableofFigures"/>
        <w:tabs>
          <w:tab w:val="right" w:leader="dot" w:pos="8302"/>
        </w:tabs>
        <w:rPr>
          <w:rFonts w:asciiTheme="minorHAnsi" w:eastAsiaTheme="minorEastAsia" w:hAnsiTheme="minorHAnsi"/>
          <w:noProof/>
          <w:color w:val="auto"/>
          <w:lang w:eastAsia="el-GR"/>
        </w:rPr>
      </w:pPr>
      <w:hyperlink w:anchor="_Toc73435797" w:history="1">
        <w:r w:rsidR="00A94AB4" w:rsidRPr="000D1607">
          <w:rPr>
            <w:rStyle w:val="Hyperlink"/>
            <w:iCs/>
            <w:noProof/>
          </w:rPr>
          <w:t xml:space="preserve">Διάγραμμα 11: </w:t>
        </w:r>
        <w:r w:rsidR="00A94AB4" w:rsidRPr="000D1607">
          <w:rPr>
            <w:rStyle w:val="Hyperlink"/>
            <w:noProof/>
          </w:rPr>
          <w:t>Ισοζύγιο υπηρεσιών (εκατ. ευρώ)</w:t>
        </w:r>
        <w:r w:rsidR="00A94AB4">
          <w:rPr>
            <w:noProof/>
            <w:webHidden/>
          </w:rPr>
          <w:tab/>
        </w:r>
        <w:r w:rsidR="00A94AB4">
          <w:rPr>
            <w:noProof/>
            <w:webHidden/>
          </w:rPr>
          <w:fldChar w:fldCharType="begin"/>
        </w:r>
        <w:r w:rsidR="00A94AB4">
          <w:rPr>
            <w:noProof/>
            <w:webHidden/>
          </w:rPr>
          <w:instrText xml:space="preserve"> PAGEREF _Toc73435797 \h </w:instrText>
        </w:r>
        <w:r w:rsidR="00A94AB4">
          <w:rPr>
            <w:noProof/>
            <w:webHidden/>
          </w:rPr>
        </w:r>
        <w:r w:rsidR="00A94AB4">
          <w:rPr>
            <w:noProof/>
            <w:webHidden/>
          </w:rPr>
          <w:fldChar w:fldCharType="separate"/>
        </w:r>
        <w:r w:rsidR="00CC05A7">
          <w:rPr>
            <w:noProof/>
            <w:webHidden/>
          </w:rPr>
          <w:t>19</w:t>
        </w:r>
        <w:r w:rsidR="00A94AB4">
          <w:rPr>
            <w:noProof/>
            <w:webHidden/>
          </w:rPr>
          <w:fldChar w:fldCharType="end"/>
        </w:r>
      </w:hyperlink>
    </w:p>
    <w:p w14:paraId="5837CE42" w14:textId="35C99C6A" w:rsidR="00A94AB4" w:rsidRDefault="00D5744E">
      <w:pPr>
        <w:pStyle w:val="TableofFigures"/>
        <w:tabs>
          <w:tab w:val="right" w:leader="dot" w:pos="8302"/>
        </w:tabs>
        <w:rPr>
          <w:rFonts w:asciiTheme="minorHAnsi" w:eastAsiaTheme="minorEastAsia" w:hAnsiTheme="minorHAnsi"/>
          <w:noProof/>
          <w:color w:val="auto"/>
          <w:lang w:eastAsia="el-GR"/>
        </w:rPr>
      </w:pPr>
      <w:hyperlink w:anchor="_Toc73435798" w:history="1">
        <w:r w:rsidR="00A94AB4" w:rsidRPr="000D1607">
          <w:rPr>
            <w:rStyle w:val="Hyperlink"/>
            <w:iCs/>
            <w:noProof/>
          </w:rPr>
          <w:t xml:space="preserve">Διάγραμμα 12: </w:t>
        </w:r>
        <w:r w:rsidR="00A94AB4" w:rsidRPr="000D1607">
          <w:rPr>
            <w:rStyle w:val="Hyperlink"/>
            <w:noProof/>
          </w:rPr>
          <w:t>Ταξιδιωτικές εισπράξεις (εκατ. ευρώ)</w:t>
        </w:r>
        <w:r w:rsidR="00A94AB4">
          <w:rPr>
            <w:noProof/>
            <w:webHidden/>
          </w:rPr>
          <w:tab/>
        </w:r>
        <w:r w:rsidR="00A94AB4">
          <w:rPr>
            <w:noProof/>
            <w:webHidden/>
          </w:rPr>
          <w:fldChar w:fldCharType="begin"/>
        </w:r>
        <w:r w:rsidR="00A94AB4">
          <w:rPr>
            <w:noProof/>
            <w:webHidden/>
          </w:rPr>
          <w:instrText xml:space="preserve"> PAGEREF _Toc73435798 \h </w:instrText>
        </w:r>
        <w:r w:rsidR="00A94AB4">
          <w:rPr>
            <w:noProof/>
            <w:webHidden/>
          </w:rPr>
        </w:r>
        <w:r w:rsidR="00A94AB4">
          <w:rPr>
            <w:noProof/>
            <w:webHidden/>
          </w:rPr>
          <w:fldChar w:fldCharType="separate"/>
        </w:r>
        <w:r w:rsidR="00CC05A7">
          <w:rPr>
            <w:noProof/>
            <w:webHidden/>
          </w:rPr>
          <w:t>20</w:t>
        </w:r>
        <w:r w:rsidR="00A94AB4">
          <w:rPr>
            <w:noProof/>
            <w:webHidden/>
          </w:rPr>
          <w:fldChar w:fldCharType="end"/>
        </w:r>
      </w:hyperlink>
    </w:p>
    <w:p w14:paraId="6FF08F3E" w14:textId="2E90FF86" w:rsidR="00A94AB4" w:rsidRDefault="00D5744E">
      <w:pPr>
        <w:pStyle w:val="TableofFigures"/>
        <w:tabs>
          <w:tab w:val="right" w:leader="dot" w:pos="8302"/>
        </w:tabs>
        <w:rPr>
          <w:rFonts w:asciiTheme="minorHAnsi" w:eastAsiaTheme="minorEastAsia" w:hAnsiTheme="minorHAnsi"/>
          <w:noProof/>
          <w:color w:val="auto"/>
          <w:lang w:eastAsia="el-GR"/>
        </w:rPr>
      </w:pPr>
      <w:hyperlink w:anchor="_Toc73435799" w:history="1">
        <w:r w:rsidR="00A94AB4" w:rsidRPr="000D1607">
          <w:rPr>
            <w:rStyle w:val="Hyperlink"/>
            <w:iCs/>
            <w:noProof/>
          </w:rPr>
          <w:t xml:space="preserve">Διάγραμμα 13: </w:t>
        </w:r>
        <w:r w:rsidR="00A94AB4" w:rsidRPr="000D1607">
          <w:rPr>
            <w:rStyle w:val="Hyperlink"/>
            <w:noProof/>
          </w:rPr>
          <w:t>Άμεσες ξένες επενδύσεις (εκατ. ευρώ)</w:t>
        </w:r>
        <w:r w:rsidR="00A94AB4">
          <w:rPr>
            <w:noProof/>
            <w:webHidden/>
          </w:rPr>
          <w:tab/>
        </w:r>
        <w:r w:rsidR="00A94AB4">
          <w:rPr>
            <w:noProof/>
            <w:webHidden/>
          </w:rPr>
          <w:fldChar w:fldCharType="begin"/>
        </w:r>
        <w:r w:rsidR="00A94AB4">
          <w:rPr>
            <w:noProof/>
            <w:webHidden/>
          </w:rPr>
          <w:instrText xml:space="preserve"> PAGEREF _Toc73435799 \h </w:instrText>
        </w:r>
        <w:r w:rsidR="00A94AB4">
          <w:rPr>
            <w:noProof/>
            <w:webHidden/>
          </w:rPr>
        </w:r>
        <w:r w:rsidR="00A94AB4">
          <w:rPr>
            <w:noProof/>
            <w:webHidden/>
          </w:rPr>
          <w:fldChar w:fldCharType="separate"/>
        </w:r>
        <w:r w:rsidR="00CC05A7">
          <w:rPr>
            <w:noProof/>
            <w:webHidden/>
          </w:rPr>
          <w:t>21</w:t>
        </w:r>
        <w:r w:rsidR="00A94AB4">
          <w:rPr>
            <w:noProof/>
            <w:webHidden/>
          </w:rPr>
          <w:fldChar w:fldCharType="end"/>
        </w:r>
      </w:hyperlink>
    </w:p>
    <w:p w14:paraId="7AB4327C" w14:textId="35D43502" w:rsidR="00A94AB4" w:rsidRDefault="00D5744E">
      <w:pPr>
        <w:pStyle w:val="TableofFigures"/>
        <w:tabs>
          <w:tab w:val="right" w:leader="dot" w:pos="8302"/>
        </w:tabs>
        <w:rPr>
          <w:rFonts w:asciiTheme="minorHAnsi" w:eastAsiaTheme="minorEastAsia" w:hAnsiTheme="minorHAnsi"/>
          <w:noProof/>
          <w:color w:val="auto"/>
          <w:lang w:eastAsia="el-GR"/>
        </w:rPr>
      </w:pPr>
      <w:hyperlink w:anchor="_Toc73435800" w:history="1">
        <w:r w:rsidR="00A94AB4" w:rsidRPr="000D1607">
          <w:rPr>
            <w:rStyle w:val="Hyperlink"/>
            <w:iCs/>
            <w:noProof/>
          </w:rPr>
          <w:t>Διάγραμμα 14:</w:t>
        </w:r>
        <w:r w:rsidR="00A94AB4" w:rsidRPr="000D1607">
          <w:rPr>
            <w:rStyle w:val="Hyperlink"/>
            <w:noProof/>
          </w:rPr>
          <w:t xml:space="preserve"> Μη εξυπηρετούμενα δάνεια (σε δισ. ευρώ –και ως % επί του συνόλου)</w:t>
        </w:r>
        <w:r w:rsidR="00A94AB4">
          <w:rPr>
            <w:noProof/>
            <w:webHidden/>
          </w:rPr>
          <w:tab/>
        </w:r>
        <w:r w:rsidR="00A94AB4">
          <w:rPr>
            <w:noProof/>
            <w:webHidden/>
          </w:rPr>
          <w:fldChar w:fldCharType="begin"/>
        </w:r>
        <w:r w:rsidR="00A94AB4">
          <w:rPr>
            <w:noProof/>
            <w:webHidden/>
          </w:rPr>
          <w:instrText xml:space="preserve"> PAGEREF _Toc73435800 \h </w:instrText>
        </w:r>
        <w:r w:rsidR="00A94AB4">
          <w:rPr>
            <w:noProof/>
            <w:webHidden/>
          </w:rPr>
        </w:r>
        <w:r w:rsidR="00A94AB4">
          <w:rPr>
            <w:noProof/>
            <w:webHidden/>
          </w:rPr>
          <w:fldChar w:fldCharType="separate"/>
        </w:r>
        <w:r w:rsidR="00CC05A7">
          <w:rPr>
            <w:noProof/>
            <w:webHidden/>
          </w:rPr>
          <w:t>22</w:t>
        </w:r>
        <w:r w:rsidR="00A94AB4">
          <w:rPr>
            <w:noProof/>
            <w:webHidden/>
          </w:rPr>
          <w:fldChar w:fldCharType="end"/>
        </w:r>
      </w:hyperlink>
    </w:p>
    <w:p w14:paraId="6E01ADB7" w14:textId="5A468EA0" w:rsidR="00A94AB4" w:rsidRDefault="00D5744E">
      <w:pPr>
        <w:pStyle w:val="TableofFigures"/>
        <w:tabs>
          <w:tab w:val="right" w:leader="dot" w:pos="8302"/>
        </w:tabs>
        <w:rPr>
          <w:rFonts w:asciiTheme="minorHAnsi" w:eastAsiaTheme="minorEastAsia" w:hAnsiTheme="minorHAnsi"/>
          <w:noProof/>
          <w:color w:val="auto"/>
          <w:lang w:eastAsia="el-GR"/>
        </w:rPr>
      </w:pPr>
      <w:hyperlink w:anchor="_Toc73435801" w:history="1">
        <w:r w:rsidR="00A94AB4" w:rsidRPr="000D1607">
          <w:rPr>
            <w:rStyle w:val="Hyperlink"/>
            <w:iCs/>
            <w:noProof/>
          </w:rPr>
          <w:t>Διάγραμμα 15:</w:t>
        </w:r>
        <w:r w:rsidR="00A94AB4" w:rsidRPr="000D1607">
          <w:rPr>
            <w:rStyle w:val="Hyperlink"/>
            <w:noProof/>
          </w:rPr>
          <w:t xml:space="preserve"> Μη εξυπηρετούμενα δάνεια ανά κατηγορία (ως % επί του συνόλου της κατηγορίας)</w:t>
        </w:r>
        <w:r w:rsidR="00A94AB4">
          <w:rPr>
            <w:noProof/>
            <w:webHidden/>
          </w:rPr>
          <w:tab/>
        </w:r>
        <w:r w:rsidR="00A94AB4">
          <w:rPr>
            <w:noProof/>
            <w:webHidden/>
          </w:rPr>
          <w:fldChar w:fldCharType="begin"/>
        </w:r>
        <w:r w:rsidR="00A94AB4">
          <w:rPr>
            <w:noProof/>
            <w:webHidden/>
          </w:rPr>
          <w:instrText xml:space="preserve"> PAGEREF _Toc73435801 \h </w:instrText>
        </w:r>
        <w:r w:rsidR="00A94AB4">
          <w:rPr>
            <w:noProof/>
            <w:webHidden/>
          </w:rPr>
        </w:r>
        <w:r w:rsidR="00A94AB4">
          <w:rPr>
            <w:noProof/>
            <w:webHidden/>
          </w:rPr>
          <w:fldChar w:fldCharType="separate"/>
        </w:r>
        <w:r w:rsidR="00CC05A7">
          <w:rPr>
            <w:noProof/>
            <w:webHidden/>
          </w:rPr>
          <w:t>23</w:t>
        </w:r>
        <w:r w:rsidR="00A94AB4">
          <w:rPr>
            <w:noProof/>
            <w:webHidden/>
          </w:rPr>
          <w:fldChar w:fldCharType="end"/>
        </w:r>
      </w:hyperlink>
    </w:p>
    <w:p w14:paraId="51722A42" w14:textId="5AFD24EF" w:rsidR="00A94AB4" w:rsidRDefault="00D5744E">
      <w:pPr>
        <w:pStyle w:val="TableofFigures"/>
        <w:tabs>
          <w:tab w:val="right" w:leader="dot" w:pos="8302"/>
        </w:tabs>
        <w:rPr>
          <w:rFonts w:asciiTheme="minorHAnsi" w:eastAsiaTheme="minorEastAsia" w:hAnsiTheme="minorHAnsi"/>
          <w:noProof/>
          <w:color w:val="auto"/>
          <w:lang w:eastAsia="el-GR"/>
        </w:rPr>
      </w:pPr>
      <w:hyperlink w:anchor="_Toc73435802" w:history="1">
        <w:r w:rsidR="00A94AB4" w:rsidRPr="000D1607">
          <w:rPr>
            <w:rStyle w:val="Hyperlink"/>
            <w:rFonts w:cs="Times New Roman"/>
            <w:noProof/>
          </w:rPr>
          <w:t>Διάγραμμα 16:</w:t>
        </w:r>
        <w:r w:rsidR="00A94AB4" w:rsidRPr="000D1607">
          <w:rPr>
            <w:rStyle w:val="Hyperlink"/>
            <w:noProof/>
            <w:kern w:val="24"/>
            <w:lang w:eastAsia="el-GR"/>
          </w:rPr>
          <w:t xml:space="preserve"> </w:t>
        </w:r>
        <w:r w:rsidR="00A94AB4" w:rsidRPr="000D1607">
          <w:rPr>
            <w:rStyle w:val="Hyperlink"/>
            <w:noProof/>
          </w:rPr>
          <w:t>Εναρμονισμένος Δείκτης Τιμών Καταναλωτή (ετήσιες % μεταβολές)</w:t>
        </w:r>
        <w:r w:rsidR="00A94AB4">
          <w:rPr>
            <w:noProof/>
            <w:webHidden/>
          </w:rPr>
          <w:tab/>
        </w:r>
        <w:r w:rsidR="00A94AB4">
          <w:rPr>
            <w:noProof/>
            <w:webHidden/>
          </w:rPr>
          <w:fldChar w:fldCharType="begin"/>
        </w:r>
        <w:r w:rsidR="00A94AB4">
          <w:rPr>
            <w:noProof/>
            <w:webHidden/>
          </w:rPr>
          <w:instrText xml:space="preserve"> PAGEREF _Toc73435802 \h </w:instrText>
        </w:r>
        <w:r w:rsidR="00A94AB4">
          <w:rPr>
            <w:noProof/>
            <w:webHidden/>
          </w:rPr>
        </w:r>
        <w:r w:rsidR="00A94AB4">
          <w:rPr>
            <w:noProof/>
            <w:webHidden/>
          </w:rPr>
          <w:fldChar w:fldCharType="separate"/>
        </w:r>
        <w:r w:rsidR="00CC05A7">
          <w:rPr>
            <w:noProof/>
            <w:webHidden/>
          </w:rPr>
          <w:t>25</w:t>
        </w:r>
        <w:r w:rsidR="00A94AB4">
          <w:rPr>
            <w:noProof/>
            <w:webHidden/>
          </w:rPr>
          <w:fldChar w:fldCharType="end"/>
        </w:r>
      </w:hyperlink>
    </w:p>
    <w:p w14:paraId="23CC0BA8" w14:textId="664B4715" w:rsidR="00A94AB4" w:rsidRDefault="00D5744E">
      <w:pPr>
        <w:pStyle w:val="TableofFigures"/>
        <w:tabs>
          <w:tab w:val="right" w:leader="dot" w:pos="8302"/>
        </w:tabs>
        <w:rPr>
          <w:rFonts w:asciiTheme="minorHAnsi" w:eastAsiaTheme="minorEastAsia" w:hAnsiTheme="minorHAnsi"/>
          <w:noProof/>
          <w:color w:val="auto"/>
          <w:lang w:eastAsia="el-GR"/>
        </w:rPr>
      </w:pPr>
      <w:hyperlink w:anchor="_Toc73435803" w:history="1">
        <w:r w:rsidR="00A94AB4" w:rsidRPr="000D1607">
          <w:rPr>
            <w:rStyle w:val="Hyperlink"/>
            <w:rFonts w:cs="Times New Roman"/>
            <w:noProof/>
          </w:rPr>
          <w:t>Διάγραμμα 17:</w:t>
        </w:r>
        <w:r w:rsidR="00A94AB4" w:rsidRPr="000D1607">
          <w:rPr>
            <w:rStyle w:val="Hyperlink"/>
            <w:noProof/>
            <w:kern w:val="24"/>
            <w:lang w:eastAsia="el-GR"/>
          </w:rPr>
          <w:t xml:space="preserve"> </w:t>
        </w:r>
        <w:r w:rsidR="00A94AB4" w:rsidRPr="000D1607">
          <w:rPr>
            <w:rStyle w:val="Hyperlink"/>
            <w:noProof/>
          </w:rPr>
          <w:t>Ανάλυση μεταβολής Εν.ΔΤΚ Απριλίου 2021 (ετήσιες % μεταβολές)</w:t>
        </w:r>
        <w:r w:rsidR="00A94AB4">
          <w:rPr>
            <w:noProof/>
            <w:webHidden/>
          </w:rPr>
          <w:tab/>
        </w:r>
        <w:r w:rsidR="00A94AB4">
          <w:rPr>
            <w:noProof/>
            <w:webHidden/>
          </w:rPr>
          <w:fldChar w:fldCharType="begin"/>
        </w:r>
        <w:r w:rsidR="00A94AB4">
          <w:rPr>
            <w:noProof/>
            <w:webHidden/>
          </w:rPr>
          <w:instrText xml:space="preserve"> PAGEREF _Toc73435803 \h </w:instrText>
        </w:r>
        <w:r w:rsidR="00A94AB4">
          <w:rPr>
            <w:noProof/>
            <w:webHidden/>
          </w:rPr>
        </w:r>
        <w:r w:rsidR="00A94AB4">
          <w:rPr>
            <w:noProof/>
            <w:webHidden/>
          </w:rPr>
          <w:fldChar w:fldCharType="separate"/>
        </w:r>
        <w:r w:rsidR="00CC05A7">
          <w:rPr>
            <w:noProof/>
            <w:webHidden/>
          </w:rPr>
          <w:t>26</w:t>
        </w:r>
        <w:r w:rsidR="00A94AB4">
          <w:rPr>
            <w:noProof/>
            <w:webHidden/>
          </w:rPr>
          <w:fldChar w:fldCharType="end"/>
        </w:r>
      </w:hyperlink>
    </w:p>
    <w:p w14:paraId="65E7F22A" w14:textId="2F92D525" w:rsidR="00A94AB4" w:rsidRDefault="00D5744E">
      <w:pPr>
        <w:pStyle w:val="TableofFigures"/>
        <w:tabs>
          <w:tab w:val="right" w:leader="dot" w:pos="8302"/>
        </w:tabs>
        <w:rPr>
          <w:rFonts w:asciiTheme="minorHAnsi" w:eastAsiaTheme="minorEastAsia" w:hAnsiTheme="minorHAnsi"/>
          <w:noProof/>
          <w:color w:val="auto"/>
          <w:lang w:eastAsia="el-GR"/>
        </w:rPr>
      </w:pPr>
      <w:hyperlink w:anchor="_Toc73435804" w:history="1">
        <w:r w:rsidR="00A94AB4" w:rsidRPr="000D1607">
          <w:rPr>
            <w:rStyle w:val="Hyperlink"/>
            <w:iCs/>
            <w:noProof/>
          </w:rPr>
          <w:t xml:space="preserve">Διάγραμμα 18: </w:t>
        </w:r>
        <w:r w:rsidR="00A94AB4" w:rsidRPr="000D1607">
          <w:rPr>
            <w:rStyle w:val="Hyperlink"/>
            <w:noProof/>
          </w:rPr>
          <w:t>Ισοζύγιο τρεχουσών συναλλαγών Ιανουαρίου-Φεβρουαρίου (εκατ. ευρώ)</w:t>
        </w:r>
        <w:r w:rsidR="00A94AB4">
          <w:rPr>
            <w:noProof/>
            <w:webHidden/>
          </w:rPr>
          <w:tab/>
        </w:r>
        <w:r w:rsidR="00A94AB4">
          <w:rPr>
            <w:noProof/>
            <w:webHidden/>
          </w:rPr>
          <w:fldChar w:fldCharType="begin"/>
        </w:r>
        <w:r w:rsidR="00A94AB4">
          <w:rPr>
            <w:noProof/>
            <w:webHidden/>
          </w:rPr>
          <w:instrText xml:space="preserve"> PAGEREF _Toc73435804 \h </w:instrText>
        </w:r>
        <w:r w:rsidR="00A94AB4">
          <w:rPr>
            <w:noProof/>
            <w:webHidden/>
          </w:rPr>
        </w:r>
        <w:r w:rsidR="00A94AB4">
          <w:rPr>
            <w:noProof/>
            <w:webHidden/>
          </w:rPr>
          <w:fldChar w:fldCharType="separate"/>
        </w:r>
        <w:r w:rsidR="00CC05A7">
          <w:rPr>
            <w:noProof/>
            <w:webHidden/>
          </w:rPr>
          <w:t>27</w:t>
        </w:r>
        <w:r w:rsidR="00A94AB4">
          <w:rPr>
            <w:noProof/>
            <w:webHidden/>
          </w:rPr>
          <w:fldChar w:fldCharType="end"/>
        </w:r>
      </w:hyperlink>
    </w:p>
    <w:p w14:paraId="0E420FB3" w14:textId="543838E7" w:rsidR="00A94AB4" w:rsidRDefault="00D5744E">
      <w:pPr>
        <w:pStyle w:val="TableofFigures"/>
        <w:tabs>
          <w:tab w:val="right" w:leader="dot" w:pos="8302"/>
        </w:tabs>
        <w:rPr>
          <w:rFonts w:asciiTheme="minorHAnsi" w:eastAsiaTheme="minorEastAsia" w:hAnsiTheme="minorHAnsi"/>
          <w:noProof/>
          <w:color w:val="auto"/>
          <w:lang w:eastAsia="el-GR"/>
        </w:rPr>
      </w:pPr>
      <w:hyperlink w:anchor="_Toc73435805" w:history="1">
        <w:r w:rsidR="00A94AB4" w:rsidRPr="000D1607">
          <w:rPr>
            <w:rStyle w:val="Hyperlink"/>
            <w:iCs/>
            <w:noProof/>
          </w:rPr>
          <w:t xml:space="preserve">Διάγραμμα 19: </w:t>
        </w:r>
        <w:r w:rsidR="00A94AB4" w:rsidRPr="000D1607">
          <w:rPr>
            <w:rStyle w:val="Hyperlink"/>
            <w:noProof/>
          </w:rPr>
          <w:t>Δείκτες οικονομικού κλίματος και καταναλωτικής εμπιστοσύνης</w:t>
        </w:r>
        <w:r w:rsidR="00A94AB4">
          <w:rPr>
            <w:noProof/>
            <w:webHidden/>
          </w:rPr>
          <w:tab/>
        </w:r>
        <w:r w:rsidR="00A94AB4">
          <w:rPr>
            <w:noProof/>
            <w:webHidden/>
          </w:rPr>
          <w:fldChar w:fldCharType="begin"/>
        </w:r>
        <w:r w:rsidR="00A94AB4">
          <w:rPr>
            <w:noProof/>
            <w:webHidden/>
          </w:rPr>
          <w:instrText xml:space="preserve"> PAGEREF _Toc73435805 \h </w:instrText>
        </w:r>
        <w:r w:rsidR="00A94AB4">
          <w:rPr>
            <w:noProof/>
            <w:webHidden/>
          </w:rPr>
        </w:r>
        <w:r w:rsidR="00A94AB4">
          <w:rPr>
            <w:noProof/>
            <w:webHidden/>
          </w:rPr>
          <w:fldChar w:fldCharType="separate"/>
        </w:r>
        <w:r w:rsidR="00CC05A7">
          <w:rPr>
            <w:noProof/>
            <w:webHidden/>
          </w:rPr>
          <w:t>29</w:t>
        </w:r>
        <w:r w:rsidR="00A94AB4">
          <w:rPr>
            <w:noProof/>
            <w:webHidden/>
          </w:rPr>
          <w:fldChar w:fldCharType="end"/>
        </w:r>
      </w:hyperlink>
    </w:p>
    <w:p w14:paraId="176102B9" w14:textId="71125132" w:rsidR="00A94AB4" w:rsidRDefault="00D5744E">
      <w:pPr>
        <w:pStyle w:val="TableofFigures"/>
        <w:tabs>
          <w:tab w:val="right" w:leader="dot" w:pos="8302"/>
        </w:tabs>
        <w:rPr>
          <w:rFonts w:asciiTheme="minorHAnsi" w:eastAsiaTheme="minorEastAsia" w:hAnsiTheme="minorHAnsi"/>
          <w:noProof/>
          <w:color w:val="auto"/>
          <w:lang w:eastAsia="el-GR"/>
        </w:rPr>
      </w:pPr>
      <w:hyperlink w:anchor="_Toc73435806" w:history="1">
        <w:r w:rsidR="00A94AB4" w:rsidRPr="000D1607">
          <w:rPr>
            <w:rStyle w:val="Hyperlink"/>
            <w:noProof/>
          </w:rPr>
          <w:t xml:space="preserve">Διάγραμμα 20: Δείκτης Υπευθύνων Προμηθειών στη Μεταποίηση </w:t>
        </w:r>
        <w:r w:rsidR="00A94AB4" w:rsidRPr="000D1607">
          <w:rPr>
            <w:rStyle w:val="Hyperlink"/>
            <w:noProof/>
            <w:lang w:val="en-US"/>
          </w:rPr>
          <w:t>PMI</w:t>
        </w:r>
        <w:r w:rsidR="00A94AB4">
          <w:rPr>
            <w:noProof/>
            <w:webHidden/>
          </w:rPr>
          <w:tab/>
        </w:r>
        <w:r w:rsidR="00A94AB4">
          <w:rPr>
            <w:noProof/>
            <w:webHidden/>
          </w:rPr>
          <w:fldChar w:fldCharType="begin"/>
        </w:r>
        <w:r w:rsidR="00A94AB4">
          <w:rPr>
            <w:noProof/>
            <w:webHidden/>
          </w:rPr>
          <w:instrText xml:space="preserve"> PAGEREF _Toc73435806 \h </w:instrText>
        </w:r>
        <w:r w:rsidR="00A94AB4">
          <w:rPr>
            <w:noProof/>
            <w:webHidden/>
          </w:rPr>
        </w:r>
        <w:r w:rsidR="00A94AB4">
          <w:rPr>
            <w:noProof/>
            <w:webHidden/>
          </w:rPr>
          <w:fldChar w:fldCharType="separate"/>
        </w:r>
        <w:r w:rsidR="00CC05A7">
          <w:rPr>
            <w:noProof/>
            <w:webHidden/>
          </w:rPr>
          <w:t>29</w:t>
        </w:r>
        <w:r w:rsidR="00A94AB4">
          <w:rPr>
            <w:noProof/>
            <w:webHidden/>
          </w:rPr>
          <w:fldChar w:fldCharType="end"/>
        </w:r>
      </w:hyperlink>
    </w:p>
    <w:p w14:paraId="7FB22BA0" w14:textId="38B443CB" w:rsidR="00A94AB4" w:rsidRDefault="00D5744E">
      <w:pPr>
        <w:pStyle w:val="TableofFigures"/>
        <w:tabs>
          <w:tab w:val="right" w:leader="dot" w:pos="8302"/>
        </w:tabs>
        <w:rPr>
          <w:rFonts w:asciiTheme="minorHAnsi" w:eastAsiaTheme="minorEastAsia" w:hAnsiTheme="minorHAnsi"/>
          <w:noProof/>
          <w:color w:val="auto"/>
          <w:lang w:eastAsia="el-GR"/>
        </w:rPr>
      </w:pPr>
      <w:hyperlink w:anchor="_Toc73435807" w:history="1">
        <w:r w:rsidR="00A94AB4" w:rsidRPr="000D1607">
          <w:rPr>
            <w:rStyle w:val="Hyperlink"/>
            <w:noProof/>
          </w:rPr>
          <w:t>Διάγραμμα 21: Δείκτες Βιομηχανικής Παραγωγής</w:t>
        </w:r>
        <w:r w:rsidR="00A94AB4">
          <w:rPr>
            <w:noProof/>
            <w:webHidden/>
          </w:rPr>
          <w:tab/>
        </w:r>
        <w:r w:rsidR="00A94AB4">
          <w:rPr>
            <w:noProof/>
            <w:webHidden/>
          </w:rPr>
          <w:fldChar w:fldCharType="begin"/>
        </w:r>
        <w:r w:rsidR="00A94AB4">
          <w:rPr>
            <w:noProof/>
            <w:webHidden/>
          </w:rPr>
          <w:instrText xml:space="preserve"> PAGEREF _Toc73435807 \h </w:instrText>
        </w:r>
        <w:r w:rsidR="00A94AB4">
          <w:rPr>
            <w:noProof/>
            <w:webHidden/>
          </w:rPr>
        </w:r>
        <w:r w:rsidR="00A94AB4">
          <w:rPr>
            <w:noProof/>
            <w:webHidden/>
          </w:rPr>
          <w:fldChar w:fldCharType="separate"/>
        </w:r>
        <w:r w:rsidR="00CC05A7">
          <w:rPr>
            <w:noProof/>
            <w:webHidden/>
          </w:rPr>
          <w:t>30</w:t>
        </w:r>
        <w:r w:rsidR="00A94AB4">
          <w:rPr>
            <w:noProof/>
            <w:webHidden/>
          </w:rPr>
          <w:fldChar w:fldCharType="end"/>
        </w:r>
      </w:hyperlink>
    </w:p>
    <w:p w14:paraId="714090B5" w14:textId="7BC03331" w:rsidR="00A94AB4" w:rsidRDefault="00D5744E">
      <w:pPr>
        <w:pStyle w:val="TableofFigures"/>
        <w:tabs>
          <w:tab w:val="right" w:leader="dot" w:pos="8302"/>
        </w:tabs>
        <w:rPr>
          <w:rFonts w:asciiTheme="minorHAnsi" w:eastAsiaTheme="minorEastAsia" w:hAnsiTheme="minorHAnsi"/>
          <w:noProof/>
          <w:color w:val="auto"/>
          <w:lang w:eastAsia="el-GR"/>
        </w:rPr>
      </w:pPr>
      <w:hyperlink w:anchor="_Toc73435808" w:history="1">
        <w:r w:rsidR="00A94AB4" w:rsidRPr="000D1607">
          <w:rPr>
            <w:rStyle w:val="Hyperlink"/>
            <w:noProof/>
          </w:rPr>
          <w:t>Διάγραμμα 22: Υπόλοιπα των καταθέσεων των νοικοκυριών (δισ. ευρώ)</w:t>
        </w:r>
        <w:r w:rsidR="00A94AB4">
          <w:rPr>
            <w:noProof/>
            <w:webHidden/>
          </w:rPr>
          <w:tab/>
        </w:r>
        <w:r w:rsidR="00A94AB4">
          <w:rPr>
            <w:noProof/>
            <w:webHidden/>
          </w:rPr>
          <w:fldChar w:fldCharType="begin"/>
        </w:r>
        <w:r w:rsidR="00A94AB4">
          <w:rPr>
            <w:noProof/>
            <w:webHidden/>
          </w:rPr>
          <w:instrText xml:space="preserve"> PAGEREF _Toc73435808 \h </w:instrText>
        </w:r>
        <w:r w:rsidR="00A94AB4">
          <w:rPr>
            <w:noProof/>
            <w:webHidden/>
          </w:rPr>
        </w:r>
        <w:r w:rsidR="00A94AB4">
          <w:rPr>
            <w:noProof/>
            <w:webHidden/>
          </w:rPr>
          <w:fldChar w:fldCharType="separate"/>
        </w:r>
        <w:r w:rsidR="00CC05A7">
          <w:rPr>
            <w:noProof/>
            <w:webHidden/>
          </w:rPr>
          <w:t>31</w:t>
        </w:r>
        <w:r w:rsidR="00A94AB4">
          <w:rPr>
            <w:noProof/>
            <w:webHidden/>
          </w:rPr>
          <w:fldChar w:fldCharType="end"/>
        </w:r>
      </w:hyperlink>
    </w:p>
    <w:p w14:paraId="54FC6C0F" w14:textId="0FD9E01A" w:rsidR="00A94AB4" w:rsidRDefault="00D5744E">
      <w:pPr>
        <w:pStyle w:val="TableofFigures"/>
        <w:tabs>
          <w:tab w:val="right" w:leader="dot" w:pos="8302"/>
        </w:tabs>
        <w:rPr>
          <w:rFonts w:asciiTheme="minorHAnsi" w:eastAsiaTheme="minorEastAsia" w:hAnsiTheme="minorHAnsi"/>
          <w:noProof/>
          <w:color w:val="auto"/>
          <w:lang w:eastAsia="el-GR"/>
        </w:rPr>
      </w:pPr>
      <w:hyperlink w:anchor="_Toc73435809" w:history="1">
        <w:r w:rsidR="00A94AB4" w:rsidRPr="000D1607">
          <w:rPr>
            <w:rStyle w:val="Hyperlink"/>
            <w:noProof/>
          </w:rPr>
          <w:t>Διάγραμμα 23: Υπόλοιπα των καταθέσεων μη χρηματοπιστωτικών επιχειρήσεων (δισ. ευρώ)</w:t>
        </w:r>
        <w:r w:rsidR="00A94AB4">
          <w:rPr>
            <w:noProof/>
            <w:webHidden/>
          </w:rPr>
          <w:tab/>
        </w:r>
        <w:r w:rsidR="00A94AB4">
          <w:rPr>
            <w:noProof/>
            <w:webHidden/>
          </w:rPr>
          <w:fldChar w:fldCharType="begin"/>
        </w:r>
        <w:r w:rsidR="00A94AB4">
          <w:rPr>
            <w:noProof/>
            <w:webHidden/>
          </w:rPr>
          <w:instrText xml:space="preserve"> PAGEREF _Toc73435809 \h </w:instrText>
        </w:r>
        <w:r w:rsidR="00A94AB4">
          <w:rPr>
            <w:noProof/>
            <w:webHidden/>
          </w:rPr>
        </w:r>
        <w:r w:rsidR="00A94AB4">
          <w:rPr>
            <w:noProof/>
            <w:webHidden/>
          </w:rPr>
          <w:fldChar w:fldCharType="separate"/>
        </w:r>
        <w:r w:rsidR="00CC05A7">
          <w:rPr>
            <w:noProof/>
            <w:webHidden/>
          </w:rPr>
          <w:t>32</w:t>
        </w:r>
        <w:r w:rsidR="00A94AB4">
          <w:rPr>
            <w:noProof/>
            <w:webHidden/>
          </w:rPr>
          <w:fldChar w:fldCharType="end"/>
        </w:r>
      </w:hyperlink>
    </w:p>
    <w:p w14:paraId="72CA6279" w14:textId="529A2E85" w:rsidR="00A94AB4" w:rsidRDefault="00D5744E">
      <w:pPr>
        <w:pStyle w:val="TableofFigures"/>
        <w:tabs>
          <w:tab w:val="right" w:leader="dot" w:pos="8302"/>
        </w:tabs>
        <w:rPr>
          <w:rFonts w:asciiTheme="minorHAnsi" w:eastAsiaTheme="minorEastAsia" w:hAnsiTheme="minorHAnsi"/>
          <w:noProof/>
          <w:color w:val="auto"/>
          <w:lang w:eastAsia="el-GR"/>
        </w:rPr>
      </w:pPr>
      <w:hyperlink w:anchor="_Toc73435810" w:history="1">
        <w:r w:rsidR="00A94AB4" w:rsidRPr="000D1607">
          <w:rPr>
            <w:rStyle w:val="Hyperlink"/>
            <w:noProof/>
          </w:rPr>
          <w:t>Διάγραμμα 24: Υπόλοιπο συνολικής χρηματοδότησης και χρηματοδότησης εγχώριου ιδιωτικού τομέα από τα ελληνικά χρηματοπιστωτικά ιδρύματα (δισ. ευρώ)</w:t>
        </w:r>
        <w:r w:rsidR="00A94AB4">
          <w:rPr>
            <w:noProof/>
            <w:webHidden/>
          </w:rPr>
          <w:tab/>
        </w:r>
        <w:r w:rsidR="00A94AB4">
          <w:rPr>
            <w:noProof/>
            <w:webHidden/>
          </w:rPr>
          <w:fldChar w:fldCharType="begin"/>
        </w:r>
        <w:r w:rsidR="00A94AB4">
          <w:rPr>
            <w:noProof/>
            <w:webHidden/>
          </w:rPr>
          <w:instrText xml:space="preserve"> PAGEREF _Toc73435810 \h </w:instrText>
        </w:r>
        <w:r w:rsidR="00A94AB4">
          <w:rPr>
            <w:noProof/>
            <w:webHidden/>
          </w:rPr>
        </w:r>
        <w:r w:rsidR="00A94AB4">
          <w:rPr>
            <w:noProof/>
            <w:webHidden/>
          </w:rPr>
          <w:fldChar w:fldCharType="separate"/>
        </w:r>
        <w:r w:rsidR="00CC05A7">
          <w:rPr>
            <w:noProof/>
            <w:webHidden/>
          </w:rPr>
          <w:t>32</w:t>
        </w:r>
        <w:r w:rsidR="00A94AB4">
          <w:rPr>
            <w:noProof/>
            <w:webHidden/>
          </w:rPr>
          <w:fldChar w:fldCharType="end"/>
        </w:r>
      </w:hyperlink>
    </w:p>
    <w:p w14:paraId="5930B2CB" w14:textId="54173D0E" w:rsidR="00A94AB4" w:rsidRDefault="00D5744E">
      <w:pPr>
        <w:pStyle w:val="TableofFigures"/>
        <w:tabs>
          <w:tab w:val="right" w:leader="dot" w:pos="8302"/>
        </w:tabs>
        <w:rPr>
          <w:rFonts w:asciiTheme="minorHAnsi" w:eastAsiaTheme="minorEastAsia" w:hAnsiTheme="minorHAnsi"/>
          <w:noProof/>
          <w:color w:val="auto"/>
          <w:lang w:eastAsia="el-GR"/>
        </w:rPr>
      </w:pPr>
      <w:hyperlink w:anchor="_Toc73435811" w:history="1">
        <w:r w:rsidR="00A94AB4" w:rsidRPr="000D1607">
          <w:rPr>
            <w:rStyle w:val="Hyperlink"/>
            <w:noProof/>
          </w:rPr>
          <w:t>Διάγραμμα 25: Ρυθμός μεταβολής, σε ετήσια βάση, των υπολοίπων χρηματοδότησης προς τον εγχώριο ιδιωτικό τομέα</w:t>
        </w:r>
        <w:r w:rsidR="00A94AB4">
          <w:rPr>
            <w:noProof/>
            <w:webHidden/>
          </w:rPr>
          <w:tab/>
        </w:r>
        <w:r w:rsidR="00A94AB4">
          <w:rPr>
            <w:noProof/>
            <w:webHidden/>
          </w:rPr>
          <w:fldChar w:fldCharType="begin"/>
        </w:r>
        <w:r w:rsidR="00A94AB4">
          <w:rPr>
            <w:noProof/>
            <w:webHidden/>
          </w:rPr>
          <w:instrText xml:space="preserve"> PAGEREF _Toc73435811 \h </w:instrText>
        </w:r>
        <w:r w:rsidR="00A94AB4">
          <w:rPr>
            <w:noProof/>
            <w:webHidden/>
          </w:rPr>
        </w:r>
        <w:r w:rsidR="00A94AB4">
          <w:rPr>
            <w:noProof/>
            <w:webHidden/>
          </w:rPr>
          <w:fldChar w:fldCharType="separate"/>
        </w:r>
        <w:r w:rsidR="00CC05A7">
          <w:rPr>
            <w:noProof/>
            <w:webHidden/>
          </w:rPr>
          <w:t>33</w:t>
        </w:r>
        <w:r w:rsidR="00A94AB4">
          <w:rPr>
            <w:noProof/>
            <w:webHidden/>
          </w:rPr>
          <w:fldChar w:fldCharType="end"/>
        </w:r>
      </w:hyperlink>
    </w:p>
    <w:p w14:paraId="3C47F2E2" w14:textId="5CC03781" w:rsidR="00A94AB4" w:rsidRDefault="00D5744E">
      <w:pPr>
        <w:pStyle w:val="TableofFigures"/>
        <w:tabs>
          <w:tab w:val="right" w:leader="dot" w:pos="8302"/>
        </w:tabs>
        <w:rPr>
          <w:rFonts w:asciiTheme="minorHAnsi" w:eastAsiaTheme="minorEastAsia" w:hAnsiTheme="minorHAnsi"/>
          <w:noProof/>
          <w:color w:val="auto"/>
          <w:lang w:eastAsia="el-GR"/>
        </w:rPr>
      </w:pPr>
      <w:hyperlink w:anchor="_Toc73435812" w:history="1">
        <w:r w:rsidR="00A94AB4" w:rsidRPr="000D1607">
          <w:rPr>
            <w:rStyle w:val="Hyperlink"/>
            <w:noProof/>
          </w:rPr>
          <w:t xml:space="preserve">Διάγραμμα 26: </w:t>
        </w:r>
        <w:r w:rsidR="00A94AB4" w:rsidRPr="000D1607">
          <w:rPr>
            <w:rStyle w:val="Hyperlink"/>
            <w:iCs/>
            <w:noProof/>
          </w:rPr>
          <w:t>Δαπάνες για την αντιμετώπιση της πανδημίας (σε εκ. ευρώ)</w:t>
        </w:r>
        <w:r w:rsidR="00A94AB4">
          <w:rPr>
            <w:noProof/>
            <w:webHidden/>
          </w:rPr>
          <w:tab/>
        </w:r>
        <w:r w:rsidR="00A94AB4">
          <w:rPr>
            <w:noProof/>
            <w:webHidden/>
          </w:rPr>
          <w:fldChar w:fldCharType="begin"/>
        </w:r>
        <w:r w:rsidR="00A94AB4">
          <w:rPr>
            <w:noProof/>
            <w:webHidden/>
          </w:rPr>
          <w:instrText xml:space="preserve"> PAGEREF _Toc73435812 \h </w:instrText>
        </w:r>
        <w:r w:rsidR="00A94AB4">
          <w:rPr>
            <w:noProof/>
            <w:webHidden/>
          </w:rPr>
        </w:r>
        <w:r w:rsidR="00A94AB4">
          <w:rPr>
            <w:noProof/>
            <w:webHidden/>
          </w:rPr>
          <w:fldChar w:fldCharType="separate"/>
        </w:r>
        <w:r w:rsidR="00CC05A7">
          <w:rPr>
            <w:noProof/>
            <w:webHidden/>
          </w:rPr>
          <w:t>49</w:t>
        </w:r>
        <w:r w:rsidR="00A94AB4">
          <w:rPr>
            <w:noProof/>
            <w:webHidden/>
          </w:rPr>
          <w:fldChar w:fldCharType="end"/>
        </w:r>
      </w:hyperlink>
    </w:p>
    <w:p w14:paraId="2F3D997A" w14:textId="03719634" w:rsidR="00A94AB4" w:rsidRDefault="00D5744E">
      <w:pPr>
        <w:pStyle w:val="TableofFigures"/>
        <w:tabs>
          <w:tab w:val="right" w:leader="dot" w:pos="8302"/>
        </w:tabs>
        <w:rPr>
          <w:rFonts w:asciiTheme="minorHAnsi" w:eastAsiaTheme="minorEastAsia" w:hAnsiTheme="minorHAnsi"/>
          <w:noProof/>
          <w:color w:val="auto"/>
          <w:lang w:eastAsia="el-GR"/>
        </w:rPr>
      </w:pPr>
      <w:hyperlink w:anchor="_Toc73435813" w:history="1">
        <w:r w:rsidR="00A94AB4" w:rsidRPr="000D1607">
          <w:rPr>
            <w:rStyle w:val="Hyperlink"/>
            <w:noProof/>
          </w:rPr>
          <w:t xml:space="preserve">Διάγραμμα 27: </w:t>
        </w:r>
        <w:r w:rsidR="00A94AB4" w:rsidRPr="000D1607">
          <w:rPr>
            <w:rStyle w:val="Hyperlink"/>
            <w:rFonts w:eastAsia="Calibri" w:cs="Calibri"/>
            <w:noProof/>
          </w:rPr>
          <w:t>Ληξιπρόθεσμες Υποχρεώσεις ΓΚ και υποτομέων της 2012- Μάρτιος 2021 (σε εκατ. ευρώ)</w:t>
        </w:r>
        <w:r w:rsidR="00A94AB4">
          <w:rPr>
            <w:noProof/>
            <w:webHidden/>
          </w:rPr>
          <w:tab/>
        </w:r>
        <w:r w:rsidR="00A94AB4">
          <w:rPr>
            <w:noProof/>
            <w:webHidden/>
          </w:rPr>
          <w:fldChar w:fldCharType="begin"/>
        </w:r>
        <w:r w:rsidR="00A94AB4">
          <w:rPr>
            <w:noProof/>
            <w:webHidden/>
          </w:rPr>
          <w:instrText xml:space="preserve"> PAGEREF _Toc73435813 \h </w:instrText>
        </w:r>
        <w:r w:rsidR="00A94AB4">
          <w:rPr>
            <w:noProof/>
            <w:webHidden/>
          </w:rPr>
        </w:r>
        <w:r w:rsidR="00A94AB4">
          <w:rPr>
            <w:noProof/>
            <w:webHidden/>
          </w:rPr>
          <w:fldChar w:fldCharType="separate"/>
        </w:r>
        <w:r w:rsidR="00CC05A7">
          <w:rPr>
            <w:noProof/>
            <w:webHidden/>
          </w:rPr>
          <w:t>60</w:t>
        </w:r>
        <w:r w:rsidR="00A94AB4">
          <w:rPr>
            <w:noProof/>
            <w:webHidden/>
          </w:rPr>
          <w:fldChar w:fldCharType="end"/>
        </w:r>
      </w:hyperlink>
    </w:p>
    <w:p w14:paraId="69359AD6" w14:textId="735354AB" w:rsidR="00A94AB4" w:rsidRDefault="00D5744E">
      <w:pPr>
        <w:pStyle w:val="TableofFigures"/>
        <w:tabs>
          <w:tab w:val="right" w:leader="dot" w:pos="8302"/>
        </w:tabs>
        <w:rPr>
          <w:rFonts w:asciiTheme="minorHAnsi" w:eastAsiaTheme="minorEastAsia" w:hAnsiTheme="minorHAnsi"/>
          <w:noProof/>
          <w:color w:val="auto"/>
          <w:lang w:eastAsia="el-GR"/>
        </w:rPr>
      </w:pPr>
      <w:hyperlink w:anchor="_Toc73435814" w:history="1">
        <w:r w:rsidR="0003377E">
          <w:rPr>
            <w:rStyle w:val="Hyperlink"/>
            <w:noProof/>
          </w:rPr>
          <w:t xml:space="preserve">Διάγραμμα </w:t>
        </w:r>
        <w:r w:rsidR="00A94AB4" w:rsidRPr="000D1607">
          <w:rPr>
            <w:rStyle w:val="Hyperlink"/>
            <w:noProof/>
          </w:rPr>
          <w:t xml:space="preserve">28: </w:t>
        </w:r>
        <w:r w:rsidR="00A94AB4" w:rsidRPr="000D1607">
          <w:rPr>
            <w:rStyle w:val="Hyperlink"/>
            <w:rFonts w:eastAsia="Calibri" w:cs="Times New Roman"/>
            <w:iCs/>
            <w:noProof/>
          </w:rPr>
          <w:t>Ληξιπρόθεσμες απαιτήσεις ελληνικού Δημοσίου (οφειλές φορολογουμένων προς το Δημόσιο) και συνολικές εισπράξεις (σε εκατ. ευρώ) για το Α’ τρίμηνο ετών 2017-2021.</w:t>
        </w:r>
        <w:r w:rsidR="00A94AB4">
          <w:rPr>
            <w:noProof/>
            <w:webHidden/>
          </w:rPr>
          <w:tab/>
        </w:r>
        <w:r w:rsidR="00A94AB4">
          <w:rPr>
            <w:noProof/>
            <w:webHidden/>
          </w:rPr>
          <w:fldChar w:fldCharType="begin"/>
        </w:r>
        <w:r w:rsidR="00A94AB4">
          <w:rPr>
            <w:noProof/>
            <w:webHidden/>
          </w:rPr>
          <w:instrText xml:space="preserve"> PAGEREF _Toc73435814 \h </w:instrText>
        </w:r>
        <w:r w:rsidR="00A94AB4">
          <w:rPr>
            <w:noProof/>
            <w:webHidden/>
          </w:rPr>
        </w:r>
        <w:r w:rsidR="00A94AB4">
          <w:rPr>
            <w:noProof/>
            <w:webHidden/>
          </w:rPr>
          <w:fldChar w:fldCharType="separate"/>
        </w:r>
        <w:r w:rsidR="00CC05A7">
          <w:rPr>
            <w:noProof/>
            <w:webHidden/>
          </w:rPr>
          <w:t>61</w:t>
        </w:r>
        <w:r w:rsidR="00A94AB4">
          <w:rPr>
            <w:noProof/>
            <w:webHidden/>
          </w:rPr>
          <w:fldChar w:fldCharType="end"/>
        </w:r>
      </w:hyperlink>
    </w:p>
    <w:p w14:paraId="4881E274" w14:textId="6D250602" w:rsidR="00A94AB4" w:rsidRDefault="00D5744E">
      <w:pPr>
        <w:pStyle w:val="TableofFigures"/>
        <w:tabs>
          <w:tab w:val="right" w:leader="dot" w:pos="8302"/>
        </w:tabs>
        <w:rPr>
          <w:rFonts w:asciiTheme="minorHAnsi" w:eastAsiaTheme="minorEastAsia" w:hAnsiTheme="minorHAnsi"/>
          <w:noProof/>
          <w:color w:val="auto"/>
          <w:lang w:eastAsia="el-GR"/>
        </w:rPr>
      </w:pPr>
      <w:hyperlink w:anchor="_Toc73435815" w:history="1">
        <w:r w:rsidR="00A94AB4" w:rsidRPr="000D1607">
          <w:rPr>
            <w:rStyle w:val="Hyperlink"/>
            <w:noProof/>
          </w:rPr>
          <w:t>Διάγραμμα 29: Ανεξόφλητο εγγυημένο υπόλοιπο, πληρωμές καταπτώσεων εγγυήσεων και παρεχόμενες νέες εγγυήσεις ελληνικού Δημοσίου (ΕΔ) 2009- 2020</w:t>
        </w:r>
        <w:r w:rsidR="00A94AB4">
          <w:rPr>
            <w:noProof/>
            <w:webHidden/>
          </w:rPr>
          <w:tab/>
        </w:r>
        <w:r w:rsidR="00A94AB4">
          <w:rPr>
            <w:noProof/>
            <w:webHidden/>
          </w:rPr>
          <w:fldChar w:fldCharType="begin"/>
        </w:r>
        <w:r w:rsidR="00A94AB4">
          <w:rPr>
            <w:noProof/>
            <w:webHidden/>
          </w:rPr>
          <w:instrText xml:space="preserve"> PAGEREF _Toc73435815 \h </w:instrText>
        </w:r>
        <w:r w:rsidR="00A94AB4">
          <w:rPr>
            <w:noProof/>
            <w:webHidden/>
          </w:rPr>
        </w:r>
        <w:r w:rsidR="00A94AB4">
          <w:rPr>
            <w:noProof/>
            <w:webHidden/>
          </w:rPr>
          <w:fldChar w:fldCharType="separate"/>
        </w:r>
        <w:r w:rsidR="00CC05A7">
          <w:rPr>
            <w:noProof/>
            <w:webHidden/>
          </w:rPr>
          <w:t>63</w:t>
        </w:r>
        <w:r w:rsidR="00A94AB4">
          <w:rPr>
            <w:noProof/>
            <w:webHidden/>
          </w:rPr>
          <w:fldChar w:fldCharType="end"/>
        </w:r>
      </w:hyperlink>
    </w:p>
    <w:p w14:paraId="39D94665" w14:textId="64CDA7D5" w:rsidR="00A94AB4" w:rsidRDefault="00D5744E">
      <w:pPr>
        <w:pStyle w:val="TableofFigures"/>
        <w:tabs>
          <w:tab w:val="right" w:leader="dot" w:pos="8302"/>
        </w:tabs>
        <w:rPr>
          <w:rFonts w:asciiTheme="minorHAnsi" w:eastAsiaTheme="minorEastAsia" w:hAnsiTheme="minorHAnsi"/>
          <w:noProof/>
          <w:color w:val="auto"/>
          <w:lang w:eastAsia="el-GR"/>
        </w:rPr>
      </w:pPr>
      <w:hyperlink w:anchor="_Toc73435816" w:history="1">
        <w:r w:rsidR="00A94AB4" w:rsidRPr="000D1607">
          <w:rPr>
            <w:rStyle w:val="Hyperlink"/>
            <w:noProof/>
          </w:rPr>
          <w:t xml:space="preserve">Διάγραμμα 30: </w:t>
        </w:r>
        <w:r w:rsidR="00A94AB4" w:rsidRPr="000D1607">
          <w:rPr>
            <w:rStyle w:val="Hyperlink"/>
            <w:rFonts w:cs="Trebuchet MS"/>
            <w:bCs/>
            <w:noProof/>
          </w:rPr>
          <w:t>Εξέλιξη χρέους της ΓΚ ως ποσοστό στο ΑΕΠ 2010-2024</w:t>
        </w:r>
        <w:r w:rsidR="00A94AB4">
          <w:rPr>
            <w:noProof/>
            <w:webHidden/>
          </w:rPr>
          <w:tab/>
        </w:r>
        <w:r w:rsidR="00A94AB4">
          <w:rPr>
            <w:noProof/>
            <w:webHidden/>
          </w:rPr>
          <w:fldChar w:fldCharType="begin"/>
        </w:r>
        <w:r w:rsidR="00A94AB4">
          <w:rPr>
            <w:noProof/>
            <w:webHidden/>
          </w:rPr>
          <w:instrText xml:space="preserve"> PAGEREF _Toc73435816 \h </w:instrText>
        </w:r>
        <w:r w:rsidR="00A94AB4">
          <w:rPr>
            <w:noProof/>
            <w:webHidden/>
          </w:rPr>
        </w:r>
        <w:r w:rsidR="00A94AB4">
          <w:rPr>
            <w:noProof/>
            <w:webHidden/>
          </w:rPr>
          <w:fldChar w:fldCharType="separate"/>
        </w:r>
        <w:r w:rsidR="00CC05A7">
          <w:rPr>
            <w:noProof/>
            <w:webHidden/>
          </w:rPr>
          <w:t>66</w:t>
        </w:r>
        <w:r w:rsidR="00A94AB4">
          <w:rPr>
            <w:noProof/>
            <w:webHidden/>
          </w:rPr>
          <w:fldChar w:fldCharType="end"/>
        </w:r>
      </w:hyperlink>
    </w:p>
    <w:p w14:paraId="5F6E6AC1" w14:textId="333CFBCD" w:rsidR="00A94AB4" w:rsidRDefault="00D5744E">
      <w:pPr>
        <w:pStyle w:val="TableofFigures"/>
        <w:tabs>
          <w:tab w:val="right" w:leader="dot" w:pos="8302"/>
        </w:tabs>
        <w:rPr>
          <w:rFonts w:asciiTheme="minorHAnsi" w:eastAsiaTheme="minorEastAsia" w:hAnsiTheme="minorHAnsi"/>
          <w:noProof/>
          <w:color w:val="auto"/>
          <w:lang w:eastAsia="el-GR"/>
        </w:rPr>
      </w:pPr>
      <w:hyperlink w:anchor="_Toc73435817" w:history="1">
        <w:r w:rsidR="00A94AB4" w:rsidRPr="000D1607">
          <w:rPr>
            <w:rStyle w:val="Hyperlink"/>
            <w:noProof/>
          </w:rPr>
          <w:t>Διάγραμμα 31: Απόδοση δεκαετούς ελληνικού ομολόγου Σεπτέμβριος 2018- Μάρτιος 2021</w:t>
        </w:r>
        <w:r w:rsidR="00A94AB4">
          <w:rPr>
            <w:noProof/>
            <w:webHidden/>
          </w:rPr>
          <w:tab/>
        </w:r>
        <w:r w:rsidR="00A94AB4">
          <w:rPr>
            <w:noProof/>
            <w:webHidden/>
          </w:rPr>
          <w:fldChar w:fldCharType="begin"/>
        </w:r>
        <w:r w:rsidR="00A94AB4">
          <w:rPr>
            <w:noProof/>
            <w:webHidden/>
          </w:rPr>
          <w:instrText xml:space="preserve"> PAGEREF _Toc73435817 \h </w:instrText>
        </w:r>
        <w:r w:rsidR="00A94AB4">
          <w:rPr>
            <w:noProof/>
            <w:webHidden/>
          </w:rPr>
        </w:r>
        <w:r w:rsidR="00A94AB4">
          <w:rPr>
            <w:noProof/>
            <w:webHidden/>
          </w:rPr>
          <w:fldChar w:fldCharType="separate"/>
        </w:r>
        <w:r w:rsidR="00CC05A7">
          <w:rPr>
            <w:noProof/>
            <w:webHidden/>
          </w:rPr>
          <w:t>67</w:t>
        </w:r>
        <w:r w:rsidR="00A94AB4">
          <w:rPr>
            <w:noProof/>
            <w:webHidden/>
          </w:rPr>
          <w:fldChar w:fldCharType="end"/>
        </w:r>
      </w:hyperlink>
    </w:p>
    <w:p w14:paraId="2A0254B1" w14:textId="73EBECB6" w:rsidR="00A94AB4" w:rsidRDefault="00D5744E">
      <w:pPr>
        <w:pStyle w:val="TableofFigures"/>
        <w:tabs>
          <w:tab w:val="right" w:leader="dot" w:pos="8302"/>
        </w:tabs>
        <w:rPr>
          <w:rFonts w:asciiTheme="minorHAnsi" w:eastAsiaTheme="minorEastAsia" w:hAnsiTheme="minorHAnsi"/>
          <w:noProof/>
          <w:color w:val="auto"/>
          <w:lang w:eastAsia="el-GR"/>
        </w:rPr>
      </w:pPr>
      <w:hyperlink w:anchor="_Toc73435818" w:history="1">
        <w:r w:rsidR="00A94AB4" w:rsidRPr="000D1607">
          <w:rPr>
            <w:rStyle w:val="Hyperlink"/>
            <w:noProof/>
          </w:rPr>
          <w:t xml:space="preserve">Διάγραμμα 32: </w:t>
        </w:r>
        <w:r w:rsidR="00A94AB4" w:rsidRPr="000D1607">
          <w:rPr>
            <w:rStyle w:val="Hyperlink"/>
            <w:rFonts w:eastAsia="Calibri" w:cs="Trebuchet MS"/>
            <w:noProof/>
          </w:rPr>
          <w:t>Σύνθεση Χρέους κεντρικής διοίκησης 31/12/2020</w:t>
        </w:r>
        <w:r w:rsidR="00A94AB4">
          <w:rPr>
            <w:noProof/>
            <w:webHidden/>
          </w:rPr>
          <w:tab/>
        </w:r>
        <w:r w:rsidR="00A94AB4">
          <w:rPr>
            <w:noProof/>
            <w:webHidden/>
          </w:rPr>
          <w:fldChar w:fldCharType="begin"/>
        </w:r>
        <w:r w:rsidR="00A94AB4">
          <w:rPr>
            <w:noProof/>
            <w:webHidden/>
          </w:rPr>
          <w:instrText xml:space="preserve"> PAGEREF _Toc73435818 \h </w:instrText>
        </w:r>
        <w:r w:rsidR="00A94AB4">
          <w:rPr>
            <w:noProof/>
            <w:webHidden/>
          </w:rPr>
        </w:r>
        <w:r w:rsidR="00A94AB4">
          <w:rPr>
            <w:noProof/>
            <w:webHidden/>
          </w:rPr>
          <w:fldChar w:fldCharType="separate"/>
        </w:r>
        <w:r w:rsidR="00CC05A7">
          <w:rPr>
            <w:noProof/>
            <w:webHidden/>
          </w:rPr>
          <w:t>69</w:t>
        </w:r>
        <w:r w:rsidR="00A94AB4">
          <w:rPr>
            <w:noProof/>
            <w:webHidden/>
          </w:rPr>
          <w:fldChar w:fldCharType="end"/>
        </w:r>
      </w:hyperlink>
    </w:p>
    <w:p w14:paraId="3677D754" w14:textId="35079E9C" w:rsidR="00A94AB4" w:rsidRDefault="00D5744E">
      <w:pPr>
        <w:pStyle w:val="TableofFigures"/>
        <w:tabs>
          <w:tab w:val="right" w:leader="dot" w:pos="8302"/>
        </w:tabs>
        <w:rPr>
          <w:rFonts w:asciiTheme="minorHAnsi" w:eastAsiaTheme="minorEastAsia" w:hAnsiTheme="minorHAnsi"/>
          <w:noProof/>
          <w:color w:val="auto"/>
          <w:lang w:eastAsia="el-GR"/>
        </w:rPr>
      </w:pPr>
      <w:hyperlink w:anchor="_Toc73435819" w:history="1">
        <w:r w:rsidR="00A94AB4" w:rsidRPr="000D1607">
          <w:rPr>
            <w:rStyle w:val="Hyperlink"/>
            <w:noProof/>
          </w:rPr>
          <w:t>Διάγραμμα 33:</w:t>
        </w:r>
        <w:r w:rsidR="00A94AB4" w:rsidRPr="000D1607">
          <w:rPr>
            <w:rStyle w:val="Hyperlink"/>
            <w:rFonts w:eastAsia="Calibri" w:cs="Trebuchet MS"/>
            <w:bCs/>
            <w:noProof/>
          </w:rPr>
          <w:t>Ακαθάριστες Χρηματοδοτικές Ανάγκες (</w:t>
        </w:r>
        <w:r w:rsidR="00A94AB4" w:rsidRPr="000D1607">
          <w:rPr>
            <w:rStyle w:val="Hyperlink"/>
            <w:rFonts w:eastAsia="Calibri" w:cs="Trebuchet MS"/>
            <w:bCs/>
            <w:noProof/>
            <w:lang w:val="en-US"/>
          </w:rPr>
          <w:t>GFN</w:t>
        </w:r>
        <w:r w:rsidR="00A94AB4" w:rsidRPr="000D1607">
          <w:rPr>
            <w:rStyle w:val="Hyperlink"/>
            <w:rFonts w:eastAsia="Calibri" w:cs="Trebuchet MS"/>
            <w:bCs/>
            <w:noProof/>
          </w:rPr>
          <w:t>) ελληνικού Δημοσίου 2021-2031 ως ποσοστό του ΑΕΠ</w:t>
        </w:r>
        <w:r w:rsidR="00A94AB4">
          <w:rPr>
            <w:noProof/>
            <w:webHidden/>
          </w:rPr>
          <w:tab/>
        </w:r>
        <w:r w:rsidR="00A94AB4">
          <w:rPr>
            <w:noProof/>
            <w:webHidden/>
          </w:rPr>
          <w:fldChar w:fldCharType="begin"/>
        </w:r>
        <w:r w:rsidR="00A94AB4">
          <w:rPr>
            <w:noProof/>
            <w:webHidden/>
          </w:rPr>
          <w:instrText xml:space="preserve"> PAGEREF _Toc73435819 \h </w:instrText>
        </w:r>
        <w:r w:rsidR="00A94AB4">
          <w:rPr>
            <w:noProof/>
            <w:webHidden/>
          </w:rPr>
        </w:r>
        <w:r w:rsidR="00A94AB4">
          <w:rPr>
            <w:noProof/>
            <w:webHidden/>
          </w:rPr>
          <w:fldChar w:fldCharType="separate"/>
        </w:r>
        <w:r w:rsidR="00CC05A7">
          <w:rPr>
            <w:noProof/>
            <w:webHidden/>
          </w:rPr>
          <w:t>70</w:t>
        </w:r>
        <w:r w:rsidR="00A94AB4">
          <w:rPr>
            <w:noProof/>
            <w:webHidden/>
          </w:rPr>
          <w:fldChar w:fldCharType="end"/>
        </w:r>
      </w:hyperlink>
    </w:p>
    <w:p w14:paraId="3A4023EE" w14:textId="060CA6BA" w:rsidR="00A57BC2" w:rsidRPr="00D0444F" w:rsidRDefault="00E648C9" w:rsidP="008961C4">
      <w:pPr>
        <w:spacing w:after="240" w:line="240" w:lineRule="auto"/>
        <w:jc w:val="center"/>
      </w:pPr>
      <w:r w:rsidRPr="00D0444F">
        <w:fldChar w:fldCharType="end"/>
      </w:r>
    </w:p>
    <w:p w14:paraId="67693459" w14:textId="77777777" w:rsidR="00A57BC2" w:rsidRDefault="00A57BC2">
      <w:pPr>
        <w:spacing w:after="160" w:line="0" w:lineRule="auto"/>
        <w:jc w:val="left"/>
      </w:pPr>
      <w:r>
        <w:br w:type="page"/>
      </w:r>
    </w:p>
    <w:p w14:paraId="5214D9BA" w14:textId="47D81066" w:rsidR="00B40C64" w:rsidRDefault="00B40C64" w:rsidP="006F5192">
      <w:pPr>
        <w:spacing w:after="360" w:line="240" w:lineRule="auto"/>
        <w:jc w:val="center"/>
        <w:rPr>
          <w:b/>
          <w:color w:val="00A3E0"/>
          <w:sz w:val="40"/>
          <w:szCs w:val="40"/>
        </w:rPr>
      </w:pPr>
      <w:r w:rsidRPr="00661F3D">
        <w:rPr>
          <w:b/>
          <w:color w:val="00A3E0"/>
          <w:sz w:val="40"/>
          <w:szCs w:val="40"/>
        </w:rPr>
        <w:t>ΠΡΟΛΟΓΟΣ</w:t>
      </w:r>
    </w:p>
    <w:p w14:paraId="6847C683" w14:textId="648DEFC0" w:rsidR="006F5192" w:rsidRPr="006F5192" w:rsidRDefault="006F5192" w:rsidP="006F5192">
      <w:pPr>
        <w:spacing w:after="120" w:line="360" w:lineRule="auto"/>
        <w:rPr>
          <w:color w:val="auto"/>
        </w:rPr>
      </w:pPr>
      <w:r w:rsidRPr="006F5192">
        <w:rPr>
          <w:color w:val="auto"/>
        </w:rPr>
        <w:t>Οι επιδόσεις της ελληνικής οικονομίας το 2020 δεν ήταν καλές: το ΑΕΠ μειώθηκε κατά 8,2% (η τρίτη χειρότερη επίδοση εντός της Ευρωζώνης), το δημοσιονομικό έλλειμμα έφθασε στο 9,7% του ΑΕΠ και το δημόσιο χρέος εκτινάχθηκε στο 205,6% του ΑΕΠ. Είναι βέβαια γεγονός ότι η πανδημία επηρέασε αρνητικά όλον τον πλανήτη, αλλά η Ελλάδα, με την τόσο μεγάλη εξάρτηση από τον τομέα των υπηρεσιών (τουρισμός, εστίαση και μεταφορές) είχε τις περισσότερες συνέπειες της αναστολής των σχε</w:t>
      </w:r>
      <w:r w:rsidR="00DE6363">
        <w:rPr>
          <w:color w:val="auto"/>
        </w:rPr>
        <w:t xml:space="preserve">τικών δραστηριοτήτων. Τα δίδυμα </w:t>
      </w:r>
      <w:r w:rsidRPr="006F5192">
        <w:rPr>
          <w:color w:val="auto"/>
        </w:rPr>
        <w:t>ελλείματα, το δημοσιονομικό και των εξωτερικών συναλλαγών, εμφανίστηκαν πάλι</w:t>
      </w:r>
      <w:r>
        <w:rPr>
          <w:color w:val="auto"/>
        </w:rPr>
        <w:t>,</w:t>
      </w:r>
      <w:r w:rsidRPr="006F5192">
        <w:rPr>
          <w:color w:val="auto"/>
        </w:rPr>
        <w:t xml:space="preserve"> προκαλώντας προβληματισμό.</w:t>
      </w:r>
    </w:p>
    <w:p w14:paraId="249784DB" w14:textId="39015BC3" w:rsidR="006F5192" w:rsidRPr="006F5192" w:rsidRDefault="006F5192" w:rsidP="006F5192">
      <w:pPr>
        <w:spacing w:after="120" w:line="360" w:lineRule="auto"/>
        <w:rPr>
          <w:color w:val="auto"/>
        </w:rPr>
      </w:pPr>
      <w:r w:rsidRPr="006F5192">
        <w:rPr>
          <w:color w:val="auto"/>
        </w:rPr>
        <w:t xml:space="preserve">Το 2021 προβλέπεται να είναι μια καλύτερη χρονιά, με επιστροφή σε θετικό ρυθμό </w:t>
      </w:r>
      <w:r w:rsidR="009434FF">
        <w:rPr>
          <w:color w:val="auto"/>
        </w:rPr>
        <w:t>μεγέθυνσης</w:t>
      </w:r>
      <w:r w:rsidRPr="006F5192">
        <w:rPr>
          <w:color w:val="auto"/>
        </w:rPr>
        <w:t xml:space="preserve"> και με επιστροφή σε συνθήκες μιας περίπου κανονικότητας στην οικονομική και κοινωνική ζωή. Παραμένει, όμως, η ελληνική οικονομία δέσμια των διαρθρωτικών προβλημάτων της: τη χαμηλή εξωστρέφεια, το μεγάλο επενδυτικό κενό και το βάρος ενός δημόσιου χρέους που, αν και εκτιμάται ως διαχειρίσιμο, δεν θα αργήσει η στιγμή που θα καταστεί αναγκαίο να ληφθούν μέτρα για την αποκλιμάκωσή του. Το δίχτυ προστασίας που παρέχει η ΕΚΤ, και η ρήτρα εξαίρεσης από τον κανόνα της δημοσιονομικής σταθερότητας, κάποια στιγμή πριν το τέλος του 2022 θα πάψουν να ισχύουν. Τότε θα μας έλθει ο λογαριασμός για το 2023.</w:t>
      </w:r>
    </w:p>
    <w:p w14:paraId="5A48D008" w14:textId="40D6F579" w:rsidR="006F5192" w:rsidRPr="00B52880" w:rsidRDefault="006F5192" w:rsidP="006F5192">
      <w:pPr>
        <w:spacing w:after="120" w:line="360" w:lineRule="auto"/>
        <w:rPr>
          <w:color w:val="auto"/>
        </w:rPr>
      </w:pPr>
      <w:r w:rsidRPr="006F5192">
        <w:rPr>
          <w:color w:val="auto"/>
        </w:rPr>
        <w:t xml:space="preserve">Η αξιοποίηση των πόρων από το ευρωπαϊκό ταμείο </w:t>
      </w:r>
      <w:r w:rsidR="009434FF">
        <w:rPr>
          <w:color w:val="auto"/>
        </w:rPr>
        <w:t>ανάκαμψης και ανθεκτικότητας</w:t>
      </w:r>
      <w:r w:rsidRPr="006F5192">
        <w:rPr>
          <w:color w:val="auto"/>
        </w:rPr>
        <w:t>, αποκτά κομβική σημασία, σε συνδυασμό με μία αναμενόμενη επενδυτική έξαρση. Σημαντικά θετική επίπτωση θα έχει η πρόοδος που έχει προσφάτως συντελεστεί στον ψηφιακό μετασχηματισμό του δημόσιου και του ιδιωτικού τομέα</w:t>
      </w:r>
    </w:p>
    <w:p w14:paraId="7CBE3328" w14:textId="77777777" w:rsidR="006F5192" w:rsidRPr="00BD083F" w:rsidRDefault="006F5192" w:rsidP="006F5192">
      <w:pPr>
        <w:spacing w:after="120" w:line="480" w:lineRule="auto"/>
        <w:jc w:val="right"/>
        <w:rPr>
          <w:i/>
          <w:color w:val="auto"/>
        </w:rPr>
      </w:pPr>
      <w:r>
        <w:rPr>
          <w:i/>
          <w:color w:val="auto"/>
        </w:rPr>
        <w:t>28</w:t>
      </w:r>
      <w:r w:rsidRPr="008064F9">
        <w:rPr>
          <w:i/>
          <w:color w:val="auto"/>
        </w:rPr>
        <w:t xml:space="preserve"> </w:t>
      </w:r>
      <w:r>
        <w:rPr>
          <w:i/>
          <w:color w:val="auto"/>
        </w:rPr>
        <w:t>Μαΐου</w:t>
      </w:r>
      <w:r w:rsidRPr="008064F9">
        <w:rPr>
          <w:i/>
          <w:color w:val="auto"/>
        </w:rPr>
        <w:t xml:space="preserve"> </w:t>
      </w:r>
      <w:r w:rsidRPr="00BD083F">
        <w:rPr>
          <w:i/>
          <w:color w:val="auto"/>
        </w:rPr>
        <w:t>202</w:t>
      </w:r>
      <w:r>
        <w:rPr>
          <w:i/>
          <w:color w:val="auto"/>
        </w:rPr>
        <w:t>1</w:t>
      </w:r>
    </w:p>
    <w:p w14:paraId="27BD807E" w14:textId="77777777" w:rsidR="006F5192" w:rsidRPr="009D6138" w:rsidRDefault="006F5192" w:rsidP="006F5192">
      <w:pPr>
        <w:spacing w:after="120" w:line="480" w:lineRule="auto"/>
        <w:rPr>
          <w:color w:val="auto"/>
        </w:rPr>
      </w:pPr>
      <w:r w:rsidRPr="00BC3CAB">
        <w:rPr>
          <w:color w:val="auto"/>
        </w:rPr>
        <w:t xml:space="preserve">                                  Ο Πρόεδρος του Διοικητικού Συμβουλίου</w:t>
      </w:r>
    </w:p>
    <w:p w14:paraId="2BF71819" w14:textId="77777777" w:rsidR="006F5192" w:rsidRPr="00A27E8A" w:rsidRDefault="006F5192" w:rsidP="006F5192">
      <w:pPr>
        <w:spacing w:after="120" w:line="480" w:lineRule="auto"/>
        <w:jc w:val="center"/>
        <w:rPr>
          <w:color w:val="auto"/>
        </w:rPr>
      </w:pPr>
    </w:p>
    <w:p w14:paraId="41644502" w14:textId="77777777" w:rsidR="006F5192" w:rsidRDefault="006F5192" w:rsidP="006F5192">
      <w:pPr>
        <w:spacing w:after="120" w:line="480" w:lineRule="auto"/>
        <w:jc w:val="center"/>
        <w:rPr>
          <w:color w:val="auto"/>
        </w:rPr>
      </w:pPr>
      <w:r w:rsidRPr="009D6138">
        <w:rPr>
          <w:color w:val="auto"/>
        </w:rPr>
        <w:t>Παναγιώτης Κορλίρας</w:t>
      </w:r>
    </w:p>
    <w:p w14:paraId="46F9F152" w14:textId="77777777" w:rsidR="006F5192" w:rsidRPr="00661F3D" w:rsidRDefault="006F5192" w:rsidP="008961C4">
      <w:pPr>
        <w:spacing w:after="240" w:line="240" w:lineRule="auto"/>
        <w:jc w:val="center"/>
        <w:rPr>
          <w:color w:val="auto"/>
          <w:sz w:val="40"/>
          <w:szCs w:val="40"/>
        </w:rPr>
      </w:pPr>
    </w:p>
    <w:p w14:paraId="28D84B92" w14:textId="77777777" w:rsidR="00BC3CAB" w:rsidRDefault="00BC3CAB">
      <w:pPr>
        <w:spacing w:after="160" w:line="0" w:lineRule="auto"/>
        <w:jc w:val="left"/>
        <w:rPr>
          <w:color w:val="auto"/>
        </w:rPr>
      </w:pPr>
      <w:r>
        <w:rPr>
          <w:color w:val="auto"/>
        </w:rPr>
        <w:br w:type="page"/>
      </w:r>
    </w:p>
    <w:p w14:paraId="00E87948" w14:textId="33B07791" w:rsidR="00254A8E" w:rsidRPr="009B3264" w:rsidRDefault="00254A8E">
      <w:pPr>
        <w:spacing w:after="160" w:line="0" w:lineRule="auto"/>
        <w:jc w:val="left"/>
        <w:rPr>
          <w:color w:val="385623" w:themeColor="accent6" w:themeShade="80"/>
        </w:rPr>
      </w:pPr>
      <w:bookmarkStart w:id="0" w:name="_Toc495497460"/>
    </w:p>
    <w:p w14:paraId="39E62798" w14:textId="721A7B08" w:rsidR="00783D7E" w:rsidRPr="00FA720A" w:rsidRDefault="0029618A" w:rsidP="0029618A">
      <w:pPr>
        <w:pStyle w:val="a"/>
        <w:jc w:val="center"/>
        <w:rPr>
          <w:color w:val="00B0F0"/>
        </w:rPr>
      </w:pPr>
      <w:bookmarkStart w:id="1" w:name="_Toc73435730"/>
      <w:bookmarkEnd w:id="0"/>
      <w:r w:rsidRPr="0029618A">
        <w:rPr>
          <w:color w:val="00B0F0"/>
        </w:rPr>
        <w:t>ΜΑΚΡΟΟΙΚΟΝΟΜΙΚΕΣ ΕΞΕΛΙΞΕΙΣ 2020 &amp; 2021</w:t>
      </w:r>
      <w:bookmarkEnd w:id="1"/>
    </w:p>
    <w:p w14:paraId="6C39488F" w14:textId="6664A799" w:rsidR="00A934EC" w:rsidRDefault="00A934EC" w:rsidP="004B7FEF">
      <w:pPr>
        <w:spacing w:after="160" w:line="0" w:lineRule="auto"/>
        <w:jc w:val="left"/>
        <w:rPr>
          <w:color w:val="385623" w:themeColor="accent6" w:themeShade="80"/>
          <w:sz w:val="32"/>
          <w:szCs w:val="32"/>
        </w:rPr>
      </w:pPr>
    </w:p>
    <w:p w14:paraId="19299E65" w14:textId="15122A22" w:rsidR="00661EC3" w:rsidRPr="005A45C7" w:rsidRDefault="0029618A" w:rsidP="004B7FEF">
      <w:pPr>
        <w:pStyle w:val="a0"/>
        <w:ind w:left="0"/>
        <w:rPr>
          <w:sz w:val="32"/>
          <w:szCs w:val="32"/>
        </w:rPr>
      </w:pPr>
      <w:bookmarkStart w:id="2" w:name="_Toc73435731"/>
      <w:r w:rsidRPr="0029618A">
        <w:rPr>
          <w:sz w:val="32"/>
          <w:szCs w:val="32"/>
        </w:rPr>
        <w:t>Μακροοικονομικά αποτελέσματα 2020</w:t>
      </w:r>
      <w:bookmarkEnd w:id="2"/>
    </w:p>
    <w:p w14:paraId="20D66D17" w14:textId="77777777" w:rsidR="00C602EF" w:rsidRPr="00C602EF" w:rsidRDefault="00C602EF" w:rsidP="00C602EF">
      <w:pPr>
        <w:numPr>
          <w:ilvl w:val="0"/>
          <w:numId w:val="21"/>
        </w:numPr>
        <w:spacing w:after="60"/>
        <w:ind w:hanging="357"/>
        <w:rPr>
          <w:rFonts w:eastAsia="Calibri" w:cs="Times New Roman"/>
          <w:b/>
          <w:i/>
          <w:color w:val="595959" w:themeColor="text1" w:themeTint="A6"/>
          <w:sz w:val="24"/>
          <w:szCs w:val="24"/>
        </w:rPr>
      </w:pPr>
      <w:r w:rsidRPr="00C602EF">
        <w:rPr>
          <w:rFonts w:eastAsia="Calibri" w:cs="Times New Roman"/>
          <w:b/>
          <w:i/>
          <w:color w:val="595959" w:themeColor="text1" w:themeTint="A6"/>
          <w:sz w:val="24"/>
          <w:szCs w:val="24"/>
        </w:rPr>
        <w:t>Ύφεση της τάξης του 8,2%  λόγω πτώσης:</w:t>
      </w:r>
    </w:p>
    <w:p w14:paraId="5D23DB14" w14:textId="77777777" w:rsidR="00C602EF" w:rsidRPr="00C602EF" w:rsidRDefault="00C602EF" w:rsidP="00C602EF">
      <w:pPr>
        <w:numPr>
          <w:ilvl w:val="1"/>
          <w:numId w:val="21"/>
        </w:numPr>
        <w:spacing w:after="60"/>
        <w:ind w:hanging="357"/>
        <w:rPr>
          <w:rFonts w:eastAsia="Calibri" w:cs="Times New Roman"/>
          <w:b/>
          <w:i/>
          <w:color w:val="595959" w:themeColor="text1" w:themeTint="A6"/>
          <w:sz w:val="24"/>
          <w:szCs w:val="24"/>
        </w:rPr>
      </w:pPr>
      <w:r w:rsidRPr="00C602EF">
        <w:rPr>
          <w:rFonts w:eastAsia="Calibri" w:cs="Times New Roman"/>
          <w:b/>
          <w:i/>
          <w:color w:val="595959" w:themeColor="text1" w:themeTint="A6"/>
          <w:sz w:val="24"/>
          <w:szCs w:val="24"/>
        </w:rPr>
        <w:t>της ιδιωτικής κατανάλωσης κατά 5,2% και</w:t>
      </w:r>
    </w:p>
    <w:p w14:paraId="4398724C" w14:textId="77777777" w:rsidR="00C602EF" w:rsidRPr="00C602EF" w:rsidRDefault="00C602EF" w:rsidP="00C602EF">
      <w:pPr>
        <w:numPr>
          <w:ilvl w:val="1"/>
          <w:numId w:val="21"/>
        </w:numPr>
        <w:spacing w:after="160"/>
        <w:ind w:hanging="357"/>
        <w:rPr>
          <w:rFonts w:eastAsia="Calibri" w:cs="Times New Roman"/>
          <w:b/>
          <w:i/>
          <w:color w:val="595959" w:themeColor="text1" w:themeTint="A6"/>
          <w:sz w:val="24"/>
          <w:szCs w:val="24"/>
        </w:rPr>
      </w:pPr>
      <w:r w:rsidRPr="00C602EF">
        <w:rPr>
          <w:rFonts w:eastAsia="Calibri" w:cs="Times New Roman"/>
          <w:b/>
          <w:i/>
          <w:color w:val="595959" w:themeColor="text1" w:themeTint="A6"/>
          <w:sz w:val="24"/>
          <w:szCs w:val="24"/>
        </w:rPr>
        <w:t>των εξαγωγών υπηρεσιών (κυρίως τουρισμού) κατά 43,9% ή €17 δισ.</w:t>
      </w:r>
    </w:p>
    <w:p w14:paraId="4A6593E4" w14:textId="77777777" w:rsidR="00C602EF" w:rsidRPr="00C602EF" w:rsidRDefault="00C602EF" w:rsidP="00C602EF">
      <w:pPr>
        <w:numPr>
          <w:ilvl w:val="0"/>
          <w:numId w:val="21"/>
        </w:numPr>
        <w:spacing w:after="60"/>
        <w:ind w:left="714" w:hanging="357"/>
        <w:rPr>
          <w:rFonts w:eastAsia="Calibri" w:cs="Times New Roman"/>
          <w:b/>
          <w:i/>
          <w:color w:val="595959" w:themeColor="text1" w:themeTint="A6"/>
          <w:sz w:val="24"/>
          <w:szCs w:val="24"/>
        </w:rPr>
      </w:pPr>
      <w:r w:rsidRPr="00C602EF">
        <w:rPr>
          <w:rFonts w:eastAsia="Calibri" w:cs="Times New Roman"/>
          <w:b/>
          <w:i/>
          <w:color w:val="595959" w:themeColor="text1" w:themeTint="A6"/>
          <w:sz w:val="24"/>
          <w:szCs w:val="24"/>
        </w:rPr>
        <w:t>Ανθεκτικότητα επέδειξαν, παρά την ύφεση:</w:t>
      </w:r>
    </w:p>
    <w:p w14:paraId="54906599" w14:textId="42AF5EBB" w:rsidR="00C602EF" w:rsidRDefault="00C602EF" w:rsidP="00C602EF">
      <w:pPr>
        <w:numPr>
          <w:ilvl w:val="1"/>
          <w:numId w:val="21"/>
        </w:numPr>
        <w:spacing w:after="60"/>
        <w:ind w:left="1434" w:hanging="357"/>
        <w:rPr>
          <w:rFonts w:eastAsia="Calibri" w:cs="Times New Roman"/>
          <w:b/>
          <w:i/>
          <w:color w:val="595959" w:themeColor="text1" w:themeTint="A6"/>
          <w:sz w:val="24"/>
          <w:szCs w:val="24"/>
        </w:rPr>
      </w:pPr>
      <w:r w:rsidRPr="00C602EF">
        <w:rPr>
          <w:rFonts w:eastAsia="Calibri" w:cs="Times New Roman"/>
          <w:b/>
          <w:i/>
          <w:color w:val="595959" w:themeColor="text1" w:themeTint="A6"/>
          <w:sz w:val="24"/>
          <w:szCs w:val="24"/>
        </w:rPr>
        <w:t xml:space="preserve">οι εξαγωγές αγαθών, οι οποίες αυξήθηκαν κατά 4,3% </w:t>
      </w:r>
      <w:r>
        <w:rPr>
          <w:rFonts w:eastAsia="Calibri" w:cs="Times New Roman"/>
          <w:b/>
          <w:i/>
          <w:color w:val="595959" w:themeColor="text1" w:themeTint="A6"/>
          <w:sz w:val="24"/>
          <w:szCs w:val="24"/>
        </w:rPr>
        <w:t>και</w:t>
      </w:r>
    </w:p>
    <w:p w14:paraId="0C47F7B5" w14:textId="4B0F7513" w:rsidR="00C602EF" w:rsidRPr="00C602EF" w:rsidRDefault="00C602EF" w:rsidP="00C602EF">
      <w:pPr>
        <w:numPr>
          <w:ilvl w:val="1"/>
          <w:numId w:val="21"/>
        </w:numPr>
        <w:spacing w:after="60"/>
        <w:ind w:left="1434" w:hanging="357"/>
        <w:rPr>
          <w:rFonts w:eastAsia="Calibri" w:cs="Times New Roman"/>
          <w:b/>
          <w:i/>
          <w:color w:val="595959" w:themeColor="text1" w:themeTint="A6"/>
          <w:sz w:val="24"/>
          <w:szCs w:val="24"/>
        </w:rPr>
      </w:pPr>
      <w:r w:rsidRPr="00C602EF">
        <w:rPr>
          <w:rFonts w:eastAsia="Calibri" w:cs="Times New Roman"/>
          <w:b/>
          <w:i/>
          <w:color w:val="595959" w:themeColor="text1" w:themeTint="A6"/>
          <w:sz w:val="24"/>
          <w:szCs w:val="24"/>
        </w:rPr>
        <w:t xml:space="preserve">οι πάγιες επενδύσεις οι οποίες </w:t>
      </w:r>
      <w:r>
        <w:rPr>
          <w:rFonts w:eastAsia="Calibri" w:cs="Times New Roman"/>
          <w:b/>
          <w:i/>
          <w:color w:val="595959" w:themeColor="text1" w:themeTint="A6"/>
          <w:sz w:val="24"/>
          <w:szCs w:val="24"/>
        </w:rPr>
        <w:t>μειώθηκαν</w:t>
      </w:r>
      <w:r w:rsidRPr="00C602EF">
        <w:rPr>
          <w:rFonts w:eastAsia="Calibri" w:cs="Times New Roman"/>
          <w:b/>
          <w:i/>
          <w:color w:val="595959" w:themeColor="text1" w:themeTint="A6"/>
          <w:sz w:val="24"/>
          <w:szCs w:val="24"/>
        </w:rPr>
        <w:t xml:space="preserve"> οριακά κατά 0,</w:t>
      </w:r>
      <w:r>
        <w:rPr>
          <w:rFonts w:eastAsia="Calibri" w:cs="Times New Roman"/>
          <w:b/>
          <w:i/>
          <w:color w:val="595959" w:themeColor="text1" w:themeTint="A6"/>
          <w:sz w:val="24"/>
          <w:szCs w:val="24"/>
        </w:rPr>
        <w:t>6</w:t>
      </w:r>
      <w:r w:rsidRPr="00C602EF">
        <w:rPr>
          <w:rFonts w:eastAsia="Calibri" w:cs="Times New Roman"/>
          <w:b/>
          <w:i/>
          <w:color w:val="595959" w:themeColor="text1" w:themeTint="A6"/>
          <w:sz w:val="24"/>
          <w:szCs w:val="24"/>
        </w:rPr>
        <w:t xml:space="preserve">% </w:t>
      </w:r>
    </w:p>
    <w:p w14:paraId="3FF693ED" w14:textId="02239704" w:rsidR="00C602EF" w:rsidRPr="00C602EF" w:rsidRDefault="00C602EF" w:rsidP="00C602EF">
      <w:pPr>
        <w:numPr>
          <w:ilvl w:val="0"/>
          <w:numId w:val="21"/>
        </w:numPr>
        <w:spacing w:after="160"/>
        <w:ind w:left="714" w:hanging="357"/>
        <w:rPr>
          <w:rFonts w:eastAsia="Calibri" w:cs="Times New Roman"/>
          <w:b/>
          <w:i/>
          <w:color w:val="595959" w:themeColor="text1" w:themeTint="A6"/>
          <w:sz w:val="24"/>
          <w:szCs w:val="24"/>
        </w:rPr>
      </w:pPr>
      <w:r w:rsidRPr="00C602EF">
        <w:rPr>
          <w:rFonts w:eastAsia="Calibri" w:cs="Times New Roman"/>
          <w:b/>
          <w:i/>
          <w:color w:val="595959" w:themeColor="text1" w:themeTint="A6"/>
          <w:sz w:val="24"/>
          <w:szCs w:val="24"/>
        </w:rPr>
        <w:t>Συρρίκνωση της προστιθέμενης αξίας στους περισσότερους κλάδους της ελληνικής οικονομίας (εμπόριο, βιομηχανία, ψυχαγωγία κλπ). Σε αντίθετο ρεύμα οι κατασκευές (+10,4%) και ο κλάδος της δημόσιας διοίκησης (+2,5%).</w:t>
      </w:r>
    </w:p>
    <w:p w14:paraId="7195B546" w14:textId="77777777" w:rsidR="00C602EF" w:rsidRPr="00C602EF" w:rsidRDefault="00C602EF" w:rsidP="00C602EF">
      <w:pPr>
        <w:numPr>
          <w:ilvl w:val="0"/>
          <w:numId w:val="21"/>
        </w:numPr>
        <w:spacing w:after="160"/>
        <w:ind w:left="714" w:hanging="357"/>
        <w:rPr>
          <w:rFonts w:eastAsia="Calibri" w:cs="Times New Roman"/>
          <w:b/>
          <w:i/>
          <w:color w:val="595959" w:themeColor="text1" w:themeTint="A6"/>
          <w:sz w:val="24"/>
          <w:szCs w:val="24"/>
        </w:rPr>
      </w:pPr>
      <w:r w:rsidRPr="00C602EF">
        <w:rPr>
          <w:rFonts w:eastAsia="Calibri" w:cs="Times New Roman"/>
          <w:b/>
          <w:i/>
          <w:color w:val="595959" w:themeColor="text1" w:themeTint="A6"/>
          <w:sz w:val="24"/>
          <w:szCs w:val="24"/>
        </w:rPr>
        <w:t>Στο -2,4% η ετήσια μεταβολή του πληθωρισμού τον Δεκέμβριο του 2020.</w:t>
      </w:r>
    </w:p>
    <w:p w14:paraId="175837E4" w14:textId="77777777" w:rsidR="00C602EF" w:rsidRPr="00C602EF" w:rsidRDefault="00C602EF" w:rsidP="00C602EF">
      <w:pPr>
        <w:numPr>
          <w:ilvl w:val="0"/>
          <w:numId w:val="21"/>
        </w:numPr>
        <w:spacing w:after="120"/>
        <w:rPr>
          <w:rFonts w:eastAsia="Calibri" w:cs="Times New Roman"/>
          <w:b/>
          <w:i/>
          <w:color w:val="595959" w:themeColor="text1" w:themeTint="A6"/>
          <w:sz w:val="24"/>
          <w:szCs w:val="24"/>
        </w:rPr>
      </w:pPr>
      <w:r w:rsidRPr="00C602EF">
        <w:rPr>
          <w:rFonts w:eastAsia="Calibri" w:cs="Times New Roman"/>
          <w:b/>
          <w:i/>
          <w:color w:val="595959" w:themeColor="text1" w:themeTint="A6"/>
          <w:sz w:val="24"/>
          <w:szCs w:val="24"/>
        </w:rPr>
        <w:t>Μείωση της απασχόλησης κατά 35,6 χιλιάδες άτομα, σε σχέση με πέρυσι, ενώ μειωμένος εμφανίζεται και ο αριθμός των ανέργων κατά 64 χιλιάδες άτομα.</w:t>
      </w:r>
    </w:p>
    <w:p w14:paraId="2E64EA3D" w14:textId="77777777" w:rsidR="00C602EF" w:rsidRPr="00C602EF" w:rsidRDefault="00C602EF" w:rsidP="00C602EF">
      <w:pPr>
        <w:numPr>
          <w:ilvl w:val="0"/>
          <w:numId w:val="21"/>
        </w:numPr>
        <w:spacing w:after="160"/>
        <w:ind w:left="714" w:hanging="357"/>
        <w:rPr>
          <w:rFonts w:eastAsia="Calibri" w:cs="Times New Roman"/>
          <w:b/>
          <w:i/>
          <w:color w:val="595959" w:themeColor="text1" w:themeTint="A6"/>
          <w:sz w:val="24"/>
          <w:szCs w:val="24"/>
        </w:rPr>
      </w:pPr>
      <w:r w:rsidRPr="00C602EF">
        <w:rPr>
          <w:rFonts w:eastAsia="Calibri" w:cs="Times New Roman"/>
          <w:b/>
          <w:i/>
          <w:color w:val="595959" w:themeColor="text1" w:themeTint="A6"/>
          <w:sz w:val="24"/>
          <w:szCs w:val="24"/>
        </w:rPr>
        <w:t>Το εργατικό δυναμικό της χώρας μειώθηκε κατά 99 χιλιάδες άτομα, επιπλέον∙ πρόκειται για αρνητική τάση που διατηρείται για περισσότερο από μια δεκαετία.</w:t>
      </w:r>
    </w:p>
    <w:p w14:paraId="707AF9C7" w14:textId="77777777" w:rsidR="00C602EF" w:rsidRPr="00C602EF" w:rsidRDefault="00C602EF" w:rsidP="00C602EF">
      <w:pPr>
        <w:numPr>
          <w:ilvl w:val="0"/>
          <w:numId w:val="21"/>
        </w:numPr>
        <w:spacing w:after="160"/>
        <w:ind w:left="714" w:hanging="357"/>
        <w:rPr>
          <w:rFonts w:eastAsia="Calibri" w:cs="Times New Roman"/>
          <w:b/>
          <w:i/>
          <w:color w:val="595959" w:themeColor="text1" w:themeTint="A6"/>
          <w:sz w:val="24"/>
          <w:szCs w:val="24"/>
        </w:rPr>
      </w:pPr>
      <w:r w:rsidRPr="00C602EF">
        <w:rPr>
          <w:rFonts w:eastAsia="Calibri" w:cs="Times New Roman"/>
          <w:b/>
          <w:i/>
          <w:color w:val="595959" w:themeColor="text1" w:themeTint="A6"/>
          <w:sz w:val="24"/>
          <w:szCs w:val="24"/>
        </w:rPr>
        <w:t>Μεγάλη αύξηση του ελλείμματος του ισοζυγίου τρεχουσών συναλλαγών το οποίο διαμορφώθηκε στο 6,7% του ΑΕΠ.</w:t>
      </w:r>
    </w:p>
    <w:p w14:paraId="38CD3C68" w14:textId="77777777" w:rsidR="00C602EF" w:rsidRPr="00C602EF" w:rsidRDefault="00C602EF" w:rsidP="00C602EF">
      <w:pPr>
        <w:numPr>
          <w:ilvl w:val="0"/>
          <w:numId w:val="21"/>
        </w:numPr>
        <w:spacing w:after="120"/>
        <w:ind w:left="714" w:hanging="357"/>
        <w:rPr>
          <w:rFonts w:eastAsia="Calibri" w:cs="Times New Roman"/>
          <w:b/>
          <w:i/>
          <w:color w:val="595959" w:themeColor="text1" w:themeTint="A6"/>
          <w:sz w:val="24"/>
          <w:szCs w:val="24"/>
        </w:rPr>
      </w:pPr>
      <w:r w:rsidRPr="00C602EF">
        <w:rPr>
          <w:rFonts w:eastAsia="Calibri" w:cs="Times New Roman"/>
          <w:b/>
          <w:i/>
          <w:color w:val="595959" w:themeColor="text1" w:themeTint="A6"/>
          <w:sz w:val="24"/>
          <w:szCs w:val="24"/>
        </w:rPr>
        <w:t>Διατηρήθηκε, παρά την πανδημία, η πτωτική τάση των μη εξυπηρετούμενων δανείων του ελληνικού τραπεζικού συστήματος.</w:t>
      </w:r>
    </w:p>
    <w:p w14:paraId="225266DA" w14:textId="68CE4D42" w:rsidR="004426D8" w:rsidRDefault="004426D8" w:rsidP="004426D8">
      <w:pPr>
        <w:spacing w:after="160"/>
        <w:rPr>
          <w:rFonts w:eastAsia="Calibri" w:cs="Times New Roman"/>
          <w:b/>
          <w:iCs/>
          <w:color w:val="808080"/>
        </w:rPr>
      </w:pPr>
    </w:p>
    <w:p w14:paraId="4D76D563" w14:textId="66A3C4A3" w:rsidR="00794C96" w:rsidRDefault="00794C96" w:rsidP="004426D8">
      <w:pPr>
        <w:spacing w:after="160"/>
        <w:rPr>
          <w:rFonts w:eastAsia="Calibri" w:cs="Times New Roman"/>
          <w:b/>
          <w:iCs/>
          <w:color w:val="808080"/>
        </w:rPr>
      </w:pPr>
    </w:p>
    <w:p w14:paraId="33BB8E76" w14:textId="6403873F" w:rsidR="00794C96" w:rsidRDefault="00794C96" w:rsidP="004426D8">
      <w:pPr>
        <w:spacing w:after="160"/>
        <w:rPr>
          <w:rFonts w:eastAsia="Calibri" w:cs="Times New Roman"/>
          <w:b/>
          <w:iCs/>
          <w:color w:val="808080"/>
        </w:rPr>
      </w:pPr>
    </w:p>
    <w:p w14:paraId="76685E0A" w14:textId="3CF53D83" w:rsidR="00C602EF" w:rsidRDefault="00C602EF" w:rsidP="004426D8">
      <w:pPr>
        <w:spacing w:after="160"/>
        <w:rPr>
          <w:rFonts w:eastAsia="Calibri" w:cs="Times New Roman"/>
          <w:b/>
          <w:iCs/>
          <w:color w:val="808080"/>
        </w:rPr>
      </w:pPr>
    </w:p>
    <w:p w14:paraId="2745918C" w14:textId="77777777" w:rsidR="00C602EF" w:rsidRDefault="00C602EF" w:rsidP="004426D8">
      <w:pPr>
        <w:spacing w:after="160"/>
        <w:rPr>
          <w:rFonts w:eastAsia="Calibri" w:cs="Times New Roman"/>
          <w:b/>
          <w:iCs/>
          <w:color w:val="808080"/>
        </w:rPr>
      </w:pPr>
    </w:p>
    <w:p w14:paraId="341FC107" w14:textId="77777777" w:rsidR="00794C96" w:rsidRPr="004426D8" w:rsidRDefault="00794C96" w:rsidP="004426D8">
      <w:pPr>
        <w:spacing w:after="160"/>
        <w:rPr>
          <w:rFonts w:eastAsia="Calibri" w:cs="Times New Roman"/>
          <w:b/>
          <w:iCs/>
          <w:color w:val="808080"/>
        </w:rPr>
      </w:pPr>
    </w:p>
    <w:p w14:paraId="4CF315C3" w14:textId="1543B67B" w:rsidR="00354FDE" w:rsidRPr="00354FDE" w:rsidRDefault="004B7FEF" w:rsidP="004B7FEF">
      <w:pPr>
        <w:pStyle w:val="a1"/>
        <w:ind w:left="0"/>
        <w:rPr>
          <w:sz w:val="28"/>
          <w:szCs w:val="28"/>
        </w:rPr>
      </w:pPr>
      <w:bookmarkStart w:id="3" w:name="_Toc73435732"/>
      <w:bookmarkStart w:id="4" w:name="_Toc24557169"/>
      <w:r w:rsidRPr="004B7FEF">
        <w:rPr>
          <w:sz w:val="28"/>
          <w:szCs w:val="28"/>
        </w:rPr>
        <w:t>Ακαθάριστο Εγχώριο Προϊόν</w:t>
      </w:r>
      <w:bookmarkEnd w:id="3"/>
      <w:r w:rsidR="00F778C1" w:rsidRPr="00F778C1">
        <w:rPr>
          <w:sz w:val="28"/>
          <w:szCs w:val="28"/>
        </w:rPr>
        <w:t xml:space="preserve"> </w:t>
      </w:r>
      <w:bookmarkEnd w:id="4"/>
    </w:p>
    <w:p w14:paraId="3180BDC6" w14:textId="686E6F94" w:rsidR="004B7FEF" w:rsidRPr="004B7FEF" w:rsidRDefault="004B7FEF" w:rsidP="004B7FEF">
      <w:pPr>
        <w:pStyle w:val="a2"/>
        <w:ind w:left="284"/>
        <w:rPr>
          <w:i/>
          <w:sz w:val="24"/>
          <w:szCs w:val="24"/>
        </w:rPr>
      </w:pPr>
      <w:r w:rsidRPr="004B7FEF">
        <w:rPr>
          <w:i/>
          <w:sz w:val="24"/>
          <w:szCs w:val="24"/>
        </w:rPr>
        <w:t xml:space="preserve">Ανάλυση της αύξησης του ΑΕΠ σε συνιστώσες </w:t>
      </w:r>
    </w:p>
    <w:p w14:paraId="26DC7054" w14:textId="77E15861" w:rsidR="00065BF4" w:rsidRPr="0075506B" w:rsidRDefault="00C602EF" w:rsidP="00794C96">
      <w:pPr>
        <w:rPr>
          <w:rFonts w:eastAsia="Calibri" w:cs="Times New Roman"/>
          <w:color w:val="auto"/>
        </w:rPr>
      </w:pPr>
      <w:r w:rsidRPr="008A61D6">
        <w:rPr>
          <w:rFonts w:eastAsia="Calibri" w:cs="Times New Roman"/>
          <w:color w:val="auto"/>
        </w:rPr>
        <w:t>Η ύφεση το 2020 διαμορφώθηκε στο 8,2% σύμφωνα με τα προσωρινά στοιχεία της ΕΛΣΤΑΤ. Το ξέσπασμα της πανδημίας στις αρχές του 2020 οδήγησε σε μέτρα περιστολής της κοινωνικής και οικονομικής δραστηριότητας που επιβλήθηκαν για μεγάλα χρονικά διαστήματα</w:t>
      </w:r>
      <w:r>
        <w:rPr>
          <w:rFonts w:eastAsia="Calibri" w:cs="Times New Roman"/>
          <w:color w:val="auto"/>
        </w:rPr>
        <w:t>.</w:t>
      </w:r>
      <w:r w:rsidRPr="008A61D6">
        <w:rPr>
          <w:rFonts w:eastAsia="Calibri" w:cs="Times New Roman"/>
          <w:color w:val="auto"/>
        </w:rPr>
        <w:t xml:space="preserve"> </w:t>
      </w:r>
      <w:r>
        <w:rPr>
          <w:rFonts w:eastAsia="Calibri" w:cs="Times New Roman"/>
          <w:color w:val="auto"/>
        </w:rPr>
        <w:t>Σε συνδυασμό με τ</w:t>
      </w:r>
      <w:r w:rsidRPr="008A61D6">
        <w:rPr>
          <w:rFonts w:eastAsia="Calibri" w:cs="Times New Roman"/>
          <w:color w:val="auto"/>
        </w:rPr>
        <w:t>η</w:t>
      </w:r>
      <w:r>
        <w:rPr>
          <w:rFonts w:eastAsia="Calibri" w:cs="Times New Roman"/>
          <w:color w:val="auto"/>
        </w:rPr>
        <w:t>ν</w:t>
      </w:r>
      <w:r w:rsidRPr="008A61D6">
        <w:rPr>
          <w:rFonts w:eastAsia="Calibri" w:cs="Times New Roman"/>
          <w:color w:val="auto"/>
        </w:rPr>
        <w:t xml:space="preserve"> αυξημένη αβεβαιότητα  </w:t>
      </w:r>
      <w:r>
        <w:rPr>
          <w:rFonts w:eastAsia="Calibri" w:cs="Times New Roman"/>
          <w:color w:val="auto"/>
        </w:rPr>
        <w:t xml:space="preserve">προκλήθηκε έτσι </w:t>
      </w:r>
      <w:r w:rsidRPr="008A61D6">
        <w:rPr>
          <w:rFonts w:eastAsia="Calibri" w:cs="Times New Roman"/>
          <w:color w:val="auto"/>
        </w:rPr>
        <w:t>μεγάλη πτώση του πραγματικού ΑΕΠ και αν</w:t>
      </w:r>
      <w:r>
        <w:rPr>
          <w:rFonts w:eastAsia="Calibri" w:cs="Times New Roman"/>
          <w:color w:val="auto"/>
        </w:rPr>
        <w:t>ακόπηκε</w:t>
      </w:r>
      <w:r w:rsidRPr="008A61D6">
        <w:rPr>
          <w:rFonts w:eastAsia="Calibri" w:cs="Times New Roman"/>
          <w:color w:val="auto"/>
        </w:rPr>
        <w:t xml:space="preserve"> η ανοδική πορεία που</w:t>
      </w:r>
      <w:r>
        <w:rPr>
          <w:rFonts w:eastAsia="Calibri" w:cs="Times New Roman"/>
          <w:color w:val="auto"/>
        </w:rPr>
        <w:t xml:space="preserve"> ακολουθούσε η οικονομία επί μία τριετία</w:t>
      </w:r>
      <w:r w:rsidRPr="00BD56A8">
        <w:rPr>
          <w:rFonts w:eastAsia="Calibri" w:cs="Times New Roman"/>
          <w:color w:val="auto"/>
        </w:rPr>
        <w:t xml:space="preserve"> (</w:t>
      </w:r>
      <w:r w:rsidRPr="00BD56A8">
        <w:rPr>
          <w:rFonts w:eastAsia="Calibri" w:cs="Times New Roman"/>
          <w:i/>
          <w:color w:val="auto"/>
        </w:rPr>
        <w:fldChar w:fldCharType="begin"/>
      </w:r>
      <w:r w:rsidRPr="00BD56A8">
        <w:rPr>
          <w:rFonts w:eastAsia="Calibri" w:cs="Times New Roman"/>
          <w:i/>
          <w:color w:val="auto"/>
        </w:rPr>
        <w:instrText xml:space="preserve"> REF _Ref71921792 \h  \* MERGEFORMAT </w:instrText>
      </w:r>
      <w:r w:rsidRPr="00BD56A8">
        <w:rPr>
          <w:rFonts w:eastAsia="Calibri" w:cs="Times New Roman"/>
          <w:i/>
          <w:color w:val="auto"/>
        </w:rPr>
      </w:r>
      <w:r w:rsidRPr="00BD56A8">
        <w:rPr>
          <w:rFonts w:eastAsia="Calibri" w:cs="Times New Roman"/>
          <w:i/>
          <w:color w:val="auto"/>
        </w:rPr>
        <w:fldChar w:fldCharType="separate"/>
      </w:r>
      <w:r w:rsidR="00CC05A7" w:rsidRPr="00CC05A7">
        <w:rPr>
          <w:i/>
          <w:iCs/>
          <w:color w:val="auto"/>
        </w:rPr>
        <w:t xml:space="preserve">Διάγραμμα </w:t>
      </w:r>
      <w:r w:rsidR="00CC05A7" w:rsidRPr="00CC05A7">
        <w:rPr>
          <w:i/>
          <w:iCs/>
          <w:noProof/>
          <w:color w:val="auto"/>
        </w:rPr>
        <w:t>1</w:t>
      </w:r>
      <w:r w:rsidRPr="00BD56A8">
        <w:rPr>
          <w:rFonts w:eastAsia="Calibri" w:cs="Times New Roman"/>
          <w:i/>
          <w:color w:val="auto"/>
        </w:rPr>
        <w:fldChar w:fldCharType="end"/>
      </w:r>
      <w:r w:rsidRPr="00BD56A8">
        <w:rPr>
          <w:rFonts w:eastAsia="Calibri" w:cs="Times New Roman"/>
          <w:color w:val="auto"/>
        </w:rPr>
        <w:t xml:space="preserve">). </w:t>
      </w:r>
      <w:r>
        <w:rPr>
          <w:rFonts w:eastAsia="Calibri" w:cs="Times New Roman"/>
          <w:color w:val="auto"/>
        </w:rPr>
        <w:t>Η</w:t>
      </w:r>
      <w:r w:rsidRPr="008A61D6">
        <w:rPr>
          <w:rFonts w:eastAsia="Calibri" w:cs="Times New Roman"/>
          <w:color w:val="auto"/>
        </w:rPr>
        <w:t xml:space="preserve"> καθίζηση των τουριστικών εισπράξεων συνέβαλε </w:t>
      </w:r>
      <w:r>
        <w:rPr>
          <w:rFonts w:eastAsia="Calibri" w:cs="Times New Roman"/>
          <w:color w:val="auto"/>
        </w:rPr>
        <w:t xml:space="preserve">σημαντικά </w:t>
      </w:r>
      <w:r w:rsidRPr="008A61D6">
        <w:rPr>
          <w:rFonts w:eastAsia="Calibri" w:cs="Times New Roman"/>
          <w:color w:val="auto"/>
        </w:rPr>
        <w:t>με τη σειρά της σ</w:t>
      </w:r>
      <w:r>
        <w:rPr>
          <w:rFonts w:eastAsia="Calibri" w:cs="Times New Roman"/>
          <w:color w:val="auto"/>
        </w:rPr>
        <w:t>ε αυ</w:t>
      </w:r>
      <w:r w:rsidRPr="008A61D6">
        <w:rPr>
          <w:rFonts w:eastAsia="Calibri" w:cs="Times New Roman"/>
          <w:color w:val="auto"/>
        </w:rPr>
        <w:t>τ</w:t>
      </w:r>
      <w:r>
        <w:rPr>
          <w:rFonts w:eastAsia="Calibri" w:cs="Times New Roman"/>
          <w:color w:val="auto"/>
        </w:rPr>
        <w:t>ή</w:t>
      </w:r>
      <w:r w:rsidRPr="008A61D6">
        <w:rPr>
          <w:rFonts w:eastAsia="Calibri" w:cs="Times New Roman"/>
          <w:color w:val="auto"/>
        </w:rPr>
        <w:t xml:space="preserve">ν </w:t>
      </w:r>
      <w:r>
        <w:rPr>
          <w:rFonts w:eastAsia="Calibri" w:cs="Times New Roman"/>
          <w:color w:val="auto"/>
        </w:rPr>
        <w:t xml:space="preserve">την </w:t>
      </w:r>
      <w:r w:rsidRPr="008A61D6">
        <w:rPr>
          <w:rFonts w:eastAsia="Calibri" w:cs="Times New Roman"/>
          <w:color w:val="auto"/>
        </w:rPr>
        <w:t>αρνητική εικόνα</w:t>
      </w:r>
      <w:r>
        <w:rPr>
          <w:rFonts w:eastAsia="Calibri" w:cs="Times New Roman"/>
          <w:color w:val="auto"/>
        </w:rPr>
        <w:t>.</w:t>
      </w:r>
    </w:p>
    <w:p w14:paraId="67D80983" w14:textId="377036B4" w:rsidR="008A61D6" w:rsidRPr="000B38C0" w:rsidRDefault="008A61D6" w:rsidP="008A61D6">
      <w:pPr>
        <w:spacing w:after="0" w:line="240" w:lineRule="auto"/>
        <w:rPr>
          <w:rFonts w:eastAsia="Calibri" w:cs="Times New Roman"/>
          <w:iCs/>
          <w:color w:val="00A3E0"/>
          <w:sz w:val="20"/>
          <w:szCs w:val="20"/>
        </w:rPr>
      </w:pPr>
      <w:bookmarkStart w:id="5" w:name="_Ref71921792"/>
      <w:bookmarkStart w:id="6" w:name="_Toc73435787"/>
      <w:r w:rsidRPr="000B38C0">
        <w:rPr>
          <w:iCs/>
          <w:color w:val="44546A" w:themeColor="text2"/>
          <w:sz w:val="20"/>
          <w:szCs w:val="20"/>
        </w:rPr>
        <w:t xml:space="preserve">Διάγραμμα </w:t>
      </w:r>
      <w:r w:rsidRPr="000B38C0">
        <w:rPr>
          <w:color w:val="44546A" w:themeColor="text2"/>
          <w:sz w:val="20"/>
          <w:szCs w:val="20"/>
        </w:rPr>
        <w:fldChar w:fldCharType="begin"/>
      </w:r>
      <w:r w:rsidRPr="000B38C0">
        <w:rPr>
          <w:iCs/>
          <w:color w:val="44546A" w:themeColor="text2"/>
          <w:sz w:val="20"/>
          <w:szCs w:val="20"/>
        </w:rPr>
        <w:instrText xml:space="preserve"> SEQ Διάγραμμα \* ARABIC </w:instrText>
      </w:r>
      <w:r w:rsidRPr="000B38C0">
        <w:rPr>
          <w:color w:val="44546A" w:themeColor="text2"/>
          <w:sz w:val="20"/>
          <w:szCs w:val="20"/>
        </w:rPr>
        <w:fldChar w:fldCharType="separate"/>
      </w:r>
      <w:r w:rsidR="00CC05A7">
        <w:rPr>
          <w:iCs/>
          <w:noProof/>
          <w:color w:val="44546A" w:themeColor="text2"/>
          <w:sz w:val="20"/>
          <w:szCs w:val="20"/>
        </w:rPr>
        <w:t>1</w:t>
      </w:r>
      <w:r w:rsidRPr="000B38C0">
        <w:rPr>
          <w:color w:val="44546A" w:themeColor="text2"/>
          <w:sz w:val="20"/>
          <w:szCs w:val="20"/>
        </w:rPr>
        <w:fldChar w:fldCharType="end"/>
      </w:r>
      <w:bookmarkEnd w:id="5"/>
      <w:r w:rsidRPr="000B38C0">
        <w:rPr>
          <w:iCs/>
          <w:color w:val="44546A" w:themeColor="text2"/>
          <w:sz w:val="20"/>
          <w:szCs w:val="20"/>
        </w:rPr>
        <w:t xml:space="preserve">: </w:t>
      </w:r>
      <w:r w:rsidRPr="000B38C0">
        <w:rPr>
          <w:rFonts w:eastAsia="Calibri" w:cs="Times New Roman"/>
          <w:iCs/>
          <w:color w:val="auto"/>
          <w:sz w:val="20"/>
          <w:szCs w:val="20"/>
        </w:rPr>
        <w:t xml:space="preserve"> </w:t>
      </w:r>
      <w:r w:rsidRPr="000B38C0">
        <w:rPr>
          <w:rFonts w:eastAsia="Calibri" w:cs="Times New Roman"/>
          <w:iCs/>
          <w:color w:val="00A3E0"/>
          <w:sz w:val="20"/>
          <w:szCs w:val="20"/>
        </w:rPr>
        <w:t>ΑΕΠ, 2008-2020 (εκατ. ευρώ και ετήσια μεταβολή σε %)</w:t>
      </w:r>
      <w:bookmarkEnd w:id="6"/>
      <w:r w:rsidRPr="000B38C0">
        <w:rPr>
          <w:rFonts w:eastAsia="Calibri" w:cs="Times New Roman"/>
          <w:iCs/>
          <w:color w:val="00A3E0"/>
          <w:sz w:val="20"/>
          <w:szCs w:val="20"/>
        </w:rPr>
        <w:t xml:space="preserve"> </w:t>
      </w:r>
    </w:p>
    <w:p w14:paraId="65F1DCE6" w14:textId="38191856" w:rsidR="008A61D6" w:rsidRPr="008A61D6" w:rsidRDefault="00BC33A4" w:rsidP="008A61D6">
      <w:pPr>
        <w:spacing w:after="0" w:line="259" w:lineRule="auto"/>
        <w:rPr>
          <w:rFonts w:eastAsia="Calibri" w:cs="Times New Roman"/>
          <w:i/>
          <w:iCs/>
          <w:color w:val="44546A" w:themeColor="text2"/>
          <w:sz w:val="16"/>
          <w:szCs w:val="16"/>
          <w:highlight w:val="lightGray"/>
        </w:rPr>
      </w:pPr>
      <w:r>
        <w:rPr>
          <w:noProof/>
          <w:lang w:eastAsia="el-GR"/>
        </w:rPr>
        <mc:AlternateContent>
          <mc:Choice Requires="wps">
            <w:drawing>
              <wp:anchor distT="0" distB="0" distL="114300" distR="114300" simplePos="0" relativeHeight="251671552" behindDoc="0" locked="0" layoutInCell="1" allowOverlap="1" wp14:anchorId="7E779279" wp14:editId="3F849C92">
                <wp:simplePos x="0" y="0"/>
                <wp:positionH relativeFrom="column">
                  <wp:posOffset>554355</wp:posOffset>
                </wp:positionH>
                <wp:positionV relativeFrom="paragraph">
                  <wp:posOffset>737870</wp:posOffset>
                </wp:positionV>
                <wp:extent cx="4352925" cy="19050"/>
                <wp:effectExtent l="0" t="0" r="28575" b="19050"/>
                <wp:wrapNone/>
                <wp:docPr id="42" name="Ευθεία γραμμή σύνδεσης 42"/>
                <wp:cNvGraphicFramePr/>
                <a:graphic xmlns:a="http://schemas.openxmlformats.org/drawingml/2006/main">
                  <a:graphicData uri="http://schemas.microsoft.com/office/word/2010/wordprocessingShape">
                    <wps:wsp>
                      <wps:cNvCnPr/>
                      <wps:spPr>
                        <a:xfrm flipH="1" flipV="1">
                          <a:off x="0" y="0"/>
                          <a:ext cx="4352925" cy="19050"/>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0084A000" id="Ευθεία γραμμή σύνδεσης 42" o:spid="_x0000_s1026" style="position:absolute;flip:x y;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65pt,58.1pt" to="386.4pt,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H65CAIAABoEAAAOAAAAZHJzL2Uyb0RvYy54bWysU8uKFDEU3Qv+Q8jerup2Wpyiq2cxjboQ&#10;bXztM6mkK5AXSezHUgeXLv2NkUGHmYX+QuqXvEl1l6IiKFIQktx7Ts4999bsZKskWjPnhdE1Ho9K&#10;jJimphF6VeOXLx7cuY+RD0Q3RBrNarxjHp/Mb9+abWzFJqY1smEOAYn21cbWuA3BVkXhacsU8SNj&#10;mYYgN06RAEe3KhpHNsCuZDEpy3vFxrjGOkOZ93C76IN4nvk5ZzQ85dyzgGSNQVvIq8vrWVqL+YxU&#10;K0dsK+heBvkHFYoIDY8OVAsSCHrtxC9USlBnvOFhRI0qDOeCslwDVDMuf6rmeUssy7WAOd4ONvn/&#10;R0ufrJcOiabGRxOMNFHQo/ihexdv4lX8GC9R/NS9iZfxC3wXqDvv3sev8XO86s7jdfcWAQgc3Fhf&#10;AdGpXrr9ydulS3ZsuVOIS2EfwXDgvHuVdikGxaNt7sRu6ATbBkTh8ujudHI8mWJEITY+Lqe5U0VP&#10;mMDW+fCQGYXSpsZS6GQUqcj6sQ8gAlIPKela6gNoQXyL1gTGoYFdUg+pKVykKnrdeRd2kvXQZ4yD&#10;Q6Cq151nk51K19MQSpkO2YfMBNkJxoWUA7DM2v4I3OcnKMtz+zfgAZFfNjoMYCW0cb97PWzH++J5&#10;n39woK87WXBmml3uaLYGBjB7tf9Z0oT/eM7w77/0/BsAAAD//wMAUEsDBBQABgAIAAAAIQA6mW3y&#10;3gAAAAoBAAAPAAAAZHJzL2Rvd25yZXYueG1sTI9NTsMwEIX3SNzBGiR21GmQkhLiVKgqEt1QUXIA&#10;Nx7iQDyOYqdNb890Bct58+n9lOvZ9eKEY+g8KVguEhBIjTcdtQrqz9eHFYgQNRnde0IFFwywrm5v&#10;Sl0Yf6YPPB1iK9iEQqEV2BiHQsrQWHQ6LPyAxL8vPzod+RxbaUZ9ZnPXyzRJMul0R5xg9YAbi83P&#10;YXIKttv6e5B7W7eX7G2zx3Ta7fy7Uvd388sziIhz/IPhWp+rQ8Wdjn4iE0SvYJU/Msn6MktBMJDn&#10;KW85XpWnFGRVyv8Tql8AAAD//wMAUEsBAi0AFAAGAAgAAAAhALaDOJL+AAAA4QEAABMAAAAAAAAA&#10;AAAAAAAAAAAAAFtDb250ZW50X1R5cGVzXS54bWxQSwECLQAUAAYACAAAACEAOP0h/9YAAACUAQAA&#10;CwAAAAAAAAAAAAAAAAAvAQAAX3JlbHMvLnJlbHNQSwECLQAUAAYACAAAACEAtfR+uQgCAAAaBAAA&#10;DgAAAAAAAAAAAAAAAAAuAgAAZHJzL2Uyb0RvYy54bWxQSwECLQAUAAYACAAAACEAOplt8t4AAAAK&#10;AQAADwAAAAAAAAAAAAAAAABiBAAAZHJzL2Rvd25yZXYueG1sUEsFBgAAAAAEAAQA8wAAAG0FAAAA&#10;AA==&#10;" strokecolor="#ed7d31 [3205]" strokeweight=".5pt">
                <v:stroke dashstyle="dash" joinstyle="miter"/>
              </v:line>
            </w:pict>
          </mc:Fallback>
        </mc:AlternateContent>
      </w:r>
      <w:r w:rsidR="008A61D6" w:rsidRPr="008A61D6">
        <w:rPr>
          <w:noProof/>
          <w:lang w:eastAsia="el-GR"/>
        </w:rPr>
        <w:drawing>
          <wp:inline distT="0" distB="0" distL="0" distR="0" wp14:anchorId="003BF49F" wp14:editId="53942DC1">
            <wp:extent cx="5280660" cy="3219450"/>
            <wp:effectExtent l="0" t="0" r="15240" b="0"/>
            <wp:docPr id="2" name="Γράφημα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AB45C7E" w14:textId="279BB88F" w:rsidR="008A61D6" w:rsidRPr="008A61D6" w:rsidRDefault="008A61D6" w:rsidP="008A61D6">
      <w:pPr>
        <w:spacing w:after="240"/>
        <w:rPr>
          <w:rFonts w:eastAsia="Calibri" w:cs="Times New Roman"/>
          <w:color w:val="auto"/>
          <w:sz w:val="16"/>
          <w:szCs w:val="16"/>
        </w:rPr>
      </w:pPr>
      <w:r w:rsidRPr="008A61D6">
        <w:rPr>
          <w:rFonts w:eastAsia="Calibri" w:cs="Times New Roman"/>
          <w:b/>
          <w:sz w:val="16"/>
          <w:szCs w:val="16"/>
        </w:rPr>
        <w:t>Πηγή:</w:t>
      </w:r>
      <w:r w:rsidRPr="008A61D6">
        <w:rPr>
          <w:rFonts w:eastAsia="Calibri" w:cs="Times New Roman"/>
          <w:i/>
          <w:color w:val="00A3E0"/>
          <w:sz w:val="16"/>
          <w:szCs w:val="16"/>
        </w:rPr>
        <w:t xml:space="preserve"> </w:t>
      </w:r>
      <w:r w:rsidRPr="008A61D6">
        <w:rPr>
          <w:rFonts w:eastAsia="Calibri" w:cs="Times New Roman"/>
          <w:color w:val="00A3E0"/>
          <w:sz w:val="16"/>
          <w:szCs w:val="16"/>
        </w:rPr>
        <w:t>ΕΛΣΤΑΤ (Σταθερές τιμές 2015).</w:t>
      </w:r>
    </w:p>
    <w:p w14:paraId="5A2CFACC" w14:textId="54E7385A" w:rsidR="003E69BF" w:rsidRDefault="008A61D6" w:rsidP="008A61D6">
      <w:pPr>
        <w:rPr>
          <w:rFonts w:eastAsia="Calibri" w:cs="Times New Roman"/>
          <w:color w:val="auto"/>
        </w:rPr>
      </w:pPr>
      <w:bookmarkStart w:id="7" w:name="_Toc10639929"/>
      <w:r w:rsidRPr="008A61D6">
        <w:rPr>
          <w:rFonts w:eastAsia="Calibri" w:cs="Times New Roman"/>
          <w:color w:val="auto"/>
        </w:rPr>
        <w:t xml:space="preserve">Η  πτώση του ΑΕΠ οφείλεται κατά βάση στη σημαντική πτώση της ιδιωτικής κατανάλωσης (-5,2%), καθώς και στη μεγάλη μείωση της αξίας των εξαγωγών </w:t>
      </w:r>
      <w:r w:rsidR="00BD56A8">
        <w:rPr>
          <w:rFonts w:eastAsia="Calibri" w:cs="Times New Roman"/>
          <w:color w:val="auto"/>
        </w:rPr>
        <w:t>υπηρεσιών</w:t>
      </w:r>
      <w:r w:rsidRPr="008A61D6">
        <w:rPr>
          <w:rFonts w:eastAsia="Calibri" w:cs="Times New Roman"/>
          <w:color w:val="auto"/>
        </w:rPr>
        <w:t xml:space="preserve">, η οποία μερικώς μόνο αντισταθμίστηκε από την πτώση της αξίας των εισαγωγών αγαθών και υπηρεσιών (-6,9%). Θετική συνεισφορά παρουσίασε η δημόσια κατανάλωση, με άνοδο της τάξης του 2,7%. Ο ακαθάριστος σχηματισμός κεφαλαίου σημείωσε επίσης άνοδο της τάξης του 4,9%, αποκλειστικά λόγω της αύξησης των αποθεμάτων, </w:t>
      </w:r>
      <w:r w:rsidR="00AA5D63">
        <w:rPr>
          <w:rFonts w:eastAsia="Calibri" w:cs="Times New Roman"/>
          <w:color w:val="auto"/>
        </w:rPr>
        <w:t>καθώς</w:t>
      </w:r>
      <w:r w:rsidRPr="008A61D6">
        <w:rPr>
          <w:rFonts w:eastAsia="Calibri" w:cs="Times New Roman"/>
          <w:color w:val="auto"/>
        </w:rPr>
        <w:t xml:space="preserve"> ο ακαθάριστος σχηματισμός παγίου κεφαλαίου </w:t>
      </w:r>
      <w:r w:rsidR="00AA5D63">
        <w:rPr>
          <w:rFonts w:eastAsia="Calibri" w:cs="Times New Roman"/>
          <w:color w:val="auto"/>
        </w:rPr>
        <w:t>μειώθηκ</w:t>
      </w:r>
      <w:r w:rsidR="004F59E8">
        <w:rPr>
          <w:rFonts w:eastAsia="Calibri" w:cs="Times New Roman"/>
          <w:color w:val="auto"/>
        </w:rPr>
        <w:t>ε</w:t>
      </w:r>
      <w:r w:rsidRPr="008A61D6">
        <w:rPr>
          <w:rFonts w:eastAsia="Calibri" w:cs="Times New Roman"/>
          <w:color w:val="auto"/>
        </w:rPr>
        <w:t xml:space="preserve"> οριακά κατά μόλις 0,</w:t>
      </w:r>
      <w:r w:rsidR="00AA5D63">
        <w:rPr>
          <w:rFonts w:eastAsia="Calibri" w:cs="Times New Roman"/>
          <w:color w:val="auto"/>
        </w:rPr>
        <w:t>6</w:t>
      </w:r>
      <w:r w:rsidRPr="008A61D6">
        <w:rPr>
          <w:rFonts w:eastAsia="Calibri" w:cs="Times New Roman"/>
          <w:color w:val="auto"/>
        </w:rPr>
        <w:t>% (</w:t>
      </w:r>
      <w:r w:rsidRPr="008A61D6">
        <w:rPr>
          <w:rFonts w:eastAsia="Calibri" w:cs="Times New Roman"/>
          <w:color w:val="auto"/>
        </w:rPr>
        <w:fldChar w:fldCharType="begin"/>
      </w:r>
      <w:r w:rsidRPr="008A61D6">
        <w:rPr>
          <w:rFonts w:eastAsia="Calibri" w:cs="Times New Roman"/>
          <w:color w:val="auto"/>
        </w:rPr>
        <w:instrText xml:space="preserve"> REF _Ref12883173 \h  \* MERGEFORMAT </w:instrText>
      </w:r>
      <w:r w:rsidRPr="008A61D6">
        <w:rPr>
          <w:rFonts w:eastAsia="Calibri" w:cs="Times New Roman"/>
          <w:color w:val="auto"/>
        </w:rPr>
      </w:r>
      <w:r w:rsidRPr="008A61D6">
        <w:rPr>
          <w:rFonts w:eastAsia="Calibri" w:cs="Times New Roman"/>
          <w:color w:val="auto"/>
        </w:rPr>
        <w:fldChar w:fldCharType="separate"/>
      </w:r>
      <w:r w:rsidR="00CC05A7" w:rsidRPr="00CC05A7">
        <w:rPr>
          <w:i/>
          <w:color w:val="auto"/>
        </w:rPr>
        <w:t xml:space="preserve">Διάγραμμα </w:t>
      </w:r>
      <w:r w:rsidR="00CC05A7" w:rsidRPr="00CC05A7">
        <w:rPr>
          <w:i/>
          <w:noProof/>
          <w:color w:val="auto"/>
        </w:rPr>
        <w:t>2</w:t>
      </w:r>
      <w:r w:rsidRPr="008A61D6">
        <w:rPr>
          <w:rFonts w:eastAsia="Calibri" w:cs="Times New Roman"/>
          <w:color w:val="auto"/>
        </w:rPr>
        <w:fldChar w:fldCharType="end"/>
      </w:r>
      <w:r w:rsidRPr="008A61D6">
        <w:rPr>
          <w:rFonts w:eastAsia="Calibri" w:cs="Times New Roman"/>
          <w:color w:val="auto"/>
        </w:rPr>
        <w:t>).</w:t>
      </w:r>
    </w:p>
    <w:p w14:paraId="2AD145A7" w14:textId="2C29932E" w:rsidR="003E69BF" w:rsidRDefault="003E69BF">
      <w:pPr>
        <w:spacing w:after="160" w:line="0" w:lineRule="auto"/>
        <w:jc w:val="left"/>
        <w:rPr>
          <w:rFonts w:eastAsia="Calibri" w:cs="Times New Roman"/>
          <w:color w:val="auto"/>
        </w:rPr>
      </w:pPr>
      <w:r>
        <w:rPr>
          <w:rFonts w:eastAsia="Calibri" w:cs="Times New Roman"/>
          <w:color w:val="auto"/>
        </w:rPr>
        <w:br w:type="page"/>
      </w:r>
    </w:p>
    <w:p w14:paraId="0A9E5AB9" w14:textId="6FB8C5A7" w:rsidR="008A61D6" w:rsidRPr="008A61D6" w:rsidRDefault="008A61D6" w:rsidP="008A61D6">
      <w:pPr>
        <w:spacing w:after="0" w:line="240" w:lineRule="auto"/>
        <w:rPr>
          <w:rFonts w:eastAsia="Calibri" w:cs="Times New Roman"/>
          <w:iCs/>
          <w:color w:val="00A3E0"/>
          <w:sz w:val="20"/>
          <w:szCs w:val="20"/>
        </w:rPr>
      </w:pPr>
      <w:bookmarkStart w:id="8" w:name="_Ref12883173"/>
      <w:bookmarkStart w:id="9" w:name="_Toc10639930"/>
      <w:bookmarkStart w:id="10" w:name="_Toc43377019"/>
      <w:bookmarkStart w:id="11" w:name="_Toc73435788"/>
      <w:bookmarkEnd w:id="7"/>
      <w:r w:rsidRPr="000B38C0">
        <w:rPr>
          <w:iCs/>
          <w:color w:val="44546A" w:themeColor="text2"/>
          <w:sz w:val="20"/>
          <w:szCs w:val="20"/>
        </w:rPr>
        <w:t xml:space="preserve">Διάγραμμα </w:t>
      </w:r>
      <w:r w:rsidRPr="000B38C0">
        <w:rPr>
          <w:color w:val="44546A" w:themeColor="text2"/>
          <w:sz w:val="20"/>
          <w:szCs w:val="20"/>
        </w:rPr>
        <w:fldChar w:fldCharType="begin"/>
      </w:r>
      <w:r w:rsidRPr="000B38C0">
        <w:rPr>
          <w:iCs/>
          <w:color w:val="44546A" w:themeColor="text2"/>
          <w:sz w:val="20"/>
          <w:szCs w:val="20"/>
        </w:rPr>
        <w:instrText xml:space="preserve"> SEQ Διάγραμμα \* ARABIC </w:instrText>
      </w:r>
      <w:r w:rsidRPr="000B38C0">
        <w:rPr>
          <w:color w:val="44546A" w:themeColor="text2"/>
          <w:sz w:val="20"/>
          <w:szCs w:val="20"/>
        </w:rPr>
        <w:fldChar w:fldCharType="separate"/>
      </w:r>
      <w:r w:rsidR="00CC05A7">
        <w:rPr>
          <w:iCs/>
          <w:noProof/>
          <w:color w:val="44546A" w:themeColor="text2"/>
          <w:sz w:val="20"/>
          <w:szCs w:val="20"/>
        </w:rPr>
        <w:t>2</w:t>
      </w:r>
      <w:r w:rsidRPr="000B38C0">
        <w:rPr>
          <w:color w:val="44546A" w:themeColor="text2"/>
          <w:sz w:val="20"/>
          <w:szCs w:val="20"/>
        </w:rPr>
        <w:fldChar w:fldCharType="end"/>
      </w:r>
      <w:bookmarkEnd w:id="8"/>
      <w:r w:rsidRPr="000B38C0">
        <w:rPr>
          <w:iCs/>
          <w:color w:val="44546A" w:themeColor="text2"/>
          <w:sz w:val="20"/>
          <w:szCs w:val="20"/>
        </w:rPr>
        <w:t xml:space="preserve">: </w:t>
      </w:r>
      <w:r w:rsidRPr="000B38C0">
        <w:rPr>
          <w:rFonts w:eastAsia="Calibri" w:cs="Times New Roman"/>
          <w:iCs/>
          <w:color w:val="00A3E0"/>
          <w:sz w:val="20"/>
          <w:szCs w:val="20"/>
        </w:rPr>
        <w:t>Βασικές συνιστώσες του ΑΕΠ, 2020 (εκατ. ευρώ/αριστερός άξονας και %</w:t>
      </w:r>
      <w:r w:rsidRPr="008A61D6">
        <w:rPr>
          <w:rFonts w:eastAsia="Calibri" w:cs="Times New Roman"/>
          <w:iCs/>
          <w:color w:val="00A3E0"/>
          <w:sz w:val="20"/>
          <w:szCs w:val="20"/>
        </w:rPr>
        <w:t xml:space="preserve"> μεταβολή σε σχέση με το 2019/δεξιός άξονας)</w:t>
      </w:r>
      <w:bookmarkEnd w:id="9"/>
      <w:bookmarkEnd w:id="10"/>
      <w:bookmarkEnd w:id="11"/>
      <w:r w:rsidRPr="008A61D6">
        <w:rPr>
          <w:rFonts w:eastAsia="Calibri" w:cs="Times New Roman"/>
          <w:iCs/>
          <w:color w:val="00A3E0"/>
          <w:sz w:val="20"/>
          <w:szCs w:val="20"/>
        </w:rPr>
        <w:t xml:space="preserve"> </w:t>
      </w:r>
    </w:p>
    <w:p w14:paraId="780B3349" w14:textId="7A7B8608" w:rsidR="008A61D6" w:rsidRPr="008A61D6" w:rsidRDefault="00BC33A4" w:rsidP="008A61D6">
      <w:pPr>
        <w:spacing w:after="60" w:line="240" w:lineRule="auto"/>
        <w:rPr>
          <w:rFonts w:eastAsia="Calibri"/>
          <w:iCs/>
          <w:color w:val="00A3E0"/>
          <w:sz w:val="20"/>
          <w:szCs w:val="20"/>
        </w:rPr>
      </w:pPr>
      <w:r>
        <w:rPr>
          <w:noProof/>
          <w:lang w:eastAsia="el-GR"/>
        </w:rPr>
        <mc:AlternateContent>
          <mc:Choice Requires="wps">
            <w:drawing>
              <wp:anchor distT="0" distB="0" distL="114300" distR="114300" simplePos="0" relativeHeight="251673600" behindDoc="0" locked="0" layoutInCell="1" allowOverlap="1" wp14:anchorId="307FDF4F" wp14:editId="50E96221">
                <wp:simplePos x="0" y="0"/>
                <wp:positionH relativeFrom="margin">
                  <wp:align>center</wp:align>
                </wp:positionH>
                <wp:positionV relativeFrom="paragraph">
                  <wp:posOffset>866775</wp:posOffset>
                </wp:positionV>
                <wp:extent cx="4352925" cy="19050"/>
                <wp:effectExtent l="0" t="0" r="28575" b="19050"/>
                <wp:wrapNone/>
                <wp:docPr id="43" name="Ευθεία γραμμή σύνδεσης 43"/>
                <wp:cNvGraphicFramePr/>
                <a:graphic xmlns:a="http://schemas.openxmlformats.org/drawingml/2006/main">
                  <a:graphicData uri="http://schemas.microsoft.com/office/word/2010/wordprocessingShape">
                    <wps:wsp>
                      <wps:cNvCnPr/>
                      <wps:spPr>
                        <a:xfrm flipH="1" flipV="1">
                          <a:off x="0" y="0"/>
                          <a:ext cx="4352925" cy="19050"/>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20DFC15F" id="Ευθεία γραμμή σύνδεσης 43" o:spid="_x0000_s1026" style="position:absolute;flip:x y;z-index:25167360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68.25pt" to="342.75pt,6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k4dBwIAABoEAAAOAAAAZHJzL2Uyb0RvYy54bWysU8uKFDEU3Qv+Q8jeruqeaXGKrp7FNOpC&#10;tFHHfSaVdAXyIon9WOrg0qW/oQw6jAv9hdQveZPqLkVFUKQgJLn3nJx77q3Z6VZJtGbOC6NrPB6V&#10;GDFNTSP0qsbnz+/fuYeRD0Q3RBrNarxjHp/Ob9+abWzFJqY1smEOAYn21cbWuA3BVkXhacsU8SNj&#10;mYYgN06RAEe3KhpHNsCuZDEpy7vFxrjGOkOZ93C76IN4nvk5ZzQ84dyzgGSNQVvIq8vrRVqL+YxU&#10;K0dsK+heBvkHFYoIDY8OVAsSCHrpxC9USlBnvOFhRI0qDOeCslwDVDMuf6rmWUssy7WAOd4ONvn/&#10;R0sfr5cOiabGx0cYaaKgR/Fd9yZ+jtfxQ7xC8WP3Kl7FL/C9R91l9zZ+jZ/idXcZb7rXCEDg4Mb6&#10;CojO9NLtT94uXbJjy51CXAr7EIYD592LtEsxKB5tcyd2QyfYNiAKl8dH08nJZIoRhdj4pJzmThU9&#10;YQJb58MDZhRKmxpLoZNRpCLrRz6ACEg9pKRrqQ+gBfEtWhMYhwZ2ST2kpnCRquh1513YSdZDnzIO&#10;DoGqXneeTXYmXU9DKGU6TAYmyE4wLqQcgGXW9kfgPj9BWZ7bvwEPiPyy0WEAK6GN+93rYTveS+Z9&#10;/sGBvu5kwYVpdrmj2RoYwOzV/mdJE/7jOcO//9LzbwAAAP//AwBQSwMEFAAGAAgAAAAhACu/DiPd&#10;AAAACAEAAA8AAABkcnMvZG93bnJldi54bWxMj8FOwzAQRO9I/IO1SNyoQ1GiEuJUqCoSvVBR8gFu&#10;vI1T4nUUO23692xP9LY7s5p9Uywn14kTDqH1pOB5loBAqr1pqVFQ/Xw8LUCEqMnozhMquGCAZXl/&#10;V+jc+DN942kXG8EhFHKtwMbY51KG2qLTYeZ7JPYOfnA68jo00gz6zOGuk/MkyaTTLfEHq3tcWax/&#10;d6NTsF5Xx15ubdVcss/VFufjZuO/lHp8mN7fQESc4v8xXPEZHUpm2vuRTBCdAi4SWX3JUhBsZ4uU&#10;h/1VeU1BloW8LVD+AQAA//8DAFBLAQItABQABgAIAAAAIQC2gziS/gAAAOEBAAATAAAAAAAAAAAA&#10;AAAAAAAAAABbQ29udGVudF9UeXBlc10ueG1sUEsBAi0AFAAGAAgAAAAhADj9If/WAAAAlAEAAAsA&#10;AAAAAAAAAAAAAAAALwEAAF9yZWxzLy5yZWxzUEsBAi0AFAAGAAgAAAAhAL3mTh0HAgAAGgQAAA4A&#10;AAAAAAAAAAAAAAAALgIAAGRycy9lMm9Eb2MueG1sUEsBAi0AFAAGAAgAAAAhACu/DiPdAAAACAEA&#10;AA8AAAAAAAAAAAAAAAAAYQQAAGRycy9kb3ducmV2LnhtbFBLBQYAAAAABAAEAPMAAABrBQAAAAA=&#10;" strokecolor="#ed7d31 [3205]" strokeweight=".5pt">
                <v:stroke dashstyle="dash" joinstyle="miter"/>
                <w10:wrap anchorx="margin"/>
              </v:line>
            </w:pict>
          </mc:Fallback>
        </mc:AlternateContent>
      </w:r>
      <w:r w:rsidRPr="008A61D6">
        <w:rPr>
          <w:noProof/>
          <w:lang w:eastAsia="el-GR"/>
        </w:rPr>
        <w:drawing>
          <wp:inline distT="0" distB="0" distL="0" distR="0" wp14:anchorId="602E8542" wp14:editId="48A907EA">
            <wp:extent cx="5311140" cy="3171825"/>
            <wp:effectExtent l="0" t="0" r="3810" b="9525"/>
            <wp:docPr id="1" name="Γράφημα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0BB6DAE" w14:textId="77777777" w:rsidR="008A61D6" w:rsidRPr="008A61D6" w:rsidRDefault="008A61D6" w:rsidP="008A61D6">
      <w:pPr>
        <w:spacing w:after="0" w:line="240" w:lineRule="auto"/>
        <w:rPr>
          <w:rFonts w:eastAsia="Calibri" w:cs="Times New Roman"/>
          <w:b/>
          <w:iCs/>
          <w:color w:val="00A3E0"/>
          <w:sz w:val="16"/>
          <w:szCs w:val="16"/>
        </w:rPr>
      </w:pPr>
      <w:r w:rsidRPr="008A61D6">
        <w:rPr>
          <w:rFonts w:eastAsia="Calibri" w:cs="Times New Roman"/>
          <w:b/>
          <w:sz w:val="16"/>
          <w:szCs w:val="16"/>
        </w:rPr>
        <w:t>Πηγή:</w:t>
      </w:r>
      <w:r w:rsidRPr="008A61D6">
        <w:rPr>
          <w:rFonts w:eastAsia="Calibri" w:cs="Times New Roman"/>
          <w:i/>
          <w:color w:val="00A3E0"/>
          <w:sz w:val="16"/>
          <w:szCs w:val="16"/>
        </w:rPr>
        <w:t xml:space="preserve"> </w:t>
      </w:r>
      <w:r w:rsidRPr="008A61D6">
        <w:rPr>
          <w:rFonts w:eastAsia="Calibri" w:cs="Times New Roman"/>
          <w:color w:val="00A3E0"/>
          <w:sz w:val="16"/>
          <w:szCs w:val="16"/>
        </w:rPr>
        <w:t>ΕΛΣΤΑΤ και επεξεργασία ΕΔΣ (Σταθερές τιμές 2015).</w:t>
      </w:r>
    </w:p>
    <w:p w14:paraId="116B9749" w14:textId="6796342F" w:rsidR="008A61D6" w:rsidRPr="008A61D6" w:rsidRDefault="008A61D6" w:rsidP="008A61D6">
      <w:pPr>
        <w:rPr>
          <w:sz w:val="16"/>
          <w:szCs w:val="16"/>
        </w:rPr>
      </w:pPr>
      <w:r w:rsidRPr="008A61D6">
        <w:rPr>
          <w:sz w:val="16"/>
          <w:szCs w:val="16"/>
        </w:rPr>
        <w:t>*Η πράσινη κουκίδα αντιστοιχεί σε θετική -από τη σκοπιά της μεγέθυνσης- εξέλιξη και η πορτοκαλί σε αρνητική.</w:t>
      </w:r>
    </w:p>
    <w:p w14:paraId="3D2E88EF" w14:textId="7CE37091" w:rsidR="008A61D6" w:rsidRPr="008A61D6" w:rsidRDefault="008A61D6" w:rsidP="008A61D6">
      <w:pPr>
        <w:rPr>
          <w:rFonts w:eastAsia="Calibri" w:cs="Times New Roman"/>
          <w:color w:val="auto"/>
        </w:rPr>
      </w:pPr>
      <w:r w:rsidRPr="008A61D6">
        <w:rPr>
          <w:rFonts w:eastAsia="Calibri" w:cs="Times New Roman"/>
          <w:color w:val="auto"/>
        </w:rPr>
        <w:t xml:space="preserve">Ειδικά όσον αφορά στο ισοζύγιο αγαθών και υπηρεσιών </w:t>
      </w:r>
      <w:r w:rsidRPr="00BD56A8">
        <w:rPr>
          <w:rFonts w:eastAsia="Calibri" w:cs="Times New Roman"/>
          <w:color w:val="auto"/>
        </w:rPr>
        <w:t>(</w:t>
      </w:r>
      <w:r w:rsidRPr="00BD56A8">
        <w:rPr>
          <w:rFonts w:eastAsia="Calibri" w:cs="Times New Roman"/>
          <w:i/>
          <w:color w:val="auto"/>
        </w:rPr>
        <w:fldChar w:fldCharType="begin"/>
      </w:r>
      <w:r w:rsidRPr="00BD56A8">
        <w:rPr>
          <w:rFonts w:eastAsia="Calibri" w:cs="Times New Roman"/>
          <w:i/>
          <w:color w:val="auto"/>
        </w:rPr>
        <w:instrText xml:space="preserve"> REF _Ref41060234 \h </w:instrText>
      </w:r>
      <w:r w:rsidR="00BD56A8" w:rsidRPr="00BD56A8">
        <w:rPr>
          <w:rFonts w:eastAsia="Calibri" w:cs="Times New Roman"/>
          <w:i/>
          <w:color w:val="auto"/>
        </w:rPr>
        <w:instrText xml:space="preserve"> \* MERGEFORMAT </w:instrText>
      </w:r>
      <w:r w:rsidRPr="00BD56A8">
        <w:rPr>
          <w:rFonts w:eastAsia="Calibri" w:cs="Times New Roman"/>
          <w:i/>
          <w:color w:val="auto"/>
        </w:rPr>
      </w:r>
      <w:r w:rsidRPr="00BD56A8">
        <w:rPr>
          <w:rFonts w:eastAsia="Calibri" w:cs="Times New Roman"/>
          <w:i/>
          <w:color w:val="auto"/>
        </w:rPr>
        <w:fldChar w:fldCharType="separate"/>
      </w:r>
      <w:r w:rsidR="00CC05A7" w:rsidRPr="00CC05A7">
        <w:rPr>
          <w:rFonts w:eastAsia="Calibri" w:cs="Times New Roman"/>
          <w:i/>
          <w:iCs/>
          <w:color w:val="auto"/>
        </w:rPr>
        <w:t xml:space="preserve">Πίνακας </w:t>
      </w:r>
      <w:r w:rsidR="00CC05A7" w:rsidRPr="00CC05A7">
        <w:rPr>
          <w:rFonts w:eastAsia="Calibri" w:cs="Times New Roman"/>
          <w:i/>
          <w:iCs/>
          <w:noProof/>
          <w:color w:val="auto"/>
        </w:rPr>
        <w:t>1</w:t>
      </w:r>
      <w:r w:rsidRPr="00BD56A8">
        <w:rPr>
          <w:rFonts w:eastAsia="Calibri" w:cs="Times New Roman"/>
          <w:i/>
          <w:color w:val="auto"/>
        </w:rPr>
        <w:fldChar w:fldCharType="end"/>
      </w:r>
      <w:r w:rsidRPr="00BD56A8">
        <w:rPr>
          <w:rFonts w:eastAsia="Calibri" w:cs="Times New Roman"/>
          <w:color w:val="auto"/>
        </w:rPr>
        <w:t xml:space="preserve">), </w:t>
      </w:r>
      <w:r w:rsidRPr="008A61D6">
        <w:rPr>
          <w:rFonts w:eastAsia="Calibri" w:cs="Times New Roman"/>
          <w:color w:val="auto"/>
        </w:rPr>
        <w:t xml:space="preserve">η σημαντική πτώση που καταγράφηκε στην αξία των εξαγωγών οφείλεται αποκλειστικά στην πτώση της αξίας των εξαγωγών υπηρεσιών (κυρίως τουρισμός), οι οποίες μειώθηκαν κατά 43,9%. Αντίθετα οι εξαγωγές αγαθών κατέγραψαν αύξηση της τάξης του 4,3% σε σχέση με το 2019. Αντίστοιχα, η μείωση της αξίας των εισαγωγών προκλήθηκε κατά βάση λόγω της μείωσης της αξίας των εισαγωγών υπηρεσιών (-16,0%), ενώ η πτώση της αξίας των εισαγωγών προϊόντων ήταν σαφώς πιο συγκρατημένη (-3,8%). </w:t>
      </w:r>
      <w:r w:rsidR="00AA5D63">
        <w:rPr>
          <w:rFonts w:eastAsia="Calibri" w:cs="Times New Roman"/>
          <w:color w:val="auto"/>
        </w:rPr>
        <w:t>Τα α</w:t>
      </w:r>
      <w:r w:rsidRPr="008A61D6">
        <w:rPr>
          <w:rFonts w:eastAsia="Calibri" w:cs="Times New Roman"/>
          <w:color w:val="auto"/>
        </w:rPr>
        <w:t>ποτέλεσμα  των μεταβολών</w:t>
      </w:r>
      <w:r w:rsidR="00AA5D63">
        <w:rPr>
          <w:rFonts w:eastAsia="Calibri" w:cs="Times New Roman"/>
          <w:color w:val="auto"/>
        </w:rPr>
        <w:t xml:space="preserve"> αυτών</w:t>
      </w:r>
      <w:r w:rsidRPr="008A61D6">
        <w:rPr>
          <w:rFonts w:eastAsia="Calibri" w:cs="Times New Roman"/>
          <w:color w:val="auto"/>
        </w:rPr>
        <w:t>, στο ισοζύγιο αγαθών και υπηρεσιών, ήταν η δημιουργία ελλείμματος της τάξης των 11,6 δισ. ευρώ περίπου</w:t>
      </w:r>
      <w:r w:rsidR="00AA5D63">
        <w:rPr>
          <w:rFonts w:eastAsia="Calibri" w:cs="Times New Roman"/>
          <w:color w:val="auto"/>
        </w:rPr>
        <w:t xml:space="preserve"> –ή με άλλα λόγια- τη διεύρυνσή του </w:t>
      </w:r>
      <w:r w:rsidRPr="008A61D6">
        <w:rPr>
          <w:rFonts w:eastAsia="Calibri" w:cs="Times New Roman"/>
          <w:color w:val="auto"/>
        </w:rPr>
        <w:t>κατά 10,2 δισ. ευρώ περίπου σε σχέση με το έλλειμμα που είχε καταγραφεί το 2019.</w:t>
      </w:r>
    </w:p>
    <w:p w14:paraId="3D48107E" w14:textId="32341E42" w:rsidR="008A61D6" w:rsidRPr="00ED52C5" w:rsidRDefault="008A61D6" w:rsidP="008A61D6">
      <w:pPr>
        <w:spacing w:after="0" w:line="240" w:lineRule="auto"/>
        <w:rPr>
          <w:rFonts w:eastAsia="Calibri" w:cs="Times New Roman"/>
          <w:i/>
          <w:color w:val="00B0F0"/>
        </w:rPr>
      </w:pPr>
      <w:bookmarkStart w:id="12" w:name="_Ref41060234"/>
      <w:bookmarkStart w:id="13" w:name="_Toc22920817"/>
      <w:bookmarkStart w:id="14" w:name="_Toc25065290"/>
      <w:bookmarkStart w:id="15" w:name="_Toc43376961"/>
      <w:bookmarkStart w:id="16" w:name="_Toc73435762"/>
      <w:r w:rsidRPr="00ED52C5">
        <w:rPr>
          <w:rFonts w:eastAsia="Calibri" w:cs="Times New Roman"/>
          <w:iCs/>
          <w:sz w:val="20"/>
          <w:szCs w:val="20"/>
        </w:rPr>
        <w:t xml:space="preserve">Πίνακας </w:t>
      </w:r>
      <w:r w:rsidRPr="00ED52C5">
        <w:rPr>
          <w:rFonts w:eastAsia="Calibri" w:cs="Times New Roman"/>
          <w:iCs/>
          <w:sz w:val="20"/>
          <w:szCs w:val="20"/>
        </w:rPr>
        <w:fldChar w:fldCharType="begin"/>
      </w:r>
      <w:r w:rsidRPr="00ED52C5">
        <w:rPr>
          <w:rFonts w:eastAsia="Calibri" w:cs="Times New Roman"/>
          <w:iCs/>
          <w:sz w:val="20"/>
          <w:szCs w:val="20"/>
        </w:rPr>
        <w:instrText xml:space="preserve"> SEQ Πίνακας \* ARABIC </w:instrText>
      </w:r>
      <w:r w:rsidRPr="00ED52C5">
        <w:rPr>
          <w:rFonts w:eastAsia="Calibri" w:cs="Times New Roman"/>
          <w:iCs/>
          <w:sz w:val="20"/>
          <w:szCs w:val="20"/>
        </w:rPr>
        <w:fldChar w:fldCharType="separate"/>
      </w:r>
      <w:r w:rsidR="00CC05A7">
        <w:rPr>
          <w:rFonts w:eastAsia="Calibri" w:cs="Times New Roman"/>
          <w:iCs/>
          <w:noProof/>
          <w:sz w:val="20"/>
          <w:szCs w:val="20"/>
        </w:rPr>
        <w:t>1</w:t>
      </w:r>
      <w:r w:rsidRPr="00ED52C5">
        <w:rPr>
          <w:rFonts w:eastAsia="Calibri" w:cs="Times New Roman"/>
          <w:iCs/>
          <w:sz w:val="20"/>
          <w:szCs w:val="20"/>
        </w:rPr>
        <w:fldChar w:fldCharType="end"/>
      </w:r>
      <w:bookmarkEnd w:id="12"/>
      <w:r w:rsidRPr="00ED52C5">
        <w:rPr>
          <w:rFonts w:eastAsia="Calibri" w:cs="Times New Roman"/>
          <w:iCs/>
          <w:sz w:val="20"/>
          <w:szCs w:val="20"/>
        </w:rPr>
        <w:t>:</w:t>
      </w:r>
      <w:r w:rsidRPr="00ED52C5">
        <w:rPr>
          <w:rFonts w:asciiTheme="minorHAnsi" w:hAnsiTheme="minorHAnsi" w:cstheme="minorHAnsi"/>
          <w:sz w:val="20"/>
          <w:szCs w:val="20"/>
        </w:rPr>
        <w:t xml:space="preserve"> </w:t>
      </w:r>
      <w:r w:rsidRPr="00ED52C5">
        <w:rPr>
          <w:rFonts w:eastAsia="Calibri"/>
          <w:iCs/>
          <w:sz w:val="20"/>
          <w:szCs w:val="20"/>
        </w:rPr>
        <w:t xml:space="preserve"> </w:t>
      </w:r>
      <w:r w:rsidRPr="00ED52C5">
        <w:rPr>
          <w:color w:val="00B0F0"/>
          <w:sz w:val="20"/>
          <w:szCs w:val="20"/>
        </w:rPr>
        <w:t>Εισαγωγές και εξαγωγές αγαθών και υπηρεσιών (σε εκατ. ευρώ)</w:t>
      </w:r>
      <w:bookmarkEnd w:id="13"/>
      <w:bookmarkEnd w:id="14"/>
      <w:bookmarkEnd w:id="15"/>
      <w:bookmarkEnd w:id="16"/>
    </w:p>
    <w:tbl>
      <w:tblPr>
        <w:tblW w:w="8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4"/>
        <w:gridCol w:w="1859"/>
        <w:gridCol w:w="1827"/>
        <w:gridCol w:w="973"/>
      </w:tblGrid>
      <w:tr w:rsidR="008A61D6" w:rsidRPr="008A61D6" w14:paraId="2CC0801A" w14:textId="77777777" w:rsidTr="003E69BF">
        <w:trPr>
          <w:trHeight w:val="340"/>
        </w:trPr>
        <w:tc>
          <w:tcPr>
            <w:tcW w:w="3714" w:type="dxa"/>
            <w:shd w:val="clear" w:color="auto" w:fill="BDD6EE" w:themeFill="accent1" w:themeFillTint="66"/>
            <w:noWrap/>
            <w:vAlign w:val="bottom"/>
            <w:hideMark/>
          </w:tcPr>
          <w:p w14:paraId="10AD792F" w14:textId="77777777" w:rsidR="008A61D6" w:rsidRPr="008A61D6" w:rsidRDefault="008A61D6" w:rsidP="008A61D6">
            <w:pPr>
              <w:spacing w:after="0" w:line="240" w:lineRule="auto"/>
              <w:jc w:val="left"/>
              <w:rPr>
                <w:rFonts w:eastAsia="Times New Roman" w:cs="Times New Roman"/>
                <w:color w:val="auto"/>
                <w:sz w:val="20"/>
                <w:szCs w:val="20"/>
                <w:lang w:eastAsia="el-GR"/>
              </w:rPr>
            </w:pPr>
          </w:p>
        </w:tc>
        <w:tc>
          <w:tcPr>
            <w:tcW w:w="1859" w:type="dxa"/>
            <w:shd w:val="clear" w:color="auto" w:fill="BDD6EE" w:themeFill="accent1" w:themeFillTint="66"/>
            <w:noWrap/>
            <w:vAlign w:val="bottom"/>
            <w:hideMark/>
          </w:tcPr>
          <w:p w14:paraId="6A0EB785" w14:textId="77777777" w:rsidR="008A61D6" w:rsidRPr="008A61D6" w:rsidRDefault="008A61D6" w:rsidP="008A61D6">
            <w:pPr>
              <w:spacing w:after="0" w:line="240" w:lineRule="auto"/>
              <w:jc w:val="center"/>
              <w:rPr>
                <w:rFonts w:eastAsia="Times New Roman" w:cs="Calibri"/>
                <w:color w:val="000000"/>
                <w:sz w:val="20"/>
                <w:szCs w:val="20"/>
                <w:lang w:val="en-US" w:eastAsia="el-GR"/>
              </w:rPr>
            </w:pPr>
            <w:r w:rsidRPr="008A61D6">
              <w:rPr>
                <w:rFonts w:eastAsia="Times New Roman" w:cs="Calibri"/>
                <w:color w:val="000000"/>
                <w:sz w:val="20"/>
                <w:szCs w:val="20"/>
                <w:lang w:eastAsia="el-GR"/>
              </w:rPr>
              <w:t>20</w:t>
            </w:r>
            <w:r w:rsidRPr="008A61D6">
              <w:rPr>
                <w:rFonts w:eastAsia="Times New Roman" w:cs="Calibri"/>
                <w:color w:val="000000"/>
                <w:sz w:val="20"/>
                <w:szCs w:val="20"/>
                <w:lang w:val="en-US" w:eastAsia="el-GR"/>
              </w:rPr>
              <w:t>19</w:t>
            </w:r>
          </w:p>
        </w:tc>
        <w:tc>
          <w:tcPr>
            <w:tcW w:w="1827" w:type="dxa"/>
            <w:shd w:val="clear" w:color="auto" w:fill="BDD6EE" w:themeFill="accent1" w:themeFillTint="66"/>
            <w:noWrap/>
            <w:vAlign w:val="bottom"/>
            <w:hideMark/>
          </w:tcPr>
          <w:p w14:paraId="51A3530A" w14:textId="77777777" w:rsidR="008A61D6" w:rsidRPr="008A61D6" w:rsidRDefault="008A61D6" w:rsidP="008A61D6">
            <w:pPr>
              <w:spacing w:after="0" w:line="240" w:lineRule="auto"/>
              <w:jc w:val="center"/>
              <w:rPr>
                <w:rFonts w:eastAsia="Times New Roman" w:cs="Calibri"/>
                <w:color w:val="000000"/>
                <w:sz w:val="20"/>
                <w:szCs w:val="20"/>
                <w:lang w:eastAsia="el-GR"/>
              </w:rPr>
            </w:pPr>
            <w:r w:rsidRPr="008A61D6">
              <w:rPr>
                <w:rFonts w:eastAsia="Times New Roman" w:cs="Calibri"/>
                <w:color w:val="000000"/>
                <w:sz w:val="20"/>
                <w:szCs w:val="20"/>
                <w:lang w:eastAsia="el-GR"/>
              </w:rPr>
              <w:t>2020</w:t>
            </w:r>
          </w:p>
        </w:tc>
        <w:tc>
          <w:tcPr>
            <w:tcW w:w="973" w:type="dxa"/>
            <w:shd w:val="clear" w:color="auto" w:fill="BDD6EE" w:themeFill="accent1" w:themeFillTint="66"/>
            <w:noWrap/>
            <w:vAlign w:val="bottom"/>
            <w:hideMark/>
          </w:tcPr>
          <w:p w14:paraId="01B58BCA" w14:textId="77777777" w:rsidR="008A61D6" w:rsidRPr="008A61D6" w:rsidRDefault="008A61D6" w:rsidP="008A61D6">
            <w:pPr>
              <w:spacing w:after="0" w:line="240" w:lineRule="auto"/>
              <w:jc w:val="center"/>
              <w:rPr>
                <w:rFonts w:eastAsia="Times New Roman" w:cs="Calibri"/>
                <w:color w:val="000000"/>
                <w:sz w:val="20"/>
                <w:szCs w:val="20"/>
                <w:lang w:eastAsia="el-GR"/>
              </w:rPr>
            </w:pPr>
            <w:r w:rsidRPr="008A61D6">
              <w:rPr>
                <w:rFonts w:eastAsia="Times New Roman" w:cs="Calibri"/>
                <w:color w:val="000000"/>
                <w:sz w:val="20"/>
                <w:szCs w:val="20"/>
                <w:lang w:eastAsia="el-GR"/>
              </w:rPr>
              <w:t>Δ%</w:t>
            </w:r>
          </w:p>
        </w:tc>
      </w:tr>
      <w:tr w:rsidR="008A61D6" w:rsidRPr="008A61D6" w14:paraId="641A3D6A" w14:textId="77777777" w:rsidTr="003E69BF">
        <w:trPr>
          <w:trHeight w:val="340"/>
        </w:trPr>
        <w:tc>
          <w:tcPr>
            <w:tcW w:w="3714" w:type="dxa"/>
            <w:shd w:val="clear" w:color="auto" w:fill="auto"/>
            <w:noWrap/>
            <w:vAlign w:val="bottom"/>
            <w:hideMark/>
          </w:tcPr>
          <w:p w14:paraId="6FFF365E" w14:textId="77777777" w:rsidR="008A61D6" w:rsidRPr="008A61D6" w:rsidRDefault="008A61D6" w:rsidP="008A61D6">
            <w:pPr>
              <w:spacing w:after="0" w:line="240" w:lineRule="auto"/>
              <w:jc w:val="left"/>
              <w:rPr>
                <w:rFonts w:eastAsia="Times New Roman" w:cs="Calibri"/>
                <w:b/>
                <w:color w:val="000000"/>
                <w:sz w:val="20"/>
                <w:szCs w:val="20"/>
                <w:lang w:eastAsia="el-GR"/>
              </w:rPr>
            </w:pPr>
            <w:r w:rsidRPr="008A61D6">
              <w:rPr>
                <w:rFonts w:eastAsia="Times New Roman" w:cs="Calibri"/>
                <w:b/>
                <w:color w:val="000000"/>
                <w:sz w:val="20"/>
                <w:szCs w:val="20"/>
                <w:lang w:eastAsia="el-GR"/>
              </w:rPr>
              <w:t>Εξαγωγές αγαθών και υπηρεσιών</w:t>
            </w:r>
          </w:p>
        </w:tc>
        <w:tc>
          <w:tcPr>
            <w:tcW w:w="1859" w:type="dxa"/>
            <w:shd w:val="clear" w:color="auto" w:fill="auto"/>
            <w:noWrap/>
            <w:vAlign w:val="bottom"/>
          </w:tcPr>
          <w:p w14:paraId="2CD5AB96" w14:textId="77777777" w:rsidR="008A61D6" w:rsidRPr="008A61D6" w:rsidRDefault="008A61D6" w:rsidP="008A61D6">
            <w:pPr>
              <w:spacing w:after="0" w:line="240" w:lineRule="auto"/>
              <w:jc w:val="center"/>
              <w:rPr>
                <w:rFonts w:eastAsia="Times New Roman" w:cs="Calibri"/>
                <w:color w:val="000000"/>
                <w:sz w:val="20"/>
                <w:szCs w:val="20"/>
                <w:lang w:eastAsia="el-GR"/>
              </w:rPr>
            </w:pPr>
          </w:p>
        </w:tc>
        <w:tc>
          <w:tcPr>
            <w:tcW w:w="1827" w:type="dxa"/>
            <w:shd w:val="clear" w:color="auto" w:fill="auto"/>
            <w:noWrap/>
            <w:vAlign w:val="bottom"/>
          </w:tcPr>
          <w:p w14:paraId="1C2461A7" w14:textId="77777777" w:rsidR="008A61D6" w:rsidRPr="008A61D6" w:rsidRDefault="008A61D6" w:rsidP="008A61D6">
            <w:pPr>
              <w:spacing w:after="0" w:line="240" w:lineRule="auto"/>
              <w:jc w:val="center"/>
              <w:rPr>
                <w:rFonts w:eastAsia="Times New Roman" w:cs="Calibri"/>
                <w:color w:val="000000"/>
                <w:sz w:val="20"/>
                <w:szCs w:val="20"/>
                <w:lang w:eastAsia="el-GR"/>
              </w:rPr>
            </w:pPr>
          </w:p>
        </w:tc>
        <w:tc>
          <w:tcPr>
            <w:tcW w:w="973" w:type="dxa"/>
            <w:shd w:val="clear" w:color="auto" w:fill="auto"/>
            <w:noWrap/>
            <w:vAlign w:val="bottom"/>
          </w:tcPr>
          <w:p w14:paraId="3AC2F413" w14:textId="77777777" w:rsidR="008A61D6" w:rsidRPr="008A61D6" w:rsidRDefault="008A61D6" w:rsidP="008A61D6">
            <w:pPr>
              <w:spacing w:after="0" w:line="240" w:lineRule="auto"/>
              <w:jc w:val="center"/>
              <w:rPr>
                <w:rFonts w:eastAsia="Times New Roman" w:cs="Calibri"/>
                <w:color w:val="000000"/>
                <w:sz w:val="20"/>
                <w:szCs w:val="20"/>
                <w:lang w:val="en-US" w:eastAsia="el-GR"/>
              </w:rPr>
            </w:pPr>
          </w:p>
        </w:tc>
      </w:tr>
      <w:tr w:rsidR="008A61D6" w:rsidRPr="008A61D6" w14:paraId="7D917486" w14:textId="77777777" w:rsidTr="003E69BF">
        <w:trPr>
          <w:trHeight w:val="340"/>
        </w:trPr>
        <w:tc>
          <w:tcPr>
            <w:tcW w:w="3714" w:type="dxa"/>
            <w:shd w:val="clear" w:color="auto" w:fill="auto"/>
            <w:noWrap/>
            <w:vAlign w:val="bottom"/>
          </w:tcPr>
          <w:p w14:paraId="5DB2F468" w14:textId="77777777" w:rsidR="008A61D6" w:rsidRPr="008A61D6" w:rsidRDefault="008A61D6" w:rsidP="008A61D6">
            <w:pPr>
              <w:spacing w:after="0" w:line="240" w:lineRule="auto"/>
              <w:jc w:val="right"/>
              <w:rPr>
                <w:rFonts w:eastAsia="Times New Roman" w:cs="Calibri"/>
                <w:b/>
                <w:i/>
                <w:color w:val="000000"/>
                <w:sz w:val="20"/>
                <w:szCs w:val="20"/>
                <w:lang w:eastAsia="el-GR"/>
              </w:rPr>
            </w:pPr>
            <w:r w:rsidRPr="008A61D6">
              <w:rPr>
                <w:rFonts w:eastAsia="Times New Roman" w:cs="Calibri"/>
                <w:b/>
                <w:i/>
                <w:color w:val="000000"/>
                <w:sz w:val="20"/>
                <w:szCs w:val="20"/>
                <w:lang w:eastAsia="el-GR"/>
              </w:rPr>
              <w:t>Σύνολο</w:t>
            </w:r>
          </w:p>
        </w:tc>
        <w:tc>
          <w:tcPr>
            <w:tcW w:w="1859" w:type="dxa"/>
            <w:shd w:val="clear" w:color="auto" w:fill="auto"/>
            <w:noWrap/>
            <w:vAlign w:val="bottom"/>
          </w:tcPr>
          <w:p w14:paraId="35571F03" w14:textId="77777777" w:rsidR="008A61D6" w:rsidRPr="008A61D6" w:rsidRDefault="008A61D6" w:rsidP="008A61D6">
            <w:pPr>
              <w:spacing w:after="0" w:line="240" w:lineRule="auto"/>
              <w:jc w:val="center"/>
              <w:rPr>
                <w:rFonts w:eastAsia="Times New Roman" w:cs="Calibri"/>
                <w:b/>
                <w:color w:val="000000"/>
                <w:sz w:val="20"/>
                <w:szCs w:val="20"/>
                <w:lang w:eastAsia="el-GR"/>
              </w:rPr>
            </w:pPr>
            <w:r w:rsidRPr="008A61D6">
              <w:rPr>
                <w:rFonts w:eastAsia="Times New Roman" w:cs="Calibri"/>
                <w:b/>
                <w:color w:val="000000"/>
                <w:sz w:val="20"/>
                <w:szCs w:val="20"/>
                <w:lang w:eastAsia="el-GR"/>
              </w:rPr>
              <w:t>69.858</w:t>
            </w:r>
          </w:p>
        </w:tc>
        <w:tc>
          <w:tcPr>
            <w:tcW w:w="1827" w:type="dxa"/>
            <w:shd w:val="clear" w:color="auto" w:fill="auto"/>
            <w:noWrap/>
            <w:vAlign w:val="bottom"/>
          </w:tcPr>
          <w:p w14:paraId="6A4D78C6" w14:textId="77777777" w:rsidR="008A61D6" w:rsidRPr="008A61D6" w:rsidRDefault="008A61D6" w:rsidP="008A61D6">
            <w:pPr>
              <w:spacing w:after="0" w:line="240" w:lineRule="auto"/>
              <w:jc w:val="center"/>
              <w:rPr>
                <w:rFonts w:eastAsia="Times New Roman" w:cs="Calibri"/>
                <w:b/>
                <w:color w:val="000000"/>
                <w:sz w:val="20"/>
                <w:szCs w:val="20"/>
                <w:lang w:val="en-US" w:eastAsia="el-GR"/>
              </w:rPr>
            </w:pPr>
            <w:r w:rsidRPr="008A61D6">
              <w:rPr>
                <w:rFonts w:eastAsia="Times New Roman" w:cs="Calibri"/>
                <w:b/>
                <w:color w:val="000000"/>
                <w:sz w:val="20"/>
                <w:szCs w:val="20"/>
                <w:lang w:val="en-US" w:eastAsia="el-GR"/>
              </w:rPr>
              <w:t>54.726</w:t>
            </w:r>
          </w:p>
        </w:tc>
        <w:tc>
          <w:tcPr>
            <w:tcW w:w="973" w:type="dxa"/>
            <w:shd w:val="clear" w:color="auto" w:fill="auto"/>
            <w:noWrap/>
            <w:vAlign w:val="bottom"/>
          </w:tcPr>
          <w:p w14:paraId="391F3718" w14:textId="77777777" w:rsidR="008A61D6" w:rsidRPr="008A61D6" w:rsidRDefault="008A61D6" w:rsidP="008A61D6">
            <w:pPr>
              <w:spacing w:after="0" w:line="240" w:lineRule="auto"/>
              <w:jc w:val="center"/>
              <w:rPr>
                <w:rFonts w:eastAsia="Times New Roman" w:cs="Calibri"/>
                <w:b/>
                <w:color w:val="000000"/>
                <w:sz w:val="20"/>
                <w:szCs w:val="20"/>
                <w:lang w:eastAsia="el-GR"/>
              </w:rPr>
            </w:pPr>
            <w:r w:rsidRPr="008A61D6">
              <w:rPr>
                <w:rFonts w:eastAsia="Times New Roman" w:cs="Calibri"/>
                <w:b/>
                <w:color w:val="000000"/>
                <w:sz w:val="20"/>
                <w:szCs w:val="20"/>
                <w:lang w:val="en-US" w:eastAsia="el-GR"/>
              </w:rPr>
              <w:t>-21,7</w:t>
            </w:r>
            <w:r w:rsidRPr="008A61D6">
              <w:rPr>
                <w:rFonts w:eastAsia="Times New Roman" w:cs="Calibri"/>
                <w:b/>
                <w:color w:val="000000"/>
                <w:sz w:val="20"/>
                <w:szCs w:val="20"/>
                <w:lang w:eastAsia="el-GR"/>
              </w:rPr>
              <w:t>%</w:t>
            </w:r>
          </w:p>
        </w:tc>
      </w:tr>
      <w:tr w:rsidR="008A61D6" w:rsidRPr="008A61D6" w14:paraId="001804E6" w14:textId="77777777" w:rsidTr="003E69BF">
        <w:trPr>
          <w:trHeight w:val="340"/>
        </w:trPr>
        <w:tc>
          <w:tcPr>
            <w:tcW w:w="3714" w:type="dxa"/>
            <w:shd w:val="clear" w:color="auto" w:fill="auto"/>
            <w:noWrap/>
            <w:vAlign w:val="bottom"/>
          </w:tcPr>
          <w:p w14:paraId="50302C98" w14:textId="77777777" w:rsidR="008A61D6" w:rsidRPr="008A61D6" w:rsidRDefault="008A61D6" w:rsidP="008A61D6">
            <w:pPr>
              <w:spacing w:after="0" w:line="240" w:lineRule="auto"/>
              <w:jc w:val="right"/>
              <w:rPr>
                <w:rFonts w:eastAsia="Times New Roman" w:cs="Calibri"/>
                <w:i/>
                <w:color w:val="000000"/>
                <w:sz w:val="20"/>
                <w:szCs w:val="20"/>
                <w:lang w:eastAsia="el-GR"/>
              </w:rPr>
            </w:pPr>
            <w:r w:rsidRPr="008A61D6">
              <w:rPr>
                <w:rFonts w:eastAsia="Times New Roman" w:cs="Calibri"/>
                <w:i/>
                <w:color w:val="000000"/>
                <w:sz w:val="20"/>
                <w:szCs w:val="20"/>
                <w:lang w:eastAsia="el-GR"/>
              </w:rPr>
              <w:t>Αγαθά</w:t>
            </w:r>
          </w:p>
        </w:tc>
        <w:tc>
          <w:tcPr>
            <w:tcW w:w="1859" w:type="dxa"/>
            <w:shd w:val="clear" w:color="auto" w:fill="auto"/>
            <w:noWrap/>
            <w:vAlign w:val="bottom"/>
          </w:tcPr>
          <w:p w14:paraId="632B9D0E" w14:textId="77777777" w:rsidR="008A61D6" w:rsidRPr="008A61D6" w:rsidRDefault="008A61D6" w:rsidP="008A61D6">
            <w:pPr>
              <w:spacing w:after="0" w:line="240" w:lineRule="auto"/>
              <w:jc w:val="center"/>
              <w:rPr>
                <w:rFonts w:eastAsia="Times New Roman" w:cs="Calibri"/>
                <w:color w:val="000000"/>
                <w:sz w:val="20"/>
                <w:szCs w:val="20"/>
                <w:lang w:eastAsia="el-GR"/>
              </w:rPr>
            </w:pPr>
            <w:r w:rsidRPr="008A61D6">
              <w:rPr>
                <w:rFonts w:eastAsia="Times New Roman" w:cs="Calibri"/>
                <w:color w:val="000000"/>
                <w:sz w:val="20"/>
                <w:szCs w:val="20"/>
                <w:lang w:eastAsia="el-GR"/>
              </w:rPr>
              <w:t>30.927</w:t>
            </w:r>
          </w:p>
        </w:tc>
        <w:tc>
          <w:tcPr>
            <w:tcW w:w="1827" w:type="dxa"/>
            <w:shd w:val="clear" w:color="auto" w:fill="auto"/>
            <w:noWrap/>
            <w:vAlign w:val="bottom"/>
          </w:tcPr>
          <w:p w14:paraId="1B351A20" w14:textId="77777777" w:rsidR="008A61D6" w:rsidRPr="008A61D6" w:rsidRDefault="008A61D6" w:rsidP="008A61D6">
            <w:pPr>
              <w:spacing w:after="0" w:line="240" w:lineRule="auto"/>
              <w:jc w:val="center"/>
              <w:rPr>
                <w:rFonts w:eastAsia="Times New Roman" w:cs="Calibri"/>
                <w:color w:val="000000"/>
                <w:sz w:val="20"/>
                <w:szCs w:val="20"/>
                <w:lang w:eastAsia="el-GR"/>
              </w:rPr>
            </w:pPr>
            <w:r w:rsidRPr="008A61D6">
              <w:rPr>
                <w:rFonts w:eastAsia="Times New Roman" w:cs="Calibri"/>
                <w:color w:val="000000"/>
                <w:sz w:val="20"/>
                <w:szCs w:val="20"/>
                <w:lang w:eastAsia="el-GR"/>
              </w:rPr>
              <w:t>32.257</w:t>
            </w:r>
          </w:p>
        </w:tc>
        <w:tc>
          <w:tcPr>
            <w:tcW w:w="973" w:type="dxa"/>
            <w:shd w:val="clear" w:color="auto" w:fill="auto"/>
            <w:noWrap/>
            <w:vAlign w:val="bottom"/>
          </w:tcPr>
          <w:p w14:paraId="5F37F0A6" w14:textId="77777777" w:rsidR="008A61D6" w:rsidRPr="008A61D6" w:rsidRDefault="008A61D6" w:rsidP="008A61D6">
            <w:pPr>
              <w:spacing w:after="0" w:line="240" w:lineRule="auto"/>
              <w:jc w:val="center"/>
              <w:rPr>
                <w:rFonts w:eastAsia="Times New Roman" w:cs="Calibri"/>
                <w:color w:val="000000"/>
                <w:sz w:val="20"/>
                <w:szCs w:val="20"/>
                <w:lang w:eastAsia="el-GR"/>
              </w:rPr>
            </w:pPr>
            <w:r w:rsidRPr="008A61D6">
              <w:rPr>
                <w:rFonts w:eastAsia="Times New Roman" w:cs="Calibri"/>
                <w:color w:val="000000"/>
                <w:sz w:val="20"/>
                <w:szCs w:val="20"/>
                <w:lang w:eastAsia="el-GR"/>
              </w:rPr>
              <w:t>4,3%</w:t>
            </w:r>
          </w:p>
        </w:tc>
      </w:tr>
      <w:tr w:rsidR="008A61D6" w:rsidRPr="008A61D6" w14:paraId="6A437AF5" w14:textId="77777777" w:rsidTr="003E69BF">
        <w:trPr>
          <w:trHeight w:val="340"/>
        </w:trPr>
        <w:tc>
          <w:tcPr>
            <w:tcW w:w="3714" w:type="dxa"/>
            <w:shd w:val="clear" w:color="auto" w:fill="auto"/>
            <w:noWrap/>
            <w:vAlign w:val="bottom"/>
          </w:tcPr>
          <w:p w14:paraId="348090F2" w14:textId="77777777" w:rsidR="008A61D6" w:rsidRPr="008A61D6" w:rsidRDefault="008A61D6" w:rsidP="008A61D6">
            <w:pPr>
              <w:spacing w:after="0" w:line="240" w:lineRule="auto"/>
              <w:jc w:val="right"/>
              <w:rPr>
                <w:rFonts w:eastAsia="Times New Roman" w:cs="Calibri"/>
                <w:i/>
                <w:color w:val="000000"/>
                <w:sz w:val="20"/>
                <w:szCs w:val="20"/>
                <w:lang w:eastAsia="el-GR"/>
              </w:rPr>
            </w:pPr>
            <w:r w:rsidRPr="008A61D6">
              <w:rPr>
                <w:rFonts w:eastAsia="Times New Roman" w:cs="Calibri"/>
                <w:i/>
                <w:color w:val="000000"/>
                <w:sz w:val="20"/>
                <w:szCs w:val="20"/>
                <w:lang w:eastAsia="el-GR"/>
              </w:rPr>
              <w:t>Υπηρεσίες</w:t>
            </w:r>
          </w:p>
        </w:tc>
        <w:tc>
          <w:tcPr>
            <w:tcW w:w="1859" w:type="dxa"/>
            <w:shd w:val="clear" w:color="auto" w:fill="auto"/>
            <w:noWrap/>
            <w:vAlign w:val="bottom"/>
          </w:tcPr>
          <w:p w14:paraId="43455FE5" w14:textId="77777777" w:rsidR="008A61D6" w:rsidRPr="008A61D6" w:rsidRDefault="008A61D6" w:rsidP="008A61D6">
            <w:pPr>
              <w:spacing w:after="0" w:line="240" w:lineRule="auto"/>
              <w:jc w:val="center"/>
              <w:rPr>
                <w:rFonts w:eastAsia="Times New Roman" w:cs="Calibri"/>
                <w:color w:val="000000"/>
                <w:sz w:val="20"/>
                <w:szCs w:val="20"/>
                <w:lang w:eastAsia="el-GR"/>
              </w:rPr>
            </w:pPr>
            <w:r w:rsidRPr="008A61D6">
              <w:rPr>
                <w:rFonts w:eastAsia="Times New Roman" w:cs="Calibri"/>
                <w:color w:val="000000"/>
                <w:sz w:val="20"/>
                <w:szCs w:val="20"/>
                <w:lang w:eastAsia="el-GR"/>
              </w:rPr>
              <w:t>38.764</w:t>
            </w:r>
          </w:p>
        </w:tc>
        <w:tc>
          <w:tcPr>
            <w:tcW w:w="1827" w:type="dxa"/>
            <w:shd w:val="clear" w:color="auto" w:fill="auto"/>
            <w:noWrap/>
            <w:vAlign w:val="bottom"/>
          </w:tcPr>
          <w:p w14:paraId="577C9C59" w14:textId="77777777" w:rsidR="008A61D6" w:rsidRPr="008A61D6" w:rsidRDefault="008A61D6" w:rsidP="008A61D6">
            <w:pPr>
              <w:spacing w:after="0" w:line="240" w:lineRule="auto"/>
              <w:jc w:val="center"/>
              <w:rPr>
                <w:rFonts w:eastAsia="Times New Roman" w:cs="Calibri"/>
                <w:color w:val="000000"/>
                <w:sz w:val="20"/>
                <w:szCs w:val="20"/>
                <w:lang w:eastAsia="el-GR"/>
              </w:rPr>
            </w:pPr>
            <w:r w:rsidRPr="008A61D6">
              <w:rPr>
                <w:rFonts w:eastAsia="Times New Roman" w:cs="Calibri"/>
                <w:color w:val="000000"/>
                <w:sz w:val="20"/>
                <w:szCs w:val="20"/>
                <w:lang w:eastAsia="el-GR"/>
              </w:rPr>
              <w:t>21.759</w:t>
            </w:r>
          </w:p>
        </w:tc>
        <w:tc>
          <w:tcPr>
            <w:tcW w:w="973" w:type="dxa"/>
            <w:shd w:val="clear" w:color="auto" w:fill="auto"/>
            <w:noWrap/>
            <w:vAlign w:val="bottom"/>
          </w:tcPr>
          <w:p w14:paraId="6286D919" w14:textId="77777777" w:rsidR="008A61D6" w:rsidRPr="008A61D6" w:rsidRDefault="008A61D6" w:rsidP="008A61D6">
            <w:pPr>
              <w:spacing w:after="0" w:line="240" w:lineRule="auto"/>
              <w:jc w:val="center"/>
              <w:rPr>
                <w:rFonts w:eastAsia="Times New Roman" w:cs="Calibri"/>
                <w:color w:val="000000"/>
                <w:sz w:val="20"/>
                <w:szCs w:val="20"/>
                <w:lang w:eastAsia="el-GR"/>
              </w:rPr>
            </w:pPr>
            <w:r w:rsidRPr="008A61D6">
              <w:rPr>
                <w:rFonts w:eastAsia="Times New Roman" w:cs="Calibri"/>
                <w:color w:val="000000"/>
                <w:sz w:val="20"/>
                <w:szCs w:val="20"/>
                <w:lang w:eastAsia="el-GR"/>
              </w:rPr>
              <w:t>-43,9%</w:t>
            </w:r>
          </w:p>
        </w:tc>
      </w:tr>
      <w:tr w:rsidR="008A61D6" w:rsidRPr="008A61D6" w14:paraId="1A6B824A" w14:textId="77777777" w:rsidTr="003E69BF">
        <w:trPr>
          <w:trHeight w:val="340"/>
        </w:trPr>
        <w:tc>
          <w:tcPr>
            <w:tcW w:w="3714" w:type="dxa"/>
            <w:shd w:val="clear" w:color="auto" w:fill="auto"/>
            <w:noWrap/>
            <w:vAlign w:val="bottom"/>
          </w:tcPr>
          <w:p w14:paraId="39D0F1E7" w14:textId="77777777" w:rsidR="008A61D6" w:rsidRPr="008A61D6" w:rsidRDefault="008A61D6" w:rsidP="008A61D6">
            <w:pPr>
              <w:spacing w:after="0" w:line="240" w:lineRule="auto"/>
              <w:jc w:val="left"/>
              <w:rPr>
                <w:rFonts w:eastAsia="Times New Roman" w:cs="Calibri"/>
                <w:b/>
                <w:color w:val="000000"/>
                <w:sz w:val="20"/>
                <w:szCs w:val="20"/>
                <w:lang w:eastAsia="el-GR"/>
              </w:rPr>
            </w:pPr>
            <w:r w:rsidRPr="008A61D6">
              <w:rPr>
                <w:rFonts w:eastAsia="Times New Roman" w:cs="Calibri"/>
                <w:b/>
                <w:color w:val="000000"/>
                <w:sz w:val="20"/>
                <w:szCs w:val="20"/>
                <w:lang w:eastAsia="el-GR"/>
              </w:rPr>
              <w:t>Εισαγωγές αγαθών και υπηρεσιών</w:t>
            </w:r>
          </w:p>
        </w:tc>
        <w:tc>
          <w:tcPr>
            <w:tcW w:w="1859" w:type="dxa"/>
            <w:shd w:val="clear" w:color="auto" w:fill="auto"/>
            <w:noWrap/>
            <w:vAlign w:val="bottom"/>
          </w:tcPr>
          <w:p w14:paraId="1FDD1026" w14:textId="77777777" w:rsidR="008A61D6" w:rsidRPr="008A61D6" w:rsidRDefault="008A61D6" w:rsidP="008A61D6">
            <w:pPr>
              <w:spacing w:after="0" w:line="240" w:lineRule="auto"/>
              <w:jc w:val="center"/>
              <w:rPr>
                <w:rFonts w:eastAsia="Times New Roman" w:cs="Calibri"/>
                <w:color w:val="000000"/>
                <w:sz w:val="20"/>
                <w:szCs w:val="20"/>
                <w:lang w:val="en-US" w:eastAsia="el-GR"/>
              </w:rPr>
            </w:pPr>
          </w:p>
        </w:tc>
        <w:tc>
          <w:tcPr>
            <w:tcW w:w="1827" w:type="dxa"/>
            <w:shd w:val="clear" w:color="auto" w:fill="auto"/>
            <w:noWrap/>
            <w:vAlign w:val="bottom"/>
          </w:tcPr>
          <w:p w14:paraId="7EC1447D" w14:textId="77777777" w:rsidR="008A61D6" w:rsidRPr="008A61D6" w:rsidRDefault="008A61D6" w:rsidP="008A61D6">
            <w:pPr>
              <w:spacing w:after="0" w:line="240" w:lineRule="auto"/>
              <w:jc w:val="center"/>
              <w:rPr>
                <w:rFonts w:eastAsia="Times New Roman" w:cs="Calibri"/>
                <w:color w:val="000000"/>
                <w:sz w:val="20"/>
                <w:szCs w:val="20"/>
                <w:lang w:val="en-US" w:eastAsia="el-GR"/>
              </w:rPr>
            </w:pPr>
          </w:p>
        </w:tc>
        <w:tc>
          <w:tcPr>
            <w:tcW w:w="973" w:type="dxa"/>
            <w:shd w:val="clear" w:color="auto" w:fill="auto"/>
            <w:noWrap/>
            <w:vAlign w:val="bottom"/>
          </w:tcPr>
          <w:p w14:paraId="576D6293" w14:textId="77777777" w:rsidR="008A61D6" w:rsidRPr="008A61D6" w:rsidRDefault="008A61D6" w:rsidP="008A61D6">
            <w:pPr>
              <w:spacing w:after="0" w:line="240" w:lineRule="auto"/>
              <w:jc w:val="center"/>
              <w:rPr>
                <w:rFonts w:eastAsia="Times New Roman" w:cs="Calibri"/>
                <w:color w:val="000000"/>
                <w:sz w:val="20"/>
                <w:szCs w:val="20"/>
                <w:lang w:eastAsia="el-GR"/>
              </w:rPr>
            </w:pPr>
          </w:p>
        </w:tc>
      </w:tr>
      <w:tr w:rsidR="008A61D6" w:rsidRPr="008A61D6" w14:paraId="590F269B" w14:textId="77777777" w:rsidTr="003E69BF">
        <w:trPr>
          <w:trHeight w:val="340"/>
        </w:trPr>
        <w:tc>
          <w:tcPr>
            <w:tcW w:w="3714" w:type="dxa"/>
            <w:shd w:val="clear" w:color="auto" w:fill="auto"/>
            <w:noWrap/>
            <w:vAlign w:val="bottom"/>
          </w:tcPr>
          <w:p w14:paraId="2971FF0A" w14:textId="77777777" w:rsidR="008A61D6" w:rsidRPr="008A61D6" w:rsidRDefault="008A61D6" w:rsidP="008A61D6">
            <w:pPr>
              <w:spacing w:after="0" w:line="240" w:lineRule="auto"/>
              <w:jc w:val="right"/>
              <w:rPr>
                <w:rFonts w:eastAsia="Times New Roman" w:cs="Calibri"/>
                <w:b/>
                <w:i/>
                <w:color w:val="000000"/>
                <w:sz w:val="20"/>
                <w:szCs w:val="20"/>
                <w:lang w:eastAsia="el-GR"/>
              </w:rPr>
            </w:pPr>
            <w:r w:rsidRPr="008A61D6">
              <w:rPr>
                <w:rFonts w:eastAsia="Times New Roman" w:cs="Calibri"/>
                <w:b/>
                <w:i/>
                <w:color w:val="000000"/>
                <w:sz w:val="20"/>
                <w:szCs w:val="20"/>
                <w:lang w:eastAsia="el-GR"/>
              </w:rPr>
              <w:t>Σύνολο</w:t>
            </w:r>
          </w:p>
        </w:tc>
        <w:tc>
          <w:tcPr>
            <w:tcW w:w="1859" w:type="dxa"/>
            <w:shd w:val="clear" w:color="auto" w:fill="auto"/>
            <w:noWrap/>
            <w:vAlign w:val="bottom"/>
          </w:tcPr>
          <w:p w14:paraId="1551F847" w14:textId="77777777" w:rsidR="008A61D6" w:rsidRPr="008A61D6" w:rsidRDefault="008A61D6" w:rsidP="008A61D6">
            <w:pPr>
              <w:spacing w:after="0" w:line="240" w:lineRule="auto"/>
              <w:jc w:val="center"/>
              <w:rPr>
                <w:rFonts w:eastAsia="Times New Roman" w:cs="Calibri"/>
                <w:b/>
                <w:color w:val="000000"/>
                <w:sz w:val="20"/>
                <w:szCs w:val="20"/>
                <w:lang w:eastAsia="el-GR"/>
              </w:rPr>
            </w:pPr>
            <w:r w:rsidRPr="008A61D6">
              <w:rPr>
                <w:rFonts w:eastAsia="Times New Roman" w:cs="Calibri"/>
                <w:b/>
                <w:color w:val="000000"/>
                <w:sz w:val="20"/>
                <w:szCs w:val="20"/>
                <w:lang w:eastAsia="el-GR"/>
              </w:rPr>
              <w:t>71.326</w:t>
            </w:r>
          </w:p>
        </w:tc>
        <w:tc>
          <w:tcPr>
            <w:tcW w:w="1827" w:type="dxa"/>
            <w:shd w:val="clear" w:color="auto" w:fill="auto"/>
            <w:noWrap/>
            <w:vAlign w:val="bottom"/>
          </w:tcPr>
          <w:p w14:paraId="04AE86E0" w14:textId="77777777" w:rsidR="008A61D6" w:rsidRPr="008A61D6" w:rsidRDefault="008A61D6" w:rsidP="008A61D6">
            <w:pPr>
              <w:spacing w:after="0" w:line="240" w:lineRule="auto"/>
              <w:jc w:val="center"/>
              <w:rPr>
                <w:rFonts w:eastAsia="Times New Roman" w:cs="Calibri"/>
                <w:b/>
                <w:color w:val="000000"/>
                <w:sz w:val="20"/>
                <w:szCs w:val="20"/>
                <w:lang w:eastAsia="el-GR"/>
              </w:rPr>
            </w:pPr>
            <w:r w:rsidRPr="008A61D6">
              <w:rPr>
                <w:rFonts w:eastAsia="Times New Roman" w:cs="Calibri"/>
                <w:b/>
                <w:color w:val="000000"/>
                <w:sz w:val="20"/>
                <w:szCs w:val="20"/>
                <w:lang w:eastAsia="el-GR"/>
              </w:rPr>
              <w:t>66.397</w:t>
            </w:r>
          </w:p>
        </w:tc>
        <w:tc>
          <w:tcPr>
            <w:tcW w:w="973" w:type="dxa"/>
            <w:shd w:val="clear" w:color="auto" w:fill="auto"/>
            <w:noWrap/>
            <w:vAlign w:val="bottom"/>
          </w:tcPr>
          <w:p w14:paraId="3678F300" w14:textId="77777777" w:rsidR="008A61D6" w:rsidRPr="008A61D6" w:rsidRDefault="008A61D6" w:rsidP="008A61D6">
            <w:pPr>
              <w:spacing w:after="0" w:line="240" w:lineRule="auto"/>
              <w:jc w:val="center"/>
              <w:rPr>
                <w:rFonts w:eastAsia="Times New Roman" w:cs="Calibri"/>
                <w:b/>
                <w:color w:val="000000"/>
                <w:sz w:val="20"/>
                <w:szCs w:val="20"/>
                <w:lang w:eastAsia="el-GR"/>
              </w:rPr>
            </w:pPr>
            <w:r w:rsidRPr="008A61D6">
              <w:rPr>
                <w:rFonts w:eastAsia="Times New Roman" w:cs="Calibri"/>
                <w:b/>
                <w:color w:val="000000"/>
                <w:sz w:val="20"/>
                <w:szCs w:val="20"/>
                <w:lang w:eastAsia="el-GR"/>
              </w:rPr>
              <w:t>-6,9%</w:t>
            </w:r>
          </w:p>
        </w:tc>
      </w:tr>
      <w:tr w:rsidR="008A61D6" w:rsidRPr="008A61D6" w14:paraId="1C5F5FD9" w14:textId="77777777" w:rsidTr="003E69BF">
        <w:trPr>
          <w:trHeight w:val="340"/>
        </w:trPr>
        <w:tc>
          <w:tcPr>
            <w:tcW w:w="3714" w:type="dxa"/>
            <w:shd w:val="clear" w:color="auto" w:fill="auto"/>
            <w:noWrap/>
            <w:vAlign w:val="bottom"/>
          </w:tcPr>
          <w:p w14:paraId="3548FFD2" w14:textId="77777777" w:rsidR="008A61D6" w:rsidRPr="008A61D6" w:rsidRDefault="008A61D6" w:rsidP="008A61D6">
            <w:pPr>
              <w:spacing w:after="0" w:line="240" w:lineRule="auto"/>
              <w:jc w:val="right"/>
              <w:rPr>
                <w:rFonts w:eastAsia="Times New Roman" w:cs="Calibri"/>
                <w:i/>
                <w:color w:val="000000"/>
                <w:sz w:val="20"/>
                <w:szCs w:val="20"/>
                <w:lang w:eastAsia="el-GR"/>
              </w:rPr>
            </w:pPr>
            <w:r w:rsidRPr="008A61D6">
              <w:rPr>
                <w:rFonts w:eastAsia="Times New Roman" w:cs="Calibri"/>
                <w:i/>
                <w:color w:val="000000"/>
                <w:sz w:val="20"/>
                <w:szCs w:val="20"/>
                <w:lang w:eastAsia="el-GR"/>
              </w:rPr>
              <w:t>Αγαθά</w:t>
            </w:r>
          </w:p>
        </w:tc>
        <w:tc>
          <w:tcPr>
            <w:tcW w:w="1859" w:type="dxa"/>
            <w:shd w:val="clear" w:color="auto" w:fill="auto"/>
            <w:noWrap/>
            <w:vAlign w:val="bottom"/>
          </w:tcPr>
          <w:p w14:paraId="4C8AEA43" w14:textId="77777777" w:rsidR="008A61D6" w:rsidRPr="008A61D6" w:rsidRDefault="008A61D6" w:rsidP="008A61D6">
            <w:pPr>
              <w:spacing w:after="0" w:line="240" w:lineRule="auto"/>
              <w:jc w:val="center"/>
              <w:rPr>
                <w:rFonts w:eastAsia="Times New Roman" w:cs="Calibri"/>
                <w:color w:val="000000"/>
                <w:sz w:val="20"/>
                <w:szCs w:val="20"/>
                <w:lang w:eastAsia="el-GR"/>
              </w:rPr>
            </w:pPr>
            <w:r w:rsidRPr="008A61D6">
              <w:rPr>
                <w:rFonts w:eastAsia="Times New Roman" w:cs="Calibri"/>
                <w:color w:val="000000"/>
                <w:sz w:val="20"/>
                <w:szCs w:val="20"/>
                <w:lang w:eastAsia="el-GR"/>
              </w:rPr>
              <w:t>52.243</w:t>
            </w:r>
          </w:p>
        </w:tc>
        <w:tc>
          <w:tcPr>
            <w:tcW w:w="1827" w:type="dxa"/>
            <w:shd w:val="clear" w:color="auto" w:fill="auto"/>
            <w:noWrap/>
            <w:vAlign w:val="bottom"/>
          </w:tcPr>
          <w:p w14:paraId="0849F76B" w14:textId="77777777" w:rsidR="008A61D6" w:rsidRPr="008A61D6" w:rsidRDefault="008A61D6" w:rsidP="008A61D6">
            <w:pPr>
              <w:spacing w:after="0" w:line="240" w:lineRule="auto"/>
              <w:jc w:val="center"/>
              <w:rPr>
                <w:rFonts w:eastAsia="Times New Roman" w:cs="Calibri"/>
                <w:color w:val="000000"/>
                <w:sz w:val="20"/>
                <w:szCs w:val="20"/>
                <w:lang w:eastAsia="el-GR"/>
              </w:rPr>
            </w:pPr>
            <w:r w:rsidRPr="008A61D6">
              <w:rPr>
                <w:rFonts w:eastAsia="Times New Roman" w:cs="Calibri"/>
                <w:color w:val="000000"/>
                <w:sz w:val="20"/>
                <w:szCs w:val="20"/>
                <w:lang w:eastAsia="el-GR"/>
              </w:rPr>
              <w:t>50.271</w:t>
            </w:r>
          </w:p>
        </w:tc>
        <w:tc>
          <w:tcPr>
            <w:tcW w:w="973" w:type="dxa"/>
            <w:shd w:val="clear" w:color="auto" w:fill="auto"/>
            <w:noWrap/>
            <w:vAlign w:val="bottom"/>
          </w:tcPr>
          <w:p w14:paraId="18A566A4" w14:textId="77777777" w:rsidR="008A61D6" w:rsidRPr="008A61D6" w:rsidRDefault="008A61D6" w:rsidP="008A61D6">
            <w:pPr>
              <w:spacing w:after="0" w:line="240" w:lineRule="auto"/>
              <w:jc w:val="center"/>
              <w:rPr>
                <w:rFonts w:eastAsia="Times New Roman" w:cs="Calibri"/>
                <w:color w:val="000000"/>
                <w:sz w:val="20"/>
                <w:szCs w:val="20"/>
                <w:lang w:eastAsia="el-GR"/>
              </w:rPr>
            </w:pPr>
            <w:r w:rsidRPr="008A61D6">
              <w:rPr>
                <w:rFonts w:eastAsia="Times New Roman" w:cs="Calibri"/>
                <w:color w:val="000000"/>
                <w:sz w:val="20"/>
                <w:szCs w:val="20"/>
                <w:lang w:eastAsia="el-GR"/>
              </w:rPr>
              <w:t>-3,8%</w:t>
            </w:r>
          </w:p>
        </w:tc>
      </w:tr>
      <w:tr w:rsidR="008A61D6" w:rsidRPr="008A61D6" w14:paraId="3B1D9D92" w14:textId="77777777" w:rsidTr="003E69BF">
        <w:trPr>
          <w:trHeight w:val="340"/>
        </w:trPr>
        <w:tc>
          <w:tcPr>
            <w:tcW w:w="3714" w:type="dxa"/>
            <w:shd w:val="clear" w:color="auto" w:fill="auto"/>
            <w:noWrap/>
            <w:vAlign w:val="bottom"/>
          </w:tcPr>
          <w:p w14:paraId="11ECB923" w14:textId="77777777" w:rsidR="008A61D6" w:rsidRPr="008A61D6" w:rsidRDefault="008A61D6" w:rsidP="008A61D6">
            <w:pPr>
              <w:spacing w:after="0" w:line="240" w:lineRule="auto"/>
              <w:jc w:val="right"/>
              <w:rPr>
                <w:rFonts w:eastAsia="Times New Roman" w:cs="Calibri"/>
                <w:i/>
                <w:color w:val="000000"/>
                <w:sz w:val="20"/>
                <w:szCs w:val="20"/>
                <w:lang w:eastAsia="el-GR"/>
              </w:rPr>
            </w:pPr>
            <w:r w:rsidRPr="008A61D6">
              <w:rPr>
                <w:rFonts w:eastAsia="Times New Roman" w:cs="Calibri"/>
                <w:i/>
                <w:color w:val="000000"/>
                <w:sz w:val="20"/>
                <w:szCs w:val="20"/>
                <w:lang w:eastAsia="el-GR"/>
              </w:rPr>
              <w:t>Υπηρεσίες</w:t>
            </w:r>
          </w:p>
        </w:tc>
        <w:tc>
          <w:tcPr>
            <w:tcW w:w="1859" w:type="dxa"/>
            <w:shd w:val="clear" w:color="auto" w:fill="auto"/>
            <w:noWrap/>
            <w:vAlign w:val="bottom"/>
          </w:tcPr>
          <w:p w14:paraId="41873B1F" w14:textId="77777777" w:rsidR="008A61D6" w:rsidRPr="008A61D6" w:rsidRDefault="008A61D6" w:rsidP="008A61D6">
            <w:pPr>
              <w:spacing w:after="0" w:line="240" w:lineRule="auto"/>
              <w:jc w:val="center"/>
              <w:rPr>
                <w:rFonts w:eastAsia="Times New Roman" w:cs="Calibri"/>
                <w:color w:val="000000"/>
                <w:sz w:val="20"/>
                <w:szCs w:val="20"/>
                <w:lang w:eastAsia="el-GR"/>
              </w:rPr>
            </w:pPr>
            <w:r w:rsidRPr="008A61D6">
              <w:rPr>
                <w:rFonts w:eastAsia="Times New Roman" w:cs="Calibri"/>
                <w:color w:val="000000"/>
                <w:sz w:val="20"/>
                <w:szCs w:val="20"/>
                <w:lang w:eastAsia="el-GR"/>
              </w:rPr>
              <w:t>19.062</w:t>
            </w:r>
          </w:p>
        </w:tc>
        <w:tc>
          <w:tcPr>
            <w:tcW w:w="1827" w:type="dxa"/>
            <w:shd w:val="clear" w:color="auto" w:fill="auto"/>
            <w:noWrap/>
            <w:vAlign w:val="bottom"/>
          </w:tcPr>
          <w:p w14:paraId="7BF3F212" w14:textId="77777777" w:rsidR="008A61D6" w:rsidRPr="008A61D6" w:rsidRDefault="008A61D6" w:rsidP="008A61D6">
            <w:pPr>
              <w:spacing w:after="0" w:line="240" w:lineRule="auto"/>
              <w:jc w:val="center"/>
              <w:rPr>
                <w:rFonts w:eastAsia="Times New Roman" w:cs="Calibri"/>
                <w:color w:val="000000"/>
                <w:sz w:val="20"/>
                <w:szCs w:val="20"/>
                <w:lang w:eastAsia="el-GR"/>
              </w:rPr>
            </w:pPr>
            <w:r w:rsidRPr="008A61D6">
              <w:rPr>
                <w:rFonts w:eastAsia="Times New Roman" w:cs="Calibri"/>
                <w:color w:val="000000"/>
                <w:sz w:val="20"/>
                <w:szCs w:val="20"/>
                <w:lang w:eastAsia="el-GR"/>
              </w:rPr>
              <w:t>16.009</w:t>
            </w:r>
          </w:p>
        </w:tc>
        <w:tc>
          <w:tcPr>
            <w:tcW w:w="973" w:type="dxa"/>
            <w:shd w:val="clear" w:color="auto" w:fill="auto"/>
            <w:noWrap/>
            <w:vAlign w:val="bottom"/>
          </w:tcPr>
          <w:p w14:paraId="589A8643" w14:textId="77777777" w:rsidR="008A61D6" w:rsidRPr="008A61D6" w:rsidRDefault="008A61D6" w:rsidP="008A61D6">
            <w:pPr>
              <w:spacing w:after="0" w:line="240" w:lineRule="auto"/>
              <w:jc w:val="center"/>
              <w:rPr>
                <w:rFonts w:eastAsia="Times New Roman" w:cs="Calibri"/>
                <w:color w:val="000000"/>
                <w:sz w:val="20"/>
                <w:szCs w:val="20"/>
                <w:lang w:eastAsia="el-GR"/>
              </w:rPr>
            </w:pPr>
            <w:r w:rsidRPr="008A61D6">
              <w:rPr>
                <w:rFonts w:eastAsia="Times New Roman" w:cs="Calibri"/>
                <w:color w:val="000000"/>
                <w:sz w:val="20"/>
                <w:szCs w:val="20"/>
                <w:lang w:eastAsia="el-GR"/>
              </w:rPr>
              <w:t>-16,0%</w:t>
            </w:r>
          </w:p>
        </w:tc>
      </w:tr>
    </w:tbl>
    <w:p w14:paraId="7A32ACB9" w14:textId="77777777" w:rsidR="008A61D6" w:rsidRPr="008A61D6" w:rsidRDefault="008A61D6" w:rsidP="008A61D6">
      <w:pPr>
        <w:spacing w:after="0" w:line="240" w:lineRule="auto"/>
        <w:rPr>
          <w:sz w:val="18"/>
          <w:szCs w:val="18"/>
        </w:rPr>
      </w:pPr>
      <w:r w:rsidRPr="008A61D6">
        <w:rPr>
          <w:b/>
          <w:sz w:val="18"/>
          <w:szCs w:val="18"/>
        </w:rPr>
        <w:t xml:space="preserve">Πηγή: </w:t>
      </w:r>
      <w:r w:rsidRPr="008A61D6">
        <w:rPr>
          <w:color w:val="00A3E0"/>
          <w:sz w:val="18"/>
          <w:szCs w:val="18"/>
        </w:rPr>
        <w:t>ΕΛΣΤΑΤ.</w:t>
      </w:r>
    </w:p>
    <w:p w14:paraId="05192860" w14:textId="77777777" w:rsidR="008A61D6" w:rsidRPr="008A61D6" w:rsidRDefault="008A61D6" w:rsidP="008A61D6">
      <w:pPr>
        <w:spacing w:after="0" w:line="240" w:lineRule="auto"/>
        <w:rPr>
          <w:sz w:val="18"/>
          <w:szCs w:val="18"/>
        </w:rPr>
      </w:pPr>
      <w:r w:rsidRPr="008A61D6">
        <w:rPr>
          <w:sz w:val="18"/>
          <w:szCs w:val="18"/>
        </w:rPr>
        <w:t>*Αλυσωτοί δείκτες όγκου έτους αναφοράς 2015.</w:t>
      </w:r>
    </w:p>
    <w:p w14:paraId="312EA565" w14:textId="77777777" w:rsidR="008A61D6" w:rsidRPr="008A61D6" w:rsidRDefault="008A61D6" w:rsidP="008A61D6">
      <w:pPr>
        <w:spacing w:after="240" w:line="240" w:lineRule="auto"/>
        <w:rPr>
          <w:sz w:val="18"/>
          <w:szCs w:val="18"/>
        </w:rPr>
      </w:pPr>
      <w:r w:rsidRPr="008A61D6">
        <w:rPr>
          <w:sz w:val="18"/>
          <w:szCs w:val="18"/>
        </w:rPr>
        <w:t>(1) Η αλύσωση εφαρμόζεται σε κάθε μέγεθος χωριστά. Ως εκ τούτου οι συνιστώσες στους αλυσωτούς δείκτες όγκου δεν συναθροίζονται στο σύνολο.</w:t>
      </w:r>
    </w:p>
    <w:p w14:paraId="43583543" w14:textId="56ABC4AD" w:rsidR="008A61D6" w:rsidRPr="008A61D6" w:rsidRDefault="008A61D6" w:rsidP="008A61D6">
      <w:pPr>
        <w:rPr>
          <w:rFonts w:eastAsia="Calibri" w:cs="Times New Roman"/>
          <w:color w:val="auto"/>
        </w:rPr>
      </w:pPr>
      <w:r w:rsidRPr="008A61D6">
        <w:rPr>
          <w:rFonts w:eastAsia="Calibri" w:cs="Times New Roman"/>
          <w:color w:val="auto"/>
        </w:rPr>
        <w:t>Όπως προαναφέρθηκε</w:t>
      </w:r>
      <w:r w:rsidR="00AA5D63">
        <w:rPr>
          <w:rFonts w:eastAsia="Calibri" w:cs="Times New Roman"/>
          <w:color w:val="auto"/>
        </w:rPr>
        <w:t>,</w:t>
      </w:r>
      <w:r w:rsidRPr="008A61D6">
        <w:rPr>
          <w:rFonts w:eastAsia="Calibri" w:cs="Times New Roman"/>
          <w:color w:val="auto"/>
        </w:rPr>
        <w:t xml:space="preserve"> ο ακαθάριστος σχηματισμός παγίου κεφαλαίου  παρουσίασε οριακή </w:t>
      </w:r>
      <w:r w:rsidR="00AA5D63">
        <w:rPr>
          <w:rFonts w:eastAsia="Calibri" w:cs="Times New Roman"/>
          <w:color w:val="auto"/>
        </w:rPr>
        <w:t>μείωση</w:t>
      </w:r>
      <w:r w:rsidRPr="008A61D6">
        <w:rPr>
          <w:rFonts w:eastAsia="Calibri" w:cs="Times New Roman"/>
          <w:color w:val="auto"/>
        </w:rPr>
        <w:t xml:space="preserve"> κατά 0,</w:t>
      </w:r>
      <w:r w:rsidR="00AA5D63">
        <w:rPr>
          <w:rFonts w:eastAsia="Calibri" w:cs="Times New Roman"/>
          <w:color w:val="auto"/>
        </w:rPr>
        <w:t>6</w:t>
      </w:r>
      <w:r w:rsidRPr="008A61D6">
        <w:rPr>
          <w:rFonts w:eastAsia="Calibri" w:cs="Times New Roman"/>
          <w:color w:val="auto"/>
        </w:rPr>
        <w:t>%. Θετική συνεισφορά σε αυτ</w:t>
      </w:r>
      <w:r w:rsidR="00BD56A8">
        <w:rPr>
          <w:rFonts w:eastAsia="Calibri" w:cs="Times New Roman"/>
          <w:color w:val="auto"/>
        </w:rPr>
        <w:t>ή</w:t>
      </w:r>
      <w:r w:rsidR="00D53B4C">
        <w:rPr>
          <w:rFonts w:eastAsia="Calibri" w:cs="Times New Roman"/>
          <w:color w:val="auto"/>
        </w:rPr>
        <w:t xml:space="preserve"> </w:t>
      </w:r>
      <w:r w:rsidRPr="008A61D6">
        <w:rPr>
          <w:rFonts w:eastAsia="Calibri" w:cs="Times New Roman"/>
          <w:color w:val="auto"/>
        </w:rPr>
        <w:t xml:space="preserve">είχε κυρίως η σημαντική αύξηση στις επιμέρους κατηγορίες παγίων επενδύσεων «Κατοικίες» και «Άλλες κατασκευές» </w:t>
      </w:r>
      <w:r w:rsidRPr="00BD56A8">
        <w:rPr>
          <w:rFonts w:eastAsia="Calibri" w:cs="Times New Roman"/>
          <w:i/>
          <w:color w:val="auto"/>
        </w:rPr>
        <w:t>(</w:t>
      </w:r>
      <w:r w:rsidRPr="00BD56A8">
        <w:rPr>
          <w:rFonts w:eastAsia="Calibri" w:cs="Times New Roman"/>
          <w:i/>
          <w:color w:val="auto"/>
        </w:rPr>
        <w:fldChar w:fldCharType="begin"/>
      </w:r>
      <w:r w:rsidRPr="00BD56A8">
        <w:rPr>
          <w:rFonts w:eastAsia="Calibri" w:cs="Times New Roman"/>
          <w:i/>
          <w:color w:val="auto"/>
        </w:rPr>
        <w:instrText xml:space="preserve"> REF _Ref8998704 \h  \* MERGEFORMAT </w:instrText>
      </w:r>
      <w:r w:rsidRPr="00BD56A8">
        <w:rPr>
          <w:rFonts w:eastAsia="Calibri" w:cs="Times New Roman"/>
          <w:i/>
          <w:color w:val="auto"/>
        </w:rPr>
      </w:r>
      <w:r w:rsidRPr="00BD56A8">
        <w:rPr>
          <w:rFonts w:eastAsia="Calibri" w:cs="Times New Roman"/>
          <w:i/>
          <w:color w:val="auto"/>
        </w:rPr>
        <w:fldChar w:fldCharType="separate"/>
      </w:r>
      <w:r w:rsidR="00CC05A7" w:rsidRPr="00CC05A7">
        <w:rPr>
          <w:rFonts w:eastAsia="Calibri" w:cs="Times New Roman"/>
          <w:i/>
          <w:iCs/>
          <w:color w:val="auto"/>
        </w:rPr>
        <w:t xml:space="preserve">Πίνακας </w:t>
      </w:r>
      <w:r w:rsidR="00CC05A7" w:rsidRPr="00CC05A7">
        <w:rPr>
          <w:rFonts w:eastAsia="Calibri" w:cs="Times New Roman"/>
          <w:i/>
          <w:iCs/>
          <w:noProof/>
          <w:color w:val="auto"/>
        </w:rPr>
        <w:t>2</w:t>
      </w:r>
      <w:r w:rsidRPr="00BD56A8">
        <w:rPr>
          <w:rFonts w:eastAsia="Calibri" w:cs="Times New Roman"/>
          <w:i/>
          <w:color w:val="auto"/>
        </w:rPr>
        <w:fldChar w:fldCharType="end"/>
      </w:r>
      <w:r w:rsidRPr="008A61D6">
        <w:rPr>
          <w:rFonts w:eastAsia="Calibri" w:cs="Times New Roman"/>
          <w:color w:val="auto"/>
        </w:rPr>
        <w:t>). Η αξία των κατασκευών νέων κατοικιών αυξήθηκε κατά 14,7%, και των «άλλων κατασκευών»</w:t>
      </w:r>
      <w:r w:rsidR="00AA5D63">
        <w:rPr>
          <w:rStyle w:val="FootnoteReference"/>
          <w:rFonts w:eastAsia="Calibri" w:cs="Times New Roman"/>
          <w:color w:val="auto"/>
        </w:rPr>
        <w:footnoteReference w:id="1"/>
      </w:r>
      <w:r w:rsidRPr="008A61D6">
        <w:rPr>
          <w:rFonts w:eastAsia="Calibri" w:cs="Times New Roman"/>
          <w:color w:val="auto"/>
        </w:rPr>
        <w:t xml:space="preserve"> κατά 9,2%. Ακόμη, ήπια θετική επίδοση σημείωσαν </w:t>
      </w:r>
      <w:r w:rsidR="00AA5D63">
        <w:rPr>
          <w:rFonts w:eastAsia="Calibri" w:cs="Times New Roman"/>
          <w:color w:val="auto"/>
        </w:rPr>
        <w:t xml:space="preserve">κατά βάση </w:t>
      </w:r>
      <w:r w:rsidRPr="008A61D6">
        <w:rPr>
          <w:rFonts w:eastAsia="Calibri" w:cs="Times New Roman"/>
          <w:color w:val="auto"/>
        </w:rPr>
        <w:t>οι επενδύσεις σε «Εξοπλισμό Τεχνολογίας Πληροφορικής και Επικοινωνίας» (+4,9%)</w:t>
      </w:r>
      <w:r w:rsidR="00AA5D63">
        <w:rPr>
          <w:rFonts w:eastAsia="Calibri" w:cs="Times New Roman"/>
          <w:color w:val="auto"/>
        </w:rPr>
        <w:t xml:space="preserve"> και</w:t>
      </w:r>
      <w:r w:rsidRPr="008A61D6">
        <w:rPr>
          <w:rFonts w:eastAsia="Calibri" w:cs="Times New Roman"/>
          <w:color w:val="auto"/>
        </w:rPr>
        <w:t xml:space="preserve"> «Μηχανολογικό </w:t>
      </w:r>
      <w:r w:rsidR="00AA5D63">
        <w:rPr>
          <w:rFonts w:eastAsia="Calibri" w:cs="Times New Roman"/>
          <w:color w:val="auto"/>
        </w:rPr>
        <w:t>εξοπλισμό και οπλικά συστήματα»</w:t>
      </w:r>
      <w:r w:rsidRPr="008A61D6">
        <w:rPr>
          <w:rFonts w:eastAsia="Calibri" w:cs="Times New Roman"/>
          <w:color w:val="auto"/>
        </w:rPr>
        <w:t>.</w:t>
      </w:r>
      <w:r w:rsidR="00AA5D63">
        <w:rPr>
          <w:rFonts w:eastAsia="Calibri" w:cs="Times New Roman"/>
          <w:color w:val="auto"/>
        </w:rPr>
        <w:t xml:space="preserve"> </w:t>
      </w:r>
      <w:r w:rsidRPr="008A61D6">
        <w:rPr>
          <w:rFonts w:eastAsia="Calibri" w:cs="Times New Roman"/>
          <w:color w:val="auto"/>
        </w:rPr>
        <w:t>Αντίθετα</w:t>
      </w:r>
      <w:r w:rsidR="00AA5D63">
        <w:rPr>
          <w:rFonts w:eastAsia="Calibri" w:cs="Times New Roman"/>
          <w:color w:val="auto"/>
        </w:rPr>
        <w:t>,</w:t>
      </w:r>
      <w:r w:rsidRPr="008A61D6">
        <w:rPr>
          <w:rFonts w:eastAsia="Calibri" w:cs="Times New Roman"/>
          <w:color w:val="auto"/>
        </w:rPr>
        <w:t xml:space="preserve"> η κατηγορία «Μεταφορικός εξοπλισμός και οπλικά συστήματα» παρουσίασε κατακόρυφη πτώση της τάξης του 41,3%. </w:t>
      </w:r>
    </w:p>
    <w:p w14:paraId="2A00166B" w14:textId="2251EECD" w:rsidR="008A61D6" w:rsidRPr="00ED52C5" w:rsidRDefault="008A61D6" w:rsidP="00065BF4">
      <w:pPr>
        <w:spacing w:after="0"/>
        <w:jc w:val="left"/>
        <w:rPr>
          <w:rFonts w:eastAsia="Calibri" w:cs="Times New Roman"/>
          <w:iCs/>
          <w:color w:val="00A3E0"/>
          <w:sz w:val="20"/>
          <w:szCs w:val="20"/>
        </w:rPr>
      </w:pPr>
      <w:bookmarkStart w:id="17" w:name="_Ref8998704"/>
      <w:bookmarkStart w:id="18" w:name="_Ref8998696"/>
      <w:bookmarkStart w:id="19" w:name="_Toc11843880"/>
      <w:bookmarkStart w:id="20" w:name="_Toc43376962"/>
      <w:bookmarkStart w:id="21" w:name="_Toc73435763"/>
      <w:r w:rsidRPr="00ED52C5">
        <w:rPr>
          <w:rFonts w:eastAsia="Calibri" w:cs="Times New Roman"/>
          <w:iCs/>
          <w:sz w:val="20"/>
          <w:szCs w:val="20"/>
        </w:rPr>
        <w:t xml:space="preserve">Πίνακας </w:t>
      </w:r>
      <w:r w:rsidRPr="00ED52C5">
        <w:rPr>
          <w:rFonts w:eastAsia="Calibri" w:cs="Times New Roman"/>
          <w:iCs/>
          <w:sz w:val="20"/>
          <w:szCs w:val="20"/>
        </w:rPr>
        <w:fldChar w:fldCharType="begin"/>
      </w:r>
      <w:r w:rsidRPr="00ED52C5">
        <w:rPr>
          <w:rFonts w:eastAsia="Calibri" w:cs="Times New Roman"/>
          <w:iCs/>
          <w:sz w:val="20"/>
          <w:szCs w:val="20"/>
        </w:rPr>
        <w:instrText xml:space="preserve"> SEQ Πίνακας \* ARABIC </w:instrText>
      </w:r>
      <w:r w:rsidRPr="00ED52C5">
        <w:rPr>
          <w:rFonts w:eastAsia="Calibri" w:cs="Times New Roman"/>
          <w:iCs/>
          <w:sz w:val="20"/>
          <w:szCs w:val="20"/>
        </w:rPr>
        <w:fldChar w:fldCharType="separate"/>
      </w:r>
      <w:r w:rsidR="00CC05A7">
        <w:rPr>
          <w:rFonts w:eastAsia="Calibri" w:cs="Times New Roman"/>
          <w:iCs/>
          <w:noProof/>
          <w:sz w:val="20"/>
          <w:szCs w:val="20"/>
        </w:rPr>
        <w:t>2</w:t>
      </w:r>
      <w:r w:rsidRPr="00ED52C5">
        <w:rPr>
          <w:rFonts w:eastAsia="Calibri" w:cs="Times New Roman"/>
          <w:iCs/>
          <w:sz w:val="20"/>
          <w:szCs w:val="20"/>
        </w:rPr>
        <w:fldChar w:fldCharType="end"/>
      </w:r>
      <w:bookmarkEnd w:id="17"/>
      <w:r w:rsidRPr="00ED52C5">
        <w:rPr>
          <w:rFonts w:eastAsia="Calibri" w:cs="Times New Roman"/>
          <w:iCs/>
          <w:sz w:val="20"/>
          <w:szCs w:val="20"/>
        </w:rPr>
        <w:t>:</w:t>
      </w:r>
      <w:r w:rsidRPr="00ED52C5">
        <w:rPr>
          <w:rFonts w:asciiTheme="minorHAnsi" w:hAnsiTheme="minorHAnsi" w:cstheme="minorHAnsi"/>
          <w:sz w:val="20"/>
          <w:szCs w:val="20"/>
        </w:rPr>
        <w:t xml:space="preserve"> </w:t>
      </w:r>
      <w:r w:rsidRPr="00ED52C5">
        <w:rPr>
          <w:rFonts w:eastAsia="Calibri"/>
          <w:iCs/>
          <w:sz w:val="20"/>
          <w:szCs w:val="20"/>
        </w:rPr>
        <w:t xml:space="preserve"> </w:t>
      </w:r>
      <w:r w:rsidRPr="00ED52C5">
        <w:rPr>
          <w:rFonts w:eastAsia="Calibri" w:cs="Times New Roman"/>
          <w:iCs/>
          <w:color w:val="00A3E0"/>
          <w:sz w:val="20"/>
          <w:szCs w:val="20"/>
        </w:rPr>
        <w:t>Ακαθάριστος σχηματισμός  παγίου κεφαλαίου ανά κατηγορία (2020)</w:t>
      </w:r>
      <w:bookmarkEnd w:id="18"/>
      <w:bookmarkEnd w:id="19"/>
      <w:bookmarkEnd w:id="20"/>
      <w:bookmarkEnd w:id="21"/>
    </w:p>
    <w:tbl>
      <w:tblPr>
        <w:tblW w:w="8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6"/>
        <w:gridCol w:w="2509"/>
        <w:gridCol w:w="2509"/>
      </w:tblGrid>
      <w:tr w:rsidR="008A61D6" w:rsidRPr="008A61D6" w14:paraId="6C626F8F" w14:textId="77777777" w:rsidTr="00BC33A4">
        <w:trPr>
          <w:trHeight w:val="434"/>
        </w:trPr>
        <w:tc>
          <w:tcPr>
            <w:tcW w:w="3446" w:type="dxa"/>
            <w:shd w:val="clear" w:color="auto" w:fill="BDD6EE" w:themeFill="accent1" w:themeFillTint="66"/>
            <w:noWrap/>
            <w:vAlign w:val="bottom"/>
            <w:hideMark/>
          </w:tcPr>
          <w:p w14:paraId="6068E0DC" w14:textId="77777777" w:rsidR="008A61D6" w:rsidRPr="008A61D6" w:rsidRDefault="008A61D6" w:rsidP="008A61D6">
            <w:pPr>
              <w:spacing w:after="0" w:line="240" w:lineRule="auto"/>
              <w:jc w:val="left"/>
              <w:rPr>
                <w:rFonts w:eastAsia="Times New Roman" w:cs="Times New Roman"/>
                <w:color w:val="auto"/>
                <w:sz w:val="20"/>
                <w:szCs w:val="20"/>
                <w:lang w:eastAsia="el-GR"/>
              </w:rPr>
            </w:pPr>
          </w:p>
        </w:tc>
        <w:tc>
          <w:tcPr>
            <w:tcW w:w="2509" w:type="dxa"/>
            <w:shd w:val="clear" w:color="auto" w:fill="BDD6EE" w:themeFill="accent1" w:themeFillTint="66"/>
            <w:noWrap/>
            <w:vAlign w:val="bottom"/>
            <w:hideMark/>
          </w:tcPr>
          <w:p w14:paraId="32873788" w14:textId="77777777" w:rsidR="008A61D6" w:rsidRPr="008A61D6" w:rsidRDefault="008A61D6" w:rsidP="008A61D6">
            <w:pPr>
              <w:spacing w:after="0" w:line="240" w:lineRule="auto"/>
              <w:jc w:val="center"/>
              <w:rPr>
                <w:rFonts w:eastAsia="Times New Roman" w:cs="Calibri"/>
                <w:b/>
                <w:color w:val="000000"/>
                <w:sz w:val="20"/>
                <w:szCs w:val="20"/>
                <w:lang w:eastAsia="el-GR"/>
              </w:rPr>
            </w:pPr>
            <w:r w:rsidRPr="008A61D6">
              <w:rPr>
                <w:rFonts w:eastAsia="Times New Roman" w:cs="Calibri"/>
                <w:b/>
                <w:color w:val="000000"/>
                <w:sz w:val="20"/>
                <w:szCs w:val="20"/>
                <w:lang w:eastAsia="el-GR"/>
              </w:rPr>
              <w:t xml:space="preserve"> Αξία</w:t>
            </w:r>
            <w:r w:rsidRPr="008A61D6">
              <w:rPr>
                <w:rFonts w:eastAsia="Times New Roman" w:cs="Calibri"/>
                <w:b/>
                <w:color w:val="000000"/>
                <w:sz w:val="20"/>
                <w:szCs w:val="20"/>
                <w:vertAlign w:val="superscript"/>
                <w:lang w:eastAsia="el-GR"/>
              </w:rPr>
              <w:t>*</w:t>
            </w:r>
            <w:r w:rsidRPr="008A61D6">
              <w:rPr>
                <w:rFonts w:eastAsia="Times New Roman" w:cs="Calibri"/>
                <w:b/>
                <w:color w:val="000000"/>
                <w:sz w:val="20"/>
                <w:szCs w:val="20"/>
                <w:lang w:eastAsia="el-GR"/>
              </w:rPr>
              <w:t xml:space="preserve"> (εκατ. ευρώ)</w:t>
            </w:r>
          </w:p>
        </w:tc>
        <w:tc>
          <w:tcPr>
            <w:tcW w:w="2509" w:type="dxa"/>
            <w:shd w:val="clear" w:color="auto" w:fill="BDD6EE" w:themeFill="accent1" w:themeFillTint="66"/>
            <w:noWrap/>
            <w:vAlign w:val="bottom"/>
            <w:hideMark/>
          </w:tcPr>
          <w:p w14:paraId="086A2D8F" w14:textId="77777777" w:rsidR="008A61D6" w:rsidRPr="008A61D6" w:rsidRDefault="008A61D6" w:rsidP="008A61D6">
            <w:pPr>
              <w:spacing w:after="0" w:line="240" w:lineRule="auto"/>
              <w:jc w:val="center"/>
              <w:rPr>
                <w:rFonts w:eastAsia="Times New Roman" w:cs="Calibri"/>
                <w:b/>
                <w:color w:val="000000"/>
                <w:sz w:val="20"/>
                <w:szCs w:val="20"/>
                <w:lang w:eastAsia="el-GR"/>
              </w:rPr>
            </w:pPr>
            <w:r w:rsidRPr="008A61D6">
              <w:rPr>
                <w:rFonts w:eastAsia="Times New Roman" w:cs="Calibri"/>
                <w:b/>
                <w:color w:val="000000"/>
                <w:sz w:val="20"/>
                <w:szCs w:val="20"/>
                <w:lang w:eastAsia="el-GR"/>
              </w:rPr>
              <w:t>Ετήσια μεταβολή</w:t>
            </w:r>
          </w:p>
        </w:tc>
      </w:tr>
      <w:tr w:rsidR="008A61D6" w:rsidRPr="008A61D6" w14:paraId="25488A13" w14:textId="77777777" w:rsidTr="00BC33A4">
        <w:trPr>
          <w:trHeight w:val="434"/>
        </w:trPr>
        <w:tc>
          <w:tcPr>
            <w:tcW w:w="3446" w:type="dxa"/>
            <w:shd w:val="clear" w:color="auto" w:fill="auto"/>
            <w:noWrap/>
            <w:vAlign w:val="bottom"/>
            <w:hideMark/>
          </w:tcPr>
          <w:p w14:paraId="175EAC06" w14:textId="77777777" w:rsidR="008A61D6" w:rsidRPr="008A61D6" w:rsidRDefault="008A61D6" w:rsidP="008A61D6">
            <w:pPr>
              <w:spacing w:after="0" w:line="240" w:lineRule="auto"/>
              <w:jc w:val="left"/>
              <w:rPr>
                <w:rFonts w:eastAsia="Times New Roman" w:cs="Calibri"/>
                <w:color w:val="000000"/>
                <w:sz w:val="20"/>
                <w:szCs w:val="20"/>
                <w:lang w:eastAsia="el-GR"/>
              </w:rPr>
            </w:pPr>
            <w:r w:rsidRPr="008A61D6">
              <w:rPr>
                <w:rFonts w:eastAsia="Times New Roman" w:cs="Calibri"/>
                <w:color w:val="000000"/>
                <w:sz w:val="20"/>
                <w:szCs w:val="20"/>
                <w:lang w:eastAsia="el-GR"/>
              </w:rPr>
              <w:t>Κατοικίες</w:t>
            </w:r>
          </w:p>
        </w:tc>
        <w:tc>
          <w:tcPr>
            <w:tcW w:w="2509" w:type="dxa"/>
            <w:shd w:val="clear" w:color="auto" w:fill="auto"/>
            <w:noWrap/>
            <w:vAlign w:val="bottom"/>
          </w:tcPr>
          <w:p w14:paraId="25FA2B63" w14:textId="77777777" w:rsidR="008A61D6" w:rsidRPr="008A61D6" w:rsidRDefault="008A61D6" w:rsidP="008A61D6">
            <w:pPr>
              <w:spacing w:after="0" w:line="240" w:lineRule="auto"/>
              <w:jc w:val="center"/>
              <w:rPr>
                <w:rFonts w:eastAsia="Times New Roman" w:cs="Calibri"/>
                <w:color w:val="000000"/>
                <w:sz w:val="20"/>
                <w:szCs w:val="20"/>
                <w:lang w:val="en-US" w:eastAsia="el-GR"/>
              </w:rPr>
            </w:pPr>
            <w:r w:rsidRPr="008A61D6">
              <w:rPr>
                <w:rFonts w:eastAsia="Times New Roman" w:cs="Calibri"/>
                <w:color w:val="000000"/>
                <w:sz w:val="20"/>
                <w:szCs w:val="20"/>
                <w:lang w:eastAsia="el-GR"/>
              </w:rPr>
              <w:t>1</w:t>
            </w:r>
            <w:r w:rsidRPr="008A61D6">
              <w:rPr>
                <w:rFonts w:eastAsia="Times New Roman" w:cs="Calibri"/>
                <w:color w:val="000000"/>
                <w:sz w:val="20"/>
                <w:szCs w:val="20"/>
                <w:lang w:val="en-US" w:eastAsia="el-GR"/>
              </w:rPr>
              <w:t>.595</w:t>
            </w:r>
          </w:p>
        </w:tc>
        <w:tc>
          <w:tcPr>
            <w:tcW w:w="2509" w:type="dxa"/>
            <w:shd w:val="clear" w:color="auto" w:fill="auto"/>
            <w:noWrap/>
            <w:vAlign w:val="bottom"/>
          </w:tcPr>
          <w:p w14:paraId="095F3A34" w14:textId="77777777" w:rsidR="008A61D6" w:rsidRPr="008A61D6" w:rsidRDefault="008A61D6" w:rsidP="008A61D6">
            <w:pPr>
              <w:spacing w:after="0" w:line="240" w:lineRule="auto"/>
              <w:jc w:val="center"/>
              <w:rPr>
                <w:rFonts w:eastAsia="Times New Roman" w:cs="Calibri"/>
                <w:color w:val="000000"/>
                <w:sz w:val="20"/>
                <w:szCs w:val="20"/>
                <w:lang w:eastAsia="el-GR"/>
              </w:rPr>
            </w:pPr>
            <w:r w:rsidRPr="008A61D6">
              <w:rPr>
                <w:rFonts w:eastAsia="Times New Roman" w:cs="Calibri"/>
                <w:color w:val="000000"/>
                <w:sz w:val="20"/>
                <w:szCs w:val="20"/>
                <w:lang w:eastAsia="el-GR"/>
              </w:rPr>
              <w:t>14,7%</w:t>
            </w:r>
          </w:p>
        </w:tc>
      </w:tr>
      <w:tr w:rsidR="008A61D6" w:rsidRPr="008A61D6" w14:paraId="20A43251" w14:textId="77777777" w:rsidTr="00BC33A4">
        <w:trPr>
          <w:trHeight w:val="434"/>
        </w:trPr>
        <w:tc>
          <w:tcPr>
            <w:tcW w:w="3446" w:type="dxa"/>
            <w:shd w:val="clear" w:color="auto" w:fill="auto"/>
            <w:noWrap/>
            <w:vAlign w:val="bottom"/>
            <w:hideMark/>
          </w:tcPr>
          <w:p w14:paraId="6AE5C2AE" w14:textId="77777777" w:rsidR="008A61D6" w:rsidRPr="008A61D6" w:rsidRDefault="008A61D6" w:rsidP="008A61D6">
            <w:pPr>
              <w:spacing w:after="0" w:line="240" w:lineRule="auto"/>
              <w:jc w:val="left"/>
              <w:rPr>
                <w:rFonts w:eastAsia="Times New Roman" w:cs="Calibri"/>
                <w:color w:val="000000"/>
                <w:sz w:val="20"/>
                <w:szCs w:val="20"/>
                <w:lang w:eastAsia="el-GR"/>
              </w:rPr>
            </w:pPr>
            <w:r w:rsidRPr="008A61D6">
              <w:rPr>
                <w:rFonts w:eastAsia="Times New Roman" w:cs="Calibri"/>
                <w:color w:val="000000"/>
                <w:sz w:val="20"/>
                <w:szCs w:val="20"/>
                <w:lang w:eastAsia="el-GR"/>
              </w:rPr>
              <w:t>Άλλες κατασκευές</w:t>
            </w:r>
          </w:p>
        </w:tc>
        <w:tc>
          <w:tcPr>
            <w:tcW w:w="2509" w:type="dxa"/>
            <w:shd w:val="clear" w:color="auto" w:fill="auto"/>
            <w:noWrap/>
            <w:vAlign w:val="bottom"/>
          </w:tcPr>
          <w:p w14:paraId="0B6A8DDE" w14:textId="77777777" w:rsidR="008A61D6" w:rsidRPr="008A61D6" w:rsidRDefault="008A61D6" w:rsidP="008A61D6">
            <w:pPr>
              <w:spacing w:after="0" w:line="240" w:lineRule="auto"/>
              <w:jc w:val="center"/>
              <w:rPr>
                <w:rFonts w:eastAsia="Times New Roman" w:cs="Calibri"/>
                <w:color w:val="000000"/>
                <w:sz w:val="20"/>
                <w:szCs w:val="20"/>
                <w:lang w:eastAsia="el-GR"/>
              </w:rPr>
            </w:pPr>
            <w:r w:rsidRPr="008A61D6">
              <w:rPr>
                <w:rFonts w:eastAsia="Times New Roman" w:cs="Calibri"/>
                <w:color w:val="000000"/>
                <w:sz w:val="20"/>
                <w:szCs w:val="20"/>
                <w:lang w:eastAsia="el-GR"/>
              </w:rPr>
              <w:t>4.918</w:t>
            </w:r>
          </w:p>
        </w:tc>
        <w:tc>
          <w:tcPr>
            <w:tcW w:w="2509" w:type="dxa"/>
            <w:shd w:val="clear" w:color="auto" w:fill="auto"/>
            <w:noWrap/>
            <w:vAlign w:val="bottom"/>
          </w:tcPr>
          <w:p w14:paraId="11D12C7B" w14:textId="77777777" w:rsidR="008A61D6" w:rsidRPr="008A61D6" w:rsidRDefault="008A61D6" w:rsidP="008A61D6">
            <w:pPr>
              <w:spacing w:after="0" w:line="240" w:lineRule="auto"/>
              <w:jc w:val="center"/>
              <w:rPr>
                <w:rFonts w:eastAsia="Times New Roman" w:cs="Calibri"/>
                <w:color w:val="000000"/>
                <w:sz w:val="20"/>
                <w:szCs w:val="20"/>
                <w:lang w:eastAsia="el-GR"/>
              </w:rPr>
            </w:pPr>
            <w:r w:rsidRPr="008A61D6">
              <w:rPr>
                <w:rFonts w:eastAsia="Times New Roman" w:cs="Calibri"/>
                <w:color w:val="000000"/>
                <w:sz w:val="20"/>
                <w:szCs w:val="20"/>
                <w:lang w:eastAsia="el-GR"/>
              </w:rPr>
              <w:t>9,2%</w:t>
            </w:r>
          </w:p>
        </w:tc>
      </w:tr>
      <w:tr w:rsidR="008A61D6" w:rsidRPr="008A61D6" w14:paraId="7715BB6D" w14:textId="77777777" w:rsidTr="00BC33A4">
        <w:trPr>
          <w:trHeight w:val="434"/>
        </w:trPr>
        <w:tc>
          <w:tcPr>
            <w:tcW w:w="3446" w:type="dxa"/>
            <w:shd w:val="clear" w:color="auto" w:fill="auto"/>
            <w:noWrap/>
            <w:vAlign w:val="bottom"/>
            <w:hideMark/>
          </w:tcPr>
          <w:p w14:paraId="562B19C7" w14:textId="77777777" w:rsidR="008A61D6" w:rsidRPr="008A61D6" w:rsidRDefault="008A61D6" w:rsidP="008A61D6">
            <w:pPr>
              <w:spacing w:after="0" w:line="240" w:lineRule="auto"/>
              <w:jc w:val="left"/>
              <w:rPr>
                <w:rFonts w:eastAsia="Times New Roman" w:cs="Calibri"/>
                <w:color w:val="000000"/>
                <w:sz w:val="20"/>
                <w:szCs w:val="20"/>
                <w:lang w:eastAsia="el-GR"/>
              </w:rPr>
            </w:pPr>
            <w:r w:rsidRPr="008A61D6">
              <w:rPr>
                <w:rFonts w:eastAsia="Times New Roman" w:cs="Calibri"/>
                <w:color w:val="000000"/>
                <w:sz w:val="20"/>
                <w:szCs w:val="20"/>
                <w:lang w:eastAsia="el-GR"/>
              </w:rPr>
              <w:t>Αγροτικά προϊόντα</w:t>
            </w:r>
          </w:p>
        </w:tc>
        <w:tc>
          <w:tcPr>
            <w:tcW w:w="2509" w:type="dxa"/>
            <w:shd w:val="clear" w:color="auto" w:fill="auto"/>
            <w:noWrap/>
            <w:vAlign w:val="bottom"/>
          </w:tcPr>
          <w:p w14:paraId="4E88C4A7" w14:textId="77777777" w:rsidR="008A61D6" w:rsidRPr="008A61D6" w:rsidRDefault="008A61D6" w:rsidP="008A61D6">
            <w:pPr>
              <w:spacing w:after="0" w:line="240" w:lineRule="auto"/>
              <w:jc w:val="center"/>
              <w:rPr>
                <w:rFonts w:eastAsia="Times New Roman" w:cs="Calibri"/>
                <w:color w:val="000000"/>
                <w:sz w:val="20"/>
                <w:szCs w:val="20"/>
                <w:lang w:eastAsia="el-GR"/>
              </w:rPr>
            </w:pPr>
            <w:r w:rsidRPr="008A61D6">
              <w:rPr>
                <w:rFonts w:eastAsia="Times New Roman" w:cs="Calibri"/>
                <w:color w:val="000000"/>
                <w:sz w:val="20"/>
                <w:szCs w:val="20"/>
                <w:lang w:eastAsia="el-GR"/>
              </w:rPr>
              <w:t>116</w:t>
            </w:r>
          </w:p>
        </w:tc>
        <w:tc>
          <w:tcPr>
            <w:tcW w:w="2509" w:type="dxa"/>
            <w:shd w:val="clear" w:color="auto" w:fill="auto"/>
            <w:noWrap/>
            <w:vAlign w:val="bottom"/>
          </w:tcPr>
          <w:p w14:paraId="6FED20F1" w14:textId="77777777" w:rsidR="008A61D6" w:rsidRPr="008A61D6" w:rsidRDefault="008A61D6" w:rsidP="008A61D6">
            <w:pPr>
              <w:spacing w:after="0" w:line="240" w:lineRule="auto"/>
              <w:jc w:val="center"/>
              <w:rPr>
                <w:rFonts w:eastAsia="Times New Roman" w:cs="Calibri"/>
                <w:color w:val="000000"/>
                <w:sz w:val="20"/>
                <w:szCs w:val="20"/>
                <w:lang w:eastAsia="el-GR"/>
              </w:rPr>
            </w:pPr>
            <w:r w:rsidRPr="008A61D6">
              <w:rPr>
                <w:rFonts w:eastAsia="Times New Roman" w:cs="Calibri"/>
                <w:color w:val="000000"/>
                <w:sz w:val="20"/>
                <w:szCs w:val="20"/>
                <w:lang w:eastAsia="el-GR"/>
              </w:rPr>
              <w:t>0,8%</w:t>
            </w:r>
          </w:p>
        </w:tc>
      </w:tr>
      <w:tr w:rsidR="008A61D6" w:rsidRPr="008A61D6" w14:paraId="69D935B7" w14:textId="77777777" w:rsidTr="00BC33A4">
        <w:trPr>
          <w:trHeight w:val="434"/>
        </w:trPr>
        <w:tc>
          <w:tcPr>
            <w:tcW w:w="3446" w:type="dxa"/>
            <w:shd w:val="clear" w:color="auto" w:fill="auto"/>
            <w:noWrap/>
            <w:vAlign w:val="bottom"/>
            <w:hideMark/>
          </w:tcPr>
          <w:p w14:paraId="17C44ACC" w14:textId="77777777" w:rsidR="008A61D6" w:rsidRPr="008A61D6" w:rsidRDefault="008A61D6" w:rsidP="008A61D6">
            <w:pPr>
              <w:spacing w:after="0" w:line="240" w:lineRule="auto"/>
              <w:jc w:val="left"/>
              <w:rPr>
                <w:rFonts w:eastAsia="Times New Roman" w:cs="Calibri"/>
                <w:color w:val="000000"/>
                <w:sz w:val="20"/>
                <w:szCs w:val="20"/>
                <w:lang w:eastAsia="el-GR"/>
              </w:rPr>
            </w:pPr>
            <w:r w:rsidRPr="008A61D6">
              <w:rPr>
                <w:rFonts w:eastAsia="Times New Roman" w:cs="Calibri"/>
                <w:color w:val="000000"/>
                <w:sz w:val="20"/>
                <w:szCs w:val="20"/>
                <w:lang w:eastAsia="el-GR"/>
              </w:rPr>
              <w:t>Μεταφορικός εξοπλισμός και οπλικά συστήματα</w:t>
            </w:r>
          </w:p>
        </w:tc>
        <w:tc>
          <w:tcPr>
            <w:tcW w:w="2509" w:type="dxa"/>
            <w:shd w:val="clear" w:color="auto" w:fill="auto"/>
            <w:noWrap/>
            <w:vAlign w:val="bottom"/>
          </w:tcPr>
          <w:p w14:paraId="607633DF" w14:textId="77777777" w:rsidR="008A61D6" w:rsidRPr="008A61D6" w:rsidRDefault="008A61D6" w:rsidP="008A61D6">
            <w:pPr>
              <w:spacing w:after="0" w:line="240" w:lineRule="auto"/>
              <w:jc w:val="center"/>
              <w:rPr>
                <w:rFonts w:eastAsia="Times New Roman" w:cs="Calibri"/>
                <w:color w:val="000000"/>
                <w:sz w:val="20"/>
                <w:szCs w:val="20"/>
                <w:lang w:eastAsia="el-GR"/>
              </w:rPr>
            </w:pPr>
            <w:r w:rsidRPr="008A61D6">
              <w:rPr>
                <w:rFonts w:eastAsia="Times New Roman" w:cs="Calibri"/>
                <w:color w:val="000000"/>
                <w:sz w:val="20"/>
                <w:szCs w:val="20"/>
                <w:lang w:eastAsia="el-GR"/>
              </w:rPr>
              <w:t>1.196</w:t>
            </w:r>
          </w:p>
        </w:tc>
        <w:tc>
          <w:tcPr>
            <w:tcW w:w="2509" w:type="dxa"/>
            <w:shd w:val="clear" w:color="auto" w:fill="auto"/>
            <w:noWrap/>
            <w:vAlign w:val="bottom"/>
          </w:tcPr>
          <w:p w14:paraId="31B0E1F5" w14:textId="77777777" w:rsidR="008A61D6" w:rsidRPr="008A61D6" w:rsidRDefault="008A61D6" w:rsidP="008A61D6">
            <w:pPr>
              <w:spacing w:after="0" w:line="240" w:lineRule="auto"/>
              <w:jc w:val="center"/>
              <w:rPr>
                <w:rFonts w:eastAsia="Times New Roman" w:cs="Calibri"/>
                <w:color w:val="000000"/>
                <w:sz w:val="20"/>
                <w:szCs w:val="20"/>
                <w:lang w:eastAsia="el-GR"/>
              </w:rPr>
            </w:pPr>
            <w:r w:rsidRPr="008A61D6">
              <w:rPr>
                <w:rFonts w:eastAsia="Times New Roman" w:cs="Calibri"/>
                <w:color w:val="000000"/>
                <w:sz w:val="20"/>
                <w:szCs w:val="20"/>
                <w:lang w:eastAsia="el-GR"/>
              </w:rPr>
              <w:t>-41,3%</w:t>
            </w:r>
          </w:p>
        </w:tc>
      </w:tr>
      <w:tr w:rsidR="008A61D6" w:rsidRPr="008A61D6" w14:paraId="09BFDF61" w14:textId="77777777" w:rsidTr="00BC33A4">
        <w:trPr>
          <w:trHeight w:val="434"/>
        </w:trPr>
        <w:tc>
          <w:tcPr>
            <w:tcW w:w="3446" w:type="dxa"/>
            <w:shd w:val="clear" w:color="auto" w:fill="auto"/>
            <w:noWrap/>
            <w:vAlign w:val="bottom"/>
            <w:hideMark/>
          </w:tcPr>
          <w:p w14:paraId="4CEE92C8" w14:textId="77777777" w:rsidR="008A61D6" w:rsidRPr="008A61D6" w:rsidRDefault="008A61D6" w:rsidP="008A61D6">
            <w:pPr>
              <w:spacing w:after="0" w:line="240" w:lineRule="auto"/>
              <w:jc w:val="left"/>
              <w:rPr>
                <w:rFonts w:eastAsia="Times New Roman" w:cs="Calibri"/>
                <w:color w:val="000000"/>
                <w:sz w:val="20"/>
                <w:szCs w:val="20"/>
                <w:lang w:eastAsia="el-GR"/>
              </w:rPr>
            </w:pPr>
            <w:r w:rsidRPr="008A61D6">
              <w:rPr>
                <w:rFonts w:eastAsia="Times New Roman" w:cs="Calibri"/>
                <w:color w:val="000000"/>
                <w:sz w:val="20"/>
                <w:szCs w:val="20"/>
                <w:lang w:eastAsia="el-GR"/>
              </w:rPr>
              <w:t>Εξοπλισμός Τεχνολογίας Πληροφορικής και Επικοινωνίας</w:t>
            </w:r>
          </w:p>
        </w:tc>
        <w:tc>
          <w:tcPr>
            <w:tcW w:w="2509" w:type="dxa"/>
            <w:shd w:val="clear" w:color="auto" w:fill="auto"/>
            <w:noWrap/>
            <w:vAlign w:val="bottom"/>
          </w:tcPr>
          <w:p w14:paraId="7781F2AC" w14:textId="77777777" w:rsidR="008A61D6" w:rsidRPr="008A61D6" w:rsidRDefault="008A61D6" w:rsidP="008A61D6">
            <w:pPr>
              <w:spacing w:after="0" w:line="240" w:lineRule="auto"/>
              <w:jc w:val="center"/>
              <w:rPr>
                <w:rFonts w:eastAsia="Times New Roman" w:cs="Calibri"/>
                <w:color w:val="000000"/>
                <w:sz w:val="20"/>
                <w:szCs w:val="20"/>
                <w:lang w:eastAsia="el-GR"/>
              </w:rPr>
            </w:pPr>
            <w:r w:rsidRPr="008A61D6">
              <w:rPr>
                <w:rFonts w:eastAsia="Times New Roman" w:cs="Calibri"/>
                <w:color w:val="000000"/>
                <w:sz w:val="20"/>
                <w:szCs w:val="20"/>
                <w:lang w:eastAsia="el-GR"/>
              </w:rPr>
              <w:t>2.143</w:t>
            </w:r>
          </w:p>
        </w:tc>
        <w:tc>
          <w:tcPr>
            <w:tcW w:w="2509" w:type="dxa"/>
            <w:shd w:val="clear" w:color="auto" w:fill="auto"/>
            <w:noWrap/>
            <w:vAlign w:val="bottom"/>
          </w:tcPr>
          <w:p w14:paraId="4F479F87" w14:textId="77777777" w:rsidR="008A61D6" w:rsidRPr="008A61D6" w:rsidRDefault="008A61D6" w:rsidP="008A61D6">
            <w:pPr>
              <w:spacing w:after="0" w:line="240" w:lineRule="auto"/>
              <w:jc w:val="center"/>
              <w:rPr>
                <w:rFonts w:eastAsia="Times New Roman" w:cs="Calibri"/>
                <w:color w:val="000000"/>
                <w:sz w:val="20"/>
                <w:szCs w:val="20"/>
                <w:lang w:eastAsia="el-GR"/>
              </w:rPr>
            </w:pPr>
            <w:r w:rsidRPr="008A61D6">
              <w:rPr>
                <w:rFonts w:eastAsia="Times New Roman" w:cs="Calibri"/>
                <w:color w:val="000000"/>
                <w:sz w:val="20"/>
                <w:szCs w:val="20"/>
                <w:lang w:eastAsia="el-GR"/>
              </w:rPr>
              <w:t>4,9%</w:t>
            </w:r>
          </w:p>
        </w:tc>
      </w:tr>
      <w:tr w:rsidR="008A61D6" w:rsidRPr="008A61D6" w14:paraId="79E39D1A" w14:textId="77777777" w:rsidTr="00BC33A4">
        <w:trPr>
          <w:trHeight w:val="434"/>
        </w:trPr>
        <w:tc>
          <w:tcPr>
            <w:tcW w:w="3446" w:type="dxa"/>
            <w:shd w:val="clear" w:color="auto" w:fill="auto"/>
            <w:noWrap/>
            <w:vAlign w:val="bottom"/>
            <w:hideMark/>
          </w:tcPr>
          <w:p w14:paraId="20E93DD8" w14:textId="77777777" w:rsidR="008A61D6" w:rsidRPr="008A61D6" w:rsidRDefault="008A61D6" w:rsidP="008A61D6">
            <w:pPr>
              <w:spacing w:after="0" w:line="240" w:lineRule="auto"/>
              <w:jc w:val="left"/>
              <w:rPr>
                <w:rFonts w:eastAsia="Times New Roman" w:cs="Calibri"/>
                <w:color w:val="000000"/>
                <w:sz w:val="20"/>
                <w:szCs w:val="20"/>
                <w:lang w:eastAsia="el-GR"/>
              </w:rPr>
            </w:pPr>
            <w:r w:rsidRPr="008A61D6">
              <w:rPr>
                <w:rFonts w:eastAsia="Times New Roman" w:cs="Calibri"/>
                <w:color w:val="000000"/>
                <w:sz w:val="20"/>
                <w:szCs w:val="20"/>
                <w:lang w:eastAsia="el-GR"/>
              </w:rPr>
              <w:t>Μηχανολογικός εξοπλισμός και οπλικά συστήματα</w:t>
            </w:r>
          </w:p>
        </w:tc>
        <w:tc>
          <w:tcPr>
            <w:tcW w:w="2509" w:type="dxa"/>
            <w:shd w:val="clear" w:color="auto" w:fill="auto"/>
            <w:noWrap/>
            <w:vAlign w:val="bottom"/>
          </w:tcPr>
          <w:p w14:paraId="2EF64463" w14:textId="77777777" w:rsidR="008A61D6" w:rsidRPr="008A61D6" w:rsidRDefault="008A61D6" w:rsidP="008A61D6">
            <w:pPr>
              <w:spacing w:after="0" w:line="240" w:lineRule="auto"/>
              <w:jc w:val="center"/>
              <w:rPr>
                <w:rFonts w:eastAsia="Times New Roman" w:cs="Calibri"/>
                <w:color w:val="000000"/>
                <w:sz w:val="20"/>
                <w:szCs w:val="20"/>
                <w:lang w:eastAsia="el-GR"/>
              </w:rPr>
            </w:pPr>
            <w:r w:rsidRPr="008A61D6">
              <w:rPr>
                <w:rFonts w:eastAsia="Times New Roman" w:cs="Calibri"/>
                <w:color w:val="000000"/>
                <w:sz w:val="20"/>
                <w:szCs w:val="20"/>
                <w:lang w:eastAsia="el-GR"/>
              </w:rPr>
              <w:t>4.890</w:t>
            </w:r>
          </w:p>
        </w:tc>
        <w:tc>
          <w:tcPr>
            <w:tcW w:w="2509" w:type="dxa"/>
            <w:shd w:val="clear" w:color="auto" w:fill="auto"/>
            <w:noWrap/>
            <w:vAlign w:val="bottom"/>
          </w:tcPr>
          <w:p w14:paraId="38AA574B" w14:textId="77777777" w:rsidR="008A61D6" w:rsidRPr="008A61D6" w:rsidRDefault="008A61D6" w:rsidP="008A61D6">
            <w:pPr>
              <w:spacing w:after="0" w:line="240" w:lineRule="auto"/>
              <w:jc w:val="center"/>
              <w:rPr>
                <w:rFonts w:eastAsia="Times New Roman" w:cs="Calibri"/>
                <w:color w:val="000000"/>
                <w:sz w:val="20"/>
                <w:szCs w:val="20"/>
                <w:lang w:eastAsia="el-GR"/>
              </w:rPr>
            </w:pPr>
            <w:r w:rsidRPr="008A61D6">
              <w:rPr>
                <w:rFonts w:eastAsia="Times New Roman" w:cs="Calibri"/>
                <w:color w:val="000000"/>
                <w:sz w:val="20"/>
                <w:szCs w:val="20"/>
                <w:lang w:eastAsia="el-GR"/>
              </w:rPr>
              <w:t>2,6%</w:t>
            </w:r>
          </w:p>
        </w:tc>
      </w:tr>
      <w:tr w:rsidR="008A61D6" w:rsidRPr="008A61D6" w14:paraId="3A40D11F" w14:textId="77777777" w:rsidTr="00BC33A4">
        <w:trPr>
          <w:trHeight w:val="434"/>
        </w:trPr>
        <w:tc>
          <w:tcPr>
            <w:tcW w:w="3446" w:type="dxa"/>
            <w:shd w:val="clear" w:color="auto" w:fill="auto"/>
            <w:noWrap/>
            <w:vAlign w:val="bottom"/>
            <w:hideMark/>
          </w:tcPr>
          <w:p w14:paraId="2C0EEBE0" w14:textId="2EE50D83" w:rsidR="008A61D6" w:rsidRPr="008A61D6" w:rsidRDefault="008A61D6" w:rsidP="008A61D6">
            <w:pPr>
              <w:spacing w:after="0" w:line="240" w:lineRule="auto"/>
              <w:jc w:val="left"/>
              <w:rPr>
                <w:rFonts w:eastAsia="Times New Roman" w:cs="Calibri"/>
                <w:color w:val="000000"/>
                <w:sz w:val="20"/>
                <w:szCs w:val="20"/>
                <w:lang w:eastAsia="el-GR"/>
              </w:rPr>
            </w:pPr>
            <w:r w:rsidRPr="008A61D6">
              <w:rPr>
                <w:rFonts w:eastAsia="Times New Roman" w:cs="Calibri"/>
                <w:color w:val="000000"/>
                <w:sz w:val="20"/>
                <w:szCs w:val="20"/>
                <w:lang w:eastAsia="el-GR"/>
              </w:rPr>
              <w:t>Άλλα προϊόντα</w:t>
            </w:r>
          </w:p>
        </w:tc>
        <w:tc>
          <w:tcPr>
            <w:tcW w:w="2509" w:type="dxa"/>
            <w:shd w:val="clear" w:color="auto" w:fill="auto"/>
            <w:noWrap/>
            <w:vAlign w:val="bottom"/>
          </w:tcPr>
          <w:p w14:paraId="537BCCE9" w14:textId="77777777" w:rsidR="008A61D6" w:rsidRPr="008A61D6" w:rsidRDefault="008A61D6" w:rsidP="008A61D6">
            <w:pPr>
              <w:spacing w:after="0" w:line="240" w:lineRule="auto"/>
              <w:jc w:val="center"/>
              <w:rPr>
                <w:rFonts w:eastAsia="Times New Roman" w:cs="Calibri"/>
                <w:color w:val="000000"/>
                <w:sz w:val="20"/>
                <w:szCs w:val="20"/>
                <w:lang w:eastAsia="el-GR"/>
              </w:rPr>
            </w:pPr>
            <w:r w:rsidRPr="008A61D6">
              <w:rPr>
                <w:rFonts w:eastAsia="Times New Roman" w:cs="Calibri"/>
                <w:color w:val="000000"/>
                <w:sz w:val="20"/>
                <w:szCs w:val="20"/>
                <w:lang w:eastAsia="el-GR"/>
              </w:rPr>
              <w:t>3.671</w:t>
            </w:r>
          </w:p>
        </w:tc>
        <w:tc>
          <w:tcPr>
            <w:tcW w:w="2509" w:type="dxa"/>
            <w:shd w:val="clear" w:color="auto" w:fill="auto"/>
            <w:noWrap/>
            <w:vAlign w:val="bottom"/>
          </w:tcPr>
          <w:p w14:paraId="4F70ECFF" w14:textId="77777777" w:rsidR="008A61D6" w:rsidRPr="008A61D6" w:rsidRDefault="008A61D6" w:rsidP="008A61D6">
            <w:pPr>
              <w:spacing w:after="0" w:line="240" w:lineRule="auto"/>
              <w:jc w:val="center"/>
              <w:rPr>
                <w:rFonts w:eastAsia="Times New Roman" w:cs="Calibri"/>
                <w:color w:val="000000"/>
                <w:sz w:val="20"/>
                <w:szCs w:val="20"/>
                <w:lang w:eastAsia="el-GR"/>
              </w:rPr>
            </w:pPr>
            <w:r w:rsidRPr="008A61D6">
              <w:rPr>
                <w:rFonts w:eastAsia="Times New Roman" w:cs="Calibri"/>
                <w:color w:val="000000"/>
                <w:sz w:val="20"/>
                <w:szCs w:val="20"/>
                <w:lang w:eastAsia="el-GR"/>
              </w:rPr>
              <w:t>-2,3%</w:t>
            </w:r>
          </w:p>
        </w:tc>
      </w:tr>
      <w:tr w:rsidR="008A61D6" w:rsidRPr="008A61D6" w14:paraId="18B47D2E" w14:textId="77777777" w:rsidTr="00BC33A4">
        <w:trPr>
          <w:trHeight w:val="549"/>
        </w:trPr>
        <w:tc>
          <w:tcPr>
            <w:tcW w:w="3446" w:type="dxa"/>
            <w:shd w:val="clear" w:color="auto" w:fill="F2F2F2" w:themeFill="background1" w:themeFillShade="F2"/>
            <w:noWrap/>
            <w:vAlign w:val="bottom"/>
            <w:hideMark/>
          </w:tcPr>
          <w:p w14:paraId="63A36DF9" w14:textId="77777777" w:rsidR="008A61D6" w:rsidRPr="008A61D6" w:rsidRDefault="008A61D6" w:rsidP="008A61D6">
            <w:pPr>
              <w:spacing w:after="0" w:line="240" w:lineRule="auto"/>
              <w:jc w:val="left"/>
              <w:rPr>
                <w:rFonts w:eastAsia="Times New Roman" w:cs="Calibri"/>
                <w:b/>
                <w:color w:val="000000"/>
                <w:sz w:val="20"/>
                <w:szCs w:val="20"/>
                <w:lang w:eastAsia="el-GR"/>
              </w:rPr>
            </w:pPr>
            <w:r w:rsidRPr="008A61D6">
              <w:rPr>
                <w:rFonts w:eastAsia="Times New Roman" w:cs="Calibri"/>
                <w:b/>
                <w:color w:val="000000"/>
                <w:sz w:val="20"/>
                <w:szCs w:val="20"/>
                <w:lang w:eastAsia="el-GR"/>
              </w:rPr>
              <w:t>Σύνολο</w:t>
            </w:r>
            <w:r w:rsidRPr="008A61D6">
              <w:rPr>
                <w:rFonts w:eastAsia="Times New Roman" w:cs="Calibri"/>
                <w:b/>
                <w:color w:val="000000"/>
                <w:sz w:val="20"/>
                <w:szCs w:val="20"/>
                <w:vertAlign w:val="superscript"/>
                <w:lang w:eastAsia="el-GR"/>
              </w:rPr>
              <w:t>(1)</w:t>
            </w:r>
          </w:p>
        </w:tc>
        <w:tc>
          <w:tcPr>
            <w:tcW w:w="2509" w:type="dxa"/>
            <w:shd w:val="clear" w:color="auto" w:fill="F2F2F2" w:themeFill="background1" w:themeFillShade="F2"/>
            <w:noWrap/>
            <w:vAlign w:val="bottom"/>
            <w:hideMark/>
          </w:tcPr>
          <w:p w14:paraId="0FBECFE3" w14:textId="77777777" w:rsidR="008A61D6" w:rsidRPr="008A61D6" w:rsidRDefault="008A61D6" w:rsidP="008A61D6">
            <w:pPr>
              <w:spacing w:after="0" w:line="240" w:lineRule="auto"/>
              <w:jc w:val="center"/>
              <w:rPr>
                <w:rFonts w:eastAsia="Times New Roman" w:cs="Calibri"/>
                <w:b/>
                <w:color w:val="000000"/>
                <w:sz w:val="20"/>
                <w:szCs w:val="20"/>
                <w:lang w:eastAsia="el-GR"/>
              </w:rPr>
            </w:pPr>
            <w:r w:rsidRPr="008A61D6">
              <w:rPr>
                <w:rFonts w:eastAsia="Times New Roman" w:cs="Calibri"/>
                <w:b/>
                <w:color w:val="000000"/>
                <w:sz w:val="20"/>
                <w:szCs w:val="20"/>
                <w:lang w:eastAsia="el-GR"/>
              </w:rPr>
              <w:t>18.753</w:t>
            </w:r>
          </w:p>
        </w:tc>
        <w:tc>
          <w:tcPr>
            <w:tcW w:w="2509" w:type="dxa"/>
            <w:shd w:val="clear" w:color="auto" w:fill="F2F2F2" w:themeFill="background1" w:themeFillShade="F2"/>
            <w:noWrap/>
            <w:vAlign w:val="bottom"/>
            <w:hideMark/>
          </w:tcPr>
          <w:p w14:paraId="2639F68E" w14:textId="082C6B88" w:rsidR="008A61D6" w:rsidRPr="008A61D6" w:rsidRDefault="00AA5D63" w:rsidP="008A61D6">
            <w:pPr>
              <w:spacing w:after="0" w:line="240" w:lineRule="auto"/>
              <w:jc w:val="center"/>
              <w:rPr>
                <w:rFonts w:eastAsia="Times New Roman" w:cs="Calibri"/>
                <w:b/>
                <w:color w:val="000000"/>
                <w:sz w:val="20"/>
                <w:szCs w:val="20"/>
                <w:lang w:eastAsia="el-GR"/>
              </w:rPr>
            </w:pPr>
            <w:r>
              <w:rPr>
                <w:rFonts w:eastAsia="Times New Roman" w:cs="Calibri"/>
                <w:b/>
                <w:color w:val="000000"/>
                <w:sz w:val="20"/>
                <w:szCs w:val="20"/>
                <w:lang w:eastAsia="el-GR"/>
              </w:rPr>
              <w:t>-0,6</w:t>
            </w:r>
            <w:r w:rsidR="008A61D6" w:rsidRPr="008A61D6">
              <w:rPr>
                <w:rFonts w:eastAsia="Times New Roman" w:cs="Calibri"/>
                <w:b/>
                <w:color w:val="000000"/>
                <w:sz w:val="20"/>
                <w:szCs w:val="20"/>
                <w:lang w:eastAsia="el-GR"/>
              </w:rPr>
              <w:t>%</w:t>
            </w:r>
          </w:p>
        </w:tc>
      </w:tr>
    </w:tbl>
    <w:p w14:paraId="5F330E26" w14:textId="685CF968" w:rsidR="008A61D6" w:rsidRPr="005A299E" w:rsidRDefault="008A61D6" w:rsidP="008A61D6">
      <w:pPr>
        <w:spacing w:after="0" w:line="240" w:lineRule="auto"/>
        <w:rPr>
          <w:sz w:val="18"/>
          <w:szCs w:val="18"/>
        </w:rPr>
      </w:pPr>
      <w:r w:rsidRPr="005A299E">
        <w:rPr>
          <w:b/>
          <w:sz w:val="18"/>
          <w:szCs w:val="18"/>
        </w:rPr>
        <w:t xml:space="preserve">Πηγή: </w:t>
      </w:r>
      <w:r w:rsidR="005A299E" w:rsidRPr="005A299E">
        <w:rPr>
          <w:color w:val="00A3E0"/>
          <w:sz w:val="18"/>
          <w:szCs w:val="18"/>
        </w:rPr>
        <w:t>ΕΛΣΤΑΤ</w:t>
      </w:r>
    </w:p>
    <w:p w14:paraId="44B2A9BC" w14:textId="77777777" w:rsidR="008A61D6" w:rsidRPr="008A61D6" w:rsidRDefault="008A61D6" w:rsidP="008A61D6">
      <w:pPr>
        <w:spacing w:after="0" w:line="240" w:lineRule="auto"/>
        <w:rPr>
          <w:sz w:val="16"/>
          <w:szCs w:val="16"/>
        </w:rPr>
      </w:pPr>
      <w:r w:rsidRPr="008A61D6">
        <w:rPr>
          <w:sz w:val="16"/>
          <w:szCs w:val="16"/>
        </w:rPr>
        <w:t>*Αλυσωτοί δείκτες όγκου έτους αναφοράς 2015.</w:t>
      </w:r>
    </w:p>
    <w:p w14:paraId="15267AA6" w14:textId="46C6C0EF" w:rsidR="008A61D6" w:rsidRDefault="008A61D6" w:rsidP="003E69BF">
      <w:pPr>
        <w:spacing w:after="480" w:line="240" w:lineRule="auto"/>
        <w:rPr>
          <w:sz w:val="16"/>
          <w:szCs w:val="16"/>
        </w:rPr>
      </w:pPr>
      <w:r w:rsidRPr="008A61D6">
        <w:rPr>
          <w:sz w:val="16"/>
          <w:szCs w:val="16"/>
        </w:rPr>
        <w:t>(1) Η αλύσωση εφαρμόζεται σε κάθε μέγεθος χωριστά. Ως εκ τούτου οι συνιστώσες στους αλυσωτούς δείκτες όγκου δεν συναθροίζονται στον ΑΣΠΚ.</w:t>
      </w:r>
    </w:p>
    <w:p w14:paraId="41A9B8B3" w14:textId="36AE6400" w:rsidR="004B7FEF" w:rsidRPr="0075506B" w:rsidRDefault="004B7FEF" w:rsidP="004B7FEF">
      <w:pPr>
        <w:pStyle w:val="a2"/>
        <w:ind w:left="284"/>
        <w:rPr>
          <w:i/>
          <w:sz w:val="24"/>
          <w:szCs w:val="24"/>
        </w:rPr>
      </w:pPr>
      <w:r w:rsidRPr="0075506B">
        <w:rPr>
          <w:i/>
          <w:sz w:val="24"/>
          <w:szCs w:val="24"/>
        </w:rPr>
        <w:t>Ετήσια ακαθάριστη προστιθέμενη αξία κλάδων παραγωγής</w:t>
      </w:r>
    </w:p>
    <w:p w14:paraId="48A91F68" w14:textId="537779E0" w:rsidR="003E69BF" w:rsidRDefault="00065BF4" w:rsidP="003E69BF">
      <w:pPr>
        <w:rPr>
          <w:color w:val="auto"/>
        </w:rPr>
      </w:pPr>
      <w:r w:rsidRPr="00065BF4">
        <w:rPr>
          <w:color w:val="auto"/>
        </w:rPr>
        <w:t>Οι περισσότεροι κλάδοι της ελληνικής οικονομίας παρουσίασαν συρρίκνωση της προστιθέμενης αξίας τους σε σχέση με το προηγούμενο</w:t>
      </w:r>
      <w:r w:rsidR="0075506B" w:rsidRPr="0075506B">
        <w:rPr>
          <w:color w:val="auto"/>
        </w:rPr>
        <w:t xml:space="preserve"> </w:t>
      </w:r>
      <w:r w:rsidR="0075506B">
        <w:rPr>
          <w:color w:val="auto"/>
        </w:rPr>
        <w:t>έτος</w:t>
      </w:r>
      <w:r w:rsidRPr="00065BF4">
        <w:rPr>
          <w:color w:val="auto"/>
        </w:rPr>
        <w:t>, σύμφωνα με τα στοιχεία της Ε</w:t>
      </w:r>
      <w:r w:rsidRPr="00065BF4">
        <w:rPr>
          <w:color w:val="auto"/>
          <w:lang w:val="en-US"/>
        </w:rPr>
        <w:t>UROSTAT</w:t>
      </w:r>
      <w:r w:rsidRPr="00065BF4">
        <w:rPr>
          <w:color w:val="auto"/>
        </w:rPr>
        <w:t xml:space="preserve"> (</w:t>
      </w:r>
      <w:r w:rsidRPr="00BD56A8">
        <w:rPr>
          <w:i/>
          <w:color w:val="auto"/>
        </w:rPr>
        <w:fldChar w:fldCharType="begin"/>
      </w:r>
      <w:r w:rsidRPr="00BD56A8">
        <w:rPr>
          <w:i/>
          <w:color w:val="auto"/>
        </w:rPr>
        <w:instrText xml:space="preserve"> REF _Ref514320528 \h  \* MERGEFORMAT </w:instrText>
      </w:r>
      <w:r w:rsidRPr="00BD56A8">
        <w:rPr>
          <w:i/>
          <w:color w:val="auto"/>
        </w:rPr>
      </w:r>
      <w:r w:rsidRPr="00BD56A8">
        <w:rPr>
          <w:i/>
          <w:color w:val="auto"/>
        </w:rPr>
        <w:fldChar w:fldCharType="separate"/>
      </w:r>
      <w:r w:rsidR="00CC05A7" w:rsidRPr="00CC05A7">
        <w:rPr>
          <w:i/>
          <w:color w:val="auto"/>
        </w:rPr>
        <w:t xml:space="preserve">Διάγραμμα </w:t>
      </w:r>
      <w:r w:rsidR="00CC05A7" w:rsidRPr="00CC05A7">
        <w:rPr>
          <w:i/>
          <w:noProof/>
          <w:color w:val="auto"/>
        </w:rPr>
        <w:t>3</w:t>
      </w:r>
      <w:r w:rsidRPr="00BD56A8">
        <w:rPr>
          <w:i/>
          <w:color w:val="auto"/>
        </w:rPr>
        <w:fldChar w:fldCharType="end"/>
      </w:r>
      <w:r w:rsidRPr="00065BF4">
        <w:rPr>
          <w:color w:val="auto"/>
        </w:rPr>
        <w:t>). Διψήφια ποσοστιαία πτώση εντοπίζεται στον κλάδο</w:t>
      </w:r>
      <w:r w:rsidRPr="00065BF4">
        <w:rPr>
          <w:color w:val="auto"/>
          <w:vertAlign w:val="superscript"/>
        </w:rPr>
        <w:footnoteReference w:id="2"/>
      </w:r>
      <w:r w:rsidRPr="00065BF4">
        <w:rPr>
          <w:color w:val="auto"/>
        </w:rPr>
        <w:t xml:space="preserve"> των «τεχνών – διασκέδασης – ψυχαγωγίας» (</w:t>
      </w:r>
      <w:r w:rsidRPr="00065BF4">
        <w:rPr>
          <w:color w:val="auto"/>
          <w:lang w:val="en-US"/>
        </w:rPr>
        <w:t>R</w:t>
      </w:r>
      <w:r w:rsidRPr="00065BF4">
        <w:rPr>
          <w:color w:val="auto"/>
        </w:rPr>
        <w:t>-</w:t>
      </w:r>
      <w:r w:rsidRPr="00065BF4">
        <w:rPr>
          <w:color w:val="auto"/>
          <w:lang w:val="en-US"/>
        </w:rPr>
        <w:t>U</w:t>
      </w:r>
      <w:r w:rsidRPr="00065BF4">
        <w:rPr>
          <w:color w:val="auto"/>
        </w:rPr>
        <w:t>, -25,4%), του εμπορίου (</w:t>
      </w:r>
      <w:r w:rsidRPr="00065BF4">
        <w:rPr>
          <w:color w:val="auto"/>
          <w:lang w:val="en-US"/>
        </w:rPr>
        <w:t>G</w:t>
      </w:r>
      <w:r w:rsidRPr="00065BF4">
        <w:rPr>
          <w:color w:val="auto"/>
        </w:rPr>
        <w:t>-</w:t>
      </w:r>
      <w:r w:rsidRPr="00065BF4">
        <w:rPr>
          <w:color w:val="auto"/>
          <w:lang w:val="en-US"/>
        </w:rPr>
        <w:t>I</w:t>
      </w:r>
      <w:r w:rsidRPr="00065BF4">
        <w:rPr>
          <w:color w:val="auto"/>
        </w:rPr>
        <w:t xml:space="preserve">, -22,8%) και των «επαγγελματικών δραστηριοτήτων» (Μ-Ν, -10,7%), ενώ πιο συγκρατημένη είναι η συρρίκνωση του κλάδου των «χρηματοπιστωτικών και ασφαλιστικών δραστηριοτήτων» (Κ, -7,6%). </w:t>
      </w:r>
    </w:p>
    <w:p w14:paraId="52ED67E3" w14:textId="77777777" w:rsidR="003E69BF" w:rsidRDefault="003E69BF">
      <w:pPr>
        <w:spacing w:after="160" w:line="0" w:lineRule="auto"/>
        <w:jc w:val="left"/>
        <w:rPr>
          <w:color w:val="auto"/>
        </w:rPr>
      </w:pPr>
      <w:r>
        <w:rPr>
          <w:color w:val="auto"/>
        </w:rPr>
        <w:br w:type="page"/>
      </w:r>
    </w:p>
    <w:p w14:paraId="0F3A7169" w14:textId="2411EAC1" w:rsidR="00065BF4" w:rsidRPr="00BD56A8" w:rsidRDefault="00065BF4" w:rsidP="00065BF4">
      <w:pPr>
        <w:spacing w:after="0" w:line="240" w:lineRule="auto"/>
        <w:rPr>
          <w:color w:val="00A3E0"/>
          <w:sz w:val="20"/>
          <w:szCs w:val="20"/>
        </w:rPr>
      </w:pPr>
      <w:bookmarkStart w:id="22" w:name="_Ref514320528"/>
      <w:bookmarkStart w:id="23" w:name="_Ref514320522"/>
      <w:bookmarkStart w:id="24" w:name="_Toc73435789"/>
      <w:r w:rsidRPr="00BD56A8">
        <w:rPr>
          <w:sz w:val="20"/>
          <w:szCs w:val="20"/>
        </w:rPr>
        <w:t xml:space="preserve">Διάγραμμα </w:t>
      </w:r>
      <w:r w:rsidRPr="00BD56A8">
        <w:rPr>
          <w:i/>
          <w:sz w:val="20"/>
          <w:szCs w:val="20"/>
        </w:rPr>
        <w:fldChar w:fldCharType="begin"/>
      </w:r>
      <w:r w:rsidRPr="00BD56A8">
        <w:rPr>
          <w:sz w:val="20"/>
          <w:szCs w:val="20"/>
        </w:rPr>
        <w:instrText xml:space="preserve"> SEQ Διάγραμμα \* ARABIC </w:instrText>
      </w:r>
      <w:r w:rsidRPr="00BD56A8">
        <w:rPr>
          <w:i/>
          <w:sz w:val="20"/>
          <w:szCs w:val="20"/>
        </w:rPr>
        <w:fldChar w:fldCharType="separate"/>
      </w:r>
      <w:r w:rsidR="00CC05A7">
        <w:rPr>
          <w:noProof/>
          <w:sz w:val="20"/>
          <w:szCs w:val="20"/>
        </w:rPr>
        <w:t>3</w:t>
      </w:r>
      <w:r w:rsidRPr="00BD56A8">
        <w:rPr>
          <w:i/>
          <w:sz w:val="20"/>
          <w:szCs w:val="20"/>
        </w:rPr>
        <w:fldChar w:fldCharType="end"/>
      </w:r>
      <w:bookmarkEnd w:id="22"/>
      <w:r w:rsidRPr="00BD56A8">
        <w:rPr>
          <w:sz w:val="20"/>
          <w:szCs w:val="20"/>
        </w:rPr>
        <w:t xml:space="preserve">: </w:t>
      </w:r>
      <w:r w:rsidRPr="00BD56A8">
        <w:rPr>
          <w:color w:val="00A3E0"/>
          <w:sz w:val="20"/>
          <w:szCs w:val="20"/>
        </w:rPr>
        <w:t>Ποσοστά Προστιθέμενης Αξίας Κλάδων το Έτος 2020 και Ετήσια Μεταβολή από 2019</w:t>
      </w:r>
      <w:bookmarkEnd w:id="23"/>
      <w:bookmarkEnd w:id="24"/>
    </w:p>
    <w:p w14:paraId="05D17AAA" w14:textId="2320B149" w:rsidR="00065BF4" w:rsidRPr="00065BF4" w:rsidRDefault="00065BF4" w:rsidP="00065BF4">
      <w:pPr>
        <w:spacing w:after="0" w:line="240" w:lineRule="auto"/>
        <w:rPr>
          <w:i/>
          <w:color w:val="00A3E0"/>
          <w:sz w:val="18"/>
          <w:szCs w:val="18"/>
        </w:rPr>
      </w:pPr>
      <w:r w:rsidRPr="00065BF4">
        <w:rPr>
          <w:noProof/>
          <w:lang w:eastAsia="el-GR"/>
        </w:rPr>
        <w:drawing>
          <wp:inline distT="0" distB="0" distL="0" distR="0" wp14:anchorId="38407FAF" wp14:editId="5EDDC77C">
            <wp:extent cx="5153025" cy="3378200"/>
            <wp:effectExtent l="0" t="0" r="9525" b="12700"/>
            <wp:docPr id="3" name="Chart 1">
              <a:extLst xmlns:a="http://schemas.openxmlformats.org/drawingml/2006/main">
                <a:ext uri="{FF2B5EF4-FFF2-40B4-BE49-F238E27FC236}">
                  <a16:creationId xmlns:a16="http://schemas.microsoft.com/office/drawing/2014/main" id="{5CBF25F3-82D2-4B28-8B21-338B6A70B6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065BF4">
        <w:rPr>
          <w:b/>
          <w:sz w:val="18"/>
          <w:szCs w:val="18"/>
        </w:rPr>
        <w:t>Πηγή:</w:t>
      </w:r>
      <w:r w:rsidRPr="00065BF4">
        <w:rPr>
          <w:i/>
          <w:sz w:val="18"/>
          <w:szCs w:val="18"/>
        </w:rPr>
        <w:t xml:space="preserve"> </w:t>
      </w:r>
      <w:r w:rsidRPr="00065BF4">
        <w:rPr>
          <w:i/>
          <w:color w:val="00A3E0"/>
          <w:sz w:val="18"/>
          <w:szCs w:val="18"/>
        </w:rPr>
        <w:t xml:space="preserve">Στοιχεία </w:t>
      </w:r>
      <w:r w:rsidRPr="00065BF4">
        <w:rPr>
          <w:i/>
          <w:color w:val="00A3E0"/>
          <w:sz w:val="18"/>
          <w:szCs w:val="18"/>
          <w:lang w:val="en-US"/>
        </w:rPr>
        <w:t>EUROSTAT</w:t>
      </w:r>
      <w:r w:rsidRPr="00065BF4">
        <w:rPr>
          <w:i/>
          <w:color w:val="00A3E0"/>
          <w:sz w:val="18"/>
          <w:szCs w:val="18"/>
        </w:rPr>
        <w:t xml:space="preserve"> (Αλυσωτοί δείκτες Όγκου σε εκατομμύρια Ευρώ). </w:t>
      </w:r>
    </w:p>
    <w:p w14:paraId="505B8228" w14:textId="77777777" w:rsidR="00065BF4" w:rsidRPr="00065BF4" w:rsidRDefault="00065BF4" w:rsidP="00065BF4">
      <w:pPr>
        <w:spacing w:after="0" w:line="240" w:lineRule="auto"/>
        <w:rPr>
          <w:i/>
          <w:color w:val="595959" w:themeColor="text1" w:themeTint="A6"/>
          <w:sz w:val="16"/>
          <w:szCs w:val="16"/>
        </w:rPr>
      </w:pPr>
      <w:r w:rsidRPr="00065BF4">
        <w:rPr>
          <w:i/>
          <w:color w:val="595959" w:themeColor="text1" w:themeTint="A6"/>
          <w:sz w:val="16"/>
          <w:szCs w:val="16"/>
        </w:rPr>
        <w:t xml:space="preserve">Οι κωδικοί κλαδικής ταξινόμησης αναφέρονται στο κοινό ευρωπαϊκό σύστημα κλαδικής ταξινόμησης </w:t>
      </w:r>
      <w:r w:rsidRPr="00065BF4">
        <w:rPr>
          <w:i/>
          <w:color w:val="595959" w:themeColor="text1" w:themeTint="A6"/>
          <w:sz w:val="16"/>
          <w:szCs w:val="16"/>
          <w:lang w:val="en-US"/>
        </w:rPr>
        <w:t>NACE</w:t>
      </w:r>
      <w:r w:rsidRPr="00065BF4">
        <w:rPr>
          <w:i/>
          <w:color w:val="595959" w:themeColor="text1" w:themeTint="A6"/>
          <w:sz w:val="16"/>
          <w:szCs w:val="16"/>
        </w:rPr>
        <w:t xml:space="preserve"> 2 και αντιστοιχούν στους εξής κλάδους: </w:t>
      </w:r>
    </w:p>
    <w:p w14:paraId="619D0D6C" w14:textId="77777777" w:rsidR="00065BF4" w:rsidRPr="00065BF4" w:rsidRDefault="00065BF4" w:rsidP="00065BF4">
      <w:pPr>
        <w:spacing w:after="0" w:line="240" w:lineRule="auto"/>
        <w:rPr>
          <w:i/>
          <w:color w:val="595959" w:themeColor="text1" w:themeTint="A6"/>
          <w:sz w:val="16"/>
          <w:szCs w:val="16"/>
        </w:rPr>
      </w:pPr>
      <w:r w:rsidRPr="00065BF4">
        <w:rPr>
          <w:i/>
          <w:color w:val="595959" w:themeColor="text1" w:themeTint="A6"/>
          <w:sz w:val="16"/>
          <w:szCs w:val="16"/>
        </w:rPr>
        <w:t xml:space="preserve">(A) Γεωργία, δασοκομία και αλιεία, </w:t>
      </w:r>
    </w:p>
    <w:p w14:paraId="6118E0B8" w14:textId="77777777" w:rsidR="00065BF4" w:rsidRPr="00065BF4" w:rsidRDefault="00065BF4" w:rsidP="00065BF4">
      <w:pPr>
        <w:spacing w:after="0" w:line="240" w:lineRule="auto"/>
        <w:rPr>
          <w:i/>
          <w:color w:val="595959" w:themeColor="text1" w:themeTint="A6"/>
          <w:sz w:val="16"/>
          <w:szCs w:val="16"/>
        </w:rPr>
      </w:pPr>
      <w:r w:rsidRPr="00065BF4">
        <w:rPr>
          <w:i/>
          <w:color w:val="595959" w:themeColor="text1" w:themeTint="A6"/>
          <w:sz w:val="16"/>
          <w:szCs w:val="16"/>
        </w:rPr>
        <w:t xml:space="preserve">(Β-Ε) Ορυχεία και λατομεία, μεταποίηση, ενέργεια, παροχή νερού, επεξεργασία λυμάτων, διαχείριση αποβλήτων, εξυγίανση, </w:t>
      </w:r>
    </w:p>
    <w:p w14:paraId="1271CFAF" w14:textId="77777777" w:rsidR="00065BF4" w:rsidRPr="00065BF4" w:rsidRDefault="00065BF4" w:rsidP="00065BF4">
      <w:pPr>
        <w:spacing w:after="0" w:line="240" w:lineRule="auto"/>
        <w:rPr>
          <w:i/>
          <w:color w:val="595959" w:themeColor="text1" w:themeTint="A6"/>
          <w:sz w:val="16"/>
          <w:szCs w:val="16"/>
        </w:rPr>
      </w:pPr>
      <w:r w:rsidRPr="00065BF4">
        <w:rPr>
          <w:i/>
          <w:color w:val="595959" w:themeColor="text1" w:themeTint="A6"/>
          <w:sz w:val="16"/>
          <w:szCs w:val="16"/>
        </w:rPr>
        <w:t xml:space="preserve">(F) Κατασκευές, </w:t>
      </w:r>
    </w:p>
    <w:p w14:paraId="33392213" w14:textId="15518AC2" w:rsidR="00065BF4" w:rsidRPr="00065BF4" w:rsidRDefault="00065BF4" w:rsidP="00065BF4">
      <w:pPr>
        <w:spacing w:after="0" w:line="240" w:lineRule="auto"/>
        <w:rPr>
          <w:i/>
          <w:color w:val="595959" w:themeColor="text1" w:themeTint="A6"/>
          <w:sz w:val="16"/>
          <w:szCs w:val="16"/>
        </w:rPr>
      </w:pPr>
      <w:r w:rsidRPr="00065BF4">
        <w:rPr>
          <w:i/>
          <w:color w:val="595959" w:themeColor="text1" w:themeTint="A6"/>
          <w:sz w:val="16"/>
          <w:szCs w:val="16"/>
        </w:rPr>
        <w:t xml:space="preserve">(G-I) Χονδρικό και λιανικό εμπόριο, επισκευές οχημάτων και μοτοσικλετών, μεταφορά και αποθήκευση, υπηρεσίες παροχής καταλύματος και υπηρεσίες εστίασης, </w:t>
      </w:r>
    </w:p>
    <w:p w14:paraId="31DD00E7" w14:textId="77777777" w:rsidR="00065BF4" w:rsidRPr="00065BF4" w:rsidRDefault="00065BF4" w:rsidP="00065BF4">
      <w:pPr>
        <w:spacing w:after="0" w:line="240" w:lineRule="auto"/>
        <w:rPr>
          <w:i/>
          <w:color w:val="595959" w:themeColor="text1" w:themeTint="A6"/>
          <w:sz w:val="16"/>
          <w:szCs w:val="16"/>
        </w:rPr>
      </w:pPr>
      <w:r w:rsidRPr="00065BF4">
        <w:rPr>
          <w:i/>
          <w:color w:val="595959" w:themeColor="text1" w:themeTint="A6"/>
          <w:sz w:val="16"/>
          <w:szCs w:val="16"/>
        </w:rPr>
        <w:t>(</w:t>
      </w:r>
      <w:r w:rsidRPr="00065BF4">
        <w:rPr>
          <w:i/>
          <w:color w:val="595959" w:themeColor="text1" w:themeTint="A6"/>
          <w:sz w:val="16"/>
          <w:szCs w:val="16"/>
          <w:lang w:val="en-US"/>
        </w:rPr>
        <w:t>J</w:t>
      </w:r>
      <w:r w:rsidRPr="00065BF4">
        <w:rPr>
          <w:i/>
          <w:color w:val="595959" w:themeColor="text1" w:themeTint="A6"/>
          <w:sz w:val="16"/>
          <w:szCs w:val="16"/>
        </w:rPr>
        <w:t xml:space="preserve">) Ενημέρωση και επικοινωνία, </w:t>
      </w:r>
    </w:p>
    <w:p w14:paraId="06787B22" w14:textId="77777777" w:rsidR="00065BF4" w:rsidRPr="00065BF4" w:rsidRDefault="00065BF4" w:rsidP="00065BF4">
      <w:pPr>
        <w:spacing w:after="0" w:line="240" w:lineRule="auto"/>
        <w:rPr>
          <w:i/>
          <w:color w:val="595959" w:themeColor="text1" w:themeTint="A6"/>
          <w:sz w:val="16"/>
          <w:szCs w:val="16"/>
        </w:rPr>
      </w:pPr>
      <w:r w:rsidRPr="00065BF4">
        <w:rPr>
          <w:i/>
          <w:color w:val="595959" w:themeColor="text1" w:themeTint="A6"/>
          <w:sz w:val="16"/>
          <w:szCs w:val="16"/>
        </w:rPr>
        <w:t xml:space="preserve">(K) Χρηματοπιστωτικές και ασφαλιστικές δραστηριότητες, </w:t>
      </w:r>
    </w:p>
    <w:p w14:paraId="57187954" w14:textId="77777777" w:rsidR="00065BF4" w:rsidRPr="00065BF4" w:rsidRDefault="00065BF4" w:rsidP="00065BF4">
      <w:pPr>
        <w:spacing w:after="0" w:line="240" w:lineRule="auto"/>
        <w:rPr>
          <w:i/>
          <w:color w:val="595959" w:themeColor="text1" w:themeTint="A6"/>
          <w:sz w:val="16"/>
          <w:szCs w:val="16"/>
        </w:rPr>
      </w:pPr>
      <w:r w:rsidRPr="00065BF4">
        <w:rPr>
          <w:i/>
          <w:color w:val="595959" w:themeColor="text1" w:themeTint="A6"/>
          <w:sz w:val="16"/>
          <w:szCs w:val="16"/>
        </w:rPr>
        <w:t xml:space="preserve">(L) Διαχείριση ακίνητης περιουσίας, </w:t>
      </w:r>
    </w:p>
    <w:p w14:paraId="60F36B46" w14:textId="77777777" w:rsidR="00065BF4" w:rsidRPr="00065BF4" w:rsidRDefault="00065BF4" w:rsidP="00065BF4">
      <w:pPr>
        <w:spacing w:after="0" w:line="240" w:lineRule="auto"/>
        <w:rPr>
          <w:i/>
          <w:color w:val="595959" w:themeColor="text1" w:themeTint="A6"/>
          <w:sz w:val="16"/>
          <w:szCs w:val="16"/>
        </w:rPr>
      </w:pPr>
      <w:r w:rsidRPr="00065BF4">
        <w:rPr>
          <w:i/>
          <w:color w:val="595959" w:themeColor="text1" w:themeTint="A6"/>
          <w:sz w:val="16"/>
          <w:szCs w:val="16"/>
        </w:rPr>
        <w:t>(</w:t>
      </w:r>
      <w:r w:rsidRPr="00065BF4">
        <w:rPr>
          <w:i/>
          <w:color w:val="595959" w:themeColor="text1" w:themeTint="A6"/>
          <w:sz w:val="16"/>
          <w:szCs w:val="16"/>
          <w:lang w:val="en-US"/>
        </w:rPr>
        <w:t>M</w:t>
      </w:r>
      <w:r w:rsidRPr="00065BF4">
        <w:rPr>
          <w:i/>
          <w:color w:val="595959" w:themeColor="text1" w:themeTint="A6"/>
          <w:sz w:val="16"/>
          <w:szCs w:val="16"/>
        </w:rPr>
        <w:t>-</w:t>
      </w:r>
      <w:r w:rsidRPr="00065BF4">
        <w:rPr>
          <w:i/>
          <w:color w:val="595959" w:themeColor="text1" w:themeTint="A6"/>
          <w:sz w:val="16"/>
          <w:szCs w:val="16"/>
          <w:lang w:val="en-US"/>
        </w:rPr>
        <w:t>N</w:t>
      </w:r>
      <w:r w:rsidRPr="00065BF4">
        <w:rPr>
          <w:i/>
          <w:color w:val="595959" w:themeColor="text1" w:themeTint="A6"/>
          <w:sz w:val="16"/>
          <w:szCs w:val="16"/>
        </w:rPr>
        <w:t xml:space="preserve">) Επαγγελματικές, επιστημονικές και τεχνικές δραστηριότητες, διοικητικές και υποστηρικτικές δραστηριότητες, </w:t>
      </w:r>
    </w:p>
    <w:p w14:paraId="75673B83" w14:textId="77777777" w:rsidR="00065BF4" w:rsidRPr="00065BF4" w:rsidRDefault="00065BF4" w:rsidP="00065BF4">
      <w:pPr>
        <w:spacing w:after="0" w:line="240" w:lineRule="auto"/>
        <w:rPr>
          <w:i/>
          <w:color w:val="595959" w:themeColor="text1" w:themeTint="A6"/>
          <w:sz w:val="16"/>
          <w:szCs w:val="16"/>
        </w:rPr>
      </w:pPr>
      <w:r w:rsidRPr="00065BF4">
        <w:rPr>
          <w:i/>
          <w:color w:val="595959" w:themeColor="text1" w:themeTint="A6"/>
          <w:sz w:val="16"/>
          <w:szCs w:val="16"/>
        </w:rPr>
        <w:t xml:space="preserve">(O-Q) Δημόσια διοίκηση και άμυνα, υποχρεωτική κοινωνική ασφάλιση, εκπαίδευση, δραστηριότητες σχετικές με την ανθρώπινη υγεία και την κοινωνική μέριμνα, και </w:t>
      </w:r>
    </w:p>
    <w:p w14:paraId="66E3B551" w14:textId="030CF507" w:rsidR="00065BF4" w:rsidRDefault="00065BF4" w:rsidP="003E69BF">
      <w:pPr>
        <w:spacing w:after="360"/>
        <w:rPr>
          <w:color w:val="auto"/>
        </w:rPr>
      </w:pPr>
      <w:r w:rsidRPr="00065BF4">
        <w:rPr>
          <w:i/>
          <w:color w:val="595959" w:themeColor="text1" w:themeTint="A6"/>
          <w:sz w:val="16"/>
          <w:szCs w:val="16"/>
        </w:rPr>
        <w:t>(R-U) Τέχνες, διασκέδαση και ψυχαγωγία, επισκευές ειδών νοικοκυριού και άλλες υπηρεσίες</w:t>
      </w:r>
    </w:p>
    <w:p w14:paraId="4F684CDC" w14:textId="7707536F" w:rsidR="00065BF4" w:rsidRDefault="00065BF4" w:rsidP="00065BF4">
      <w:pPr>
        <w:rPr>
          <w:color w:val="auto"/>
        </w:rPr>
      </w:pPr>
      <w:r w:rsidRPr="00065BF4">
        <w:rPr>
          <w:color w:val="auto"/>
        </w:rPr>
        <w:t>Μειώσεις εντοπίζονται και σε άλλους παραδοσιακά μεγάλους κλάδους της ελληνικής οικονομίας όπως στη «βιομηχανία» (</w:t>
      </w:r>
      <w:r w:rsidRPr="00065BF4">
        <w:rPr>
          <w:color w:val="auto"/>
          <w:lang w:val="en-US"/>
        </w:rPr>
        <w:t>B</w:t>
      </w:r>
      <w:r w:rsidRPr="00065BF4">
        <w:rPr>
          <w:color w:val="auto"/>
        </w:rPr>
        <w:t>-</w:t>
      </w:r>
      <w:r w:rsidRPr="00065BF4">
        <w:rPr>
          <w:color w:val="auto"/>
          <w:lang w:val="en-US"/>
        </w:rPr>
        <w:t>E</w:t>
      </w:r>
      <w:r w:rsidRPr="00065BF4">
        <w:rPr>
          <w:color w:val="auto"/>
        </w:rPr>
        <w:t>, -3,9%) και στον κλάδο της «διαχείρισης ακίνητης περιουσίας», όπου παρουσιάζεται οριακή μείωση (</w:t>
      </w:r>
      <w:r w:rsidRPr="00065BF4">
        <w:rPr>
          <w:color w:val="auto"/>
          <w:lang w:val="en-US"/>
        </w:rPr>
        <w:t>L</w:t>
      </w:r>
      <w:r w:rsidRPr="00065BF4">
        <w:rPr>
          <w:color w:val="auto"/>
        </w:rPr>
        <w:t>, -0,6%). Στον αντίποδα, μεγέθυνση προστιθέμενης αξίας παρατηρείται σε τρεις από τους έντεκα κλάδους</w:t>
      </w:r>
      <w:r w:rsidR="0075506B">
        <w:rPr>
          <w:color w:val="auto"/>
        </w:rPr>
        <w:t xml:space="preserve"> της ελληνικής οικονομίας με τη</w:t>
      </w:r>
      <w:r w:rsidRPr="00065BF4">
        <w:rPr>
          <w:color w:val="auto"/>
        </w:rPr>
        <w:t xml:space="preserve"> μεγαλύτερη, σε ποσοστιαίους όρους, να παρατηρείται στον κλάδο των «κατασκευών» (</w:t>
      </w:r>
      <w:r w:rsidRPr="00065BF4">
        <w:rPr>
          <w:color w:val="auto"/>
          <w:lang w:val="en-US"/>
        </w:rPr>
        <w:t>F</w:t>
      </w:r>
      <w:r w:rsidRPr="00065BF4">
        <w:rPr>
          <w:color w:val="auto"/>
        </w:rPr>
        <w:t>, 10,4%), ενώ και ο παραδοσιακ</w:t>
      </w:r>
      <w:r w:rsidR="0075506B">
        <w:rPr>
          <w:color w:val="auto"/>
        </w:rPr>
        <w:t>ά μεγάλος κλάδος παραγωγής του Δ</w:t>
      </w:r>
      <w:r w:rsidRPr="00065BF4">
        <w:rPr>
          <w:color w:val="auto"/>
        </w:rPr>
        <w:t>ημοσίου σημείωσε αύξηση (</w:t>
      </w:r>
      <w:r w:rsidRPr="00065BF4">
        <w:rPr>
          <w:color w:val="auto"/>
          <w:lang w:val="en-US"/>
        </w:rPr>
        <w:t>O</w:t>
      </w:r>
      <w:r w:rsidRPr="00065BF4">
        <w:rPr>
          <w:color w:val="auto"/>
        </w:rPr>
        <w:t>-</w:t>
      </w:r>
      <w:r w:rsidRPr="00065BF4">
        <w:rPr>
          <w:color w:val="auto"/>
          <w:lang w:val="en-US"/>
        </w:rPr>
        <w:t>Q</w:t>
      </w:r>
      <w:r w:rsidRPr="00065BF4">
        <w:rPr>
          <w:color w:val="auto"/>
        </w:rPr>
        <w:t>, 2,5%). Οριακά αυξημένη ήταν η προστιθέμενη αξία στον κλάδο «ενημέρωσης και επικοινωνίας» (</w:t>
      </w:r>
      <w:r w:rsidRPr="00065BF4">
        <w:rPr>
          <w:color w:val="auto"/>
          <w:lang w:val="en-US"/>
        </w:rPr>
        <w:t>J</w:t>
      </w:r>
      <w:r w:rsidRPr="00065BF4">
        <w:rPr>
          <w:color w:val="auto"/>
        </w:rPr>
        <w:t>, 0.1%).</w:t>
      </w:r>
    </w:p>
    <w:p w14:paraId="546A92A3" w14:textId="61991BB7" w:rsidR="00065BF4" w:rsidRPr="00065BF4" w:rsidRDefault="00065BF4" w:rsidP="00065BF4">
      <w:pPr>
        <w:rPr>
          <w:color w:val="auto"/>
        </w:rPr>
      </w:pPr>
      <w:r w:rsidRPr="00065BF4">
        <w:rPr>
          <w:color w:val="auto"/>
        </w:rPr>
        <w:t>Συγκρίνοντας με τους ευρωπαϊκούς μέσους όρους (ΕΕ 27), αποκλίνουσες τάσεις για την ελληνική οικονομία παρατηρούνται στον κλάδο των κατασκευών (</w:t>
      </w:r>
      <w:r w:rsidRPr="00065BF4">
        <w:rPr>
          <w:color w:val="auto"/>
          <w:lang w:val="en-US"/>
        </w:rPr>
        <w:t>F</w:t>
      </w:r>
      <w:r w:rsidRPr="00065BF4">
        <w:rPr>
          <w:color w:val="auto"/>
        </w:rPr>
        <w:t xml:space="preserve">), με μείωση -4,8% στην ΕΕ έναντι αύξησης 10,4% στην Ελλάδα, καθώς επίσης και στον κλάδο που </w:t>
      </w:r>
      <w:r w:rsidR="0075506B">
        <w:rPr>
          <w:color w:val="auto"/>
        </w:rPr>
        <w:t>σχετίζεται με την παραγωγή του Δ</w:t>
      </w:r>
      <w:r w:rsidRPr="00065BF4">
        <w:rPr>
          <w:color w:val="auto"/>
        </w:rPr>
        <w:t>ημοσίου (Ο-</w:t>
      </w:r>
      <w:r w:rsidRPr="00065BF4">
        <w:rPr>
          <w:color w:val="auto"/>
          <w:lang w:val="en-US"/>
        </w:rPr>
        <w:t>Q</w:t>
      </w:r>
      <w:r w:rsidRPr="00065BF4">
        <w:rPr>
          <w:color w:val="auto"/>
        </w:rPr>
        <w:t>), με μείωση -2,1% στην ΕΕ έναντι αύξησης 2,5% στην Ελλάδα. Στου</w:t>
      </w:r>
      <w:r w:rsidR="0075506B">
        <w:rPr>
          <w:color w:val="auto"/>
        </w:rPr>
        <w:t>ς</w:t>
      </w:r>
      <w:r w:rsidRPr="00065BF4">
        <w:rPr>
          <w:color w:val="auto"/>
        </w:rPr>
        <w:t xml:space="preserve"> υπόλοιπους κλάδους παρατηρήθηκαν ποσοστιαίες μεταβολές προς την ίδια κατεύθυνση,</w:t>
      </w:r>
      <w:r w:rsidR="0075506B" w:rsidRPr="0075506B">
        <w:t xml:space="preserve"> </w:t>
      </w:r>
      <w:r w:rsidR="0075506B" w:rsidRPr="0075506B">
        <w:rPr>
          <w:color w:val="auto"/>
        </w:rPr>
        <w:t>αν και ποικίλης έκτασης</w:t>
      </w:r>
      <w:r w:rsidRPr="00065BF4">
        <w:rPr>
          <w:color w:val="auto"/>
        </w:rPr>
        <w:t>. Σημαντικά μεγαλύτερη σχετική επιδείνωση στην Ελλάδα παρατηρήθηκε στον κλάδο του εμπορίου (</w:t>
      </w:r>
      <w:r w:rsidRPr="00065BF4">
        <w:rPr>
          <w:color w:val="auto"/>
          <w:lang w:val="en-US"/>
        </w:rPr>
        <w:t>G</w:t>
      </w:r>
      <w:r w:rsidRPr="00065BF4">
        <w:rPr>
          <w:color w:val="auto"/>
        </w:rPr>
        <w:t>-</w:t>
      </w:r>
      <w:r w:rsidRPr="00065BF4">
        <w:rPr>
          <w:color w:val="auto"/>
          <w:lang w:val="en-US"/>
        </w:rPr>
        <w:t>I</w:t>
      </w:r>
      <w:r w:rsidRPr="00065BF4">
        <w:rPr>
          <w:color w:val="auto"/>
        </w:rPr>
        <w:t>), όπου η Ελλάδα σημείωσε μεγαλύτερη</w:t>
      </w:r>
      <w:r w:rsidR="00D53B4C">
        <w:rPr>
          <w:color w:val="auto"/>
        </w:rPr>
        <w:t xml:space="preserve"> συρρίκνωση (-22,8%) από την ΕΕ </w:t>
      </w:r>
      <w:r w:rsidRPr="00065BF4">
        <w:rPr>
          <w:color w:val="auto"/>
        </w:rPr>
        <w:t>(-12,5%) κατά περίπο</w:t>
      </w:r>
      <w:r w:rsidR="00D53B4C">
        <w:rPr>
          <w:color w:val="auto"/>
        </w:rPr>
        <w:t xml:space="preserve">υ δέκα ποσοστιαίες μονάδες, </w:t>
      </w:r>
      <w:r w:rsidRPr="00065BF4">
        <w:rPr>
          <w:color w:val="auto"/>
        </w:rPr>
        <w:t>στον κλάδο των χρηματοοικονομικών και ασφαλιστικών δραστηριοτήτων (</w:t>
      </w:r>
      <w:r w:rsidRPr="00065BF4">
        <w:rPr>
          <w:color w:val="auto"/>
          <w:lang w:val="en-US"/>
        </w:rPr>
        <w:t>K</w:t>
      </w:r>
      <w:r w:rsidRPr="00065BF4">
        <w:rPr>
          <w:color w:val="auto"/>
        </w:rPr>
        <w:t>, ΕΕ: -1,1%, Ελλάδα: -7,6%) και στον κλάδο των τεχνών κατά επτά μονάδες  (</w:t>
      </w:r>
      <w:r w:rsidRPr="00065BF4">
        <w:rPr>
          <w:color w:val="auto"/>
          <w:lang w:val="en-US"/>
        </w:rPr>
        <w:t>R</w:t>
      </w:r>
      <w:r w:rsidRPr="00065BF4">
        <w:rPr>
          <w:color w:val="auto"/>
        </w:rPr>
        <w:t>-</w:t>
      </w:r>
      <w:r w:rsidRPr="00065BF4">
        <w:rPr>
          <w:color w:val="auto"/>
          <w:lang w:val="en-US"/>
        </w:rPr>
        <w:t>U</w:t>
      </w:r>
      <w:r w:rsidRPr="00065BF4">
        <w:rPr>
          <w:color w:val="auto"/>
        </w:rPr>
        <w:t>, ΕΕ: -18,2%, Ελλάδα: -25,4%). Αντίθετα, μικρότερη σχετική επιδείνωση στην Ελλάδα παρατηρήθηκε στον κλάδο της βιομηχανίας (</w:t>
      </w:r>
      <w:r w:rsidRPr="00065BF4">
        <w:rPr>
          <w:color w:val="auto"/>
          <w:lang w:val="en-US"/>
        </w:rPr>
        <w:t>B</w:t>
      </w:r>
      <w:r w:rsidRPr="00065BF4">
        <w:rPr>
          <w:color w:val="auto"/>
        </w:rPr>
        <w:t>-</w:t>
      </w:r>
      <w:r w:rsidRPr="00065BF4">
        <w:rPr>
          <w:color w:val="auto"/>
          <w:lang w:val="en-US"/>
        </w:rPr>
        <w:t>E</w:t>
      </w:r>
      <w:r w:rsidRPr="00065BF4">
        <w:rPr>
          <w:color w:val="auto"/>
        </w:rPr>
        <w:t xml:space="preserve">) όπου η Ελλάδα σημείωσε μικρότερη συρρίκνωση (-3,9%) από την ΕΕ (-7%) κατά περίπου τρεις </w:t>
      </w:r>
      <w:r w:rsidR="0075506B">
        <w:rPr>
          <w:color w:val="auto"/>
        </w:rPr>
        <w:t xml:space="preserve">ποσοστιαίες </w:t>
      </w:r>
      <w:r w:rsidRPr="00065BF4">
        <w:rPr>
          <w:color w:val="auto"/>
        </w:rPr>
        <w:t>μονάδες και στον κλάδο της γεωργίας κατά περίπου μία μονάδα (</w:t>
      </w:r>
      <w:r w:rsidRPr="00065BF4">
        <w:rPr>
          <w:color w:val="auto"/>
          <w:lang w:val="en-US"/>
        </w:rPr>
        <w:t>A</w:t>
      </w:r>
      <w:r w:rsidRPr="00065BF4">
        <w:rPr>
          <w:color w:val="auto"/>
        </w:rPr>
        <w:t>, ΕΕ: -1,6%, Ελλάδα: -0,3%).</w:t>
      </w:r>
    </w:p>
    <w:p w14:paraId="1C9F7208" w14:textId="77777777" w:rsidR="00065BF4" w:rsidRDefault="00065BF4" w:rsidP="004B7FEF">
      <w:pPr>
        <w:spacing w:after="240"/>
        <w:rPr>
          <w:color w:val="auto"/>
        </w:rPr>
      </w:pPr>
    </w:p>
    <w:p w14:paraId="50487548" w14:textId="6890A336" w:rsidR="004B7FEF" w:rsidRPr="004B7FEF" w:rsidRDefault="004B7FEF" w:rsidP="004B7FEF">
      <w:pPr>
        <w:pStyle w:val="a1"/>
        <w:ind w:left="0"/>
        <w:rPr>
          <w:sz w:val="28"/>
          <w:szCs w:val="28"/>
        </w:rPr>
      </w:pPr>
      <w:bookmarkStart w:id="25" w:name="_Toc73435733"/>
      <w:r w:rsidRPr="004B7FEF">
        <w:rPr>
          <w:sz w:val="28"/>
          <w:szCs w:val="28"/>
        </w:rPr>
        <w:t>Λοιπές μακροοικονομικές εξελίξεις 2020</w:t>
      </w:r>
      <w:bookmarkEnd w:id="25"/>
      <w:r w:rsidRPr="004B7FEF">
        <w:rPr>
          <w:sz w:val="28"/>
          <w:szCs w:val="28"/>
        </w:rPr>
        <w:tab/>
      </w:r>
    </w:p>
    <w:p w14:paraId="2AC7DD52" w14:textId="29C6B3BF" w:rsidR="004B7FEF" w:rsidRDefault="004B7FEF" w:rsidP="004B7FEF">
      <w:pPr>
        <w:pStyle w:val="a2"/>
        <w:ind w:left="284"/>
        <w:rPr>
          <w:i/>
          <w:sz w:val="24"/>
          <w:szCs w:val="24"/>
        </w:rPr>
      </w:pPr>
      <w:r w:rsidRPr="004B7FEF">
        <w:rPr>
          <w:i/>
          <w:sz w:val="24"/>
          <w:szCs w:val="24"/>
        </w:rPr>
        <w:t>Πληθωρισμός</w:t>
      </w:r>
      <w:r w:rsidRPr="004B7FEF">
        <w:rPr>
          <w:i/>
          <w:sz w:val="24"/>
          <w:szCs w:val="24"/>
        </w:rPr>
        <w:tab/>
        <w:t xml:space="preserve"> </w:t>
      </w:r>
    </w:p>
    <w:p w14:paraId="2D9C8034" w14:textId="444EDF30" w:rsidR="0075506B" w:rsidRPr="005A299E" w:rsidRDefault="0075506B" w:rsidP="0075506B">
      <w:pPr>
        <w:spacing w:after="60"/>
        <w:rPr>
          <w:color w:val="auto"/>
        </w:rPr>
      </w:pPr>
      <w:r w:rsidRPr="005A299E">
        <w:rPr>
          <w:color w:val="auto"/>
        </w:rPr>
        <w:t>Το γενικό επίπεδο των τιμών το 2020 επηρεάστηκε έντονα από την πανδημία και τα περιοριστικά μέτρα που ελήφθησαν για την αντιμετώπισή της. Η υποχώρηση της ζήτησης, η πτώση των διεθνών τιμών του πετρελαίου, αλλά και η μείωση του ΦΠΑ από το 24% στο 13% σε διάφορες κατηγορίες αγαθών και υπηρεσιών</w:t>
      </w:r>
      <w:r w:rsidRPr="005A299E">
        <w:rPr>
          <w:color w:val="auto"/>
          <w:vertAlign w:val="superscript"/>
        </w:rPr>
        <w:footnoteReference w:id="3"/>
      </w:r>
      <w:r w:rsidRPr="005A299E">
        <w:rPr>
          <w:color w:val="auto"/>
        </w:rPr>
        <w:t xml:space="preserve"> οδήγησαν τον πληθωρισμό σε αρνητικό </w:t>
      </w:r>
      <w:r w:rsidR="00AA66D3">
        <w:rPr>
          <w:color w:val="auto"/>
        </w:rPr>
        <w:t>επίπεδο</w:t>
      </w:r>
      <w:r w:rsidRPr="005A299E">
        <w:rPr>
          <w:color w:val="auto"/>
        </w:rPr>
        <w:t xml:space="preserve"> από τον Απρίλιο του 2020 και μετά (</w:t>
      </w:r>
      <w:r w:rsidRPr="00BD56A8">
        <w:rPr>
          <w:i/>
          <w:color w:val="auto"/>
        </w:rPr>
        <w:fldChar w:fldCharType="begin"/>
      </w:r>
      <w:r w:rsidRPr="00BD56A8">
        <w:rPr>
          <w:i/>
          <w:color w:val="auto"/>
        </w:rPr>
        <w:instrText xml:space="preserve"> REF _Ref9008862 \h  \* MERGEFORMAT </w:instrText>
      </w:r>
      <w:r w:rsidRPr="00BD56A8">
        <w:rPr>
          <w:i/>
          <w:color w:val="auto"/>
        </w:rPr>
      </w:r>
      <w:r w:rsidRPr="00BD56A8">
        <w:rPr>
          <w:i/>
          <w:color w:val="auto"/>
        </w:rPr>
        <w:fldChar w:fldCharType="separate"/>
      </w:r>
      <w:r w:rsidR="00CC05A7" w:rsidRPr="00CC05A7">
        <w:rPr>
          <w:i/>
          <w:color w:val="auto"/>
        </w:rPr>
        <w:t>Διάγραμμα 4</w:t>
      </w:r>
      <w:r w:rsidRPr="00BD56A8">
        <w:rPr>
          <w:i/>
          <w:color w:val="auto"/>
        </w:rPr>
        <w:fldChar w:fldCharType="end"/>
      </w:r>
      <w:r w:rsidRPr="005A299E">
        <w:rPr>
          <w:color w:val="auto"/>
        </w:rPr>
        <w:t xml:space="preserve">). Τους καλοκαιρινούς μήνες η πτώση εντάθηκε κινούμενη σε επίπεδο του </w:t>
      </w:r>
      <w:r>
        <w:rPr>
          <w:color w:val="auto"/>
        </w:rPr>
        <w:t>-</w:t>
      </w:r>
      <w:r w:rsidRPr="005A299E">
        <w:rPr>
          <w:color w:val="auto"/>
        </w:rPr>
        <w:t>2% και το έτος τελικά έκλεισε με τον Εναρμονισμένο Δείκτη Τιμών Καταναλωτή (Εν.ΔΤΚ) να μειώνεται το</w:t>
      </w:r>
      <w:r>
        <w:rPr>
          <w:color w:val="auto"/>
        </w:rPr>
        <w:t>ν</w:t>
      </w:r>
      <w:r w:rsidRPr="005A299E">
        <w:rPr>
          <w:color w:val="auto"/>
        </w:rPr>
        <w:t xml:space="preserve"> Δεκέμβριο κατά 2,4% σε σχέση με </w:t>
      </w:r>
      <w:r>
        <w:rPr>
          <w:color w:val="auto"/>
        </w:rPr>
        <w:t>την αντίστοιχη περίοδο του 2019</w:t>
      </w:r>
      <w:r w:rsidRPr="005A299E">
        <w:rPr>
          <w:color w:val="auto"/>
        </w:rPr>
        <w:t xml:space="preserve">. </w:t>
      </w:r>
      <w:r w:rsidR="00AA66D3">
        <w:rPr>
          <w:color w:val="auto"/>
        </w:rPr>
        <w:t>Αν αφαιρεθεί η επίδραση</w:t>
      </w:r>
      <w:r w:rsidRPr="005A299E">
        <w:rPr>
          <w:color w:val="auto"/>
        </w:rPr>
        <w:t xml:space="preserve"> της προαναφερθείσας μείωσης του ΦΠΑ, η μεταβολή του Εν.ΔΤΚ με σταθερούς φόρους </w:t>
      </w:r>
      <w:r>
        <w:rPr>
          <w:color w:val="auto"/>
        </w:rPr>
        <w:t xml:space="preserve">εκτιμάται </w:t>
      </w:r>
      <w:r w:rsidRPr="005A299E">
        <w:rPr>
          <w:color w:val="auto"/>
        </w:rPr>
        <w:t>ε σε -1,5%.</w:t>
      </w:r>
    </w:p>
    <w:p w14:paraId="7E83FF46" w14:textId="77777777" w:rsidR="0015524E" w:rsidRPr="005A299E" w:rsidRDefault="0015524E" w:rsidP="005A299E">
      <w:pPr>
        <w:spacing w:after="60"/>
        <w:rPr>
          <w:color w:val="auto"/>
        </w:rPr>
      </w:pPr>
    </w:p>
    <w:p w14:paraId="52B2B06E" w14:textId="61C193E1" w:rsidR="005A299E" w:rsidRPr="00BD56A8" w:rsidRDefault="005A299E" w:rsidP="005A299E">
      <w:pPr>
        <w:spacing w:after="60"/>
        <w:jc w:val="left"/>
        <w:rPr>
          <w:color w:val="00A3E0"/>
          <w:sz w:val="20"/>
          <w:szCs w:val="20"/>
        </w:rPr>
      </w:pPr>
      <w:bookmarkStart w:id="26" w:name="_Ref9008862"/>
      <w:bookmarkStart w:id="27" w:name="_Toc40581547"/>
      <w:bookmarkStart w:id="28" w:name="_Toc71950761"/>
      <w:bookmarkStart w:id="29" w:name="_Toc73435790"/>
      <w:r w:rsidRPr="00BD56A8">
        <w:rPr>
          <w:rFonts w:cs="Times New Roman"/>
          <w:sz w:val="20"/>
          <w:szCs w:val="20"/>
        </w:rPr>
        <w:t xml:space="preserve">Διάγραμμα </w:t>
      </w:r>
      <w:r w:rsidRPr="00BD56A8">
        <w:rPr>
          <w:rFonts w:cs="Times New Roman"/>
          <w:sz w:val="20"/>
          <w:szCs w:val="20"/>
        </w:rPr>
        <w:fldChar w:fldCharType="begin"/>
      </w:r>
      <w:r w:rsidRPr="00BD56A8">
        <w:rPr>
          <w:rFonts w:cs="Times New Roman"/>
          <w:sz w:val="20"/>
          <w:szCs w:val="20"/>
        </w:rPr>
        <w:instrText xml:space="preserve"> SEQ Διάγραμμα \* ARABIC </w:instrText>
      </w:r>
      <w:r w:rsidRPr="00BD56A8">
        <w:rPr>
          <w:rFonts w:cs="Times New Roman"/>
          <w:sz w:val="20"/>
          <w:szCs w:val="20"/>
        </w:rPr>
        <w:fldChar w:fldCharType="separate"/>
      </w:r>
      <w:r w:rsidR="00CC05A7">
        <w:rPr>
          <w:rFonts w:cs="Times New Roman"/>
          <w:noProof/>
          <w:sz w:val="20"/>
          <w:szCs w:val="20"/>
        </w:rPr>
        <w:t>4</w:t>
      </w:r>
      <w:r w:rsidRPr="00BD56A8">
        <w:rPr>
          <w:rFonts w:cs="Times New Roman"/>
          <w:sz w:val="20"/>
          <w:szCs w:val="20"/>
        </w:rPr>
        <w:fldChar w:fldCharType="end"/>
      </w:r>
      <w:bookmarkEnd w:id="26"/>
      <w:r w:rsidRPr="00BD56A8">
        <w:rPr>
          <w:rFonts w:cs="Times New Roman"/>
          <w:sz w:val="20"/>
          <w:szCs w:val="20"/>
        </w:rPr>
        <w:t>:</w:t>
      </w:r>
      <w:r w:rsidRPr="00BD56A8">
        <w:rPr>
          <w:rFonts w:eastAsiaTheme="minorEastAsia"/>
          <w:kern w:val="24"/>
          <w:lang w:eastAsia="el-GR"/>
        </w:rPr>
        <w:t xml:space="preserve"> </w:t>
      </w:r>
      <w:r w:rsidRPr="00BD56A8">
        <w:rPr>
          <w:color w:val="00A3E0"/>
          <w:sz w:val="20"/>
          <w:szCs w:val="20"/>
        </w:rPr>
        <w:t>Εναρμονισμένος Δείκτης Τιμών Καταναλωτή (ετήσιες % μεταβολές)</w:t>
      </w:r>
      <w:bookmarkEnd w:id="27"/>
      <w:bookmarkEnd w:id="28"/>
      <w:bookmarkEnd w:id="29"/>
    </w:p>
    <w:p w14:paraId="2C274DAB" w14:textId="77777777" w:rsidR="005A299E" w:rsidRPr="005A299E" w:rsidRDefault="005A299E" w:rsidP="005A299E">
      <w:pPr>
        <w:spacing w:after="60"/>
        <w:jc w:val="center"/>
        <w:rPr>
          <w:color w:val="00A3E0"/>
          <w:sz w:val="20"/>
          <w:szCs w:val="20"/>
        </w:rPr>
      </w:pPr>
      <w:r w:rsidRPr="005A299E">
        <w:rPr>
          <w:noProof/>
          <w:lang w:eastAsia="el-GR"/>
        </w:rPr>
        <w:drawing>
          <wp:inline distT="0" distB="0" distL="0" distR="0" wp14:anchorId="5E4476E7" wp14:editId="45209D52">
            <wp:extent cx="5276850" cy="31242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ADB6D90" w14:textId="77777777" w:rsidR="005A299E" w:rsidRPr="005A299E" w:rsidRDefault="005A299E" w:rsidP="005A299E">
      <w:pPr>
        <w:rPr>
          <w:iCs/>
          <w:noProof/>
          <w:color w:val="00A3E0"/>
          <w:sz w:val="16"/>
          <w:szCs w:val="16"/>
        </w:rPr>
      </w:pPr>
      <w:r w:rsidRPr="005A299E">
        <w:rPr>
          <w:b/>
          <w:color w:val="auto"/>
          <w:sz w:val="16"/>
          <w:szCs w:val="16"/>
        </w:rPr>
        <w:t>Πηγή:</w:t>
      </w:r>
      <w:r w:rsidRPr="005A299E">
        <w:rPr>
          <w:color w:val="auto"/>
          <w:sz w:val="16"/>
          <w:szCs w:val="16"/>
        </w:rPr>
        <w:t xml:space="preserve"> </w:t>
      </w:r>
      <w:r w:rsidRPr="005A299E">
        <w:rPr>
          <w:iCs/>
          <w:noProof/>
          <w:color w:val="00A3E0"/>
          <w:sz w:val="16"/>
          <w:szCs w:val="16"/>
          <w:lang w:val="en-US"/>
        </w:rPr>
        <w:t>Eurostat</w:t>
      </w:r>
      <w:r w:rsidRPr="005A299E">
        <w:rPr>
          <w:iCs/>
          <w:noProof/>
          <w:color w:val="00A3E0"/>
          <w:sz w:val="16"/>
          <w:szCs w:val="16"/>
        </w:rPr>
        <w:t>.</w:t>
      </w:r>
    </w:p>
    <w:p w14:paraId="5FBDA60B" w14:textId="1445554C" w:rsidR="005A299E" w:rsidRPr="005A299E" w:rsidRDefault="005A299E" w:rsidP="00AA66D3">
      <w:pPr>
        <w:spacing w:after="240"/>
        <w:rPr>
          <w:color w:val="auto"/>
        </w:rPr>
      </w:pPr>
      <w:r w:rsidRPr="005A299E">
        <w:rPr>
          <w:color w:val="auto"/>
        </w:rPr>
        <w:t>Ο μέσος ετήσιος Εν.ΔΤΚ μειώθηκε το 2020 κατά 1,3% σε σχέση με το προηγούμενο έτος. Η μείωση αυτή προήλθε (</w:t>
      </w:r>
      <w:r w:rsidRPr="00BD56A8">
        <w:rPr>
          <w:i/>
          <w:color w:val="auto"/>
        </w:rPr>
        <w:fldChar w:fldCharType="begin"/>
      </w:r>
      <w:r w:rsidRPr="00BD56A8">
        <w:rPr>
          <w:i/>
          <w:color w:val="auto"/>
        </w:rPr>
        <w:instrText xml:space="preserve"> REF _Ref71940259 \h  \* MERGEFORMAT </w:instrText>
      </w:r>
      <w:r w:rsidRPr="00BD56A8">
        <w:rPr>
          <w:i/>
          <w:color w:val="auto"/>
        </w:rPr>
      </w:r>
      <w:r w:rsidRPr="00BD56A8">
        <w:rPr>
          <w:i/>
          <w:color w:val="auto"/>
        </w:rPr>
        <w:fldChar w:fldCharType="separate"/>
      </w:r>
      <w:r w:rsidR="00CC05A7" w:rsidRPr="00CC05A7">
        <w:rPr>
          <w:i/>
          <w:color w:val="auto"/>
        </w:rPr>
        <w:t>Διάγραμμα 5</w:t>
      </w:r>
      <w:r w:rsidRPr="00BD56A8">
        <w:rPr>
          <w:i/>
          <w:color w:val="auto"/>
        </w:rPr>
        <w:fldChar w:fldCharType="end"/>
      </w:r>
      <w:r w:rsidRPr="005A299E">
        <w:rPr>
          <w:color w:val="auto"/>
        </w:rPr>
        <w:t>) κυρίως από τους κλάδους των μεταφορών</w:t>
      </w:r>
      <w:r w:rsidRPr="005A299E">
        <w:rPr>
          <w:color w:val="auto"/>
          <w:vertAlign w:val="superscript"/>
        </w:rPr>
        <w:footnoteReference w:id="4"/>
      </w:r>
      <w:r w:rsidRPr="005A299E">
        <w:rPr>
          <w:color w:val="auto"/>
        </w:rPr>
        <w:t xml:space="preserve"> (-4,7%) και της στέγασης-ύδρευσης-ηλεκτρισμού-αερίου</w:t>
      </w:r>
      <w:r w:rsidRPr="005A299E">
        <w:rPr>
          <w:color w:val="auto"/>
          <w:vertAlign w:val="superscript"/>
        </w:rPr>
        <w:footnoteReference w:id="5"/>
      </w:r>
      <w:r w:rsidRPr="005A299E">
        <w:rPr>
          <w:color w:val="auto"/>
        </w:rPr>
        <w:t xml:space="preserve"> (-4,1%). </w:t>
      </w:r>
      <w:r w:rsidR="0015524E">
        <w:rPr>
          <w:color w:val="auto"/>
        </w:rPr>
        <w:t xml:space="preserve">Σε πέντε κλάδους της ελληνικής οικονομίας καταγράφηκε θετικός πληθωρισμός με τους μεγαλύτερους ρυθμούς να </w:t>
      </w:r>
      <w:r w:rsidR="0075506B">
        <w:rPr>
          <w:color w:val="auto"/>
        </w:rPr>
        <w:t>εντοπίζονται</w:t>
      </w:r>
      <w:r w:rsidR="0015524E">
        <w:rPr>
          <w:color w:val="auto"/>
        </w:rPr>
        <w:t xml:space="preserve"> στον κλάδο </w:t>
      </w:r>
      <w:r w:rsidRPr="005A299E">
        <w:rPr>
          <w:color w:val="auto"/>
        </w:rPr>
        <w:t xml:space="preserve">διατροφής </w:t>
      </w:r>
      <w:r w:rsidR="00AA66D3">
        <w:rPr>
          <w:color w:val="auto"/>
        </w:rPr>
        <w:t>και των</w:t>
      </w:r>
      <w:r w:rsidRPr="005A299E">
        <w:rPr>
          <w:color w:val="auto"/>
        </w:rPr>
        <w:t xml:space="preserve"> </w:t>
      </w:r>
      <w:r w:rsidR="0015524E">
        <w:rPr>
          <w:color w:val="auto"/>
        </w:rPr>
        <w:t>μη αλκοολούχ</w:t>
      </w:r>
      <w:r w:rsidR="00BD56A8">
        <w:rPr>
          <w:color w:val="auto"/>
        </w:rPr>
        <w:t>ων ποτών (+1,6%) και στον κλάδο</w:t>
      </w:r>
      <w:r w:rsidR="0075506B">
        <w:rPr>
          <w:color w:val="auto"/>
        </w:rPr>
        <w:t xml:space="preserve"> ένδυσης-</w:t>
      </w:r>
      <w:r w:rsidR="0015524E">
        <w:rPr>
          <w:color w:val="auto"/>
        </w:rPr>
        <w:t>υπόδησης.</w:t>
      </w:r>
    </w:p>
    <w:p w14:paraId="0997DB8D" w14:textId="436C7F06" w:rsidR="005A299E" w:rsidRPr="000B38C0" w:rsidRDefault="005A299E" w:rsidP="003E69BF">
      <w:pPr>
        <w:spacing w:after="0" w:line="240" w:lineRule="auto"/>
        <w:jc w:val="left"/>
        <w:rPr>
          <w:color w:val="00A3E0"/>
          <w:sz w:val="20"/>
          <w:szCs w:val="20"/>
        </w:rPr>
      </w:pPr>
      <w:bookmarkStart w:id="30" w:name="_Ref71940259"/>
      <w:bookmarkStart w:id="31" w:name="_Toc71950762"/>
      <w:bookmarkStart w:id="32" w:name="_Toc73435791"/>
      <w:r w:rsidRPr="000B38C0">
        <w:rPr>
          <w:rFonts w:cs="Times New Roman"/>
          <w:sz w:val="20"/>
          <w:szCs w:val="20"/>
        </w:rPr>
        <w:t xml:space="preserve">Διάγραμμα </w:t>
      </w:r>
      <w:r w:rsidRPr="000B38C0">
        <w:rPr>
          <w:rFonts w:cs="Times New Roman"/>
          <w:sz w:val="20"/>
          <w:szCs w:val="20"/>
        </w:rPr>
        <w:fldChar w:fldCharType="begin"/>
      </w:r>
      <w:r w:rsidRPr="000B38C0">
        <w:rPr>
          <w:rFonts w:cs="Times New Roman"/>
          <w:sz w:val="20"/>
          <w:szCs w:val="20"/>
        </w:rPr>
        <w:instrText xml:space="preserve"> SEQ Διάγραμμα \* ARABIC </w:instrText>
      </w:r>
      <w:r w:rsidRPr="000B38C0">
        <w:rPr>
          <w:rFonts w:cs="Times New Roman"/>
          <w:sz w:val="20"/>
          <w:szCs w:val="20"/>
        </w:rPr>
        <w:fldChar w:fldCharType="separate"/>
      </w:r>
      <w:r w:rsidR="00CC05A7">
        <w:rPr>
          <w:rFonts w:cs="Times New Roman"/>
          <w:noProof/>
          <w:sz w:val="20"/>
          <w:szCs w:val="20"/>
        </w:rPr>
        <w:t>5</w:t>
      </w:r>
      <w:r w:rsidRPr="000B38C0">
        <w:rPr>
          <w:rFonts w:cs="Times New Roman"/>
          <w:sz w:val="20"/>
          <w:szCs w:val="20"/>
        </w:rPr>
        <w:fldChar w:fldCharType="end"/>
      </w:r>
      <w:bookmarkEnd w:id="30"/>
      <w:r w:rsidRPr="000B38C0">
        <w:rPr>
          <w:rFonts w:cs="Times New Roman"/>
          <w:sz w:val="20"/>
          <w:szCs w:val="20"/>
        </w:rPr>
        <w:t>:</w:t>
      </w:r>
      <w:r w:rsidRPr="000B38C0">
        <w:rPr>
          <w:rFonts w:eastAsiaTheme="minorEastAsia"/>
          <w:kern w:val="24"/>
          <w:lang w:eastAsia="el-GR"/>
        </w:rPr>
        <w:t xml:space="preserve"> </w:t>
      </w:r>
      <w:r w:rsidRPr="000B38C0">
        <w:rPr>
          <w:color w:val="00A3E0"/>
          <w:sz w:val="20"/>
          <w:szCs w:val="20"/>
        </w:rPr>
        <w:t>Ανάλυση μεταβολής μέσου Εν.ΔΤΚ 2020 (% μεταβολές)</w:t>
      </w:r>
      <w:bookmarkEnd w:id="31"/>
      <w:bookmarkEnd w:id="32"/>
    </w:p>
    <w:p w14:paraId="21CE64C0" w14:textId="77777777" w:rsidR="005A299E" w:rsidRPr="005A299E" w:rsidRDefault="005A299E" w:rsidP="003E69BF">
      <w:pPr>
        <w:spacing w:after="0" w:line="240" w:lineRule="auto"/>
        <w:rPr>
          <w:color w:val="auto"/>
        </w:rPr>
      </w:pPr>
      <w:r w:rsidRPr="005A299E">
        <w:rPr>
          <w:noProof/>
          <w:lang w:eastAsia="el-GR"/>
        </w:rPr>
        <w:drawing>
          <wp:inline distT="0" distB="0" distL="0" distR="0" wp14:anchorId="21AE511B" wp14:editId="0F40273D">
            <wp:extent cx="5278120" cy="2581275"/>
            <wp:effectExtent l="0" t="0" r="17780" b="952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5FBD9E4" w14:textId="77777777" w:rsidR="005A299E" w:rsidRPr="005A299E" w:rsidRDefault="005A299E" w:rsidP="005A299E">
      <w:pPr>
        <w:rPr>
          <w:iCs/>
          <w:noProof/>
          <w:color w:val="00A3E0"/>
          <w:sz w:val="16"/>
          <w:szCs w:val="16"/>
        </w:rPr>
      </w:pPr>
      <w:r w:rsidRPr="005A299E">
        <w:rPr>
          <w:b/>
          <w:color w:val="auto"/>
          <w:sz w:val="16"/>
          <w:szCs w:val="16"/>
        </w:rPr>
        <w:t>Πηγή:</w:t>
      </w:r>
      <w:r w:rsidRPr="005A299E">
        <w:rPr>
          <w:color w:val="auto"/>
          <w:sz w:val="16"/>
          <w:szCs w:val="16"/>
        </w:rPr>
        <w:t xml:space="preserve"> </w:t>
      </w:r>
      <w:r w:rsidRPr="005A299E">
        <w:rPr>
          <w:iCs/>
          <w:noProof/>
          <w:color w:val="00A3E0"/>
          <w:sz w:val="16"/>
          <w:szCs w:val="16"/>
          <w:lang w:val="en-US"/>
        </w:rPr>
        <w:t>Eurostat</w:t>
      </w:r>
      <w:r w:rsidRPr="005A299E">
        <w:rPr>
          <w:iCs/>
          <w:noProof/>
          <w:color w:val="00A3E0"/>
          <w:sz w:val="16"/>
          <w:szCs w:val="16"/>
        </w:rPr>
        <w:t>.</w:t>
      </w:r>
    </w:p>
    <w:p w14:paraId="7BCE68EE" w14:textId="76DFE9EF" w:rsidR="005A299E" w:rsidRPr="005A299E" w:rsidRDefault="005A299E" w:rsidP="003E69BF">
      <w:pPr>
        <w:spacing w:after="120"/>
        <w:rPr>
          <w:color w:val="auto"/>
        </w:rPr>
      </w:pPr>
      <w:r w:rsidRPr="005A299E">
        <w:rPr>
          <w:color w:val="auto"/>
        </w:rPr>
        <w:t>Σε επίπεδο ευρωζώνης η επίδραση της πανδημίας οδήγησε στην ανάπτυξη αντίστοιχων αντιπληθωριστικών τάσεων, αλλά σε μικρότερο βαθμό από ό</w:t>
      </w:r>
      <w:r w:rsidR="0075506B">
        <w:rPr>
          <w:color w:val="auto"/>
        </w:rPr>
        <w:t>,</w:t>
      </w:r>
      <w:r w:rsidRPr="005A299E">
        <w:rPr>
          <w:color w:val="auto"/>
        </w:rPr>
        <w:t xml:space="preserve">τι στην Ελλάδα </w:t>
      </w:r>
      <w:r w:rsidRPr="00333346">
        <w:rPr>
          <w:i/>
          <w:color w:val="auto"/>
        </w:rPr>
        <w:t>(</w:t>
      </w:r>
      <w:r w:rsidRPr="00333346">
        <w:rPr>
          <w:i/>
          <w:color w:val="auto"/>
        </w:rPr>
        <w:fldChar w:fldCharType="begin"/>
      </w:r>
      <w:r w:rsidRPr="00333346">
        <w:rPr>
          <w:i/>
          <w:color w:val="auto"/>
        </w:rPr>
        <w:instrText xml:space="preserve"> REF _Ref9010695 \h  \* MERGEFORMAT </w:instrText>
      </w:r>
      <w:r w:rsidRPr="00333346">
        <w:rPr>
          <w:i/>
          <w:color w:val="auto"/>
        </w:rPr>
      </w:r>
      <w:r w:rsidRPr="00333346">
        <w:rPr>
          <w:i/>
          <w:color w:val="auto"/>
        </w:rPr>
        <w:fldChar w:fldCharType="separate"/>
      </w:r>
      <w:r w:rsidR="00CC05A7" w:rsidRPr="00CC05A7">
        <w:rPr>
          <w:i/>
          <w:color w:val="auto"/>
        </w:rPr>
        <w:t>Διάγραμμα 6</w:t>
      </w:r>
      <w:r w:rsidRPr="00333346">
        <w:rPr>
          <w:i/>
          <w:color w:val="auto"/>
        </w:rPr>
        <w:fldChar w:fldCharType="end"/>
      </w:r>
      <w:r w:rsidRPr="005A299E">
        <w:rPr>
          <w:color w:val="auto"/>
        </w:rPr>
        <w:t xml:space="preserve">). Συγκεκριμένα, ο Εν.ΔΤΚ της </w:t>
      </w:r>
      <w:r w:rsidR="0015524E">
        <w:rPr>
          <w:color w:val="auto"/>
        </w:rPr>
        <w:t>ευρωζώνης</w:t>
      </w:r>
      <w:r w:rsidRPr="005A299E">
        <w:rPr>
          <w:color w:val="auto"/>
        </w:rPr>
        <w:t xml:space="preserve"> κινήθηκε σε αρνητικό </w:t>
      </w:r>
      <w:r w:rsidR="00AA66D3">
        <w:rPr>
          <w:color w:val="auto"/>
        </w:rPr>
        <w:t>επίπεδο</w:t>
      </w:r>
      <w:r w:rsidRPr="005A299E">
        <w:rPr>
          <w:color w:val="auto"/>
        </w:rPr>
        <w:t xml:space="preserve"> από τον Αύγουστο μέχρι και το τέλος του έτους (-0,3%). Η Ελλάδα εμφάνισε τη μεγαλύτερη μείωση του μέσου ετήσιου Εν.ΔΤΚ (-1,3%), ακολουθούμενη από την Κύπρο (-1,1%) και την Εσθονία (-0,6%).</w:t>
      </w:r>
    </w:p>
    <w:p w14:paraId="389C8000" w14:textId="73EF0D06" w:rsidR="005A299E" w:rsidRPr="000B38C0" w:rsidRDefault="005A299E" w:rsidP="003E69BF">
      <w:pPr>
        <w:spacing w:after="0" w:line="240" w:lineRule="auto"/>
        <w:jc w:val="left"/>
        <w:rPr>
          <w:color w:val="00A3E0"/>
          <w:sz w:val="20"/>
          <w:szCs w:val="20"/>
        </w:rPr>
      </w:pPr>
      <w:bookmarkStart w:id="33" w:name="_Ref9010695"/>
      <w:bookmarkStart w:id="34" w:name="_Toc40581549"/>
      <w:bookmarkStart w:id="35" w:name="_Toc71950763"/>
      <w:bookmarkStart w:id="36" w:name="_Toc73435792"/>
      <w:r w:rsidRPr="000B38C0">
        <w:rPr>
          <w:rFonts w:cs="Times New Roman"/>
          <w:sz w:val="20"/>
          <w:szCs w:val="20"/>
        </w:rPr>
        <w:t xml:space="preserve">Διάγραμμα </w:t>
      </w:r>
      <w:r w:rsidRPr="000B38C0">
        <w:rPr>
          <w:rFonts w:cs="Times New Roman"/>
          <w:sz w:val="20"/>
          <w:szCs w:val="20"/>
        </w:rPr>
        <w:fldChar w:fldCharType="begin"/>
      </w:r>
      <w:r w:rsidRPr="000B38C0">
        <w:rPr>
          <w:rFonts w:cs="Times New Roman"/>
          <w:sz w:val="20"/>
          <w:szCs w:val="20"/>
        </w:rPr>
        <w:instrText xml:space="preserve"> SEQ Διάγραμμα \* ARABIC </w:instrText>
      </w:r>
      <w:r w:rsidRPr="000B38C0">
        <w:rPr>
          <w:rFonts w:cs="Times New Roman"/>
          <w:sz w:val="20"/>
          <w:szCs w:val="20"/>
        </w:rPr>
        <w:fldChar w:fldCharType="separate"/>
      </w:r>
      <w:r w:rsidR="00CC05A7">
        <w:rPr>
          <w:rFonts w:cs="Times New Roman"/>
          <w:noProof/>
          <w:sz w:val="20"/>
          <w:szCs w:val="20"/>
        </w:rPr>
        <w:t>6</w:t>
      </w:r>
      <w:r w:rsidRPr="000B38C0">
        <w:rPr>
          <w:rFonts w:cs="Times New Roman"/>
          <w:sz w:val="20"/>
          <w:szCs w:val="20"/>
        </w:rPr>
        <w:fldChar w:fldCharType="end"/>
      </w:r>
      <w:bookmarkEnd w:id="33"/>
      <w:r w:rsidRPr="000B38C0">
        <w:rPr>
          <w:rFonts w:cs="Times New Roman"/>
          <w:sz w:val="20"/>
          <w:szCs w:val="20"/>
        </w:rPr>
        <w:t>:</w:t>
      </w:r>
      <w:r w:rsidRPr="000B38C0">
        <w:rPr>
          <w:rFonts w:eastAsiaTheme="minorEastAsia"/>
          <w:kern w:val="24"/>
          <w:lang w:eastAsia="el-GR"/>
        </w:rPr>
        <w:t xml:space="preserve"> </w:t>
      </w:r>
      <w:r w:rsidRPr="000B38C0">
        <w:rPr>
          <w:color w:val="00A3E0"/>
          <w:sz w:val="20"/>
          <w:szCs w:val="20"/>
        </w:rPr>
        <w:t>Εν.ΔΤΚ Ελλάδας και ευρωζώνης (ετήσιες % μεταβολές)</w:t>
      </w:r>
      <w:bookmarkEnd w:id="34"/>
      <w:bookmarkEnd w:id="35"/>
      <w:bookmarkEnd w:id="36"/>
    </w:p>
    <w:p w14:paraId="66E75E7C" w14:textId="77777777" w:rsidR="005A299E" w:rsidRPr="005A299E" w:rsidRDefault="005A299E" w:rsidP="003E69BF">
      <w:pPr>
        <w:spacing w:after="0" w:line="240" w:lineRule="auto"/>
        <w:jc w:val="left"/>
        <w:rPr>
          <w:color w:val="00A3E0"/>
          <w:sz w:val="20"/>
          <w:szCs w:val="20"/>
        </w:rPr>
      </w:pPr>
      <w:r w:rsidRPr="005A299E">
        <w:rPr>
          <w:noProof/>
          <w:shd w:val="clear" w:color="auto" w:fill="538135" w:themeFill="accent6" w:themeFillShade="BF"/>
          <w:lang w:eastAsia="el-GR"/>
        </w:rPr>
        <w:drawing>
          <wp:inline distT="0" distB="0" distL="0" distR="0" wp14:anchorId="012307D2" wp14:editId="6B1754B3">
            <wp:extent cx="5278120" cy="2505075"/>
            <wp:effectExtent l="0" t="0" r="17780" b="952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52096C2" w14:textId="77777777" w:rsidR="005A299E" w:rsidRPr="005A299E" w:rsidRDefault="005A299E" w:rsidP="005A299E">
      <w:pPr>
        <w:rPr>
          <w:iCs/>
          <w:noProof/>
          <w:color w:val="00A3E0"/>
          <w:sz w:val="16"/>
          <w:szCs w:val="16"/>
        </w:rPr>
      </w:pPr>
      <w:r w:rsidRPr="005A299E">
        <w:rPr>
          <w:b/>
          <w:color w:val="auto"/>
          <w:sz w:val="16"/>
          <w:szCs w:val="16"/>
        </w:rPr>
        <w:t>Πηγή:</w:t>
      </w:r>
      <w:r w:rsidRPr="005A299E">
        <w:rPr>
          <w:color w:val="auto"/>
          <w:sz w:val="16"/>
          <w:szCs w:val="16"/>
        </w:rPr>
        <w:t xml:space="preserve"> </w:t>
      </w:r>
      <w:r w:rsidRPr="005A299E">
        <w:rPr>
          <w:iCs/>
          <w:noProof/>
          <w:color w:val="00A3E0"/>
          <w:sz w:val="16"/>
          <w:szCs w:val="16"/>
          <w:lang w:val="en-US"/>
        </w:rPr>
        <w:t>Eurostat</w:t>
      </w:r>
      <w:r w:rsidRPr="005A299E">
        <w:rPr>
          <w:iCs/>
          <w:noProof/>
          <w:color w:val="00A3E0"/>
          <w:sz w:val="16"/>
          <w:szCs w:val="16"/>
        </w:rPr>
        <w:t>.</w:t>
      </w:r>
    </w:p>
    <w:p w14:paraId="508249DC" w14:textId="65F20128" w:rsidR="004B7FEF" w:rsidRDefault="004B7FEF" w:rsidP="004B7FEF">
      <w:pPr>
        <w:pStyle w:val="a2"/>
        <w:ind w:left="284"/>
        <w:rPr>
          <w:i/>
          <w:sz w:val="24"/>
          <w:szCs w:val="24"/>
        </w:rPr>
      </w:pPr>
      <w:r w:rsidRPr="004B7FEF">
        <w:rPr>
          <w:i/>
          <w:sz w:val="24"/>
          <w:szCs w:val="24"/>
        </w:rPr>
        <w:t>Απασχόληση</w:t>
      </w:r>
      <w:r w:rsidRPr="004B7FEF">
        <w:rPr>
          <w:i/>
          <w:sz w:val="24"/>
          <w:szCs w:val="24"/>
        </w:rPr>
        <w:tab/>
      </w:r>
    </w:p>
    <w:p w14:paraId="6B60132A" w14:textId="04659212" w:rsidR="00C86770" w:rsidRDefault="00C86770" w:rsidP="00C86770">
      <w:pPr>
        <w:spacing w:after="120"/>
        <w:rPr>
          <w:color w:val="000000" w:themeColor="text1"/>
        </w:rPr>
      </w:pPr>
      <w:r>
        <w:rPr>
          <w:color w:val="auto"/>
        </w:rPr>
        <w:t xml:space="preserve">Από το τέλος του πρώτου τριμήνου του 2020, η αγορά εργασίας επηρεάζεται σημαντικά από την </w:t>
      </w:r>
      <w:r w:rsidR="0075506B">
        <w:rPr>
          <w:color w:val="auto"/>
        </w:rPr>
        <w:t xml:space="preserve">επιβολή </w:t>
      </w:r>
      <w:r w:rsidR="00D53B4C">
        <w:rPr>
          <w:color w:val="auto"/>
        </w:rPr>
        <w:t>ειδικών κανόνων λειτουργία</w:t>
      </w:r>
      <w:r>
        <w:rPr>
          <w:color w:val="auto"/>
        </w:rPr>
        <w:t>ς στις επιχειρήσεις και μέτρων για την προστασία της δημόσιας υγείας, προκειμένου να αντιμετωπιστεί η πανδημία. Σύμφωνα με τα αποτελέσματα της Έρευνας Εργατικού Δυναμικού της ΕΛΣΤΑΤ (</w:t>
      </w:r>
      <w:r w:rsidRPr="00333346">
        <w:rPr>
          <w:i/>
          <w:color w:val="auto"/>
        </w:rPr>
        <w:fldChar w:fldCharType="begin"/>
      </w:r>
      <w:r w:rsidRPr="00333346">
        <w:rPr>
          <w:i/>
          <w:color w:val="auto"/>
        </w:rPr>
        <w:instrText xml:space="preserve"> REF _Ref71975280 \h </w:instrText>
      </w:r>
      <w:r w:rsidR="00333346" w:rsidRPr="00333346">
        <w:rPr>
          <w:i/>
          <w:color w:val="auto"/>
        </w:rPr>
        <w:instrText xml:space="preserve"> \* MERGEFORMAT </w:instrText>
      </w:r>
      <w:r w:rsidRPr="00333346">
        <w:rPr>
          <w:i/>
          <w:color w:val="auto"/>
        </w:rPr>
      </w:r>
      <w:r w:rsidRPr="00333346">
        <w:rPr>
          <w:i/>
          <w:color w:val="auto"/>
        </w:rPr>
        <w:fldChar w:fldCharType="separate"/>
      </w:r>
      <w:r w:rsidR="00CC05A7" w:rsidRPr="00CC05A7">
        <w:rPr>
          <w:rFonts w:cs="Times New Roman"/>
          <w:i/>
          <w:color w:val="auto"/>
        </w:rPr>
        <w:t xml:space="preserve">Διάγραμμα </w:t>
      </w:r>
      <w:r w:rsidR="00CC05A7" w:rsidRPr="00CC05A7">
        <w:rPr>
          <w:rFonts w:cs="Times New Roman"/>
          <w:i/>
          <w:noProof/>
          <w:color w:val="auto"/>
        </w:rPr>
        <w:t>7</w:t>
      </w:r>
      <w:r w:rsidRPr="00333346">
        <w:rPr>
          <w:i/>
          <w:color w:val="auto"/>
        </w:rPr>
        <w:fldChar w:fldCharType="end"/>
      </w:r>
      <w:r>
        <w:rPr>
          <w:color w:val="auto"/>
        </w:rPr>
        <w:t>), ανακόπηκε η αυξητική τάση των προηγούμενων έξι ετών στην</w:t>
      </w:r>
      <w:r w:rsidRPr="00330162">
        <w:rPr>
          <w:color w:val="000000" w:themeColor="text1"/>
        </w:rPr>
        <w:t xml:space="preserve"> απασχόληση</w:t>
      </w:r>
      <w:r>
        <w:rPr>
          <w:color w:val="000000" w:themeColor="text1"/>
        </w:rPr>
        <w:t xml:space="preserve">, η οποία </w:t>
      </w:r>
      <w:r w:rsidRPr="00330162">
        <w:rPr>
          <w:color w:val="000000" w:themeColor="text1"/>
        </w:rPr>
        <w:t xml:space="preserve">παρουσίασε </w:t>
      </w:r>
      <w:r>
        <w:rPr>
          <w:color w:val="000000" w:themeColor="text1"/>
        </w:rPr>
        <w:t xml:space="preserve">μείωση το 2020 </w:t>
      </w:r>
      <w:r w:rsidRPr="00330162">
        <w:rPr>
          <w:color w:val="000000" w:themeColor="text1"/>
        </w:rPr>
        <w:t>(μέσος όρος 4 τριμήνων)</w:t>
      </w:r>
      <w:r w:rsidRPr="00D60648">
        <w:rPr>
          <w:color w:val="000000" w:themeColor="text1"/>
        </w:rPr>
        <w:t xml:space="preserve"> </w:t>
      </w:r>
      <w:r>
        <w:rPr>
          <w:color w:val="000000" w:themeColor="text1"/>
        </w:rPr>
        <w:t xml:space="preserve">κατά 35,6 χιλιάδες άτομα (0,9%) σε σχέση με το 2019 </w:t>
      </w:r>
      <w:r w:rsidRPr="00330162">
        <w:rPr>
          <w:color w:val="000000" w:themeColor="text1"/>
        </w:rPr>
        <w:t xml:space="preserve">και διαμορφώθηκε σε </w:t>
      </w:r>
      <w:r>
        <w:rPr>
          <w:color w:val="000000" w:themeColor="text1"/>
        </w:rPr>
        <w:t xml:space="preserve">3.875 </w:t>
      </w:r>
      <w:r w:rsidRPr="00330162">
        <w:rPr>
          <w:color w:val="000000" w:themeColor="text1"/>
        </w:rPr>
        <w:t>χιλιάδες άτομα</w:t>
      </w:r>
      <w:r w:rsidRPr="00C86770">
        <w:rPr>
          <w:color w:val="000000" w:themeColor="text1"/>
        </w:rPr>
        <w:t>.</w:t>
      </w:r>
      <w:r w:rsidRPr="00C86770">
        <w:rPr>
          <w:rStyle w:val="FootnoteReference"/>
          <w:color w:val="000000" w:themeColor="text1"/>
        </w:rPr>
        <w:footnoteReference w:id="6"/>
      </w:r>
      <w:r w:rsidRPr="00330162">
        <w:rPr>
          <w:color w:val="000000" w:themeColor="text1"/>
        </w:rPr>
        <w:t xml:space="preserve"> </w:t>
      </w:r>
      <w:r>
        <w:rPr>
          <w:color w:val="000000" w:themeColor="text1"/>
        </w:rPr>
        <w:t xml:space="preserve">Παρόλο που η απασχόληση μειώθηκε, η ανεργία </w:t>
      </w:r>
      <w:r w:rsidRPr="00330162">
        <w:rPr>
          <w:color w:val="000000" w:themeColor="text1"/>
        </w:rPr>
        <w:t xml:space="preserve">παρουσίασε </w:t>
      </w:r>
      <w:r>
        <w:rPr>
          <w:color w:val="000000" w:themeColor="text1"/>
        </w:rPr>
        <w:t xml:space="preserve">επίσης μείωση κατά 64 χιλιάδες άτομα (7,8%) σε σχέση με το 2019, λόγω της μείωσης του εργατικού δυναμικού κατά 99 χιλιάδες άτομα (2,1%) σε σχέση με την προηγούμενη χρονιά. Επομένως, ο περιορισμός του ποσοστού ανεργίας το 2020 </w:t>
      </w:r>
      <w:r w:rsidRPr="00330162">
        <w:rPr>
          <w:color w:val="000000" w:themeColor="text1"/>
        </w:rPr>
        <w:t>σε</w:t>
      </w:r>
      <w:r>
        <w:rPr>
          <w:color w:val="000000" w:themeColor="text1"/>
        </w:rPr>
        <w:t xml:space="preserve"> 16,3% απ</w:t>
      </w:r>
      <w:r w:rsidR="00C14316">
        <w:rPr>
          <w:color w:val="000000" w:themeColor="text1"/>
        </w:rPr>
        <w:t>ό 17,3% το 2019, οφείλεται στην</w:t>
      </w:r>
      <w:r w:rsidR="0075506B">
        <w:rPr>
          <w:color w:val="000000" w:themeColor="text1"/>
        </w:rPr>
        <w:t xml:space="preserve"> έξοδο</w:t>
      </w:r>
      <w:r>
        <w:rPr>
          <w:color w:val="000000" w:themeColor="text1"/>
        </w:rPr>
        <w:t xml:space="preserve"> από την αγορά εργασίας</w:t>
      </w:r>
      <w:r w:rsidRPr="00330162">
        <w:rPr>
          <w:color w:val="000000" w:themeColor="text1"/>
        </w:rPr>
        <w:t xml:space="preserve">. </w:t>
      </w:r>
      <w:r w:rsidR="00C14316">
        <w:rPr>
          <w:color w:val="000000" w:themeColor="text1"/>
        </w:rPr>
        <w:t>Επισημαίνεται</w:t>
      </w:r>
      <w:r>
        <w:rPr>
          <w:color w:val="000000" w:themeColor="text1"/>
        </w:rPr>
        <w:t xml:space="preserve"> </w:t>
      </w:r>
      <w:r w:rsidRPr="00330162">
        <w:rPr>
          <w:color w:val="000000" w:themeColor="text1"/>
        </w:rPr>
        <w:t>ότι τ</w:t>
      </w:r>
      <w:r>
        <w:rPr>
          <w:color w:val="000000" w:themeColor="text1"/>
        </w:rPr>
        <w:t xml:space="preserve">ο εργατικό δυναμικό της χώρας μειώνεται συνεχώς κάθε χρόνο για περισσότερο από μια δεκαετία, με τη μείωση να φτάνει τις 368 χιλιάδες άτομα (7,4%) σε σχέση με το 2008.  </w:t>
      </w:r>
    </w:p>
    <w:p w14:paraId="18FE43DB" w14:textId="77777777" w:rsidR="004F59E8" w:rsidRPr="003F2E8F" w:rsidRDefault="004F59E8" w:rsidP="00C86770">
      <w:pPr>
        <w:spacing w:after="120"/>
        <w:rPr>
          <w:color w:val="000000" w:themeColor="text1"/>
        </w:rPr>
      </w:pPr>
    </w:p>
    <w:p w14:paraId="5FCC1EFA" w14:textId="17AFBC53" w:rsidR="00C86770" w:rsidRPr="00333346" w:rsidRDefault="00C86770" w:rsidP="00C86770">
      <w:pPr>
        <w:spacing w:after="120" w:line="240" w:lineRule="auto"/>
        <w:rPr>
          <w:rFonts w:eastAsia="Calibri" w:cs="Times New Roman"/>
          <w:iCs/>
          <w:color w:val="00A3E0"/>
          <w:sz w:val="20"/>
          <w:szCs w:val="20"/>
        </w:rPr>
      </w:pPr>
      <w:bookmarkStart w:id="37" w:name="_Ref71975280"/>
      <w:bookmarkStart w:id="38" w:name="_Toc10639936"/>
      <w:bookmarkStart w:id="39" w:name="_Toc73435793"/>
      <w:r w:rsidRPr="00333346">
        <w:rPr>
          <w:rFonts w:cs="Times New Roman"/>
          <w:sz w:val="20"/>
          <w:szCs w:val="20"/>
        </w:rPr>
        <w:t xml:space="preserve">Διάγραμμα </w:t>
      </w:r>
      <w:r w:rsidRPr="00333346">
        <w:rPr>
          <w:rFonts w:cs="Times New Roman"/>
          <w:sz w:val="20"/>
          <w:szCs w:val="20"/>
        </w:rPr>
        <w:fldChar w:fldCharType="begin"/>
      </w:r>
      <w:r w:rsidRPr="00333346">
        <w:rPr>
          <w:rFonts w:cs="Times New Roman"/>
          <w:sz w:val="20"/>
          <w:szCs w:val="20"/>
        </w:rPr>
        <w:instrText xml:space="preserve"> SEQ Διάγραμμα \* ARABIC </w:instrText>
      </w:r>
      <w:r w:rsidRPr="00333346">
        <w:rPr>
          <w:rFonts w:cs="Times New Roman"/>
          <w:sz w:val="20"/>
          <w:szCs w:val="20"/>
        </w:rPr>
        <w:fldChar w:fldCharType="separate"/>
      </w:r>
      <w:r w:rsidR="00CC05A7">
        <w:rPr>
          <w:rFonts w:cs="Times New Roman"/>
          <w:noProof/>
          <w:sz w:val="20"/>
          <w:szCs w:val="20"/>
        </w:rPr>
        <w:t>7</w:t>
      </w:r>
      <w:r w:rsidRPr="00333346">
        <w:rPr>
          <w:rFonts w:cs="Times New Roman"/>
          <w:sz w:val="20"/>
          <w:szCs w:val="20"/>
        </w:rPr>
        <w:fldChar w:fldCharType="end"/>
      </w:r>
      <w:bookmarkEnd w:id="37"/>
      <w:r w:rsidRPr="00333346">
        <w:rPr>
          <w:rFonts w:cs="Times New Roman"/>
          <w:sz w:val="20"/>
          <w:szCs w:val="20"/>
        </w:rPr>
        <w:t>:</w:t>
      </w:r>
      <w:r w:rsidRPr="00333346">
        <w:rPr>
          <w:rFonts w:eastAsiaTheme="minorEastAsia"/>
          <w:kern w:val="24"/>
          <w:lang w:eastAsia="el-GR"/>
        </w:rPr>
        <w:t xml:space="preserve"> </w:t>
      </w:r>
      <w:r w:rsidRPr="00333346">
        <w:rPr>
          <w:rFonts w:eastAsia="Calibri" w:cs="Times New Roman"/>
          <w:iCs/>
          <w:color w:val="00A3E0"/>
          <w:sz w:val="20"/>
          <w:szCs w:val="20"/>
        </w:rPr>
        <w:t>Εξέλιξη εργατικού δυναμικού, απασχόλησης και ποσοστού ανεργίας</w:t>
      </w:r>
      <w:bookmarkEnd w:id="38"/>
      <w:bookmarkEnd w:id="39"/>
    </w:p>
    <w:p w14:paraId="34CD4C3D" w14:textId="77777777" w:rsidR="00C86770" w:rsidRPr="000C7851" w:rsidRDefault="00C86770" w:rsidP="00C86770">
      <w:pPr>
        <w:spacing w:after="120" w:line="240" w:lineRule="auto"/>
        <w:rPr>
          <w:rFonts w:eastAsia="Calibri" w:cs="Times New Roman"/>
          <w:iCs/>
          <w:color w:val="00A3E0"/>
          <w:sz w:val="20"/>
          <w:szCs w:val="20"/>
        </w:rPr>
      </w:pPr>
      <w:r w:rsidRPr="00A906D7">
        <w:rPr>
          <w:noProof/>
          <w:shd w:val="clear" w:color="auto" w:fill="D9D9D9" w:themeFill="background1" w:themeFillShade="D9"/>
          <w:lang w:eastAsia="el-GR"/>
        </w:rPr>
        <w:drawing>
          <wp:inline distT="0" distB="0" distL="0" distR="0" wp14:anchorId="770E0E07" wp14:editId="664795B1">
            <wp:extent cx="5486400" cy="3314700"/>
            <wp:effectExtent l="0" t="0" r="0" b="0"/>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2F29DD2" w14:textId="77777777" w:rsidR="00C86770" w:rsidRPr="00253C46" w:rsidRDefault="00C86770" w:rsidP="00C86770">
      <w:pPr>
        <w:spacing w:after="0" w:line="240" w:lineRule="auto"/>
        <w:jc w:val="left"/>
        <w:rPr>
          <w:color w:val="auto"/>
          <w:sz w:val="16"/>
          <w:szCs w:val="16"/>
        </w:rPr>
      </w:pPr>
      <w:r w:rsidRPr="00253C46">
        <w:rPr>
          <w:b/>
          <w:sz w:val="16"/>
          <w:szCs w:val="16"/>
        </w:rPr>
        <w:t>Πηγή</w:t>
      </w:r>
      <w:r w:rsidRPr="00253C46">
        <w:rPr>
          <w:b/>
          <w:color w:val="808080"/>
          <w:sz w:val="16"/>
          <w:szCs w:val="16"/>
        </w:rPr>
        <w:t>:</w:t>
      </w:r>
      <w:r w:rsidRPr="00253C46">
        <w:rPr>
          <w:iCs/>
          <w:noProof/>
          <w:color w:val="808080"/>
          <w:sz w:val="16"/>
          <w:szCs w:val="16"/>
        </w:rPr>
        <w:t xml:space="preserve"> </w:t>
      </w:r>
      <w:r w:rsidRPr="00253C46">
        <w:rPr>
          <w:iCs/>
          <w:noProof/>
          <w:color w:val="00A3E0"/>
          <w:sz w:val="16"/>
          <w:szCs w:val="16"/>
        </w:rPr>
        <w:t>ΕΛΣΤ</w:t>
      </w:r>
      <w:r>
        <w:rPr>
          <w:iCs/>
          <w:noProof/>
          <w:color w:val="00A3E0"/>
          <w:sz w:val="16"/>
          <w:szCs w:val="16"/>
        </w:rPr>
        <w:t>ΑΤ, Έρευνα Εργατικού Δυναμικού</w:t>
      </w:r>
      <w:r w:rsidRPr="00253C46">
        <w:rPr>
          <w:iCs/>
          <w:noProof/>
          <w:color w:val="00A3E0"/>
          <w:sz w:val="16"/>
          <w:szCs w:val="16"/>
        </w:rPr>
        <w:t>.</w:t>
      </w:r>
    </w:p>
    <w:p w14:paraId="709D5D13" w14:textId="77777777" w:rsidR="00C86770" w:rsidRDefault="00C86770" w:rsidP="00C86770">
      <w:pPr>
        <w:rPr>
          <w:color w:val="auto"/>
        </w:rPr>
      </w:pPr>
    </w:p>
    <w:p w14:paraId="60088F4C" w14:textId="04641B4D" w:rsidR="00C86770" w:rsidRPr="00253C46" w:rsidRDefault="00C86770" w:rsidP="00C86770">
      <w:pPr>
        <w:rPr>
          <w:color w:val="auto"/>
        </w:rPr>
      </w:pPr>
      <w:r w:rsidRPr="00253C46">
        <w:rPr>
          <w:color w:val="auto"/>
        </w:rPr>
        <w:t xml:space="preserve">Η </w:t>
      </w:r>
      <w:r>
        <w:rPr>
          <w:color w:val="auto"/>
        </w:rPr>
        <w:t xml:space="preserve">μείωση της απασχόλησης προήλθε από τη μείωση τόσο των θέσεων πλήρους απασχόλησης κατά 11 χιλιάδες </w:t>
      </w:r>
      <w:r w:rsidRPr="00C86770">
        <w:rPr>
          <w:color w:val="auto"/>
        </w:rPr>
        <w:t>εργαζόμενους (-0,3%) όσο και των θέσεων μερικής απασχόλησης κατά 25 χιλιάδες (-6,9%). Σημειώνεται</w:t>
      </w:r>
      <w:r>
        <w:rPr>
          <w:color w:val="auto"/>
        </w:rPr>
        <w:t xml:space="preserve"> ότι</w:t>
      </w:r>
      <w:r w:rsidRPr="00253C46">
        <w:rPr>
          <w:color w:val="auto"/>
        </w:rPr>
        <w:t xml:space="preserve">, </w:t>
      </w:r>
      <w:r>
        <w:rPr>
          <w:color w:val="auto"/>
        </w:rPr>
        <w:t>σ</w:t>
      </w:r>
      <w:r w:rsidRPr="0027092B">
        <w:rPr>
          <w:color w:val="auto"/>
        </w:rPr>
        <w:t>ύμφωνα με τις απαντήσεις των εργαζομένων με μερική απασχόληση στην Έρευνα Εργατικού Δυναμικού της ΕΛΣΤΑΤ</w:t>
      </w:r>
      <w:r>
        <w:rPr>
          <w:color w:val="auto"/>
        </w:rPr>
        <w:t>, το 62%</w:t>
      </w:r>
      <w:r w:rsidRPr="00253C46">
        <w:rPr>
          <w:color w:val="auto"/>
        </w:rPr>
        <w:t xml:space="preserve"> </w:t>
      </w:r>
      <w:r w:rsidR="0075506B">
        <w:rPr>
          <w:color w:val="auto"/>
        </w:rPr>
        <w:t>καταλήγει</w:t>
      </w:r>
      <w:r w:rsidR="00676E5C">
        <w:rPr>
          <w:color w:val="auto"/>
        </w:rPr>
        <w:t xml:space="preserve"> σε</w:t>
      </w:r>
      <w:r w:rsidRPr="00253C46">
        <w:rPr>
          <w:color w:val="auto"/>
        </w:rPr>
        <w:t xml:space="preserve"> αυτή</w:t>
      </w:r>
      <w:r w:rsidR="00676E5C">
        <w:rPr>
          <w:color w:val="auto"/>
        </w:rPr>
        <w:t>ν</w:t>
      </w:r>
      <w:r w:rsidRPr="00253C46">
        <w:rPr>
          <w:color w:val="auto"/>
        </w:rPr>
        <w:t xml:space="preserve"> τη μορφή εργασίας, </w:t>
      </w:r>
      <w:r w:rsidR="0075506B">
        <w:rPr>
          <w:color w:val="auto"/>
        </w:rPr>
        <w:t>επειδή</w:t>
      </w:r>
      <w:r w:rsidRPr="00253C46">
        <w:rPr>
          <w:color w:val="auto"/>
        </w:rPr>
        <w:t xml:space="preserve"> αδυνατεί να βρει θέσεις πλήρους απασχόλησης.</w:t>
      </w:r>
    </w:p>
    <w:p w14:paraId="436E37F1" w14:textId="19E0F76C" w:rsidR="00C86770" w:rsidRPr="00ED52C5" w:rsidRDefault="00C86770" w:rsidP="00C86770">
      <w:pPr>
        <w:spacing w:after="60"/>
        <w:rPr>
          <w:rFonts w:eastAsia="Calibri" w:cs="Times New Roman"/>
          <w:iCs/>
          <w:color w:val="00A3E0"/>
          <w:sz w:val="20"/>
          <w:szCs w:val="20"/>
        </w:rPr>
      </w:pPr>
      <w:bookmarkStart w:id="40" w:name="_Ref71975369"/>
      <w:bookmarkStart w:id="41" w:name="_Toc11843881"/>
      <w:bookmarkStart w:id="42" w:name="_Toc73435764"/>
      <w:r w:rsidRPr="00ED52C5">
        <w:rPr>
          <w:rFonts w:eastAsia="Calibri" w:cs="Times New Roman"/>
          <w:iCs/>
          <w:sz w:val="20"/>
          <w:szCs w:val="20"/>
        </w:rPr>
        <w:t xml:space="preserve">Πίνακας </w:t>
      </w:r>
      <w:r w:rsidRPr="00ED52C5">
        <w:rPr>
          <w:rFonts w:eastAsia="Calibri" w:cs="Times New Roman"/>
          <w:iCs/>
          <w:sz w:val="20"/>
          <w:szCs w:val="20"/>
        </w:rPr>
        <w:fldChar w:fldCharType="begin"/>
      </w:r>
      <w:r w:rsidRPr="00ED52C5">
        <w:rPr>
          <w:rFonts w:eastAsia="Calibri" w:cs="Times New Roman"/>
          <w:iCs/>
          <w:sz w:val="20"/>
          <w:szCs w:val="20"/>
        </w:rPr>
        <w:instrText xml:space="preserve"> SEQ Πίνακας \* ARABIC </w:instrText>
      </w:r>
      <w:r w:rsidRPr="00ED52C5">
        <w:rPr>
          <w:rFonts w:eastAsia="Calibri" w:cs="Times New Roman"/>
          <w:iCs/>
          <w:sz w:val="20"/>
          <w:szCs w:val="20"/>
        </w:rPr>
        <w:fldChar w:fldCharType="separate"/>
      </w:r>
      <w:r w:rsidR="00CC05A7">
        <w:rPr>
          <w:rFonts w:eastAsia="Calibri" w:cs="Times New Roman"/>
          <w:iCs/>
          <w:noProof/>
          <w:sz w:val="20"/>
          <w:szCs w:val="20"/>
        </w:rPr>
        <w:t>3</w:t>
      </w:r>
      <w:r w:rsidRPr="00ED52C5">
        <w:rPr>
          <w:rFonts w:eastAsia="Calibri" w:cs="Times New Roman"/>
          <w:iCs/>
          <w:sz w:val="20"/>
          <w:szCs w:val="20"/>
        </w:rPr>
        <w:fldChar w:fldCharType="end"/>
      </w:r>
      <w:bookmarkEnd w:id="40"/>
      <w:r w:rsidRPr="00ED52C5">
        <w:rPr>
          <w:rFonts w:eastAsia="Calibri" w:cs="Times New Roman"/>
          <w:iCs/>
          <w:sz w:val="20"/>
          <w:szCs w:val="20"/>
        </w:rPr>
        <w:t>:</w:t>
      </w:r>
      <w:r w:rsidRPr="00ED52C5">
        <w:rPr>
          <w:rFonts w:asciiTheme="minorHAnsi" w:hAnsiTheme="minorHAnsi" w:cstheme="minorHAnsi"/>
          <w:sz w:val="20"/>
          <w:szCs w:val="20"/>
        </w:rPr>
        <w:t xml:space="preserve"> </w:t>
      </w:r>
      <w:r w:rsidRPr="00ED52C5">
        <w:rPr>
          <w:rFonts w:eastAsia="Calibri"/>
          <w:iCs/>
          <w:sz w:val="20"/>
          <w:szCs w:val="20"/>
        </w:rPr>
        <w:t xml:space="preserve"> </w:t>
      </w:r>
      <w:r w:rsidRPr="00ED52C5">
        <w:rPr>
          <w:rFonts w:eastAsia="Calibri" w:cs="Times New Roman"/>
          <w:iCs/>
          <w:color w:val="00A3E0"/>
          <w:sz w:val="20"/>
          <w:szCs w:val="20"/>
        </w:rPr>
        <w:t>Αριθμός εργαζομένων (σε χιλ.) ανά είδος απασχόλησης (πλήρης/μερική)</w:t>
      </w:r>
      <w:bookmarkEnd w:id="41"/>
      <w:bookmarkEnd w:id="42"/>
    </w:p>
    <w:tbl>
      <w:tblPr>
        <w:tblW w:w="8375" w:type="dxa"/>
        <w:tblLook w:val="04A0" w:firstRow="1" w:lastRow="0" w:firstColumn="1" w:lastColumn="0" w:noHBand="0" w:noVBand="1"/>
      </w:tblPr>
      <w:tblGrid>
        <w:gridCol w:w="1969"/>
        <w:gridCol w:w="704"/>
        <w:gridCol w:w="704"/>
        <w:gridCol w:w="704"/>
        <w:gridCol w:w="704"/>
        <w:gridCol w:w="704"/>
        <w:gridCol w:w="704"/>
        <w:gridCol w:w="704"/>
        <w:gridCol w:w="732"/>
        <w:gridCol w:w="746"/>
      </w:tblGrid>
      <w:tr w:rsidR="00C86770" w:rsidRPr="00253C46" w14:paraId="69D8D67F" w14:textId="77777777" w:rsidTr="003E69BF">
        <w:trPr>
          <w:trHeight w:val="656"/>
        </w:trPr>
        <w:tc>
          <w:tcPr>
            <w:tcW w:w="0" w:type="auto"/>
            <w:tcBorders>
              <w:top w:val="single" w:sz="12" w:space="0" w:color="auto"/>
              <w:left w:val="single" w:sz="4" w:space="0" w:color="auto"/>
              <w:bottom w:val="single" w:sz="12" w:space="0" w:color="auto"/>
              <w:right w:val="single" w:sz="4" w:space="0" w:color="auto"/>
            </w:tcBorders>
            <w:shd w:val="clear" w:color="auto" w:fill="BDD6EE" w:themeFill="accent1" w:themeFillTint="66"/>
            <w:vAlign w:val="center"/>
            <w:hideMark/>
          </w:tcPr>
          <w:p w14:paraId="7664F083" w14:textId="77777777" w:rsidR="00C86770" w:rsidRPr="00253C46" w:rsidRDefault="00C86770" w:rsidP="002F1168">
            <w:pPr>
              <w:spacing w:after="0" w:line="240" w:lineRule="auto"/>
              <w:jc w:val="center"/>
              <w:rPr>
                <w:rFonts w:eastAsia="Times New Roman" w:cs="Calibri"/>
                <w:b/>
                <w:bCs/>
                <w:color w:val="auto"/>
                <w:sz w:val="18"/>
                <w:szCs w:val="18"/>
                <w:lang w:eastAsia="el-GR"/>
              </w:rPr>
            </w:pPr>
            <w:r w:rsidRPr="00253C46">
              <w:rPr>
                <w:rFonts w:eastAsia="Times New Roman" w:cs="Calibri"/>
                <w:b/>
                <w:bCs/>
                <w:color w:val="auto"/>
                <w:sz w:val="18"/>
                <w:szCs w:val="18"/>
                <w:lang w:eastAsia="el-GR"/>
              </w:rPr>
              <w:t>Είδος απασχόλησης</w:t>
            </w:r>
          </w:p>
        </w:tc>
        <w:tc>
          <w:tcPr>
            <w:tcW w:w="0" w:type="auto"/>
            <w:tcBorders>
              <w:top w:val="single" w:sz="12" w:space="0" w:color="auto"/>
              <w:left w:val="single" w:sz="4" w:space="0" w:color="auto"/>
              <w:bottom w:val="single" w:sz="12" w:space="0" w:color="auto"/>
              <w:right w:val="single" w:sz="4" w:space="0" w:color="auto"/>
            </w:tcBorders>
            <w:shd w:val="clear" w:color="auto" w:fill="BDD6EE" w:themeFill="accent1" w:themeFillTint="66"/>
            <w:vAlign w:val="center"/>
            <w:hideMark/>
          </w:tcPr>
          <w:p w14:paraId="196BDB3C" w14:textId="77777777" w:rsidR="00C86770" w:rsidRPr="00253C46" w:rsidRDefault="00C86770" w:rsidP="002F1168">
            <w:pPr>
              <w:spacing w:after="0" w:line="240" w:lineRule="auto"/>
              <w:jc w:val="center"/>
              <w:rPr>
                <w:rFonts w:eastAsia="Times New Roman" w:cs="Calibri"/>
                <w:b/>
                <w:bCs/>
                <w:color w:val="auto"/>
                <w:sz w:val="18"/>
                <w:szCs w:val="18"/>
                <w:lang w:eastAsia="el-GR"/>
              </w:rPr>
            </w:pPr>
            <w:r>
              <w:rPr>
                <w:rFonts w:eastAsia="Times New Roman" w:cs="Calibri"/>
                <w:b/>
                <w:bCs/>
                <w:color w:val="auto"/>
                <w:sz w:val="18"/>
                <w:szCs w:val="18"/>
                <w:lang w:eastAsia="el-GR"/>
              </w:rPr>
              <w:t>2014</w:t>
            </w:r>
          </w:p>
        </w:tc>
        <w:tc>
          <w:tcPr>
            <w:tcW w:w="664" w:type="dxa"/>
            <w:tcBorders>
              <w:top w:val="single" w:sz="12" w:space="0" w:color="auto"/>
              <w:left w:val="single" w:sz="4" w:space="0" w:color="auto"/>
              <w:bottom w:val="single" w:sz="12" w:space="0" w:color="auto"/>
              <w:right w:val="single" w:sz="4" w:space="0" w:color="auto"/>
            </w:tcBorders>
            <w:shd w:val="clear" w:color="auto" w:fill="BDD6EE" w:themeFill="accent1" w:themeFillTint="66"/>
            <w:vAlign w:val="center"/>
            <w:hideMark/>
          </w:tcPr>
          <w:p w14:paraId="59C65A32" w14:textId="77777777" w:rsidR="00C86770" w:rsidRPr="00D05186" w:rsidRDefault="00C86770" w:rsidP="002F1168">
            <w:pPr>
              <w:spacing w:after="0" w:line="240" w:lineRule="auto"/>
              <w:jc w:val="center"/>
              <w:rPr>
                <w:rFonts w:eastAsia="Times New Roman" w:cs="Calibri"/>
                <w:b/>
                <w:bCs/>
                <w:color w:val="auto"/>
                <w:sz w:val="18"/>
                <w:szCs w:val="18"/>
                <w:lang w:val="en-GB" w:eastAsia="el-GR"/>
              </w:rPr>
            </w:pPr>
            <w:r>
              <w:rPr>
                <w:rFonts w:eastAsia="Times New Roman" w:cs="Calibri"/>
                <w:b/>
                <w:bCs/>
                <w:color w:val="auto"/>
                <w:sz w:val="18"/>
                <w:szCs w:val="18"/>
                <w:lang w:eastAsia="el-GR"/>
              </w:rPr>
              <w:t>2015</w:t>
            </w:r>
          </w:p>
        </w:tc>
        <w:tc>
          <w:tcPr>
            <w:tcW w:w="664" w:type="dxa"/>
            <w:tcBorders>
              <w:top w:val="single" w:sz="12" w:space="0" w:color="auto"/>
              <w:left w:val="single" w:sz="4" w:space="0" w:color="auto"/>
              <w:bottom w:val="single" w:sz="12" w:space="0" w:color="auto"/>
              <w:right w:val="single" w:sz="4" w:space="0" w:color="auto"/>
            </w:tcBorders>
            <w:shd w:val="clear" w:color="auto" w:fill="BDD6EE" w:themeFill="accent1" w:themeFillTint="66"/>
            <w:vAlign w:val="center"/>
            <w:hideMark/>
          </w:tcPr>
          <w:p w14:paraId="297F225B" w14:textId="77777777" w:rsidR="00C86770" w:rsidRPr="00253C46" w:rsidRDefault="00C86770" w:rsidP="002F1168">
            <w:pPr>
              <w:spacing w:after="0" w:line="240" w:lineRule="auto"/>
              <w:jc w:val="center"/>
              <w:rPr>
                <w:rFonts w:eastAsia="Times New Roman" w:cs="Calibri"/>
                <w:b/>
                <w:bCs/>
                <w:color w:val="auto"/>
                <w:sz w:val="18"/>
                <w:szCs w:val="18"/>
                <w:lang w:eastAsia="el-GR"/>
              </w:rPr>
            </w:pPr>
            <w:r>
              <w:rPr>
                <w:rFonts w:eastAsia="Times New Roman" w:cs="Calibri"/>
                <w:b/>
                <w:bCs/>
                <w:color w:val="auto"/>
                <w:sz w:val="18"/>
                <w:szCs w:val="18"/>
                <w:lang w:eastAsia="el-GR"/>
              </w:rPr>
              <w:t>2016</w:t>
            </w:r>
          </w:p>
        </w:tc>
        <w:tc>
          <w:tcPr>
            <w:tcW w:w="0" w:type="auto"/>
            <w:tcBorders>
              <w:top w:val="single" w:sz="12" w:space="0" w:color="auto"/>
              <w:left w:val="single" w:sz="4" w:space="0" w:color="auto"/>
              <w:bottom w:val="single" w:sz="12" w:space="0" w:color="auto"/>
              <w:right w:val="single" w:sz="4" w:space="0" w:color="auto"/>
            </w:tcBorders>
            <w:shd w:val="clear" w:color="auto" w:fill="BDD6EE" w:themeFill="accent1" w:themeFillTint="66"/>
            <w:vAlign w:val="center"/>
            <w:hideMark/>
          </w:tcPr>
          <w:p w14:paraId="0D55D002" w14:textId="77777777" w:rsidR="00C86770" w:rsidRPr="00253C46" w:rsidRDefault="00C86770" w:rsidP="002F1168">
            <w:pPr>
              <w:spacing w:after="0" w:line="240" w:lineRule="auto"/>
              <w:jc w:val="center"/>
              <w:rPr>
                <w:rFonts w:eastAsia="Times New Roman" w:cs="Calibri"/>
                <w:b/>
                <w:bCs/>
                <w:color w:val="auto"/>
                <w:sz w:val="18"/>
                <w:szCs w:val="18"/>
                <w:lang w:eastAsia="el-GR"/>
              </w:rPr>
            </w:pPr>
            <w:r>
              <w:rPr>
                <w:rFonts w:eastAsia="Times New Roman" w:cs="Calibri"/>
                <w:b/>
                <w:bCs/>
                <w:color w:val="auto"/>
                <w:sz w:val="18"/>
                <w:szCs w:val="18"/>
                <w:lang w:eastAsia="el-GR"/>
              </w:rPr>
              <w:t>2017</w:t>
            </w:r>
          </w:p>
        </w:tc>
        <w:tc>
          <w:tcPr>
            <w:tcW w:w="0" w:type="auto"/>
            <w:tcBorders>
              <w:top w:val="single" w:sz="12" w:space="0" w:color="auto"/>
              <w:left w:val="single" w:sz="4" w:space="0" w:color="auto"/>
              <w:bottom w:val="single" w:sz="12" w:space="0" w:color="auto"/>
              <w:right w:val="single" w:sz="4" w:space="0" w:color="auto"/>
            </w:tcBorders>
            <w:shd w:val="clear" w:color="auto" w:fill="BDD6EE" w:themeFill="accent1" w:themeFillTint="66"/>
            <w:vAlign w:val="center"/>
            <w:hideMark/>
          </w:tcPr>
          <w:p w14:paraId="30199320" w14:textId="77777777" w:rsidR="00C86770" w:rsidRPr="00253C46" w:rsidRDefault="00C86770" w:rsidP="002F1168">
            <w:pPr>
              <w:spacing w:after="0" w:line="240" w:lineRule="auto"/>
              <w:jc w:val="center"/>
              <w:rPr>
                <w:rFonts w:eastAsia="Times New Roman" w:cs="Calibri"/>
                <w:b/>
                <w:bCs/>
                <w:color w:val="auto"/>
                <w:sz w:val="18"/>
                <w:szCs w:val="18"/>
                <w:lang w:eastAsia="el-GR"/>
              </w:rPr>
            </w:pPr>
            <w:r>
              <w:rPr>
                <w:rFonts w:eastAsia="Times New Roman" w:cs="Calibri"/>
                <w:b/>
                <w:bCs/>
                <w:color w:val="auto"/>
                <w:sz w:val="18"/>
                <w:szCs w:val="18"/>
                <w:lang w:eastAsia="el-GR"/>
              </w:rPr>
              <w:t>2018</w:t>
            </w:r>
          </w:p>
        </w:tc>
        <w:tc>
          <w:tcPr>
            <w:tcW w:w="0" w:type="auto"/>
            <w:tcBorders>
              <w:top w:val="single" w:sz="12" w:space="0" w:color="auto"/>
              <w:left w:val="single" w:sz="4" w:space="0" w:color="auto"/>
              <w:bottom w:val="single" w:sz="12" w:space="0" w:color="auto"/>
              <w:right w:val="single" w:sz="4" w:space="0" w:color="auto"/>
            </w:tcBorders>
            <w:shd w:val="clear" w:color="auto" w:fill="BDD6EE" w:themeFill="accent1" w:themeFillTint="66"/>
            <w:vAlign w:val="center"/>
            <w:hideMark/>
          </w:tcPr>
          <w:p w14:paraId="602E0784" w14:textId="77777777" w:rsidR="00C86770" w:rsidRPr="00253C46" w:rsidRDefault="00C86770" w:rsidP="002F1168">
            <w:pPr>
              <w:spacing w:after="0" w:line="240" w:lineRule="auto"/>
              <w:jc w:val="center"/>
              <w:rPr>
                <w:rFonts w:eastAsia="Times New Roman" w:cs="Calibri"/>
                <w:b/>
                <w:bCs/>
                <w:color w:val="auto"/>
                <w:sz w:val="18"/>
                <w:szCs w:val="18"/>
                <w:lang w:eastAsia="el-GR"/>
              </w:rPr>
            </w:pPr>
            <w:r>
              <w:rPr>
                <w:rFonts w:eastAsia="Times New Roman" w:cs="Calibri"/>
                <w:b/>
                <w:bCs/>
                <w:color w:val="auto"/>
                <w:sz w:val="18"/>
                <w:szCs w:val="18"/>
                <w:lang w:eastAsia="el-GR"/>
              </w:rPr>
              <w:t>2019</w:t>
            </w:r>
          </w:p>
        </w:tc>
        <w:tc>
          <w:tcPr>
            <w:tcW w:w="0" w:type="auto"/>
            <w:tcBorders>
              <w:top w:val="single" w:sz="12" w:space="0" w:color="auto"/>
              <w:left w:val="single" w:sz="4" w:space="0" w:color="auto"/>
              <w:bottom w:val="single" w:sz="12" w:space="0" w:color="auto"/>
              <w:right w:val="single" w:sz="4" w:space="0" w:color="auto"/>
            </w:tcBorders>
            <w:shd w:val="clear" w:color="auto" w:fill="BDD6EE" w:themeFill="accent1" w:themeFillTint="66"/>
            <w:vAlign w:val="center"/>
          </w:tcPr>
          <w:p w14:paraId="60E34B70" w14:textId="77777777" w:rsidR="00C86770" w:rsidRPr="002F42FA" w:rsidRDefault="00C86770" w:rsidP="002F1168">
            <w:pPr>
              <w:spacing w:after="0" w:line="240" w:lineRule="auto"/>
              <w:jc w:val="center"/>
              <w:rPr>
                <w:rFonts w:eastAsia="Times New Roman" w:cs="Calibri"/>
                <w:b/>
                <w:bCs/>
                <w:color w:val="auto"/>
                <w:sz w:val="18"/>
                <w:szCs w:val="18"/>
                <w:lang w:val="en-US" w:eastAsia="el-GR"/>
              </w:rPr>
            </w:pPr>
            <w:r>
              <w:rPr>
                <w:rFonts w:eastAsia="Times New Roman" w:cs="Calibri"/>
                <w:b/>
                <w:bCs/>
                <w:color w:val="auto"/>
                <w:sz w:val="18"/>
                <w:szCs w:val="18"/>
                <w:lang w:eastAsia="el-GR"/>
              </w:rPr>
              <w:t>2020</w:t>
            </w:r>
          </w:p>
        </w:tc>
        <w:tc>
          <w:tcPr>
            <w:tcW w:w="0" w:type="auto"/>
            <w:tcBorders>
              <w:top w:val="single" w:sz="12" w:space="0" w:color="auto"/>
              <w:left w:val="single" w:sz="4" w:space="0" w:color="auto"/>
              <w:bottom w:val="single" w:sz="12" w:space="0" w:color="auto"/>
              <w:right w:val="single" w:sz="4" w:space="0" w:color="auto"/>
            </w:tcBorders>
            <w:shd w:val="clear" w:color="auto" w:fill="BDD6EE" w:themeFill="accent1" w:themeFillTint="66"/>
            <w:vAlign w:val="center"/>
          </w:tcPr>
          <w:p w14:paraId="0AD1E487" w14:textId="77777777" w:rsidR="00C86770" w:rsidRPr="002F42FA" w:rsidRDefault="00C86770" w:rsidP="002F1168">
            <w:pPr>
              <w:spacing w:after="0" w:line="240" w:lineRule="auto"/>
              <w:jc w:val="center"/>
              <w:rPr>
                <w:rFonts w:eastAsia="Times New Roman" w:cs="Calibri"/>
                <w:b/>
                <w:bCs/>
                <w:color w:val="auto"/>
                <w:sz w:val="18"/>
                <w:szCs w:val="18"/>
                <w:lang w:eastAsia="el-GR"/>
              </w:rPr>
            </w:pPr>
            <w:r>
              <w:rPr>
                <w:rFonts w:eastAsia="Times New Roman" w:cs="Calibri"/>
                <w:b/>
                <w:bCs/>
                <w:color w:val="auto"/>
                <w:sz w:val="18"/>
                <w:szCs w:val="18"/>
                <w:lang w:eastAsia="el-GR"/>
              </w:rPr>
              <w:t>Δ 2019-20</w:t>
            </w:r>
          </w:p>
        </w:tc>
        <w:tc>
          <w:tcPr>
            <w:tcW w:w="0" w:type="auto"/>
            <w:tcBorders>
              <w:top w:val="single" w:sz="12" w:space="0" w:color="auto"/>
              <w:left w:val="single" w:sz="4" w:space="0" w:color="auto"/>
              <w:bottom w:val="single" w:sz="12" w:space="0" w:color="auto"/>
              <w:right w:val="single" w:sz="4" w:space="0" w:color="auto"/>
            </w:tcBorders>
            <w:shd w:val="clear" w:color="auto" w:fill="BDD6EE" w:themeFill="accent1" w:themeFillTint="66"/>
            <w:vAlign w:val="center"/>
          </w:tcPr>
          <w:p w14:paraId="3138C48B" w14:textId="77777777" w:rsidR="00C86770" w:rsidRPr="00253C46" w:rsidRDefault="00C86770" w:rsidP="002F1168">
            <w:pPr>
              <w:spacing w:after="0" w:line="240" w:lineRule="auto"/>
              <w:jc w:val="center"/>
              <w:rPr>
                <w:rFonts w:eastAsia="Times New Roman" w:cs="Calibri"/>
                <w:b/>
                <w:bCs/>
                <w:color w:val="auto"/>
                <w:sz w:val="18"/>
                <w:szCs w:val="18"/>
                <w:lang w:eastAsia="el-GR"/>
              </w:rPr>
            </w:pPr>
            <w:r>
              <w:rPr>
                <w:rFonts w:eastAsia="Times New Roman" w:cs="Calibri"/>
                <w:b/>
                <w:bCs/>
                <w:color w:val="auto"/>
                <w:sz w:val="18"/>
                <w:szCs w:val="18"/>
                <w:lang w:eastAsia="el-GR"/>
              </w:rPr>
              <w:t>% Δ 2019-20</w:t>
            </w:r>
          </w:p>
        </w:tc>
      </w:tr>
      <w:tr w:rsidR="00C86770" w:rsidRPr="00253C46" w14:paraId="35A56BC3" w14:textId="77777777" w:rsidTr="003E69BF">
        <w:trPr>
          <w:trHeight w:val="327"/>
        </w:trPr>
        <w:tc>
          <w:tcPr>
            <w:tcW w:w="0" w:type="auto"/>
            <w:tcBorders>
              <w:top w:val="single" w:sz="12" w:space="0" w:color="auto"/>
              <w:left w:val="single" w:sz="4" w:space="0" w:color="auto"/>
              <w:bottom w:val="nil"/>
              <w:right w:val="single" w:sz="4" w:space="0" w:color="auto"/>
            </w:tcBorders>
            <w:shd w:val="clear" w:color="000000" w:fill="F2F2F2"/>
            <w:vAlign w:val="center"/>
            <w:hideMark/>
          </w:tcPr>
          <w:p w14:paraId="3EA9A359" w14:textId="77777777" w:rsidR="00C86770" w:rsidRDefault="00C86770" w:rsidP="002F1168">
            <w:pPr>
              <w:spacing w:after="0" w:line="240" w:lineRule="auto"/>
              <w:jc w:val="left"/>
              <w:rPr>
                <w:rFonts w:eastAsia="Times New Roman" w:cs="Calibri"/>
                <w:b/>
                <w:bCs/>
                <w:color w:val="auto"/>
                <w:sz w:val="18"/>
                <w:szCs w:val="18"/>
                <w:lang w:eastAsia="el-GR"/>
              </w:rPr>
            </w:pPr>
            <w:r w:rsidRPr="00253C46">
              <w:rPr>
                <w:rFonts w:eastAsia="Times New Roman" w:cs="Calibri"/>
                <w:b/>
                <w:bCs/>
                <w:color w:val="auto"/>
                <w:sz w:val="18"/>
                <w:szCs w:val="18"/>
                <w:lang w:eastAsia="el-GR"/>
              </w:rPr>
              <w:t>Πλήρης απασχόληση</w:t>
            </w:r>
            <w:r>
              <w:rPr>
                <w:rFonts w:eastAsia="Times New Roman" w:cs="Calibri"/>
                <w:b/>
                <w:bCs/>
                <w:color w:val="auto"/>
                <w:sz w:val="18"/>
                <w:szCs w:val="18"/>
                <w:lang w:eastAsia="el-GR"/>
              </w:rPr>
              <w:t xml:space="preserve"> </w:t>
            </w:r>
          </w:p>
          <w:p w14:paraId="0CEC65AD" w14:textId="77777777" w:rsidR="00C86770" w:rsidRPr="00253C46" w:rsidRDefault="00C86770" w:rsidP="002F1168">
            <w:pPr>
              <w:spacing w:after="0" w:line="240" w:lineRule="auto"/>
              <w:jc w:val="left"/>
              <w:rPr>
                <w:rFonts w:eastAsia="Times New Roman" w:cs="Calibri"/>
                <w:b/>
                <w:bCs/>
                <w:color w:val="auto"/>
                <w:sz w:val="18"/>
                <w:szCs w:val="18"/>
                <w:lang w:eastAsia="el-GR"/>
              </w:rPr>
            </w:pPr>
            <w:r w:rsidRPr="00641D93">
              <w:rPr>
                <w:rFonts w:eastAsia="Times New Roman" w:cs="Calibri"/>
                <w:bCs/>
                <w:color w:val="auto"/>
                <w:sz w:val="18"/>
                <w:szCs w:val="18"/>
                <w:lang w:eastAsia="el-GR"/>
              </w:rPr>
              <w:t>(σε χιλ.)</w:t>
            </w:r>
          </w:p>
        </w:tc>
        <w:tc>
          <w:tcPr>
            <w:tcW w:w="0" w:type="auto"/>
            <w:tcBorders>
              <w:top w:val="single" w:sz="12" w:space="0" w:color="auto"/>
              <w:left w:val="single" w:sz="4" w:space="0" w:color="auto"/>
              <w:bottom w:val="nil"/>
              <w:right w:val="single" w:sz="4" w:space="0" w:color="auto"/>
            </w:tcBorders>
            <w:shd w:val="clear" w:color="000000" w:fill="F2F2F2"/>
            <w:vAlign w:val="center"/>
            <w:hideMark/>
          </w:tcPr>
          <w:p w14:paraId="6405573E" w14:textId="77777777" w:rsidR="00C86770" w:rsidRPr="00641D93" w:rsidRDefault="00C86770" w:rsidP="002F1168">
            <w:pPr>
              <w:spacing w:after="0" w:line="240" w:lineRule="auto"/>
              <w:jc w:val="center"/>
              <w:rPr>
                <w:rFonts w:eastAsia="Times New Roman" w:cs="Calibri"/>
                <w:color w:val="auto"/>
                <w:sz w:val="18"/>
                <w:szCs w:val="18"/>
                <w:lang w:eastAsia="el-GR"/>
              </w:rPr>
            </w:pPr>
            <w:r>
              <w:rPr>
                <w:rFonts w:eastAsia="Times New Roman" w:cs="Calibri"/>
                <w:color w:val="auto"/>
                <w:sz w:val="18"/>
                <w:szCs w:val="18"/>
                <w:lang w:eastAsia="el-GR"/>
              </w:rPr>
              <w:t>3.201</w:t>
            </w:r>
          </w:p>
        </w:tc>
        <w:tc>
          <w:tcPr>
            <w:tcW w:w="664" w:type="dxa"/>
            <w:tcBorders>
              <w:top w:val="single" w:sz="12" w:space="0" w:color="auto"/>
              <w:left w:val="single" w:sz="4" w:space="0" w:color="auto"/>
              <w:bottom w:val="nil"/>
              <w:right w:val="single" w:sz="4" w:space="0" w:color="auto"/>
            </w:tcBorders>
            <w:shd w:val="clear" w:color="000000" w:fill="F2F2F2"/>
            <w:vAlign w:val="center"/>
            <w:hideMark/>
          </w:tcPr>
          <w:p w14:paraId="3BF0C49C" w14:textId="77777777" w:rsidR="00C86770" w:rsidRPr="00641D93" w:rsidRDefault="00C86770" w:rsidP="002F1168">
            <w:pPr>
              <w:spacing w:after="0" w:line="240" w:lineRule="auto"/>
              <w:jc w:val="center"/>
              <w:rPr>
                <w:rFonts w:eastAsia="Times New Roman" w:cs="Calibri"/>
                <w:color w:val="auto"/>
                <w:sz w:val="18"/>
                <w:szCs w:val="18"/>
                <w:lang w:eastAsia="el-GR"/>
              </w:rPr>
            </w:pPr>
            <w:r>
              <w:rPr>
                <w:rFonts w:eastAsia="Times New Roman" w:cs="Calibri"/>
                <w:color w:val="auto"/>
                <w:sz w:val="18"/>
                <w:szCs w:val="18"/>
                <w:lang w:eastAsia="el-GR"/>
              </w:rPr>
              <w:t>3.267</w:t>
            </w:r>
          </w:p>
        </w:tc>
        <w:tc>
          <w:tcPr>
            <w:tcW w:w="664" w:type="dxa"/>
            <w:tcBorders>
              <w:top w:val="single" w:sz="12" w:space="0" w:color="auto"/>
              <w:left w:val="single" w:sz="4" w:space="0" w:color="auto"/>
              <w:bottom w:val="nil"/>
              <w:right w:val="single" w:sz="4" w:space="0" w:color="auto"/>
            </w:tcBorders>
            <w:shd w:val="clear" w:color="000000" w:fill="F2F2F2"/>
            <w:vAlign w:val="center"/>
            <w:hideMark/>
          </w:tcPr>
          <w:p w14:paraId="1EB35B68" w14:textId="77777777" w:rsidR="00C86770" w:rsidRPr="00641D93" w:rsidRDefault="00C86770" w:rsidP="002F1168">
            <w:pPr>
              <w:spacing w:after="0" w:line="240" w:lineRule="auto"/>
              <w:jc w:val="center"/>
              <w:rPr>
                <w:rFonts w:eastAsia="Times New Roman" w:cs="Calibri"/>
                <w:color w:val="auto"/>
                <w:sz w:val="18"/>
                <w:szCs w:val="18"/>
                <w:lang w:eastAsia="el-GR"/>
              </w:rPr>
            </w:pPr>
            <w:r>
              <w:rPr>
                <w:rFonts w:eastAsia="Times New Roman" w:cs="Calibri"/>
                <w:color w:val="auto"/>
                <w:sz w:val="18"/>
                <w:szCs w:val="18"/>
                <w:lang w:eastAsia="el-GR"/>
              </w:rPr>
              <w:t>3.311</w:t>
            </w:r>
          </w:p>
        </w:tc>
        <w:tc>
          <w:tcPr>
            <w:tcW w:w="0" w:type="auto"/>
            <w:tcBorders>
              <w:top w:val="single" w:sz="12" w:space="0" w:color="auto"/>
              <w:left w:val="single" w:sz="4" w:space="0" w:color="auto"/>
              <w:bottom w:val="nil"/>
              <w:right w:val="single" w:sz="4" w:space="0" w:color="auto"/>
            </w:tcBorders>
            <w:shd w:val="clear" w:color="000000" w:fill="F2F2F2"/>
            <w:vAlign w:val="center"/>
            <w:hideMark/>
          </w:tcPr>
          <w:p w14:paraId="61C66A3D" w14:textId="77777777" w:rsidR="00C86770" w:rsidRPr="00641D93" w:rsidRDefault="00C86770" w:rsidP="002F1168">
            <w:pPr>
              <w:spacing w:after="0" w:line="240" w:lineRule="auto"/>
              <w:jc w:val="center"/>
              <w:rPr>
                <w:rFonts w:eastAsia="Times New Roman" w:cs="Calibri"/>
                <w:color w:val="auto"/>
                <w:sz w:val="18"/>
                <w:szCs w:val="18"/>
                <w:lang w:eastAsia="el-GR"/>
              </w:rPr>
            </w:pPr>
            <w:r>
              <w:rPr>
                <w:rFonts w:eastAsia="Times New Roman" w:cs="Calibri"/>
                <w:color w:val="auto"/>
                <w:sz w:val="18"/>
                <w:szCs w:val="18"/>
                <w:lang w:eastAsia="el-GR"/>
              </w:rPr>
              <w:t>3.383</w:t>
            </w:r>
          </w:p>
        </w:tc>
        <w:tc>
          <w:tcPr>
            <w:tcW w:w="0" w:type="auto"/>
            <w:tcBorders>
              <w:top w:val="single" w:sz="12" w:space="0" w:color="auto"/>
              <w:left w:val="single" w:sz="4" w:space="0" w:color="auto"/>
              <w:bottom w:val="nil"/>
              <w:right w:val="single" w:sz="4" w:space="0" w:color="auto"/>
            </w:tcBorders>
            <w:shd w:val="clear" w:color="000000" w:fill="F2F2F2"/>
            <w:vAlign w:val="center"/>
            <w:hideMark/>
          </w:tcPr>
          <w:p w14:paraId="13E68E9D" w14:textId="77777777" w:rsidR="00C86770" w:rsidRPr="00641D93" w:rsidRDefault="00C86770" w:rsidP="002F1168">
            <w:pPr>
              <w:spacing w:after="0" w:line="240" w:lineRule="auto"/>
              <w:jc w:val="center"/>
              <w:rPr>
                <w:rFonts w:eastAsia="Times New Roman" w:cs="Calibri"/>
                <w:color w:val="auto"/>
                <w:sz w:val="18"/>
                <w:szCs w:val="18"/>
                <w:lang w:eastAsia="el-GR"/>
              </w:rPr>
            </w:pPr>
            <w:r w:rsidRPr="00641D93">
              <w:rPr>
                <w:rFonts w:eastAsia="Times New Roman" w:cs="Calibri"/>
                <w:color w:val="auto"/>
                <w:sz w:val="18"/>
                <w:szCs w:val="18"/>
                <w:lang w:eastAsia="el-GR"/>
              </w:rPr>
              <w:t>3.476</w:t>
            </w:r>
          </w:p>
        </w:tc>
        <w:tc>
          <w:tcPr>
            <w:tcW w:w="0" w:type="auto"/>
            <w:tcBorders>
              <w:top w:val="single" w:sz="12" w:space="0" w:color="auto"/>
              <w:left w:val="single" w:sz="4" w:space="0" w:color="auto"/>
              <w:bottom w:val="nil"/>
              <w:right w:val="single" w:sz="4" w:space="0" w:color="auto"/>
            </w:tcBorders>
            <w:shd w:val="clear" w:color="000000" w:fill="F2F2F2"/>
            <w:vAlign w:val="center"/>
            <w:hideMark/>
          </w:tcPr>
          <w:p w14:paraId="0EF9D875" w14:textId="77777777" w:rsidR="00C86770" w:rsidRPr="002F42FA" w:rsidRDefault="00C86770" w:rsidP="002F1168">
            <w:pPr>
              <w:spacing w:after="0" w:line="240" w:lineRule="auto"/>
              <w:jc w:val="center"/>
              <w:rPr>
                <w:rFonts w:eastAsia="Times New Roman" w:cs="Calibri"/>
                <w:color w:val="auto"/>
                <w:sz w:val="18"/>
                <w:szCs w:val="18"/>
                <w:lang w:val="en-US" w:eastAsia="el-GR"/>
              </w:rPr>
            </w:pPr>
            <w:r>
              <w:rPr>
                <w:rFonts w:eastAsia="Times New Roman" w:cs="Calibri"/>
                <w:color w:val="auto"/>
                <w:sz w:val="18"/>
                <w:szCs w:val="18"/>
                <w:lang w:val="en-US" w:eastAsia="el-GR"/>
              </w:rPr>
              <w:t>3.550</w:t>
            </w:r>
          </w:p>
        </w:tc>
        <w:tc>
          <w:tcPr>
            <w:tcW w:w="0" w:type="auto"/>
            <w:tcBorders>
              <w:top w:val="single" w:sz="12" w:space="0" w:color="auto"/>
              <w:left w:val="single" w:sz="4" w:space="0" w:color="auto"/>
              <w:bottom w:val="nil"/>
              <w:right w:val="single" w:sz="4" w:space="0" w:color="auto"/>
            </w:tcBorders>
            <w:shd w:val="clear" w:color="000000" w:fill="F2F2F2"/>
            <w:vAlign w:val="center"/>
          </w:tcPr>
          <w:p w14:paraId="21F1B58E" w14:textId="77777777" w:rsidR="00C86770" w:rsidRPr="002F42FA" w:rsidRDefault="00C86770" w:rsidP="002F1168">
            <w:pPr>
              <w:spacing w:after="0" w:line="240" w:lineRule="auto"/>
              <w:jc w:val="center"/>
              <w:rPr>
                <w:rFonts w:eastAsia="Times New Roman" w:cs="Calibri"/>
                <w:color w:val="auto"/>
                <w:sz w:val="18"/>
                <w:szCs w:val="18"/>
                <w:lang w:val="en-US" w:eastAsia="el-GR"/>
              </w:rPr>
            </w:pPr>
            <w:r>
              <w:rPr>
                <w:rFonts w:eastAsia="Times New Roman" w:cs="Calibri"/>
                <w:color w:val="auto"/>
                <w:sz w:val="18"/>
                <w:szCs w:val="18"/>
                <w:lang w:val="en-US" w:eastAsia="el-GR"/>
              </w:rPr>
              <w:t>3.540</w:t>
            </w:r>
          </w:p>
        </w:tc>
        <w:tc>
          <w:tcPr>
            <w:tcW w:w="0" w:type="auto"/>
            <w:tcBorders>
              <w:top w:val="single" w:sz="12" w:space="0" w:color="auto"/>
              <w:left w:val="single" w:sz="4" w:space="0" w:color="auto"/>
              <w:bottom w:val="nil"/>
              <w:right w:val="single" w:sz="4" w:space="0" w:color="auto"/>
            </w:tcBorders>
            <w:shd w:val="clear" w:color="000000" w:fill="F2F2F2"/>
            <w:vAlign w:val="center"/>
          </w:tcPr>
          <w:p w14:paraId="50CED324" w14:textId="77777777" w:rsidR="00C86770" w:rsidRPr="00641D93" w:rsidRDefault="00C86770" w:rsidP="002F1168">
            <w:pPr>
              <w:spacing w:after="0" w:line="240" w:lineRule="auto"/>
              <w:jc w:val="center"/>
              <w:rPr>
                <w:rFonts w:eastAsia="Times New Roman" w:cs="Calibri"/>
                <w:color w:val="auto"/>
                <w:sz w:val="18"/>
                <w:szCs w:val="18"/>
                <w:lang w:eastAsia="el-GR"/>
              </w:rPr>
            </w:pPr>
            <w:r>
              <w:rPr>
                <w:rFonts w:eastAsia="Times New Roman" w:cs="Calibri"/>
                <w:color w:val="auto"/>
                <w:sz w:val="18"/>
                <w:szCs w:val="18"/>
                <w:lang w:eastAsia="el-GR"/>
              </w:rPr>
              <w:t>-11</w:t>
            </w:r>
          </w:p>
        </w:tc>
        <w:tc>
          <w:tcPr>
            <w:tcW w:w="0" w:type="auto"/>
            <w:tcBorders>
              <w:top w:val="single" w:sz="12" w:space="0" w:color="auto"/>
              <w:left w:val="single" w:sz="4" w:space="0" w:color="auto"/>
              <w:bottom w:val="nil"/>
              <w:right w:val="single" w:sz="4" w:space="0" w:color="auto"/>
            </w:tcBorders>
            <w:shd w:val="clear" w:color="000000" w:fill="F2F2F2"/>
            <w:vAlign w:val="center"/>
          </w:tcPr>
          <w:p w14:paraId="2986DBA7" w14:textId="77777777" w:rsidR="00C86770" w:rsidRPr="00641D93" w:rsidRDefault="00C86770" w:rsidP="002F1168">
            <w:pPr>
              <w:spacing w:after="0" w:line="240" w:lineRule="auto"/>
              <w:jc w:val="center"/>
              <w:rPr>
                <w:rFonts w:eastAsia="Times New Roman" w:cs="Calibri"/>
                <w:color w:val="auto"/>
                <w:sz w:val="18"/>
                <w:szCs w:val="18"/>
                <w:lang w:eastAsia="el-GR"/>
              </w:rPr>
            </w:pPr>
            <w:r>
              <w:rPr>
                <w:rFonts w:eastAsia="Times New Roman" w:cs="Calibri"/>
                <w:color w:val="auto"/>
                <w:sz w:val="18"/>
                <w:szCs w:val="18"/>
                <w:lang w:eastAsia="el-GR"/>
              </w:rPr>
              <w:t>-0,3%</w:t>
            </w:r>
          </w:p>
        </w:tc>
      </w:tr>
      <w:tr w:rsidR="00C86770" w:rsidRPr="00253C46" w14:paraId="5CE4D56E" w14:textId="77777777" w:rsidTr="003E69BF">
        <w:trPr>
          <w:trHeight w:val="327"/>
        </w:trPr>
        <w:tc>
          <w:tcPr>
            <w:tcW w:w="0" w:type="auto"/>
            <w:tcBorders>
              <w:top w:val="nil"/>
              <w:left w:val="single" w:sz="4" w:space="0" w:color="auto"/>
              <w:bottom w:val="nil"/>
              <w:right w:val="single" w:sz="4" w:space="0" w:color="auto"/>
            </w:tcBorders>
            <w:shd w:val="clear" w:color="auto" w:fill="auto"/>
            <w:vAlign w:val="center"/>
            <w:hideMark/>
          </w:tcPr>
          <w:p w14:paraId="2623E65E" w14:textId="77777777" w:rsidR="00C86770" w:rsidRPr="00253C46" w:rsidRDefault="00C86770" w:rsidP="002F1168">
            <w:pPr>
              <w:spacing w:after="0" w:line="240" w:lineRule="auto"/>
              <w:jc w:val="left"/>
              <w:rPr>
                <w:rFonts w:eastAsia="Times New Roman" w:cs="Calibri"/>
                <w:color w:val="auto"/>
                <w:sz w:val="18"/>
                <w:szCs w:val="18"/>
                <w:lang w:eastAsia="el-GR"/>
              </w:rPr>
            </w:pPr>
            <w:r w:rsidRPr="00253C46">
              <w:rPr>
                <w:rFonts w:eastAsia="Times New Roman" w:cs="Calibri"/>
                <w:color w:val="auto"/>
                <w:sz w:val="18"/>
                <w:szCs w:val="18"/>
                <w:lang w:eastAsia="el-GR"/>
              </w:rPr>
              <w:t>% επί συνολικής</w:t>
            </w:r>
          </w:p>
        </w:tc>
        <w:tc>
          <w:tcPr>
            <w:tcW w:w="0" w:type="auto"/>
            <w:tcBorders>
              <w:top w:val="nil"/>
              <w:left w:val="single" w:sz="4" w:space="0" w:color="auto"/>
              <w:bottom w:val="nil"/>
              <w:right w:val="single" w:sz="4" w:space="0" w:color="auto"/>
            </w:tcBorders>
            <w:shd w:val="clear" w:color="auto" w:fill="auto"/>
            <w:vAlign w:val="center"/>
            <w:hideMark/>
          </w:tcPr>
          <w:p w14:paraId="4A496569" w14:textId="77777777" w:rsidR="00C86770" w:rsidRPr="00641D93" w:rsidRDefault="00C86770" w:rsidP="002F1168">
            <w:pPr>
              <w:spacing w:after="0" w:line="240" w:lineRule="auto"/>
              <w:jc w:val="center"/>
              <w:rPr>
                <w:rFonts w:eastAsia="Times New Roman" w:cs="Calibri"/>
                <w:color w:val="auto"/>
                <w:sz w:val="18"/>
                <w:szCs w:val="18"/>
                <w:lang w:eastAsia="el-GR"/>
              </w:rPr>
            </w:pPr>
            <w:r>
              <w:rPr>
                <w:rFonts w:eastAsia="Times New Roman" w:cs="Calibri"/>
                <w:color w:val="auto"/>
                <w:sz w:val="18"/>
                <w:szCs w:val="18"/>
                <w:lang w:eastAsia="el-GR"/>
              </w:rPr>
              <w:t>90</w:t>
            </w:r>
            <w:r w:rsidRPr="00641D93">
              <w:rPr>
                <w:rFonts w:eastAsia="Times New Roman" w:cs="Calibri"/>
                <w:color w:val="auto"/>
                <w:sz w:val="18"/>
                <w:szCs w:val="18"/>
                <w:lang w:eastAsia="el-GR"/>
              </w:rPr>
              <w:t>,5%</w:t>
            </w:r>
          </w:p>
        </w:tc>
        <w:tc>
          <w:tcPr>
            <w:tcW w:w="664" w:type="dxa"/>
            <w:tcBorders>
              <w:top w:val="nil"/>
              <w:left w:val="single" w:sz="4" w:space="0" w:color="auto"/>
              <w:bottom w:val="nil"/>
              <w:right w:val="single" w:sz="4" w:space="0" w:color="auto"/>
            </w:tcBorders>
            <w:shd w:val="clear" w:color="auto" w:fill="auto"/>
            <w:vAlign w:val="center"/>
            <w:hideMark/>
          </w:tcPr>
          <w:p w14:paraId="7CC44EFF" w14:textId="77777777" w:rsidR="00C86770" w:rsidRPr="00641D93" w:rsidRDefault="00C86770" w:rsidP="002F1168">
            <w:pPr>
              <w:spacing w:after="0" w:line="240" w:lineRule="auto"/>
              <w:jc w:val="center"/>
              <w:rPr>
                <w:rFonts w:eastAsia="Times New Roman" w:cs="Calibri"/>
                <w:color w:val="auto"/>
                <w:sz w:val="18"/>
                <w:szCs w:val="18"/>
                <w:lang w:eastAsia="el-GR"/>
              </w:rPr>
            </w:pPr>
            <w:r w:rsidRPr="00641D93">
              <w:rPr>
                <w:rFonts w:eastAsia="Times New Roman" w:cs="Calibri"/>
                <w:color w:val="auto"/>
                <w:sz w:val="18"/>
                <w:szCs w:val="18"/>
                <w:lang w:eastAsia="el-GR"/>
              </w:rPr>
              <w:t>90,5%</w:t>
            </w:r>
          </w:p>
        </w:tc>
        <w:tc>
          <w:tcPr>
            <w:tcW w:w="664" w:type="dxa"/>
            <w:tcBorders>
              <w:top w:val="nil"/>
              <w:left w:val="single" w:sz="4" w:space="0" w:color="auto"/>
              <w:bottom w:val="nil"/>
              <w:right w:val="single" w:sz="4" w:space="0" w:color="auto"/>
            </w:tcBorders>
            <w:shd w:val="clear" w:color="auto" w:fill="auto"/>
            <w:vAlign w:val="center"/>
            <w:hideMark/>
          </w:tcPr>
          <w:p w14:paraId="12179562" w14:textId="77777777" w:rsidR="00C86770" w:rsidRPr="00641D93" w:rsidRDefault="00C86770" w:rsidP="002F1168">
            <w:pPr>
              <w:spacing w:after="0" w:line="240" w:lineRule="auto"/>
              <w:jc w:val="center"/>
              <w:rPr>
                <w:rFonts w:eastAsia="Times New Roman" w:cs="Calibri"/>
                <w:color w:val="auto"/>
                <w:sz w:val="18"/>
                <w:szCs w:val="18"/>
                <w:lang w:eastAsia="el-GR"/>
              </w:rPr>
            </w:pPr>
            <w:r>
              <w:rPr>
                <w:rFonts w:eastAsia="Times New Roman" w:cs="Calibri"/>
                <w:color w:val="auto"/>
                <w:sz w:val="18"/>
                <w:szCs w:val="18"/>
                <w:lang w:eastAsia="el-GR"/>
              </w:rPr>
              <w:t>90,1</w:t>
            </w:r>
            <w:r w:rsidRPr="00641D93">
              <w:rPr>
                <w:rFonts w:eastAsia="Times New Roman" w:cs="Calibri"/>
                <w:color w:val="auto"/>
                <w:sz w:val="18"/>
                <w:szCs w:val="18"/>
                <w:lang w:eastAsia="el-GR"/>
              </w:rPr>
              <w:t>%</w:t>
            </w:r>
          </w:p>
        </w:tc>
        <w:tc>
          <w:tcPr>
            <w:tcW w:w="0" w:type="auto"/>
            <w:tcBorders>
              <w:top w:val="nil"/>
              <w:left w:val="single" w:sz="4" w:space="0" w:color="auto"/>
              <w:bottom w:val="nil"/>
              <w:right w:val="single" w:sz="4" w:space="0" w:color="auto"/>
            </w:tcBorders>
            <w:shd w:val="clear" w:color="auto" w:fill="auto"/>
            <w:vAlign w:val="center"/>
            <w:hideMark/>
          </w:tcPr>
          <w:p w14:paraId="2DCA971C" w14:textId="77777777" w:rsidR="00C86770" w:rsidRPr="00641D93" w:rsidRDefault="00C86770" w:rsidP="002F1168">
            <w:pPr>
              <w:spacing w:after="0" w:line="240" w:lineRule="auto"/>
              <w:jc w:val="center"/>
              <w:rPr>
                <w:rFonts w:eastAsia="Times New Roman" w:cs="Calibri"/>
                <w:color w:val="auto"/>
                <w:sz w:val="18"/>
                <w:szCs w:val="18"/>
                <w:lang w:eastAsia="el-GR"/>
              </w:rPr>
            </w:pPr>
            <w:r>
              <w:rPr>
                <w:rFonts w:eastAsia="Times New Roman" w:cs="Calibri"/>
                <w:color w:val="auto"/>
                <w:sz w:val="18"/>
                <w:szCs w:val="18"/>
                <w:lang w:eastAsia="el-GR"/>
              </w:rPr>
              <w:t>90,2</w:t>
            </w:r>
            <w:r w:rsidRPr="00641D93">
              <w:rPr>
                <w:rFonts w:eastAsia="Times New Roman" w:cs="Calibri"/>
                <w:color w:val="auto"/>
                <w:sz w:val="18"/>
                <w:szCs w:val="18"/>
                <w:lang w:eastAsia="el-GR"/>
              </w:rPr>
              <w:t>%</w:t>
            </w:r>
          </w:p>
        </w:tc>
        <w:tc>
          <w:tcPr>
            <w:tcW w:w="0" w:type="auto"/>
            <w:tcBorders>
              <w:top w:val="nil"/>
              <w:left w:val="single" w:sz="4" w:space="0" w:color="auto"/>
              <w:bottom w:val="nil"/>
              <w:right w:val="single" w:sz="4" w:space="0" w:color="auto"/>
            </w:tcBorders>
            <w:shd w:val="clear" w:color="auto" w:fill="auto"/>
            <w:vAlign w:val="center"/>
            <w:hideMark/>
          </w:tcPr>
          <w:p w14:paraId="5013E417" w14:textId="77777777" w:rsidR="00C86770" w:rsidRPr="00641D93" w:rsidRDefault="00C86770" w:rsidP="002F1168">
            <w:pPr>
              <w:spacing w:after="0" w:line="240" w:lineRule="auto"/>
              <w:jc w:val="center"/>
              <w:rPr>
                <w:rFonts w:eastAsia="Times New Roman" w:cs="Calibri"/>
                <w:color w:val="auto"/>
                <w:sz w:val="18"/>
                <w:szCs w:val="18"/>
                <w:lang w:eastAsia="el-GR"/>
              </w:rPr>
            </w:pPr>
            <w:r w:rsidRPr="00641D93">
              <w:rPr>
                <w:rFonts w:eastAsia="Times New Roman" w:cs="Calibri"/>
                <w:color w:val="auto"/>
                <w:sz w:val="18"/>
                <w:szCs w:val="18"/>
                <w:lang w:eastAsia="el-GR"/>
              </w:rPr>
              <w:t>90,8%</w:t>
            </w:r>
          </w:p>
        </w:tc>
        <w:tc>
          <w:tcPr>
            <w:tcW w:w="0" w:type="auto"/>
            <w:tcBorders>
              <w:top w:val="nil"/>
              <w:left w:val="single" w:sz="4" w:space="0" w:color="auto"/>
              <w:bottom w:val="nil"/>
              <w:right w:val="single" w:sz="4" w:space="0" w:color="auto"/>
            </w:tcBorders>
            <w:vAlign w:val="center"/>
            <w:hideMark/>
          </w:tcPr>
          <w:p w14:paraId="262214CF" w14:textId="77777777" w:rsidR="00C86770" w:rsidRPr="00641D93" w:rsidRDefault="00C86770" w:rsidP="002F1168">
            <w:pPr>
              <w:spacing w:after="0" w:line="240" w:lineRule="auto"/>
              <w:jc w:val="center"/>
              <w:rPr>
                <w:rFonts w:eastAsia="Times New Roman" w:cs="Calibri"/>
                <w:color w:val="auto"/>
                <w:sz w:val="18"/>
                <w:szCs w:val="18"/>
                <w:lang w:eastAsia="el-GR"/>
              </w:rPr>
            </w:pPr>
            <w:r>
              <w:rPr>
                <w:rFonts w:eastAsia="Times New Roman" w:cs="Calibri"/>
                <w:color w:val="auto"/>
                <w:sz w:val="18"/>
                <w:szCs w:val="18"/>
                <w:lang w:eastAsia="el-GR"/>
              </w:rPr>
              <w:t>9</w:t>
            </w:r>
            <w:r>
              <w:rPr>
                <w:rFonts w:eastAsia="Times New Roman" w:cs="Calibri"/>
                <w:color w:val="auto"/>
                <w:sz w:val="18"/>
                <w:szCs w:val="18"/>
                <w:lang w:val="en-US" w:eastAsia="el-GR"/>
              </w:rPr>
              <w:t>0,8</w:t>
            </w:r>
            <w:r w:rsidRPr="00641D93">
              <w:rPr>
                <w:rFonts w:eastAsia="Times New Roman" w:cs="Calibri"/>
                <w:color w:val="auto"/>
                <w:sz w:val="18"/>
                <w:szCs w:val="18"/>
                <w:lang w:eastAsia="el-GR"/>
              </w:rPr>
              <w:t>%</w:t>
            </w:r>
          </w:p>
        </w:tc>
        <w:tc>
          <w:tcPr>
            <w:tcW w:w="0" w:type="auto"/>
            <w:tcBorders>
              <w:top w:val="nil"/>
              <w:left w:val="single" w:sz="4" w:space="0" w:color="auto"/>
              <w:bottom w:val="nil"/>
              <w:right w:val="single" w:sz="4" w:space="0" w:color="auto"/>
            </w:tcBorders>
            <w:vAlign w:val="center"/>
          </w:tcPr>
          <w:p w14:paraId="0485037F" w14:textId="77777777" w:rsidR="00C86770" w:rsidRPr="00641D93" w:rsidRDefault="00C86770" w:rsidP="002F1168">
            <w:pPr>
              <w:spacing w:after="0" w:line="240" w:lineRule="auto"/>
              <w:jc w:val="center"/>
              <w:rPr>
                <w:rFonts w:eastAsia="Times New Roman" w:cs="Calibri"/>
                <w:color w:val="auto"/>
                <w:sz w:val="18"/>
                <w:szCs w:val="18"/>
                <w:lang w:eastAsia="el-GR"/>
              </w:rPr>
            </w:pPr>
            <w:r>
              <w:rPr>
                <w:rFonts w:eastAsia="Times New Roman" w:cs="Calibri"/>
                <w:color w:val="auto"/>
                <w:sz w:val="18"/>
                <w:szCs w:val="18"/>
                <w:lang w:eastAsia="el-GR"/>
              </w:rPr>
              <w:t>9</w:t>
            </w:r>
            <w:r>
              <w:rPr>
                <w:rFonts w:eastAsia="Times New Roman" w:cs="Calibri"/>
                <w:color w:val="auto"/>
                <w:sz w:val="18"/>
                <w:szCs w:val="18"/>
                <w:lang w:val="en-US" w:eastAsia="el-GR"/>
              </w:rPr>
              <w:t>1,3</w:t>
            </w:r>
            <w:r w:rsidRPr="00641D93">
              <w:rPr>
                <w:rFonts w:eastAsia="Times New Roman" w:cs="Calibri"/>
                <w:color w:val="auto"/>
                <w:sz w:val="18"/>
                <w:szCs w:val="18"/>
                <w:lang w:eastAsia="el-GR"/>
              </w:rPr>
              <w:t>%</w:t>
            </w:r>
          </w:p>
        </w:tc>
        <w:tc>
          <w:tcPr>
            <w:tcW w:w="0" w:type="auto"/>
            <w:tcBorders>
              <w:top w:val="nil"/>
              <w:left w:val="single" w:sz="4" w:space="0" w:color="auto"/>
              <w:bottom w:val="nil"/>
              <w:right w:val="single" w:sz="4" w:space="0" w:color="auto"/>
            </w:tcBorders>
            <w:vAlign w:val="center"/>
          </w:tcPr>
          <w:p w14:paraId="7DE3DEBF" w14:textId="77777777" w:rsidR="00C86770" w:rsidRPr="00641D93" w:rsidRDefault="00C86770" w:rsidP="002F1168">
            <w:pPr>
              <w:spacing w:after="0" w:line="240" w:lineRule="auto"/>
              <w:jc w:val="center"/>
              <w:rPr>
                <w:rFonts w:eastAsia="Times New Roman" w:cs="Calibri"/>
                <w:color w:val="auto"/>
                <w:sz w:val="18"/>
                <w:szCs w:val="18"/>
                <w:lang w:eastAsia="el-GR"/>
              </w:rPr>
            </w:pPr>
          </w:p>
        </w:tc>
        <w:tc>
          <w:tcPr>
            <w:tcW w:w="0" w:type="auto"/>
            <w:tcBorders>
              <w:top w:val="nil"/>
              <w:left w:val="single" w:sz="4" w:space="0" w:color="auto"/>
              <w:bottom w:val="nil"/>
              <w:right w:val="single" w:sz="4" w:space="0" w:color="auto"/>
            </w:tcBorders>
            <w:vAlign w:val="center"/>
          </w:tcPr>
          <w:p w14:paraId="29E54DC2" w14:textId="77777777" w:rsidR="00C86770" w:rsidRPr="00641D93" w:rsidRDefault="00C86770" w:rsidP="002F1168">
            <w:pPr>
              <w:spacing w:after="0" w:line="240" w:lineRule="auto"/>
              <w:jc w:val="center"/>
              <w:rPr>
                <w:rFonts w:eastAsia="Times New Roman" w:cs="Calibri"/>
                <w:color w:val="auto"/>
                <w:sz w:val="18"/>
                <w:szCs w:val="18"/>
                <w:lang w:eastAsia="el-GR"/>
              </w:rPr>
            </w:pPr>
          </w:p>
        </w:tc>
      </w:tr>
      <w:tr w:rsidR="00C86770" w:rsidRPr="00253C46" w14:paraId="58046CEF" w14:textId="77777777" w:rsidTr="003E69BF">
        <w:trPr>
          <w:trHeight w:val="327"/>
        </w:trPr>
        <w:tc>
          <w:tcPr>
            <w:tcW w:w="0" w:type="auto"/>
            <w:tcBorders>
              <w:top w:val="nil"/>
              <w:left w:val="single" w:sz="4" w:space="0" w:color="auto"/>
              <w:bottom w:val="nil"/>
              <w:right w:val="single" w:sz="4" w:space="0" w:color="auto"/>
            </w:tcBorders>
            <w:shd w:val="clear" w:color="000000" w:fill="F2F2F2"/>
            <w:vAlign w:val="center"/>
            <w:hideMark/>
          </w:tcPr>
          <w:p w14:paraId="51DCC184" w14:textId="77777777" w:rsidR="00C86770" w:rsidRDefault="00C86770" w:rsidP="002F1168">
            <w:pPr>
              <w:spacing w:after="0" w:line="240" w:lineRule="auto"/>
              <w:jc w:val="left"/>
              <w:rPr>
                <w:rFonts w:eastAsia="Times New Roman" w:cs="Calibri"/>
                <w:b/>
                <w:bCs/>
                <w:color w:val="auto"/>
                <w:sz w:val="18"/>
                <w:szCs w:val="18"/>
                <w:lang w:eastAsia="el-GR"/>
              </w:rPr>
            </w:pPr>
            <w:r w:rsidRPr="00253C46">
              <w:rPr>
                <w:rFonts w:eastAsia="Times New Roman" w:cs="Calibri"/>
                <w:b/>
                <w:bCs/>
                <w:color w:val="auto"/>
                <w:sz w:val="18"/>
                <w:szCs w:val="18"/>
                <w:lang w:eastAsia="el-GR"/>
              </w:rPr>
              <w:t>Μερική απασχόληση</w:t>
            </w:r>
            <w:r>
              <w:rPr>
                <w:rFonts w:eastAsia="Times New Roman" w:cs="Calibri"/>
                <w:b/>
                <w:bCs/>
                <w:color w:val="auto"/>
                <w:sz w:val="18"/>
                <w:szCs w:val="18"/>
                <w:lang w:eastAsia="el-GR"/>
              </w:rPr>
              <w:t xml:space="preserve"> </w:t>
            </w:r>
          </w:p>
          <w:p w14:paraId="1CF8B5A7" w14:textId="77777777" w:rsidR="00C86770" w:rsidRPr="00253C46" w:rsidRDefault="00C86770" w:rsidP="002F1168">
            <w:pPr>
              <w:spacing w:after="0" w:line="240" w:lineRule="auto"/>
              <w:jc w:val="left"/>
              <w:rPr>
                <w:rFonts w:eastAsia="Times New Roman" w:cs="Calibri"/>
                <w:b/>
                <w:bCs/>
                <w:color w:val="auto"/>
                <w:sz w:val="18"/>
                <w:szCs w:val="18"/>
                <w:lang w:eastAsia="el-GR"/>
              </w:rPr>
            </w:pPr>
            <w:r w:rsidRPr="00641D93">
              <w:rPr>
                <w:rFonts w:eastAsia="Times New Roman" w:cs="Calibri"/>
                <w:bCs/>
                <w:color w:val="auto"/>
                <w:sz w:val="18"/>
                <w:szCs w:val="18"/>
                <w:lang w:eastAsia="el-GR"/>
              </w:rPr>
              <w:t>(σε χιλ.)</w:t>
            </w:r>
          </w:p>
        </w:tc>
        <w:tc>
          <w:tcPr>
            <w:tcW w:w="0" w:type="auto"/>
            <w:tcBorders>
              <w:top w:val="nil"/>
              <w:left w:val="single" w:sz="4" w:space="0" w:color="auto"/>
              <w:bottom w:val="nil"/>
              <w:right w:val="single" w:sz="4" w:space="0" w:color="auto"/>
            </w:tcBorders>
            <w:shd w:val="clear" w:color="000000" w:fill="F2F2F2"/>
            <w:vAlign w:val="center"/>
            <w:hideMark/>
          </w:tcPr>
          <w:p w14:paraId="0C5D9333" w14:textId="77777777" w:rsidR="00C86770" w:rsidRPr="00641D93" w:rsidRDefault="00C86770" w:rsidP="002F1168">
            <w:pPr>
              <w:spacing w:after="0" w:line="240" w:lineRule="auto"/>
              <w:jc w:val="center"/>
              <w:rPr>
                <w:rFonts w:eastAsia="Times New Roman" w:cs="Calibri"/>
                <w:color w:val="auto"/>
                <w:sz w:val="18"/>
                <w:szCs w:val="18"/>
                <w:lang w:eastAsia="el-GR"/>
              </w:rPr>
            </w:pPr>
            <w:r>
              <w:rPr>
                <w:rFonts w:eastAsia="Times New Roman" w:cs="Calibri"/>
                <w:color w:val="auto"/>
                <w:sz w:val="18"/>
                <w:szCs w:val="18"/>
                <w:lang w:eastAsia="el-GR"/>
              </w:rPr>
              <w:t>336</w:t>
            </w:r>
          </w:p>
        </w:tc>
        <w:tc>
          <w:tcPr>
            <w:tcW w:w="664" w:type="dxa"/>
            <w:tcBorders>
              <w:top w:val="nil"/>
              <w:left w:val="single" w:sz="4" w:space="0" w:color="auto"/>
              <w:bottom w:val="nil"/>
              <w:right w:val="single" w:sz="4" w:space="0" w:color="auto"/>
            </w:tcBorders>
            <w:shd w:val="clear" w:color="000000" w:fill="F2F2F2"/>
            <w:vAlign w:val="center"/>
            <w:hideMark/>
          </w:tcPr>
          <w:p w14:paraId="7CE4C299" w14:textId="77777777" w:rsidR="00C86770" w:rsidRPr="00641D93" w:rsidRDefault="00C86770" w:rsidP="002F1168">
            <w:pPr>
              <w:spacing w:after="0" w:line="240" w:lineRule="auto"/>
              <w:jc w:val="center"/>
              <w:rPr>
                <w:rFonts w:eastAsia="Times New Roman" w:cs="Calibri"/>
                <w:color w:val="auto"/>
                <w:sz w:val="18"/>
                <w:szCs w:val="18"/>
                <w:lang w:eastAsia="el-GR"/>
              </w:rPr>
            </w:pPr>
            <w:r>
              <w:rPr>
                <w:rFonts w:eastAsia="Times New Roman" w:cs="Calibri"/>
                <w:color w:val="auto"/>
                <w:sz w:val="18"/>
                <w:szCs w:val="18"/>
                <w:lang w:eastAsia="el-GR"/>
              </w:rPr>
              <w:t>343</w:t>
            </w:r>
          </w:p>
        </w:tc>
        <w:tc>
          <w:tcPr>
            <w:tcW w:w="664" w:type="dxa"/>
            <w:tcBorders>
              <w:top w:val="nil"/>
              <w:left w:val="single" w:sz="4" w:space="0" w:color="auto"/>
              <w:bottom w:val="nil"/>
              <w:right w:val="single" w:sz="4" w:space="0" w:color="auto"/>
            </w:tcBorders>
            <w:shd w:val="clear" w:color="000000" w:fill="F2F2F2"/>
            <w:vAlign w:val="center"/>
            <w:hideMark/>
          </w:tcPr>
          <w:p w14:paraId="6F0A54D3" w14:textId="77777777" w:rsidR="00C86770" w:rsidRPr="00641D93" w:rsidRDefault="00C86770" w:rsidP="002F1168">
            <w:pPr>
              <w:spacing w:after="0" w:line="240" w:lineRule="auto"/>
              <w:jc w:val="center"/>
              <w:rPr>
                <w:rFonts w:eastAsia="Times New Roman" w:cs="Calibri"/>
                <w:color w:val="auto"/>
                <w:sz w:val="18"/>
                <w:szCs w:val="18"/>
                <w:lang w:eastAsia="el-GR"/>
              </w:rPr>
            </w:pPr>
            <w:r>
              <w:rPr>
                <w:rFonts w:eastAsia="Times New Roman" w:cs="Calibri"/>
                <w:color w:val="auto"/>
                <w:sz w:val="18"/>
                <w:szCs w:val="18"/>
                <w:lang w:eastAsia="el-GR"/>
              </w:rPr>
              <w:t>36</w:t>
            </w:r>
            <w:r w:rsidRPr="00641D93">
              <w:rPr>
                <w:rFonts w:eastAsia="Times New Roman" w:cs="Calibri"/>
                <w:color w:val="auto"/>
                <w:sz w:val="18"/>
                <w:szCs w:val="18"/>
                <w:lang w:eastAsia="el-GR"/>
              </w:rPr>
              <w:t>3</w:t>
            </w:r>
          </w:p>
        </w:tc>
        <w:tc>
          <w:tcPr>
            <w:tcW w:w="0" w:type="auto"/>
            <w:tcBorders>
              <w:top w:val="nil"/>
              <w:left w:val="single" w:sz="4" w:space="0" w:color="auto"/>
              <w:bottom w:val="nil"/>
              <w:right w:val="single" w:sz="4" w:space="0" w:color="auto"/>
            </w:tcBorders>
            <w:shd w:val="clear" w:color="000000" w:fill="F2F2F2"/>
            <w:vAlign w:val="center"/>
            <w:hideMark/>
          </w:tcPr>
          <w:p w14:paraId="7A651C8F" w14:textId="77777777" w:rsidR="00C86770" w:rsidRPr="00641D93" w:rsidRDefault="00C86770" w:rsidP="002F1168">
            <w:pPr>
              <w:spacing w:after="0" w:line="240" w:lineRule="auto"/>
              <w:jc w:val="center"/>
              <w:rPr>
                <w:rFonts w:eastAsia="Times New Roman" w:cs="Calibri"/>
                <w:color w:val="auto"/>
                <w:sz w:val="18"/>
                <w:szCs w:val="18"/>
                <w:lang w:eastAsia="el-GR"/>
              </w:rPr>
            </w:pPr>
            <w:r>
              <w:rPr>
                <w:rFonts w:eastAsia="Times New Roman" w:cs="Calibri"/>
                <w:color w:val="auto"/>
                <w:sz w:val="18"/>
                <w:szCs w:val="18"/>
                <w:lang w:eastAsia="el-GR"/>
              </w:rPr>
              <w:t>369</w:t>
            </w:r>
          </w:p>
        </w:tc>
        <w:tc>
          <w:tcPr>
            <w:tcW w:w="0" w:type="auto"/>
            <w:tcBorders>
              <w:top w:val="nil"/>
              <w:left w:val="single" w:sz="4" w:space="0" w:color="auto"/>
              <w:bottom w:val="nil"/>
              <w:right w:val="single" w:sz="4" w:space="0" w:color="auto"/>
            </w:tcBorders>
            <w:shd w:val="clear" w:color="000000" w:fill="F2F2F2"/>
            <w:vAlign w:val="center"/>
            <w:hideMark/>
          </w:tcPr>
          <w:p w14:paraId="1405882C" w14:textId="77777777" w:rsidR="00C86770" w:rsidRPr="00641D93" w:rsidRDefault="00C86770" w:rsidP="002F1168">
            <w:pPr>
              <w:spacing w:after="0" w:line="240" w:lineRule="auto"/>
              <w:jc w:val="center"/>
              <w:rPr>
                <w:rFonts w:eastAsia="Times New Roman" w:cs="Calibri"/>
                <w:color w:val="auto"/>
                <w:sz w:val="18"/>
                <w:szCs w:val="18"/>
                <w:lang w:eastAsia="el-GR"/>
              </w:rPr>
            </w:pPr>
            <w:r w:rsidRPr="00641D93">
              <w:rPr>
                <w:rFonts w:eastAsia="Times New Roman" w:cs="Calibri"/>
                <w:color w:val="auto"/>
                <w:sz w:val="18"/>
                <w:szCs w:val="18"/>
                <w:lang w:eastAsia="el-GR"/>
              </w:rPr>
              <w:t>353</w:t>
            </w:r>
          </w:p>
        </w:tc>
        <w:tc>
          <w:tcPr>
            <w:tcW w:w="0" w:type="auto"/>
            <w:tcBorders>
              <w:top w:val="nil"/>
              <w:left w:val="single" w:sz="4" w:space="0" w:color="auto"/>
              <w:bottom w:val="nil"/>
              <w:right w:val="single" w:sz="4" w:space="0" w:color="auto"/>
            </w:tcBorders>
            <w:shd w:val="clear" w:color="000000" w:fill="F2F2F2"/>
            <w:vAlign w:val="center"/>
            <w:hideMark/>
          </w:tcPr>
          <w:p w14:paraId="3345BAF4" w14:textId="77777777" w:rsidR="00C86770" w:rsidRPr="002F42FA" w:rsidRDefault="00C86770" w:rsidP="002F1168">
            <w:pPr>
              <w:spacing w:after="0" w:line="240" w:lineRule="auto"/>
              <w:jc w:val="center"/>
              <w:rPr>
                <w:rFonts w:eastAsia="Times New Roman" w:cs="Calibri"/>
                <w:color w:val="auto"/>
                <w:sz w:val="18"/>
                <w:szCs w:val="18"/>
                <w:lang w:val="en-US" w:eastAsia="el-GR"/>
              </w:rPr>
            </w:pPr>
            <w:r>
              <w:rPr>
                <w:rFonts w:eastAsia="Times New Roman" w:cs="Calibri"/>
                <w:color w:val="auto"/>
                <w:sz w:val="18"/>
                <w:szCs w:val="18"/>
                <w:lang w:val="en-US" w:eastAsia="el-GR"/>
              </w:rPr>
              <w:t>361</w:t>
            </w:r>
          </w:p>
        </w:tc>
        <w:tc>
          <w:tcPr>
            <w:tcW w:w="0" w:type="auto"/>
            <w:tcBorders>
              <w:top w:val="nil"/>
              <w:left w:val="single" w:sz="4" w:space="0" w:color="auto"/>
              <w:bottom w:val="nil"/>
              <w:right w:val="single" w:sz="4" w:space="0" w:color="auto"/>
            </w:tcBorders>
            <w:shd w:val="clear" w:color="000000" w:fill="F2F2F2"/>
            <w:vAlign w:val="center"/>
          </w:tcPr>
          <w:p w14:paraId="1521FA9C" w14:textId="77777777" w:rsidR="00C86770" w:rsidRPr="002F42FA" w:rsidRDefault="00C86770" w:rsidP="002F1168">
            <w:pPr>
              <w:spacing w:after="0" w:line="240" w:lineRule="auto"/>
              <w:jc w:val="center"/>
              <w:rPr>
                <w:rFonts w:eastAsia="Times New Roman" w:cs="Calibri"/>
                <w:color w:val="auto"/>
                <w:sz w:val="18"/>
                <w:szCs w:val="18"/>
                <w:lang w:val="en-US" w:eastAsia="el-GR"/>
              </w:rPr>
            </w:pPr>
            <w:r>
              <w:rPr>
                <w:rFonts w:eastAsia="Times New Roman" w:cs="Calibri"/>
                <w:color w:val="auto"/>
                <w:sz w:val="18"/>
                <w:szCs w:val="18"/>
                <w:lang w:val="en-US" w:eastAsia="el-GR"/>
              </w:rPr>
              <w:t>336</w:t>
            </w:r>
          </w:p>
        </w:tc>
        <w:tc>
          <w:tcPr>
            <w:tcW w:w="0" w:type="auto"/>
            <w:tcBorders>
              <w:top w:val="nil"/>
              <w:left w:val="single" w:sz="4" w:space="0" w:color="auto"/>
              <w:bottom w:val="nil"/>
              <w:right w:val="single" w:sz="4" w:space="0" w:color="auto"/>
            </w:tcBorders>
            <w:shd w:val="clear" w:color="000000" w:fill="F2F2F2"/>
            <w:vAlign w:val="center"/>
          </w:tcPr>
          <w:p w14:paraId="5397EF96" w14:textId="77777777" w:rsidR="00C86770" w:rsidRPr="00641D93" w:rsidRDefault="00C86770" w:rsidP="002F1168">
            <w:pPr>
              <w:spacing w:after="0" w:line="240" w:lineRule="auto"/>
              <w:jc w:val="center"/>
              <w:rPr>
                <w:rFonts w:eastAsia="Times New Roman" w:cs="Calibri"/>
                <w:color w:val="auto"/>
                <w:sz w:val="18"/>
                <w:szCs w:val="18"/>
                <w:lang w:eastAsia="el-GR"/>
              </w:rPr>
            </w:pPr>
            <w:r>
              <w:rPr>
                <w:rFonts w:eastAsia="Times New Roman" w:cs="Calibri"/>
                <w:color w:val="auto"/>
                <w:sz w:val="18"/>
                <w:szCs w:val="18"/>
                <w:lang w:eastAsia="el-GR"/>
              </w:rPr>
              <w:t>-25</w:t>
            </w:r>
          </w:p>
        </w:tc>
        <w:tc>
          <w:tcPr>
            <w:tcW w:w="0" w:type="auto"/>
            <w:tcBorders>
              <w:top w:val="nil"/>
              <w:left w:val="single" w:sz="4" w:space="0" w:color="auto"/>
              <w:bottom w:val="nil"/>
              <w:right w:val="single" w:sz="4" w:space="0" w:color="auto"/>
            </w:tcBorders>
            <w:shd w:val="clear" w:color="000000" w:fill="F2F2F2"/>
            <w:vAlign w:val="center"/>
          </w:tcPr>
          <w:p w14:paraId="06CF412F" w14:textId="77777777" w:rsidR="00C86770" w:rsidRPr="00641D93" w:rsidRDefault="00C86770" w:rsidP="002F1168">
            <w:pPr>
              <w:spacing w:after="0" w:line="240" w:lineRule="auto"/>
              <w:jc w:val="center"/>
              <w:rPr>
                <w:rFonts w:eastAsia="Times New Roman" w:cs="Calibri"/>
                <w:color w:val="auto"/>
                <w:sz w:val="18"/>
                <w:szCs w:val="18"/>
                <w:lang w:eastAsia="el-GR"/>
              </w:rPr>
            </w:pPr>
            <w:r>
              <w:rPr>
                <w:rFonts w:eastAsia="Times New Roman" w:cs="Calibri"/>
                <w:color w:val="auto"/>
                <w:sz w:val="18"/>
                <w:szCs w:val="18"/>
                <w:lang w:val="en-GB" w:eastAsia="el-GR"/>
              </w:rPr>
              <w:t>-</w:t>
            </w:r>
            <w:r>
              <w:rPr>
                <w:rFonts w:eastAsia="Times New Roman" w:cs="Calibri"/>
                <w:color w:val="auto"/>
                <w:sz w:val="18"/>
                <w:szCs w:val="18"/>
                <w:lang w:eastAsia="el-GR"/>
              </w:rPr>
              <w:t>6,9%</w:t>
            </w:r>
          </w:p>
        </w:tc>
      </w:tr>
      <w:tr w:rsidR="00C86770" w:rsidRPr="00253C46" w14:paraId="440A2714" w14:textId="77777777" w:rsidTr="003E69BF">
        <w:trPr>
          <w:trHeight w:val="327"/>
        </w:trPr>
        <w:tc>
          <w:tcPr>
            <w:tcW w:w="0" w:type="auto"/>
            <w:tcBorders>
              <w:top w:val="nil"/>
              <w:left w:val="single" w:sz="4" w:space="0" w:color="auto"/>
              <w:bottom w:val="nil"/>
              <w:right w:val="single" w:sz="4" w:space="0" w:color="auto"/>
            </w:tcBorders>
            <w:shd w:val="clear" w:color="auto" w:fill="auto"/>
            <w:vAlign w:val="center"/>
            <w:hideMark/>
          </w:tcPr>
          <w:p w14:paraId="3CD3E3E4" w14:textId="77777777" w:rsidR="00C86770" w:rsidRPr="00253C46" w:rsidRDefault="00C86770" w:rsidP="002F1168">
            <w:pPr>
              <w:spacing w:after="0" w:line="240" w:lineRule="auto"/>
              <w:jc w:val="left"/>
              <w:rPr>
                <w:rFonts w:eastAsia="Times New Roman" w:cs="Calibri"/>
                <w:color w:val="auto"/>
                <w:sz w:val="18"/>
                <w:szCs w:val="18"/>
                <w:lang w:eastAsia="el-GR"/>
              </w:rPr>
            </w:pPr>
            <w:r w:rsidRPr="00253C46">
              <w:rPr>
                <w:rFonts w:eastAsia="Times New Roman" w:cs="Calibri"/>
                <w:color w:val="auto"/>
                <w:sz w:val="18"/>
                <w:szCs w:val="18"/>
                <w:lang w:eastAsia="el-GR"/>
              </w:rPr>
              <w:t>% επί συνολικής</w:t>
            </w:r>
          </w:p>
        </w:tc>
        <w:tc>
          <w:tcPr>
            <w:tcW w:w="0" w:type="auto"/>
            <w:tcBorders>
              <w:top w:val="nil"/>
              <w:left w:val="single" w:sz="4" w:space="0" w:color="auto"/>
              <w:bottom w:val="nil"/>
              <w:right w:val="single" w:sz="4" w:space="0" w:color="auto"/>
            </w:tcBorders>
            <w:shd w:val="clear" w:color="auto" w:fill="auto"/>
            <w:vAlign w:val="center"/>
            <w:hideMark/>
          </w:tcPr>
          <w:p w14:paraId="27DA7E37" w14:textId="77777777" w:rsidR="00C86770" w:rsidRPr="00641D93" w:rsidRDefault="00C86770" w:rsidP="002F1168">
            <w:pPr>
              <w:spacing w:after="0" w:line="240" w:lineRule="auto"/>
              <w:jc w:val="center"/>
              <w:rPr>
                <w:rFonts w:eastAsia="Times New Roman" w:cs="Calibri"/>
                <w:color w:val="auto"/>
                <w:sz w:val="18"/>
                <w:szCs w:val="18"/>
                <w:lang w:eastAsia="el-GR"/>
              </w:rPr>
            </w:pPr>
            <w:r>
              <w:rPr>
                <w:rFonts w:eastAsia="Times New Roman" w:cs="Calibri"/>
                <w:color w:val="auto"/>
                <w:sz w:val="18"/>
                <w:szCs w:val="18"/>
                <w:lang w:eastAsia="el-GR"/>
              </w:rPr>
              <w:t>9</w:t>
            </w:r>
            <w:r w:rsidRPr="00641D93">
              <w:rPr>
                <w:rFonts w:eastAsia="Times New Roman" w:cs="Calibri"/>
                <w:color w:val="auto"/>
                <w:sz w:val="18"/>
                <w:szCs w:val="18"/>
                <w:lang w:eastAsia="el-GR"/>
              </w:rPr>
              <w:t>,5%</w:t>
            </w:r>
          </w:p>
        </w:tc>
        <w:tc>
          <w:tcPr>
            <w:tcW w:w="664" w:type="dxa"/>
            <w:tcBorders>
              <w:top w:val="nil"/>
              <w:left w:val="single" w:sz="4" w:space="0" w:color="auto"/>
              <w:bottom w:val="nil"/>
              <w:right w:val="single" w:sz="4" w:space="0" w:color="auto"/>
            </w:tcBorders>
            <w:shd w:val="clear" w:color="auto" w:fill="auto"/>
            <w:vAlign w:val="center"/>
            <w:hideMark/>
          </w:tcPr>
          <w:p w14:paraId="0428DC66" w14:textId="77777777" w:rsidR="00C86770" w:rsidRPr="00641D93" w:rsidRDefault="00C86770" w:rsidP="002F1168">
            <w:pPr>
              <w:spacing w:after="0" w:line="240" w:lineRule="auto"/>
              <w:jc w:val="center"/>
              <w:rPr>
                <w:rFonts w:eastAsia="Times New Roman" w:cs="Calibri"/>
                <w:color w:val="auto"/>
                <w:sz w:val="18"/>
                <w:szCs w:val="18"/>
                <w:lang w:eastAsia="el-GR"/>
              </w:rPr>
            </w:pPr>
            <w:r w:rsidRPr="00641D93">
              <w:rPr>
                <w:rFonts w:eastAsia="Times New Roman" w:cs="Calibri"/>
                <w:color w:val="auto"/>
                <w:sz w:val="18"/>
                <w:szCs w:val="18"/>
                <w:lang w:eastAsia="el-GR"/>
              </w:rPr>
              <w:t>9,5%</w:t>
            </w:r>
          </w:p>
        </w:tc>
        <w:tc>
          <w:tcPr>
            <w:tcW w:w="664" w:type="dxa"/>
            <w:tcBorders>
              <w:top w:val="nil"/>
              <w:left w:val="single" w:sz="4" w:space="0" w:color="auto"/>
              <w:bottom w:val="nil"/>
              <w:right w:val="single" w:sz="4" w:space="0" w:color="auto"/>
            </w:tcBorders>
            <w:shd w:val="clear" w:color="auto" w:fill="auto"/>
            <w:vAlign w:val="center"/>
            <w:hideMark/>
          </w:tcPr>
          <w:p w14:paraId="2E9BF56B" w14:textId="77777777" w:rsidR="00C86770" w:rsidRPr="00641D93" w:rsidRDefault="00C86770" w:rsidP="002F1168">
            <w:pPr>
              <w:spacing w:after="0" w:line="240" w:lineRule="auto"/>
              <w:jc w:val="center"/>
              <w:rPr>
                <w:rFonts w:eastAsia="Times New Roman" w:cs="Calibri"/>
                <w:color w:val="auto"/>
                <w:sz w:val="18"/>
                <w:szCs w:val="18"/>
                <w:lang w:eastAsia="el-GR"/>
              </w:rPr>
            </w:pPr>
            <w:r>
              <w:rPr>
                <w:rFonts w:eastAsia="Times New Roman" w:cs="Calibri"/>
                <w:color w:val="auto"/>
                <w:sz w:val="18"/>
                <w:szCs w:val="18"/>
                <w:lang w:eastAsia="el-GR"/>
              </w:rPr>
              <w:t>9,9</w:t>
            </w:r>
            <w:r w:rsidRPr="00641D93">
              <w:rPr>
                <w:rFonts w:eastAsia="Times New Roman" w:cs="Calibri"/>
                <w:color w:val="auto"/>
                <w:sz w:val="18"/>
                <w:szCs w:val="18"/>
                <w:lang w:eastAsia="el-GR"/>
              </w:rPr>
              <w:t>%</w:t>
            </w:r>
          </w:p>
        </w:tc>
        <w:tc>
          <w:tcPr>
            <w:tcW w:w="0" w:type="auto"/>
            <w:tcBorders>
              <w:top w:val="nil"/>
              <w:left w:val="single" w:sz="4" w:space="0" w:color="auto"/>
              <w:bottom w:val="nil"/>
              <w:right w:val="single" w:sz="4" w:space="0" w:color="auto"/>
            </w:tcBorders>
            <w:shd w:val="clear" w:color="auto" w:fill="auto"/>
            <w:vAlign w:val="center"/>
            <w:hideMark/>
          </w:tcPr>
          <w:p w14:paraId="3022E4D6" w14:textId="77777777" w:rsidR="00C86770" w:rsidRPr="00641D93" w:rsidRDefault="00C86770" w:rsidP="002F1168">
            <w:pPr>
              <w:spacing w:after="0" w:line="240" w:lineRule="auto"/>
              <w:jc w:val="center"/>
              <w:rPr>
                <w:rFonts w:eastAsia="Times New Roman" w:cs="Calibri"/>
                <w:color w:val="auto"/>
                <w:sz w:val="18"/>
                <w:szCs w:val="18"/>
                <w:lang w:eastAsia="el-GR"/>
              </w:rPr>
            </w:pPr>
            <w:r>
              <w:rPr>
                <w:rFonts w:eastAsia="Times New Roman" w:cs="Calibri"/>
                <w:color w:val="auto"/>
                <w:sz w:val="18"/>
                <w:szCs w:val="18"/>
                <w:lang w:eastAsia="el-GR"/>
              </w:rPr>
              <w:t>9,8</w:t>
            </w:r>
            <w:r w:rsidRPr="00641D93">
              <w:rPr>
                <w:rFonts w:eastAsia="Times New Roman" w:cs="Calibri"/>
                <w:color w:val="auto"/>
                <w:sz w:val="18"/>
                <w:szCs w:val="18"/>
                <w:lang w:eastAsia="el-GR"/>
              </w:rPr>
              <w:t>%</w:t>
            </w:r>
          </w:p>
        </w:tc>
        <w:tc>
          <w:tcPr>
            <w:tcW w:w="0" w:type="auto"/>
            <w:tcBorders>
              <w:top w:val="nil"/>
              <w:left w:val="single" w:sz="4" w:space="0" w:color="auto"/>
              <w:bottom w:val="nil"/>
              <w:right w:val="single" w:sz="4" w:space="0" w:color="auto"/>
            </w:tcBorders>
            <w:shd w:val="clear" w:color="auto" w:fill="auto"/>
            <w:vAlign w:val="center"/>
            <w:hideMark/>
          </w:tcPr>
          <w:p w14:paraId="45B1ACD9" w14:textId="77777777" w:rsidR="00C86770" w:rsidRPr="00641D93" w:rsidRDefault="00C86770" w:rsidP="002F1168">
            <w:pPr>
              <w:spacing w:after="0" w:line="240" w:lineRule="auto"/>
              <w:jc w:val="center"/>
              <w:rPr>
                <w:rFonts w:eastAsia="Times New Roman" w:cs="Calibri"/>
                <w:color w:val="auto"/>
                <w:sz w:val="18"/>
                <w:szCs w:val="18"/>
                <w:lang w:eastAsia="el-GR"/>
              </w:rPr>
            </w:pPr>
            <w:r w:rsidRPr="00641D93">
              <w:rPr>
                <w:rFonts w:eastAsia="Times New Roman" w:cs="Calibri"/>
                <w:color w:val="auto"/>
                <w:sz w:val="18"/>
                <w:szCs w:val="18"/>
                <w:lang w:eastAsia="el-GR"/>
              </w:rPr>
              <w:t>9,2%</w:t>
            </w:r>
          </w:p>
        </w:tc>
        <w:tc>
          <w:tcPr>
            <w:tcW w:w="0" w:type="auto"/>
            <w:tcBorders>
              <w:top w:val="nil"/>
              <w:left w:val="single" w:sz="4" w:space="0" w:color="auto"/>
              <w:bottom w:val="nil"/>
              <w:right w:val="single" w:sz="4" w:space="0" w:color="auto"/>
            </w:tcBorders>
            <w:vAlign w:val="center"/>
            <w:hideMark/>
          </w:tcPr>
          <w:p w14:paraId="4C40E922" w14:textId="77777777" w:rsidR="00C86770" w:rsidRPr="00641D93" w:rsidRDefault="00C86770" w:rsidP="002F1168">
            <w:pPr>
              <w:spacing w:after="0" w:line="240" w:lineRule="auto"/>
              <w:jc w:val="center"/>
              <w:rPr>
                <w:rFonts w:eastAsia="Times New Roman" w:cs="Calibri"/>
                <w:color w:val="auto"/>
                <w:sz w:val="18"/>
                <w:szCs w:val="18"/>
                <w:lang w:eastAsia="el-GR"/>
              </w:rPr>
            </w:pPr>
            <w:r>
              <w:rPr>
                <w:rFonts w:eastAsia="Times New Roman" w:cs="Calibri"/>
                <w:color w:val="auto"/>
                <w:sz w:val="18"/>
                <w:szCs w:val="18"/>
                <w:lang w:val="en-US" w:eastAsia="el-GR"/>
              </w:rPr>
              <w:t>9,2</w:t>
            </w:r>
            <w:r w:rsidRPr="00641D93">
              <w:rPr>
                <w:rFonts w:eastAsia="Times New Roman" w:cs="Calibri"/>
                <w:color w:val="auto"/>
                <w:sz w:val="18"/>
                <w:szCs w:val="18"/>
                <w:lang w:eastAsia="el-GR"/>
              </w:rPr>
              <w:t>%</w:t>
            </w:r>
          </w:p>
        </w:tc>
        <w:tc>
          <w:tcPr>
            <w:tcW w:w="0" w:type="auto"/>
            <w:tcBorders>
              <w:top w:val="nil"/>
              <w:left w:val="single" w:sz="4" w:space="0" w:color="auto"/>
              <w:bottom w:val="nil"/>
              <w:right w:val="single" w:sz="4" w:space="0" w:color="auto"/>
            </w:tcBorders>
            <w:vAlign w:val="center"/>
          </w:tcPr>
          <w:p w14:paraId="713C9132" w14:textId="77777777" w:rsidR="00C86770" w:rsidRPr="00641D93" w:rsidRDefault="00C86770" w:rsidP="002F1168">
            <w:pPr>
              <w:spacing w:after="0" w:line="240" w:lineRule="auto"/>
              <w:jc w:val="center"/>
              <w:rPr>
                <w:rFonts w:eastAsia="Times New Roman" w:cs="Calibri"/>
                <w:color w:val="auto"/>
                <w:sz w:val="18"/>
                <w:szCs w:val="18"/>
                <w:lang w:eastAsia="el-GR"/>
              </w:rPr>
            </w:pPr>
            <w:r>
              <w:rPr>
                <w:rFonts w:eastAsia="Times New Roman" w:cs="Calibri"/>
                <w:color w:val="auto"/>
                <w:sz w:val="18"/>
                <w:szCs w:val="18"/>
                <w:lang w:val="en-US" w:eastAsia="el-GR"/>
              </w:rPr>
              <w:t>8,7</w:t>
            </w:r>
            <w:r w:rsidRPr="00641D93">
              <w:rPr>
                <w:rFonts w:eastAsia="Times New Roman" w:cs="Calibri"/>
                <w:color w:val="auto"/>
                <w:sz w:val="18"/>
                <w:szCs w:val="18"/>
                <w:lang w:eastAsia="el-GR"/>
              </w:rPr>
              <w:t>%</w:t>
            </w:r>
          </w:p>
        </w:tc>
        <w:tc>
          <w:tcPr>
            <w:tcW w:w="0" w:type="auto"/>
            <w:tcBorders>
              <w:top w:val="nil"/>
              <w:left w:val="single" w:sz="4" w:space="0" w:color="auto"/>
              <w:bottom w:val="nil"/>
              <w:right w:val="single" w:sz="4" w:space="0" w:color="auto"/>
            </w:tcBorders>
            <w:vAlign w:val="center"/>
          </w:tcPr>
          <w:p w14:paraId="3B9B0ED2" w14:textId="77777777" w:rsidR="00C86770" w:rsidRPr="00641D93" w:rsidRDefault="00C86770" w:rsidP="002F1168">
            <w:pPr>
              <w:spacing w:after="0" w:line="240" w:lineRule="auto"/>
              <w:jc w:val="center"/>
              <w:rPr>
                <w:rFonts w:eastAsia="Times New Roman" w:cs="Calibri"/>
                <w:color w:val="auto"/>
                <w:sz w:val="18"/>
                <w:szCs w:val="18"/>
                <w:lang w:eastAsia="el-GR"/>
              </w:rPr>
            </w:pPr>
          </w:p>
        </w:tc>
        <w:tc>
          <w:tcPr>
            <w:tcW w:w="0" w:type="auto"/>
            <w:tcBorders>
              <w:top w:val="nil"/>
              <w:left w:val="single" w:sz="4" w:space="0" w:color="auto"/>
              <w:bottom w:val="nil"/>
              <w:right w:val="single" w:sz="4" w:space="0" w:color="auto"/>
            </w:tcBorders>
            <w:vAlign w:val="center"/>
          </w:tcPr>
          <w:p w14:paraId="4694583E" w14:textId="77777777" w:rsidR="00C86770" w:rsidRPr="00641D93" w:rsidRDefault="00C86770" w:rsidP="002F1168">
            <w:pPr>
              <w:spacing w:after="0" w:line="240" w:lineRule="auto"/>
              <w:jc w:val="center"/>
              <w:rPr>
                <w:rFonts w:eastAsia="Times New Roman" w:cs="Calibri"/>
                <w:color w:val="auto"/>
                <w:sz w:val="18"/>
                <w:szCs w:val="18"/>
                <w:lang w:eastAsia="el-GR"/>
              </w:rPr>
            </w:pPr>
          </w:p>
        </w:tc>
      </w:tr>
      <w:tr w:rsidR="00C86770" w:rsidRPr="00253C46" w14:paraId="19B71009" w14:textId="77777777" w:rsidTr="002840F1">
        <w:trPr>
          <w:trHeight w:val="639"/>
        </w:trPr>
        <w:tc>
          <w:tcPr>
            <w:tcW w:w="0" w:type="auto"/>
            <w:tcBorders>
              <w:top w:val="nil"/>
              <w:left w:val="single" w:sz="4" w:space="0" w:color="auto"/>
              <w:bottom w:val="single" w:sz="8" w:space="0" w:color="676A6E"/>
              <w:right w:val="single" w:sz="4" w:space="0" w:color="auto"/>
            </w:tcBorders>
            <w:shd w:val="clear" w:color="auto" w:fill="F2F2F2" w:themeFill="background1" w:themeFillShade="F2"/>
            <w:vAlign w:val="bottom"/>
            <w:hideMark/>
          </w:tcPr>
          <w:p w14:paraId="5489FAF6" w14:textId="77777777" w:rsidR="00C86770" w:rsidRPr="00253C46" w:rsidRDefault="00C86770" w:rsidP="002F1168">
            <w:pPr>
              <w:spacing w:after="0" w:line="240" w:lineRule="auto"/>
              <w:jc w:val="left"/>
              <w:rPr>
                <w:rFonts w:eastAsia="Times New Roman" w:cs="Calibri"/>
                <w:color w:val="000000"/>
                <w:sz w:val="18"/>
                <w:szCs w:val="18"/>
                <w:lang w:eastAsia="el-GR"/>
              </w:rPr>
            </w:pPr>
            <w:r>
              <w:rPr>
                <w:rFonts w:eastAsia="Times New Roman" w:cs="Calibri"/>
                <w:color w:val="000000"/>
                <w:sz w:val="18"/>
                <w:szCs w:val="18"/>
                <w:lang w:eastAsia="el-GR"/>
              </w:rPr>
              <w:t>% μερικά απασχολουμέ</w:t>
            </w:r>
            <w:r w:rsidRPr="00253C46">
              <w:rPr>
                <w:rFonts w:eastAsia="Times New Roman" w:cs="Calibri"/>
                <w:color w:val="000000"/>
                <w:sz w:val="18"/>
                <w:szCs w:val="18"/>
                <w:lang w:eastAsia="el-GR"/>
              </w:rPr>
              <w:t>νων που δεν μπορούν να βρουν πλήρη απασχόληση</w:t>
            </w:r>
          </w:p>
        </w:tc>
        <w:tc>
          <w:tcPr>
            <w:tcW w:w="0" w:type="auto"/>
            <w:tcBorders>
              <w:top w:val="nil"/>
              <w:left w:val="single" w:sz="4" w:space="0" w:color="auto"/>
              <w:bottom w:val="single" w:sz="8" w:space="0" w:color="676A6E"/>
              <w:right w:val="single" w:sz="4" w:space="0" w:color="auto"/>
            </w:tcBorders>
            <w:shd w:val="clear" w:color="auto" w:fill="F2F2F2" w:themeFill="background1" w:themeFillShade="F2"/>
            <w:noWrap/>
            <w:vAlign w:val="center"/>
            <w:hideMark/>
          </w:tcPr>
          <w:p w14:paraId="4C6DA142" w14:textId="77777777" w:rsidR="00C86770" w:rsidRPr="00641D93" w:rsidRDefault="00C86770" w:rsidP="002F1168">
            <w:pPr>
              <w:spacing w:after="0" w:line="240" w:lineRule="auto"/>
              <w:jc w:val="center"/>
              <w:rPr>
                <w:rFonts w:eastAsia="Times New Roman" w:cs="Calibri"/>
                <w:color w:val="000000"/>
                <w:sz w:val="18"/>
                <w:szCs w:val="18"/>
                <w:lang w:eastAsia="el-GR"/>
              </w:rPr>
            </w:pPr>
            <w:r>
              <w:rPr>
                <w:rFonts w:eastAsia="Times New Roman" w:cs="Calibri"/>
                <w:color w:val="000000"/>
                <w:sz w:val="18"/>
                <w:szCs w:val="18"/>
                <w:lang w:eastAsia="el-GR"/>
              </w:rPr>
              <w:t>66,5</w:t>
            </w:r>
            <w:r w:rsidRPr="00641D93">
              <w:rPr>
                <w:rFonts w:eastAsia="Times New Roman" w:cs="Calibri"/>
                <w:color w:val="000000"/>
                <w:sz w:val="18"/>
                <w:szCs w:val="18"/>
                <w:lang w:eastAsia="el-GR"/>
              </w:rPr>
              <w:t>%</w:t>
            </w:r>
          </w:p>
        </w:tc>
        <w:tc>
          <w:tcPr>
            <w:tcW w:w="664" w:type="dxa"/>
            <w:tcBorders>
              <w:top w:val="nil"/>
              <w:left w:val="single" w:sz="4" w:space="0" w:color="auto"/>
              <w:bottom w:val="single" w:sz="8" w:space="0" w:color="676A6E"/>
              <w:right w:val="single" w:sz="4" w:space="0" w:color="auto"/>
            </w:tcBorders>
            <w:shd w:val="clear" w:color="auto" w:fill="F2F2F2" w:themeFill="background1" w:themeFillShade="F2"/>
            <w:noWrap/>
            <w:vAlign w:val="center"/>
            <w:hideMark/>
          </w:tcPr>
          <w:p w14:paraId="24D03E6A" w14:textId="77777777" w:rsidR="00C86770" w:rsidRPr="00641D93" w:rsidRDefault="00C86770" w:rsidP="002F1168">
            <w:pPr>
              <w:spacing w:after="0" w:line="240" w:lineRule="auto"/>
              <w:jc w:val="center"/>
              <w:rPr>
                <w:rFonts w:eastAsia="Times New Roman" w:cs="Calibri"/>
                <w:color w:val="000000"/>
                <w:sz w:val="18"/>
                <w:szCs w:val="18"/>
                <w:lang w:eastAsia="el-GR"/>
              </w:rPr>
            </w:pPr>
            <w:r>
              <w:rPr>
                <w:rFonts w:eastAsia="Times New Roman" w:cs="Calibri"/>
                <w:color w:val="000000"/>
                <w:sz w:val="18"/>
                <w:szCs w:val="18"/>
                <w:lang w:eastAsia="el-GR"/>
              </w:rPr>
              <w:t>68,8</w:t>
            </w:r>
            <w:r w:rsidRPr="00641D93">
              <w:rPr>
                <w:rFonts w:eastAsia="Times New Roman" w:cs="Calibri"/>
                <w:color w:val="000000"/>
                <w:sz w:val="18"/>
                <w:szCs w:val="18"/>
                <w:lang w:eastAsia="el-GR"/>
              </w:rPr>
              <w:t>%</w:t>
            </w:r>
          </w:p>
        </w:tc>
        <w:tc>
          <w:tcPr>
            <w:tcW w:w="664" w:type="dxa"/>
            <w:tcBorders>
              <w:top w:val="nil"/>
              <w:left w:val="single" w:sz="4" w:space="0" w:color="auto"/>
              <w:bottom w:val="single" w:sz="8" w:space="0" w:color="676A6E"/>
              <w:right w:val="single" w:sz="4" w:space="0" w:color="auto"/>
            </w:tcBorders>
            <w:shd w:val="clear" w:color="auto" w:fill="F2F2F2" w:themeFill="background1" w:themeFillShade="F2"/>
            <w:noWrap/>
            <w:vAlign w:val="center"/>
            <w:hideMark/>
          </w:tcPr>
          <w:p w14:paraId="63F72F63" w14:textId="77777777" w:rsidR="00C86770" w:rsidRPr="00641D93" w:rsidRDefault="00C86770" w:rsidP="002F1168">
            <w:pPr>
              <w:spacing w:after="0" w:line="240" w:lineRule="auto"/>
              <w:jc w:val="center"/>
              <w:rPr>
                <w:rFonts w:eastAsia="Times New Roman" w:cs="Calibri"/>
                <w:color w:val="000000"/>
                <w:sz w:val="18"/>
                <w:szCs w:val="18"/>
                <w:lang w:eastAsia="el-GR"/>
              </w:rPr>
            </w:pPr>
            <w:r>
              <w:rPr>
                <w:rFonts w:eastAsia="Times New Roman" w:cs="Calibri"/>
                <w:color w:val="000000"/>
                <w:sz w:val="18"/>
                <w:szCs w:val="18"/>
                <w:lang w:eastAsia="el-GR"/>
              </w:rPr>
              <w:t>68,7</w:t>
            </w:r>
            <w:r w:rsidRPr="00641D93">
              <w:rPr>
                <w:rFonts w:eastAsia="Times New Roman" w:cs="Calibri"/>
                <w:color w:val="000000"/>
                <w:sz w:val="18"/>
                <w:szCs w:val="18"/>
                <w:lang w:eastAsia="el-GR"/>
              </w:rPr>
              <w:t>%</w:t>
            </w:r>
          </w:p>
        </w:tc>
        <w:tc>
          <w:tcPr>
            <w:tcW w:w="0" w:type="auto"/>
            <w:tcBorders>
              <w:top w:val="nil"/>
              <w:left w:val="single" w:sz="4" w:space="0" w:color="auto"/>
              <w:bottom w:val="single" w:sz="8" w:space="0" w:color="676A6E"/>
              <w:right w:val="single" w:sz="4" w:space="0" w:color="auto"/>
            </w:tcBorders>
            <w:shd w:val="clear" w:color="auto" w:fill="F2F2F2" w:themeFill="background1" w:themeFillShade="F2"/>
            <w:noWrap/>
            <w:vAlign w:val="center"/>
            <w:hideMark/>
          </w:tcPr>
          <w:p w14:paraId="1CE1E2BA" w14:textId="77777777" w:rsidR="00C86770" w:rsidRPr="00641D93" w:rsidRDefault="00C86770" w:rsidP="002F1168">
            <w:pPr>
              <w:spacing w:after="0" w:line="240" w:lineRule="auto"/>
              <w:jc w:val="center"/>
              <w:rPr>
                <w:rFonts w:eastAsia="Times New Roman" w:cs="Calibri"/>
                <w:color w:val="000000"/>
                <w:sz w:val="18"/>
                <w:szCs w:val="18"/>
                <w:lang w:eastAsia="el-GR"/>
              </w:rPr>
            </w:pPr>
            <w:r>
              <w:rPr>
                <w:rFonts w:eastAsia="Times New Roman" w:cs="Calibri"/>
                <w:color w:val="000000"/>
                <w:sz w:val="18"/>
                <w:szCs w:val="18"/>
                <w:lang w:eastAsia="el-GR"/>
              </w:rPr>
              <w:t>67,1</w:t>
            </w:r>
            <w:r w:rsidRPr="00641D93">
              <w:rPr>
                <w:rFonts w:eastAsia="Times New Roman" w:cs="Calibri"/>
                <w:color w:val="000000"/>
                <w:sz w:val="18"/>
                <w:szCs w:val="18"/>
                <w:lang w:eastAsia="el-GR"/>
              </w:rPr>
              <w:t>%</w:t>
            </w:r>
          </w:p>
        </w:tc>
        <w:tc>
          <w:tcPr>
            <w:tcW w:w="0" w:type="auto"/>
            <w:tcBorders>
              <w:top w:val="nil"/>
              <w:left w:val="single" w:sz="4" w:space="0" w:color="auto"/>
              <w:bottom w:val="single" w:sz="8" w:space="0" w:color="676A6E"/>
              <w:right w:val="single" w:sz="4" w:space="0" w:color="auto"/>
            </w:tcBorders>
            <w:shd w:val="clear" w:color="auto" w:fill="F2F2F2" w:themeFill="background1" w:themeFillShade="F2"/>
            <w:noWrap/>
            <w:vAlign w:val="center"/>
            <w:hideMark/>
          </w:tcPr>
          <w:p w14:paraId="20C3B36B" w14:textId="77777777" w:rsidR="00C86770" w:rsidRPr="00641D93" w:rsidRDefault="00C86770" w:rsidP="002F1168">
            <w:pPr>
              <w:spacing w:after="0" w:line="240" w:lineRule="auto"/>
              <w:jc w:val="center"/>
              <w:rPr>
                <w:rFonts w:eastAsia="Times New Roman" w:cs="Calibri"/>
                <w:color w:val="000000"/>
                <w:sz w:val="18"/>
                <w:szCs w:val="18"/>
                <w:lang w:eastAsia="el-GR"/>
              </w:rPr>
            </w:pPr>
            <w:r w:rsidRPr="00641D93">
              <w:rPr>
                <w:rFonts w:eastAsia="Times New Roman" w:cs="Calibri"/>
                <w:color w:val="000000"/>
                <w:sz w:val="18"/>
                <w:szCs w:val="18"/>
                <w:lang w:eastAsia="el-GR"/>
              </w:rPr>
              <w:t>67,0%</w:t>
            </w:r>
          </w:p>
        </w:tc>
        <w:tc>
          <w:tcPr>
            <w:tcW w:w="0" w:type="auto"/>
            <w:tcBorders>
              <w:top w:val="nil"/>
              <w:left w:val="single" w:sz="4" w:space="0" w:color="auto"/>
              <w:bottom w:val="single" w:sz="8" w:space="0" w:color="676A6E"/>
              <w:right w:val="single" w:sz="4" w:space="0" w:color="auto"/>
            </w:tcBorders>
            <w:shd w:val="clear" w:color="auto" w:fill="F2F2F2" w:themeFill="background1" w:themeFillShade="F2"/>
            <w:noWrap/>
            <w:vAlign w:val="center"/>
            <w:hideMark/>
          </w:tcPr>
          <w:p w14:paraId="0EC6CC0B" w14:textId="77777777" w:rsidR="00C86770" w:rsidRPr="00641D93" w:rsidRDefault="00C86770" w:rsidP="002F1168">
            <w:pPr>
              <w:spacing w:after="0" w:line="240" w:lineRule="auto"/>
              <w:jc w:val="center"/>
              <w:rPr>
                <w:rFonts w:eastAsia="Times New Roman" w:cs="Calibri"/>
                <w:color w:val="000000"/>
                <w:sz w:val="18"/>
                <w:szCs w:val="18"/>
                <w:lang w:eastAsia="el-GR"/>
              </w:rPr>
            </w:pPr>
            <w:r>
              <w:rPr>
                <w:rFonts w:eastAsia="Times New Roman" w:cs="Calibri"/>
                <w:color w:val="000000"/>
                <w:sz w:val="18"/>
                <w:szCs w:val="18"/>
                <w:lang w:eastAsia="el-GR"/>
              </w:rPr>
              <w:t>6</w:t>
            </w:r>
            <w:r>
              <w:rPr>
                <w:rFonts w:eastAsia="Times New Roman" w:cs="Calibri"/>
                <w:color w:val="000000"/>
                <w:sz w:val="18"/>
                <w:szCs w:val="18"/>
                <w:lang w:val="en-US" w:eastAsia="el-GR"/>
              </w:rPr>
              <w:t>3,2</w:t>
            </w:r>
            <w:r w:rsidRPr="00641D93">
              <w:rPr>
                <w:rFonts w:eastAsia="Times New Roman" w:cs="Calibri"/>
                <w:color w:val="000000"/>
                <w:sz w:val="18"/>
                <w:szCs w:val="18"/>
                <w:lang w:eastAsia="el-GR"/>
              </w:rPr>
              <w:t>%</w:t>
            </w:r>
          </w:p>
        </w:tc>
        <w:tc>
          <w:tcPr>
            <w:tcW w:w="0" w:type="auto"/>
            <w:tcBorders>
              <w:top w:val="nil"/>
              <w:left w:val="single" w:sz="4" w:space="0" w:color="auto"/>
              <w:bottom w:val="single" w:sz="8" w:space="0" w:color="676A6E"/>
              <w:right w:val="single" w:sz="4" w:space="0" w:color="auto"/>
            </w:tcBorders>
            <w:shd w:val="clear" w:color="auto" w:fill="F2F2F2" w:themeFill="background1" w:themeFillShade="F2"/>
            <w:vAlign w:val="center"/>
          </w:tcPr>
          <w:p w14:paraId="7B8E7000" w14:textId="77777777" w:rsidR="00C86770" w:rsidRPr="00641D93" w:rsidRDefault="00C86770" w:rsidP="002F1168">
            <w:pPr>
              <w:spacing w:after="0" w:line="240" w:lineRule="auto"/>
              <w:jc w:val="center"/>
              <w:rPr>
                <w:rFonts w:eastAsia="Times New Roman" w:cs="Calibri"/>
                <w:color w:val="000000"/>
                <w:sz w:val="18"/>
                <w:szCs w:val="18"/>
                <w:lang w:eastAsia="el-GR"/>
              </w:rPr>
            </w:pPr>
            <w:r>
              <w:rPr>
                <w:rFonts w:eastAsia="Times New Roman" w:cs="Calibri"/>
                <w:color w:val="000000"/>
                <w:sz w:val="18"/>
                <w:szCs w:val="18"/>
                <w:lang w:eastAsia="el-GR"/>
              </w:rPr>
              <w:t>6</w:t>
            </w:r>
            <w:r>
              <w:rPr>
                <w:rFonts w:eastAsia="Times New Roman" w:cs="Calibri"/>
                <w:color w:val="000000"/>
                <w:sz w:val="18"/>
                <w:szCs w:val="18"/>
                <w:lang w:val="en-US" w:eastAsia="el-GR"/>
              </w:rPr>
              <w:t>2,0</w:t>
            </w:r>
            <w:r w:rsidRPr="00641D93">
              <w:rPr>
                <w:rFonts w:eastAsia="Times New Roman" w:cs="Calibri"/>
                <w:color w:val="000000"/>
                <w:sz w:val="18"/>
                <w:szCs w:val="18"/>
                <w:lang w:eastAsia="el-GR"/>
              </w:rPr>
              <w:t>%</w:t>
            </w:r>
          </w:p>
        </w:tc>
        <w:tc>
          <w:tcPr>
            <w:tcW w:w="0" w:type="auto"/>
            <w:tcBorders>
              <w:top w:val="nil"/>
              <w:left w:val="single" w:sz="4" w:space="0" w:color="auto"/>
              <w:bottom w:val="single" w:sz="8" w:space="0" w:color="676A6E"/>
              <w:right w:val="single" w:sz="4" w:space="0" w:color="auto"/>
            </w:tcBorders>
            <w:shd w:val="clear" w:color="auto" w:fill="F2F2F2" w:themeFill="background1" w:themeFillShade="F2"/>
            <w:vAlign w:val="center"/>
          </w:tcPr>
          <w:p w14:paraId="226B9E12" w14:textId="77777777" w:rsidR="00C86770" w:rsidRPr="00641D93" w:rsidRDefault="00C86770" w:rsidP="002F1168">
            <w:pPr>
              <w:spacing w:after="0" w:line="240" w:lineRule="auto"/>
              <w:jc w:val="center"/>
              <w:rPr>
                <w:rFonts w:eastAsia="Times New Roman" w:cs="Calibri"/>
                <w:color w:val="000000"/>
                <w:sz w:val="18"/>
                <w:szCs w:val="18"/>
                <w:lang w:eastAsia="el-GR"/>
              </w:rPr>
            </w:pPr>
          </w:p>
        </w:tc>
        <w:tc>
          <w:tcPr>
            <w:tcW w:w="0" w:type="auto"/>
            <w:tcBorders>
              <w:top w:val="nil"/>
              <w:left w:val="single" w:sz="4" w:space="0" w:color="auto"/>
              <w:bottom w:val="single" w:sz="8" w:space="0" w:color="676A6E"/>
              <w:right w:val="single" w:sz="4" w:space="0" w:color="auto"/>
            </w:tcBorders>
            <w:shd w:val="clear" w:color="auto" w:fill="F2F2F2" w:themeFill="background1" w:themeFillShade="F2"/>
            <w:vAlign w:val="center"/>
          </w:tcPr>
          <w:p w14:paraId="159BEBF0" w14:textId="77777777" w:rsidR="00C86770" w:rsidRPr="00641D93" w:rsidRDefault="00C86770" w:rsidP="002F1168">
            <w:pPr>
              <w:spacing w:after="0" w:line="240" w:lineRule="auto"/>
              <w:rPr>
                <w:rFonts w:eastAsia="Times New Roman" w:cs="Calibri"/>
                <w:color w:val="000000"/>
                <w:sz w:val="18"/>
                <w:szCs w:val="18"/>
                <w:lang w:eastAsia="el-GR"/>
              </w:rPr>
            </w:pPr>
          </w:p>
        </w:tc>
      </w:tr>
      <w:tr w:rsidR="00C86770" w:rsidRPr="00253C46" w14:paraId="5C7E2F26" w14:textId="77777777" w:rsidTr="003E69BF">
        <w:trPr>
          <w:trHeight w:val="344"/>
        </w:trPr>
        <w:tc>
          <w:tcPr>
            <w:tcW w:w="0" w:type="auto"/>
            <w:tcBorders>
              <w:top w:val="single" w:sz="8" w:space="0" w:color="676A6E"/>
              <w:left w:val="single" w:sz="4" w:space="0" w:color="auto"/>
              <w:bottom w:val="single" w:sz="12" w:space="0" w:color="auto"/>
              <w:right w:val="single" w:sz="4" w:space="0" w:color="auto"/>
            </w:tcBorders>
            <w:shd w:val="clear" w:color="000000" w:fill="D0CECE"/>
            <w:vAlign w:val="center"/>
            <w:hideMark/>
          </w:tcPr>
          <w:p w14:paraId="1EEEE570" w14:textId="77777777" w:rsidR="00C86770" w:rsidRPr="00253C46" w:rsidRDefault="00C86770" w:rsidP="002F1168">
            <w:pPr>
              <w:spacing w:after="0" w:line="240" w:lineRule="auto"/>
              <w:jc w:val="left"/>
              <w:rPr>
                <w:rFonts w:eastAsia="Times New Roman" w:cs="Calibri"/>
                <w:b/>
                <w:bCs/>
                <w:color w:val="auto"/>
                <w:sz w:val="18"/>
                <w:szCs w:val="18"/>
                <w:lang w:eastAsia="el-GR"/>
              </w:rPr>
            </w:pPr>
            <w:r w:rsidRPr="00253C46">
              <w:rPr>
                <w:rFonts w:eastAsia="Times New Roman" w:cs="Calibri"/>
                <w:b/>
                <w:bCs/>
                <w:color w:val="auto"/>
                <w:sz w:val="18"/>
                <w:szCs w:val="18"/>
                <w:lang w:eastAsia="el-GR"/>
              </w:rPr>
              <w:t>Συνολική απασχόληση</w:t>
            </w:r>
          </w:p>
        </w:tc>
        <w:tc>
          <w:tcPr>
            <w:tcW w:w="0" w:type="auto"/>
            <w:tcBorders>
              <w:top w:val="single" w:sz="8" w:space="0" w:color="676A6E"/>
              <w:left w:val="single" w:sz="4" w:space="0" w:color="auto"/>
              <w:bottom w:val="single" w:sz="12" w:space="0" w:color="auto"/>
              <w:right w:val="single" w:sz="4" w:space="0" w:color="auto"/>
            </w:tcBorders>
            <w:shd w:val="clear" w:color="000000" w:fill="D0CECE"/>
            <w:hideMark/>
          </w:tcPr>
          <w:p w14:paraId="4DE4CE0E" w14:textId="77777777" w:rsidR="00C86770" w:rsidRPr="00641D93" w:rsidRDefault="00C86770" w:rsidP="002F1168">
            <w:pPr>
              <w:spacing w:after="0" w:line="240" w:lineRule="auto"/>
              <w:jc w:val="center"/>
              <w:rPr>
                <w:rFonts w:eastAsia="Times New Roman" w:cs="Calibri"/>
                <w:b/>
                <w:bCs/>
                <w:color w:val="auto"/>
                <w:sz w:val="18"/>
                <w:szCs w:val="18"/>
                <w:lang w:eastAsia="el-GR"/>
              </w:rPr>
            </w:pPr>
            <w:r>
              <w:rPr>
                <w:rFonts w:eastAsia="Times New Roman" w:cs="Calibri"/>
                <w:b/>
                <w:bCs/>
                <w:color w:val="auto"/>
                <w:sz w:val="18"/>
                <w:szCs w:val="18"/>
                <w:lang w:eastAsia="el-GR"/>
              </w:rPr>
              <w:t>3.536</w:t>
            </w:r>
          </w:p>
        </w:tc>
        <w:tc>
          <w:tcPr>
            <w:tcW w:w="664" w:type="dxa"/>
            <w:tcBorders>
              <w:top w:val="single" w:sz="8" w:space="0" w:color="676A6E"/>
              <w:left w:val="single" w:sz="4" w:space="0" w:color="auto"/>
              <w:bottom w:val="single" w:sz="12" w:space="0" w:color="auto"/>
              <w:right w:val="single" w:sz="4" w:space="0" w:color="auto"/>
            </w:tcBorders>
            <w:shd w:val="clear" w:color="000000" w:fill="D0CECE"/>
            <w:hideMark/>
          </w:tcPr>
          <w:p w14:paraId="5DC1DD27" w14:textId="77777777" w:rsidR="00C86770" w:rsidRPr="00641D93" w:rsidRDefault="00C86770" w:rsidP="002F1168">
            <w:pPr>
              <w:spacing w:after="0" w:line="240" w:lineRule="auto"/>
              <w:jc w:val="center"/>
              <w:rPr>
                <w:rFonts w:eastAsia="Times New Roman" w:cs="Calibri"/>
                <w:b/>
                <w:bCs/>
                <w:color w:val="auto"/>
                <w:sz w:val="18"/>
                <w:szCs w:val="18"/>
                <w:lang w:eastAsia="el-GR"/>
              </w:rPr>
            </w:pPr>
            <w:r>
              <w:rPr>
                <w:rFonts w:eastAsia="Times New Roman" w:cs="Calibri"/>
                <w:b/>
                <w:bCs/>
                <w:color w:val="auto"/>
                <w:sz w:val="18"/>
                <w:szCs w:val="18"/>
                <w:lang w:eastAsia="el-GR"/>
              </w:rPr>
              <w:t>3.611</w:t>
            </w:r>
          </w:p>
        </w:tc>
        <w:tc>
          <w:tcPr>
            <w:tcW w:w="664" w:type="dxa"/>
            <w:tcBorders>
              <w:top w:val="single" w:sz="8" w:space="0" w:color="676A6E"/>
              <w:left w:val="single" w:sz="4" w:space="0" w:color="auto"/>
              <w:bottom w:val="single" w:sz="12" w:space="0" w:color="auto"/>
              <w:right w:val="single" w:sz="4" w:space="0" w:color="auto"/>
            </w:tcBorders>
            <w:shd w:val="clear" w:color="000000" w:fill="D0CECE"/>
            <w:hideMark/>
          </w:tcPr>
          <w:p w14:paraId="714E1AD9" w14:textId="77777777" w:rsidR="00C86770" w:rsidRPr="00641D93" w:rsidRDefault="00C86770" w:rsidP="002F1168">
            <w:pPr>
              <w:spacing w:after="0" w:line="240" w:lineRule="auto"/>
              <w:jc w:val="center"/>
              <w:rPr>
                <w:rFonts w:eastAsia="Times New Roman" w:cs="Calibri"/>
                <w:b/>
                <w:bCs/>
                <w:color w:val="auto"/>
                <w:sz w:val="18"/>
                <w:szCs w:val="18"/>
                <w:lang w:eastAsia="el-GR"/>
              </w:rPr>
            </w:pPr>
            <w:r w:rsidRPr="00641D93">
              <w:rPr>
                <w:rFonts w:eastAsia="Times New Roman" w:cs="Calibri"/>
                <w:b/>
                <w:bCs/>
                <w:color w:val="auto"/>
                <w:sz w:val="18"/>
                <w:szCs w:val="18"/>
                <w:lang w:eastAsia="el-GR"/>
              </w:rPr>
              <w:t>3.611</w:t>
            </w:r>
          </w:p>
        </w:tc>
        <w:tc>
          <w:tcPr>
            <w:tcW w:w="0" w:type="auto"/>
            <w:tcBorders>
              <w:top w:val="single" w:sz="8" w:space="0" w:color="676A6E"/>
              <w:left w:val="single" w:sz="4" w:space="0" w:color="auto"/>
              <w:bottom w:val="single" w:sz="12" w:space="0" w:color="auto"/>
              <w:right w:val="single" w:sz="4" w:space="0" w:color="auto"/>
            </w:tcBorders>
            <w:shd w:val="clear" w:color="000000" w:fill="D0CECE"/>
            <w:hideMark/>
          </w:tcPr>
          <w:p w14:paraId="5C68F66F" w14:textId="77777777" w:rsidR="00C86770" w:rsidRPr="00641D93" w:rsidRDefault="00C86770" w:rsidP="002F1168">
            <w:pPr>
              <w:spacing w:after="0" w:line="240" w:lineRule="auto"/>
              <w:jc w:val="center"/>
              <w:rPr>
                <w:rFonts w:eastAsia="Times New Roman" w:cs="Calibri"/>
                <w:b/>
                <w:bCs/>
                <w:color w:val="auto"/>
                <w:sz w:val="18"/>
                <w:szCs w:val="18"/>
                <w:lang w:eastAsia="el-GR"/>
              </w:rPr>
            </w:pPr>
            <w:r w:rsidRPr="00641D93">
              <w:rPr>
                <w:rFonts w:eastAsia="Times New Roman" w:cs="Calibri"/>
                <w:b/>
                <w:bCs/>
                <w:color w:val="auto"/>
                <w:sz w:val="18"/>
                <w:szCs w:val="18"/>
                <w:lang w:eastAsia="el-GR"/>
              </w:rPr>
              <w:t>3.674</w:t>
            </w:r>
          </w:p>
        </w:tc>
        <w:tc>
          <w:tcPr>
            <w:tcW w:w="0" w:type="auto"/>
            <w:tcBorders>
              <w:top w:val="single" w:sz="8" w:space="0" w:color="676A6E"/>
              <w:left w:val="single" w:sz="4" w:space="0" w:color="auto"/>
              <w:bottom w:val="single" w:sz="12" w:space="0" w:color="auto"/>
              <w:right w:val="single" w:sz="4" w:space="0" w:color="auto"/>
            </w:tcBorders>
            <w:shd w:val="clear" w:color="000000" w:fill="D0CECE"/>
            <w:hideMark/>
          </w:tcPr>
          <w:p w14:paraId="41C2E70D" w14:textId="77777777" w:rsidR="00C86770" w:rsidRPr="00641D93" w:rsidRDefault="00C86770" w:rsidP="002F1168">
            <w:pPr>
              <w:spacing w:after="0" w:line="240" w:lineRule="auto"/>
              <w:jc w:val="center"/>
              <w:rPr>
                <w:rFonts w:eastAsia="Times New Roman" w:cs="Calibri"/>
                <w:b/>
                <w:bCs/>
                <w:color w:val="auto"/>
                <w:sz w:val="18"/>
                <w:szCs w:val="18"/>
                <w:lang w:eastAsia="el-GR"/>
              </w:rPr>
            </w:pPr>
            <w:r w:rsidRPr="00641D93">
              <w:rPr>
                <w:rFonts w:eastAsia="Times New Roman" w:cs="Calibri"/>
                <w:b/>
                <w:bCs/>
                <w:color w:val="auto"/>
                <w:sz w:val="18"/>
                <w:szCs w:val="18"/>
                <w:lang w:eastAsia="el-GR"/>
              </w:rPr>
              <w:t>3.828</w:t>
            </w:r>
          </w:p>
        </w:tc>
        <w:tc>
          <w:tcPr>
            <w:tcW w:w="0" w:type="auto"/>
            <w:tcBorders>
              <w:top w:val="single" w:sz="8" w:space="0" w:color="676A6E"/>
              <w:left w:val="single" w:sz="4" w:space="0" w:color="auto"/>
              <w:bottom w:val="single" w:sz="12" w:space="0" w:color="auto"/>
              <w:right w:val="single" w:sz="4" w:space="0" w:color="auto"/>
            </w:tcBorders>
            <w:shd w:val="clear" w:color="000000" w:fill="D0CECE"/>
            <w:hideMark/>
          </w:tcPr>
          <w:p w14:paraId="6D26B8AF" w14:textId="77777777" w:rsidR="00C86770" w:rsidRPr="002F42FA" w:rsidRDefault="00C86770" w:rsidP="002F1168">
            <w:pPr>
              <w:spacing w:after="0" w:line="240" w:lineRule="auto"/>
              <w:jc w:val="center"/>
              <w:rPr>
                <w:rFonts w:eastAsia="Times New Roman" w:cs="Calibri"/>
                <w:b/>
                <w:bCs/>
                <w:color w:val="auto"/>
                <w:sz w:val="18"/>
                <w:szCs w:val="18"/>
                <w:lang w:val="en-US" w:eastAsia="el-GR"/>
              </w:rPr>
            </w:pPr>
            <w:r>
              <w:rPr>
                <w:rFonts w:eastAsia="Times New Roman" w:cs="Calibri"/>
                <w:b/>
                <w:bCs/>
                <w:color w:val="auto"/>
                <w:sz w:val="18"/>
                <w:szCs w:val="18"/>
                <w:lang w:eastAsia="el-GR"/>
              </w:rPr>
              <w:t>3.</w:t>
            </w:r>
            <w:r>
              <w:rPr>
                <w:rFonts w:eastAsia="Times New Roman" w:cs="Calibri"/>
                <w:b/>
                <w:bCs/>
                <w:color w:val="auto"/>
                <w:sz w:val="18"/>
                <w:szCs w:val="18"/>
                <w:lang w:val="en-US" w:eastAsia="el-GR"/>
              </w:rPr>
              <w:t>911</w:t>
            </w:r>
          </w:p>
        </w:tc>
        <w:tc>
          <w:tcPr>
            <w:tcW w:w="0" w:type="auto"/>
            <w:tcBorders>
              <w:top w:val="single" w:sz="8" w:space="0" w:color="676A6E"/>
              <w:left w:val="single" w:sz="4" w:space="0" w:color="auto"/>
              <w:bottom w:val="single" w:sz="12" w:space="0" w:color="auto"/>
              <w:right w:val="single" w:sz="4" w:space="0" w:color="auto"/>
            </w:tcBorders>
            <w:shd w:val="clear" w:color="000000" w:fill="D0CECE"/>
          </w:tcPr>
          <w:p w14:paraId="0187FF0C" w14:textId="77777777" w:rsidR="00C86770" w:rsidRPr="002F42FA" w:rsidRDefault="00C86770" w:rsidP="002F1168">
            <w:pPr>
              <w:spacing w:after="0" w:line="240" w:lineRule="auto"/>
              <w:jc w:val="center"/>
              <w:rPr>
                <w:rFonts w:eastAsia="Times New Roman" w:cs="Calibri"/>
                <w:b/>
                <w:bCs/>
                <w:color w:val="auto"/>
                <w:sz w:val="18"/>
                <w:szCs w:val="18"/>
                <w:lang w:val="en-US" w:eastAsia="el-GR"/>
              </w:rPr>
            </w:pPr>
            <w:r>
              <w:rPr>
                <w:rFonts w:eastAsia="Times New Roman" w:cs="Calibri"/>
                <w:b/>
                <w:bCs/>
                <w:color w:val="auto"/>
                <w:sz w:val="18"/>
                <w:szCs w:val="18"/>
                <w:lang w:eastAsia="el-GR"/>
              </w:rPr>
              <w:t>3.</w:t>
            </w:r>
            <w:r>
              <w:rPr>
                <w:rFonts w:eastAsia="Times New Roman" w:cs="Calibri"/>
                <w:b/>
                <w:bCs/>
                <w:color w:val="auto"/>
                <w:sz w:val="18"/>
                <w:szCs w:val="18"/>
                <w:lang w:val="en-US" w:eastAsia="el-GR"/>
              </w:rPr>
              <w:t>875</w:t>
            </w:r>
          </w:p>
        </w:tc>
        <w:tc>
          <w:tcPr>
            <w:tcW w:w="0" w:type="auto"/>
            <w:tcBorders>
              <w:top w:val="single" w:sz="8" w:space="0" w:color="676A6E"/>
              <w:left w:val="single" w:sz="4" w:space="0" w:color="auto"/>
              <w:bottom w:val="single" w:sz="12" w:space="0" w:color="auto"/>
              <w:right w:val="single" w:sz="4" w:space="0" w:color="auto"/>
            </w:tcBorders>
            <w:shd w:val="clear" w:color="000000" w:fill="D0CECE"/>
          </w:tcPr>
          <w:p w14:paraId="5950315F" w14:textId="77777777" w:rsidR="00C86770" w:rsidRPr="00641D93" w:rsidRDefault="00C86770" w:rsidP="002F1168">
            <w:pPr>
              <w:spacing w:after="0" w:line="240" w:lineRule="auto"/>
              <w:jc w:val="center"/>
              <w:rPr>
                <w:rFonts w:eastAsia="Times New Roman" w:cs="Calibri"/>
                <w:b/>
                <w:bCs/>
                <w:color w:val="auto"/>
                <w:sz w:val="18"/>
                <w:szCs w:val="18"/>
                <w:lang w:eastAsia="el-GR"/>
              </w:rPr>
            </w:pPr>
            <w:r>
              <w:rPr>
                <w:rFonts w:eastAsia="Times New Roman" w:cs="Calibri"/>
                <w:b/>
                <w:bCs/>
                <w:color w:val="auto"/>
                <w:sz w:val="18"/>
                <w:szCs w:val="18"/>
                <w:lang w:eastAsia="el-GR"/>
              </w:rPr>
              <w:t>-36</w:t>
            </w:r>
          </w:p>
        </w:tc>
        <w:tc>
          <w:tcPr>
            <w:tcW w:w="0" w:type="auto"/>
            <w:tcBorders>
              <w:top w:val="single" w:sz="8" w:space="0" w:color="676A6E"/>
              <w:left w:val="single" w:sz="4" w:space="0" w:color="auto"/>
              <w:bottom w:val="single" w:sz="12" w:space="0" w:color="auto"/>
              <w:right w:val="single" w:sz="4" w:space="0" w:color="auto"/>
            </w:tcBorders>
            <w:shd w:val="clear" w:color="000000" w:fill="D0CECE"/>
          </w:tcPr>
          <w:p w14:paraId="7482E453" w14:textId="77777777" w:rsidR="00C86770" w:rsidRPr="00641D93" w:rsidRDefault="00C86770" w:rsidP="002F1168">
            <w:pPr>
              <w:spacing w:after="0" w:line="240" w:lineRule="auto"/>
              <w:jc w:val="center"/>
              <w:rPr>
                <w:rFonts w:eastAsia="Times New Roman" w:cs="Calibri"/>
                <w:b/>
                <w:bCs/>
                <w:color w:val="auto"/>
                <w:sz w:val="18"/>
                <w:szCs w:val="18"/>
                <w:lang w:eastAsia="el-GR"/>
              </w:rPr>
            </w:pPr>
            <w:r>
              <w:rPr>
                <w:rFonts w:eastAsia="Times New Roman" w:cs="Calibri"/>
                <w:b/>
                <w:bCs/>
                <w:color w:val="auto"/>
                <w:sz w:val="18"/>
                <w:szCs w:val="18"/>
                <w:lang w:eastAsia="el-GR"/>
              </w:rPr>
              <w:t>-0,9%</w:t>
            </w:r>
          </w:p>
        </w:tc>
      </w:tr>
    </w:tbl>
    <w:p w14:paraId="6FE3AD54" w14:textId="77777777" w:rsidR="00C86770" w:rsidRDefault="00C86770" w:rsidP="00BC33A4">
      <w:pPr>
        <w:spacing w:after="120"/>
        <w:rPr>
          <w:iCs/>
          <w:noProof/>
          <w:color w:val="00A3E0"/>
          <w:sz w:val="16"/>
          <w:szCs w:val="16"/>
        </w:rPr>
      </w:pPr>
      <w:r w:rsidRPr="00253C46">
        <w:rPr>
          <w:b/>
          <w:color w:val="808080"/>
          <w:sz w:val="16"/>
          <w:szCs w:val="16"/>
        </w:rPr>
        <w:t>Πηγή:</w:t>
      </w:r>
      <w:r w:rsidRPr="00253C46">
        <w:rPr>
          <w:iCs/>
          <w:noProof/>
          <w:color w:val="808080"/>
          <w:sz w:val="16"/>
          <w:szCs w:val="16"/>
        </w:rPr>
        <w:t xml:space="preserve"> </w:t>
      </w:r>
      <w:r w:rsidRPr="00253C46">
        <w:rPr>
          <w:iCs/>
          <w:noProof/>
          <w:color w:val="00A3E0"/>
          <w:sz w:val="16"/>
          <w:szCs w:val="16"/>
        </w:rPr>
        <w:t>ΕΛΣΤΑΤ, Έρευνα Εργα</w:t>
      </w:r>
      <w:r>
        <w:rPr>
          <w:iCs/>
          <w:noProof/>
          <w:color w:val="00A3E0"/>
          <w:sz w:val="16"/>
          <w:szCs w:val="16"/>
        </w:rPr>
        <w:t>τικού Δυναμικού</w:t>
      </w:r>
      <w:r w:rsidRPr="00253C46">
        <w:rPr>
          <w:iCs/>
          <w:noProof/>
          <w:color w:val="00A3E0"/>
          <w:sz w:val="16"/>
          <w:szCs w:val="16"/>
        </w:rPr>
        <w:t>.</w:t>
      </w:r>
    </w:p>
    <w:p w14:paraId="0C7D5845" w14:textId="77777777" w:rsidR="00C86770" w:rsidRPr="00253C46" w:rsidRDefault="00C86770" w:rsidP="00C86770">
      <w:pPr>
        <w:spacing w:after="0"/>
        <w:rPr>
          <w:iCs/>
          <w:noProof/>
          <w:color w:val="00A3E0"/>
          <w:sz w:val="16"/>
          <w:szCs w:val="16"/>
        </w:rPr>
      </w:pPr>
    </w:p>
    <w:p w14:paraId="3FB00025" w14:textId="614BA2FC" w:rsidR="00C86770" w:rsidRDefault="00C86770" w:rsidP="00C86770">
      <w:pPr>
        <w:rPr>
          <w:color w:val="auto"/>
        </w:rPr>
      </w:pPr>
      <w:r w:rsidRPr="00814995">
        <w:rPr>
          <w:color w:val="auto"/>
        </w:rPr>
        <w:t>Σημαντικό χαρακτηριστικό της</w:t>
      </w:r>
      <w:r>
        <w:rPr>
          <w:color w:val="auto"/>
        </w:rPr>
        <w:t xml:space="preserve"> ανεργίας είναι ότι από τους 755 χιλιάδες άνεργους, οι 502 χιλιάδες που αντιστοιχούν στο 66,5% </w:t>
      </w:r>
      <w:r w:rsidR="0075506B">
        <w:rPr>
          <w:color w:val="auto"/>
        </w:rPr>
        <w:t>του συνόλου</w:t>
      </w:r>
      <w:r>
        <w:rPr>
          <w:color w:val="auto"/>
        </w:rPr>
        <w:t xml:space="preserve"> το 2020</w:t>
      </w:r>
      <w:r w:rsidRPr="00814995">
        <w:rPr>
          <w:color w:val="auto"/>
        </w:rPr>
        <w:t xml:space="preserve"> </w:t>
      </w:r>
      <w:r>
        <w:rPr>
          <w:color w:val="auto"/>
        </w:rPr>
        <w:t>είναι</w:t>
      </w:r>
      <w:r w:rsidRPr="00814995">
        <w:rPr>
          <w:color w:val="auto"/>
        </w:rPr>
        <w:t xml:space="preserve"> μακροχρόνια άνεργοι</w:t>
      </w:r>
      <w:r>
        <w:rPr>
          <w:color w:val="auto"/>
        </w:rPr>
        <w:t>,</w:t>
      </w:r>
      <w:r w:rsidRPr="000E1DD9">
        <w:rPr>
          <w:color w:val="auto"/>
        </w:rPr>
        <w:t xml:space="preserve"> </w:t>
      </w:r>
      <w:r>
        <w:rPr>
          <w:color w:val="auto"/>
        </w:rPr>
        <w:t xml:space="preserve">αναζητούν δηλαδή </w:t>
      </w:r>
      <w:r w:rsidRPr="00814995">
        <w:rPr>
          <w:color w:val="auto"/>
        </w:rPr>
        <w:t>εργασία πάνω από 12 μήνες.</w:t>
      </w:r>
      <w:r>
        <w:rPr>
          <w:color w:val="auto"/>
        </w:rPr>
        <w:t xml:space="preserve"> </w:t>
      </w:r>
      <w:r w:rsidRPr="00814995">
        <w:rPr>
          <w:color w:val="auto"/>
        </w:rPr>
        <w:t>Η μακροχρόνια ανεργία παραμένει επίμονα υψηλή για πάνω από μία εξαετία. Η μεταβολή στο ποσοστό τ</w:t>
      </w:r>
      <w:r>
        <w:rPr>
          <w:color w:val="auto"/>
        </w:rPr>
        <w:t>ης μακροχρόνιας ανεργίας το 2020</w:t>
      </w:r>
      <w:r w:rsidRPr="00814995">
        <w:rPr>
          <w:color w:val="auto"/>
        </w:rPr>
        <w:t xml:space="preserve"> σε σχέση με το προηγούμενο </w:t>
      </w:r>
      <w:r w:rsidR="0075506B">
        <w:rPr>
          <w:color w:val="auto"/>
        </w:rPr>
        <w:t xml:space="preserve">έτος </w:t>
      </w:r>
      <w:r>
        <w:rPr>
          <w:color w:val="auto"/>
        </w:rPr>
        <w:t xml:space="preserve">ακολούθησε την τάση του γενικού επιπέδου της ανεργίας και μειώθηκε επίσης κατά 72 χιλιάδες άτομα </w:t>
      </w:r>
      <w:r w:rsidR="0075506B">
        <w:rPr>
          <w:color w:val="auto"/>
        </w:rPr>
        <w:t>ήτοι</w:t>
      </w:r>
      <w:r>
        <w:rPr>
          <w:color w:val="auto"/>
        </w:rPr>
        <w:t xml:space="preserve"> ποσοστό της τάξης του 12,6</w:t>
      </w:r>
      <w:r w:rsidRPr="00C86770">
        <w:rPr>
          <w:color w:val="auto"/>
        </w:rPr>
        <w:t xml:space="preserve">% </w:t>
      </w:r>
      <w:r w:rsidRPr="000C2DEB">
        <w:rPr>
          <w:i/>
          <w:color w:val="auto"/>
        </w:rPr>
        <w:t>(</w:t>
      </w:r>
      <w:r w:rsidRPr="000C2DEB">
        <w:rPr>
          <w:i/>
          <w:color w:val="auto"/>
        </w:rPr>
        <w:fldChar w:fldCharType="begin"/>
      </w:r>
      <w:r w:rsidRPr="000C2DEB">
        <w:rPr>
          <w:i/>
          <w:color w:val="auto"/>
        </w:rPr>
        <w:instrText xml:space="preserve"> REF _Ref71975399 \h </w:instrText>
      </w:r>
      <w:r w:rsidR="000C2DEB" w:rsidRPr="000C2DEB">
        <w:rPr>
          <w:i/>
          <w:color w:val="auto"/>
        </w:rPr>
        <w:instrText xml:space="preserve"> \* MERGEFORMAT </w:instrText>
      </w:r>
      <w:r w:rsidRPr="000C2DEB">
        <w:rPr>
          <w:i/>
          <w:color w:val="auto"/>
        </w:rPr>
      </w:r>
      <w:r w:rsidRPr="000C2DEB">
        <w:rPr>
          <w:i/>
          <w:color w:val="auto"/>
        </w:rPr>
        <w:fldChar w:fldCharType="separate"/>
      </w:r>
      <w:r w:rsidR="00CC05A7" w:rsidRPr="00CC05A7">
        <w:rPr>
          <w:rFonts w:eastAsia="Calibri" w:cs="Times New Roman"/>
          <w:i/>
          <w:iCs/>
          <w:color w:val="auto"/>
        </w:rPr>
        <w:t xml:space="preserve">Πίνακας </w:t>
      </w:r>
      <w:r w:rsidR="00CC05A7" w:rsidRPr="00CC05A7">
        <w:rPr>
          <w:rFonts w:eastAsia="Calibri" w:cs="Times New Roman"/>
          <w:i/>
          <w:iCs/>
          <w:noProof/>
          <w:color w:val="auto"/>
        </w:rPr>
        <w:t>4</w:t>
      </w:r>
      <w:r w:rsidRPr="000C2DEB">
        <w:rPr>
          <w:i/>
          <w:color w:val="auto"/>
        </w:rPr>
        <w:fldChar w:fldCharType="end"/>
      </w:r>
      <w:r w:rsidRPr="00C86770">
        <w:rPr>
          <w:color w:val="auto"/>
        </w:rPr>
        <w:t>).</w:t>
      </w:r>
    </w:p>
    <w:p w14:paraId="5E02644E" w14:textId="09766A5A" w:rsidR="00C86770" w:rsidRPr="00ED52C5" w:rsidRDefault="00C86770" w:rsidP="00C86770">
      <w:pPr>
        <w:spacing w:after="120" w:line="240" w:lineRule="auto"/>
        <w:rPr>
          <w:rFonts w:eastAsia="Calibri" w:cs="Times New Roman"/>
          <w:iCs/>
          <w:color w:val="00A3E0"/>
          <w:sz w:val="20"/>
          <w:szCs w:val="20"/>
        </w:rPr>
      </w:pPr>
      <w:bookmarkStart w:id="43" w:name="_Ref71975399"/>
      <w:bookmarkStart w:id="44" w:name="_Toc11843882"/>
      <w:bookmarkStart w:id="45" w:name="_Toc73435765"/>
      <w:r w:rsidRPr="00ED52C5">
        <w:rPr>
          <w:rFonts w:eastAsia="Calibri" w:cs="Times New Roman"/>
          <w:iCs/>
          <w:sz w:val="20"/>
          <w:szCs w:val="20"/>
        </w:rPr>
        <w:t xml:space="preserve">Πίνακας </w:t>
      </w:r>
      <w:r w:rsidRPr="00ED52C5">
        <w:rPr>
          <w:rFonts w:eastAsia="Calibri" w:cs="Times New Roman"/>
          <w:iCs/>
          <w:sz w:val="20"/>
          <w:szCs w:val="20"/>
        </w:rPr>
        <w:fldChar w:fldCharType="begin"/>
      </w:r>
      <w:r w:rsidRPr="00ED52C5">
        <w:rPr>
          <w:rFonts w:eastAsia="Calibri" w:cs="Times New Roman"/>
          <w:iCs/>
          <w:sz w:val="20"/>
          <w:szCs w:val="20"/>
        </w:rPr>
        <w:instrText xml:space="preserve"> SEQ Πίνακας \* ARABIC </w:instrText>
      </w:r>
      <w:r w:rsidRPr="00ED52C5">
        <w:rPr>
          <w:rFonts w:eastAsia="Calibri" w:cs="Times New Roman"/>
          <w:iCs/>
          <w:sz w:val="20"/>
          <w:szCs w:val="20"/>
        </w:rPr>
        <w:fldChar w:fldCharType="separate"/>
      </w:r>
      <w:r w:rsidR="00CC05A7">
        <w:rPr>
          <w:rFonts w:eastAsia="Calibri" w:cs="Times New Roman"/>
          <w:iCs/>
          <w:noProof/>
          <w:sz w:val="20"/>
          <w:szCs w:val="20"/>
        </w:rPr>
        <w:t>4</w:t>
      </w:r>
      <w:r w:rsidRPr="00ED52C5">
        <w:rPr>
          <w:rFonts w:eastAsia="Calibri" w:cs="Times New Roman"/>
          <w:iCs/>
          <w:sz w:val="20"/>
          <w:szCs w:val="20"/>
        </w:rPr>
        <w:fldChar w:fldCharType="end"/>
      </w:r>
      <w:bookmarkEnd w:id="43"/>
      <w:r w:rsidRPr="00ED52C5">
        <w:rPr>
          <w:rFonts w:eastAsia="Calibri" w:cs="Times New Roman"/>
          <w:iCs/>
          <w:sz w:val="20"/>
          <w:szCs w:val="20"/>
        </w:rPr>
        <w:t>:</w:t>
      </w:r>
      <w:r w:rsidRPr="00ED52C5">
        <w:rPr>
          <w:rFonts w:asciiTheme="minorHAnsi" w:hAnsiTheme="minorHAnsi" w:cstheme="minorHAnsi"/>
          <w:sz w:val="20"/>
          <w:szCs w:val="20"/>
        </w:rPr>
        <w:t xml:space="preserve"> </w:t>
      </w:r>
      <w:r w:rsidRPr="00ED52C5">
        <w:rPr>
          <w:rFonts w:eastAsia="Calibri"/>
          <w:iCs/>
          <w:sz w:val="20"/>
          <w:szCs w:val="20"/>
        </w:rPr>
        <w:t xml:space="preserve"> </w:t>
      </w:r>
      <w:r w:rsidRPr="00ED52C5">
        <w:rPr>
          <w:rFonts w:eastAsia="Calibri" w:cs="Times New Roman"/>
          <w:iCs/>
          <w:color w:val="00A3E0"/>
          <w:sz w:val="20"/>
          <w:szCs w:val="20"/>
        </w:rPr>
        <w:t>Αριθμός μακροχρόνια ανέργων (σε χιλ.)</w:t>
      </w:r>
      <w:bookmarkEnd w:id="44"/>
      <w:bookmarkEnd w:id="45"/>
    </w:p>
    <w:tbl>
      <w:tblPr>
        <w:tblW w:w="8523" w:type="dxa"/>
        <w:tblLook w:val="04A0" w:firstRow="1" w:lastRow="0" w:firstColumn="1" w:lastColumn="0" w:noHBand="0" w:noVBand="1"/>
      </w:tblPr>
      <w:tblGrid>
        <w:gridCol w:w="1633"/>
        <w:gridCol w:w="686"/>
        <w:gridCol w:w="735"/>
        <w:gridCol w:w="735"/>
        <w:gridCol w:w="735"/>
        <w:gridCol w:w="735"/>
        <w:gridCol w:w="735"/>
        <w:gridCol w:w="833"/>
        <w:gridCol w:w="829"/>
        <w:gridCol w:w="867"/>
      </w:tblGrid>
      <w:tr w:rsidR="00C86770" w:rsidRPr="00253C46" w14:paraId="13F33606" w14:textId="77777777" w:rsidTr="00BC33A4">
        <w:trPr>
          <w:trHeight w:val="1168"/>
        </w:trPr>
        <w:tc>
          <w:tcPr>
            <w:tcW w:w="1633" w:type="dxa"/>
            <w:tcBorders>
              <w:top w:val="single" w:sz="12" w:space="0" w:color="auto"/>
              <w:left w:val="single" w:sz="4" w:space="0" w:color="auto"/>
              <w:bottom w:val="single" w:sz="12" w:space="0" w:color="auto"/>
              <w:right w:val="single" w:sz="4" w:space="0" w:color="auto"/>
            </w:tcBorders>
            <w:shd w:val="clear" w:color="auto" w:fill="BDD6EE" w:themeFill="accent1" w:themeFillTint="66"/>
            <w:vAlign w:val="center"/>
            <w:hideMark/>
          </w:tcPr>
          <w:p w14:paraId="1CCEEE83" w14:textId="77777777" w:rsidR="00C86770" w:rsidRPr="00253C46" w:rsidRDefault="00C86770" w:rsidP="002F1168">
            <w:pPr>
              <w:spacing w:after="0" w:line="240" w:lineRule="auto"/>
              <w:jc w:val="center"/>
              <w:rPr>
                <w:rFonts w:eastAsia="Times New Roman" w:cs="Calibri"/>
                <w:b/>
                <w:bCs/>
                <w:color w:val="auto"/>
                <w:sz w:val="18"/>
                <w:szCs w:val="18"/>
                <w:lang w:eastAsia="el-GR"/>
              </w:rPr>
            </w:pPr>
            <w:r w:rsidRPr="00253C46">
              <w:rPr>
                <w:rFonts w:eastAsia="Times New Roman" w:cs="Calibri"/>
                <w:b/>
                <w:bCs/>
                <w:color w:val="auto"/>
                <w:sz w:val="18"/>
                <w:szCs w:val="18"/>
                <w:lang w:eastAsia="el-GR"/>
              </w:rPr>
              <w:t>Διάρκεια ανεργίας</w:t>
            </w:r>
          </w:p>
        </w:tc>
        <w:tc>
          <w:tcPr>
            <w:tcW w:w="686" w:type="dxa"/>
            <w:tcBorders>
              <w:top w:val="single" w:sz="12" w:space="0" w:color="auto"/>
              <w:left w:val="single" w:sz="4" w:space="0" w:color="auto"/>
              <w:bottom w:val="single" w:sz="12" w:space="0" w:color="auto"/>
              <w:right w:val="dotted" w:sz="18" w:space="0" w:color="auto"/>
            </w:tcBorders>
            <w:shd w:val="clear" w:color="auto" w:fill="BDD6EE" w:themeFill="accent1" w:themeFillTint="66"/>
            <w:vAlign w:val="center"/>
            <w:hideMark/>
          </w:tcPr>
          <w:p w14:paraId="49A0D9D4" w14:textId="77777777" w:rsidR="00C86770" w:rsidRPr="00253C46" w:rsidRDefault="00C86770" w:rsidP="002F1168">
            <w:pPr>
              <w:spacing w:after="0" w:line="240" w:lineRule="auto"/>
              <w:jc w:val="center"/>
              <w:rPr>
                <w:rFonts w:eastAsia="Times New Roman" w:cs="Calibri"/>
                <w:b/>
                <w:bCs/>
                <w:color w:val="auto"/>
                <w:sz w:val="18"/>
                <w:szCs w:val="18"/>
                <w:lang w:eastAsia="el-GR"/>
              </w:rPr>
            </w:pPr>
            <w:r>
              <w:rPr>
                <w:rFonts w:eastAsia="Times New Roman" w:cs="Calibri"/>
                <w:b/>
                <w:bCs/>
                <w:color w:val="auto"/>
                <w:sz w:val="18"/>
                <w:szCs w:val="18"/>
                <w:lang w:eastAsia="el-GR"/>
              </w:rPr>
              <w:t>2008</w:t>
            </w:r>
          </w:p>
        </w:tc>
        <w:tc>
          <w:tcPr>
            <w:tcW w:w="735" w:type="dxa"/>
            <w:tcBorders>
              <w:top w:val="single" w:sz="12" w:space="0" w:color="auto"/>
              <w:left w:val="dotted" w:sz="18" w:space="0" w:color="auto"/>
              <w:bottom w:val="single" w:sz="12" w:space="0" w:color="auto"/>
              <w:right w:val="single" w:sz="4" w:space="0" w:color="auto"/>
            </w:tcBorders>
            <w:shd w:val="clear" w:color="auto" w:fill="BDD6EE" w:themeFill="accent1" w:themeFillTint="66"/>
            <w:vAlign w:val="center"/>
          </w:tcPr>
          <w:p w14:paraId="3AD1635F" w14:textId="77777777" w:rsidR="00C86770" w:rsidRPr="00253C46" w:rsidRDefault="00C86770" w:rsidP="002F1168">
            <w:pPr>
              <w:spacing w:after="0" w:line="240" w:lineRule="auto"/>
              <w:jc w:val="center"/>
              <w:rPr>
                <w:rFonts w:eastAsia="Times New Roman" w:cs="Calibri"/>
                <w:b/>
                <w:bCs/>
                <w:color w:val="auto"/>
                <w:sz w:val="18"/>
                <w:szCs w:val="18"/>
                <w:lang w:eastAsia="el-GR"/>
              </w:rPr>
            </w:pPr>
            <w:r>
              <w:rPr>
                <w:rFonts w:eastAsia="Times New Roman" w:cs="Calibri"/>
                <w:b/>
                <w:bCs/>
                <w:color w:val="auto"/>
                <w:sz w:val="18"/>
                <w:szCs w:val="18"/>
                <w:lang w:eastAsia="el-GR"/>
              </w:rPr>
              <w:t>2015</w:t>
            </w:r>
          </w:p>
        </w:tc>
        <w:tc>
          <w:tcPr>
            <w:tcW w:w="735" w:type="dxa"/>
            <w:tcBorders>
              <w:top w:val="single" w:sz="12" w:space="0" w:color="auto"/>
              <w:left w:val="single" w:sz="4" w:space="0" w:color="auto"/>
              <w:bottom w:val="single" w:sz="12" w:space="0" w:color="auto"/>
              <w:right w:val="single" w:sz="4" w:space="0" w:color="auto"/>
            </w:tcBorders>
            <w:shd w:val="clear" w:color="auto" w:fill="BDD6EE" w:themeFill="accent1" w:themeFillTint="66"/>
            <w:vAlign w:val="center"/>
            <w:hideMark/>
          </w:tcPr>
          <w:p w14:paraId="0DDE06AF" w14:textId="77777777" w:rsidR="00C86770" w:rsidRPr="00253C46" w:rsidRDefault="00C86770" w:rsidP="002F1168">
            <w:pPr>
              <w:spacing w:after="0" w:line="240" w:lineRule="auto"/>
              <w:jc w:val="center"/>
              <w:rPr>
                <w:rFonts w:eastAsia="Times New Roman" w:cs="Calibri"/>
                <w:b/>
                <w:bCs/>
                <w:color w:val="auto"/>
                <w:sz w:val="18"/>
                <w:szCs w:val="18"/>
                <w:lang w:eastAsia="el-GR"/>
              </w:rPr>
            </w:pPr>
            <w:r>
              <w:rPr>
                <w:rFonts w:eastAsia="Times New Roman" w:cs="Calibri"/>
                <w:b/>
                <w:bCs/>
                <w:color w:val="auto"/>
                <w:sz w:val="18"/>
                <w:szCs w:val="18"/>
                <w:lang w:eastAsia="el-GR"/>
              </w:rPr>
              <w:t>2016</w:t>
            </w:r>
          </w:p>
        </w:tc>
        <w:tc>
          <w:tcPr>
            <w:tcW w:w="735" w:type="dxa"/>
            <w:tcBorders>
              <w:top w:val="single" w:sz="12" w:space="0" w:color="auto"/>
              <w:left w:val="single" w:sz="4" w:space="0" w:color="auto"/>
              <w:bottom w:val="single" w:sz="12" w:space="0" w:color="auto"/>
              <w:right w:val="single" w:sz="4" w:space="0" w:color="auto"/>
            </w:tcBorders>
            <w:shd w:val="clear" w:color="auto" w:fill="BDD6EE" w:themeFill="accent1" w:themeFillTint="66"/>
            <w:vAlign w:val="center"/>
            <w:hideMark/>
          </w:tcPr>
          <w:p w14:paraId="19B332E1" w14:textId="77777777" w:rsidR="00C86770" w:rsidRPr="00253C46" w:rsidRDefault="00C86770" w:rsidP="002F1168">
            <w:pPr>
              <w:spacing w:after="0" w:line="240" w:lineRule="auto"/>
              <w:jc w:val="center"/>
              <w:rPr>
                <w:rFonts w:eastAsia="Times New Roman" w:cs="Calibri"/>
                <w:b/>
                <w:bCs/>
                <w:color w:val="auto"/>
                <w:sz w:val="18"/>
                <w:szCs w:val="18"/>
                <w:lang w:eastAsia="el-GR"/>
              </w:rPr>
            </w:pPr>
            <w:r>
              <w:rPr>
                <w:rFonts w:eastAsia="Times New Roman" w:cs="Calibri"/>
                <w:b/>
                <w:bCs/>
                <w:color w:val="auto"/>
                <w:sz w:val="18"/>
                <w:szCs w:val="18"/>
                <w:lang w:eastAsia="el-GR"/>
              </w:rPr>
              <w:t>2017</w:t>
            </w:r>
          </w:p>
        </w:tc>
        <w:tc>
          <w:tcPr>
            <w:tcW w:w="735" w:type="dxa"/>
            <w:tcBorders>
              <w:top w:val="single" w:sz="12" w:space="0" w:color="auto"/>
              <w:left w:val="single" w:sz="4" w:space="0" w:color="auto"/>
              <w:bottom w:val="single" w:sz="12" w:space="0" w:color="auto"/>
              <w:right w:val="single" w:sz="4" w:space="0" w:color="auto"/>
            </w:tcBorders>
            <w:shd w:val="clear" w:color="auto" w:fill="BDD6EE" w:themeFill="accent1" w:themeFillTint="66"/>
            <w:vAlign w:val="center"/>
            <w:hideMark/>
          </w:tcPr>
          <w:p w14:paraId="0AB3AA46" w14:textId="77777777" w:rsidR="00C86770" w:rsidRPr="00253C46" w:rsidRDefault="00C86770" w:rsidP="002F1168">
            <w:pPr>
              <w:spacing w:after="0" w:line="240" w:lineRule="auto"/>
              <w:jc w:val="center"/>
              <w:rPr>
                <w:rFonts w:eastAsia="Times New Roman" w:cs="Calibri"/>
                <w:b/>
                <w:bCs/>
                <w:color w:val="auto"/>
                <w:sz w:val="18"/>
                <w:szCs w:val="18"/>
                <w:lang w:eastAsia="el-GR"/>
              </w:rPr>
            </w:pPr>
            <w:r>
              <w:rPr>
                <w:rFonts w:eastAsia="Times New Roman" w:cs="Calibri"/>
                <w:b/>
                <w:bCs/>
                <w:color w:val="auto"/>
                <w:sz w:val="18"/>
                <w:szCs w:val="18"/>
                <w:lang w:eastAsia="el-GR"/>
              </w:rPr>
              <w:t>2018</w:t>
            </w:r>
          </w:p>
        </w:tc>
        <w:tc>
          <w:tcPr>
            <w:tcW w:w="735" w:type="dxa"/>
            <w:tcBorders>
              <w:top w:val="single" w:sz="12" w:space="0" w:color="auto"/>
              <w:left w:val="single" w:sz="4" w:space="0" w:color="auto"/>
              <w:bottom w:val="single" w:sz="12" w:space="0" w:color="auto"/>
              <w:right w:val="single" w:sz="4" w:space="0" w:color="auto"/>
            </w:tcBorders>
            <w:shd w:val="clear" w:color="auto" w:fill="BDD6EE" w:themeFill="accent1" w:themeFillTint="66"/>
            <w:vAlign w:val="center"/>
            <w:hideMark/>
          </w:tcPr>
          <w:p w14:paraId="2997EC50" w14:textId="77777777" w:rsidR="00C86770" w:rsidRPr="00253C46" w:rsidRDefault="00C86770" w:rsidP="002F1168">
            <w:pPr>
              <w:spacing w:after="0" w:line="240" w:lineRule="auto"/>
              <w:jc w:val="center"/>
              <w:rPr>
                <w:rFonts w:eastAsia="Times New Roman" w:cs="Calibri"/>
                <w:b/>
                <w:bCs/>
                <w:color w:val="auto"/>
                <w:sz w:val="18"/>
                <w:szCs w:val="18"/>
                <w:lang w:eastAsia="el-GR"/>
              </w:rPr>
            </w:pPr>
            <w:r>
              <w:rPr>
                <w:rFonts w:eastAsia="Times New Roman" w:cs="Calibri"/>
                <w:b/>
                <w:bCs/>
                <w:color w:val="auto"/>
                <w:sz w:val="18"/>
                <w:szCs w:val="18"/>
                <w:lang w:eastAsia="el-GR"/>
              </w:rPr>
              <w:t>2019</w:t>
            </w:r>
          </w:p>
        </w:tc>
        <w:tc>
          <w:tcPr>
            <w:tcW w:w="833" w:type="dxa"/>
            <w:tcBorders>
              <w:top w:val="single" w:sz="12" w:space="0" w:color="auto"/>
              <w:left w:val="single" w:sz="4" w:space="0" w:color="auto"/>
              <w:bottom w:val="single" w:sz="12" w:space="0" w:color="auto"/>
              <w:right w:val="single" w:sz="4" w:space="0" w:color="auto"/>
            </w:tcBorders>
            <w:shd w:val="clear" w:color="auto" w:fill="BDD6EE" w:themeFill="accent1" w:themeFillTint="66"/>
            <w:vAlign w:val="center"/>
          </w:tcPr>
          <w:p w14:paraId="44518B55" w14:textId="77777777" w:rsidR="00C86770" w:rsidRPr="00253C46" w:rsidRDefault="00C86770" w:rsidP="002F1168">
            <w:pPr>
              <w:spacing w:after="0" w:line="240" w:lineRule="auto"/>
              <w:jc w:val="center"/>
              <w:rPr>
                <w:rFonts w:eastAsia="Times New Roman" w:cs="Calibri"/>
                <w:b/>
                <w:bCs/>
                <w:color w:val="auto"/>
                <w:sz w:val="18"/>
                <w:szCs w:val="18"/>
                <w:lang w:eastAsia="el-GR"/>
              </w:rPr>
            </w:pPr>
            <w:r>
              <w:rPr>
                <w:rFonts w:eastAsia="Times New Roman" w:cs="Calibri"/>
                <w:b/>
                <w:bCs/>
                <w:color w:val="auto"/>
                <w:sz w:val="18"/>
                <w:szCs w:val="18"/>
                <w:lang w:eastAsia="el-GR"/>
              </w:rPr>
              <w:t>2020</w:t>
            </w:r>
          </w:p>
        </w:tc>
        <w:tc>
          <w:tcPr>
            <w:tcW w:w="829" w:type="dxa"/>
            <w:tcBorders>
              <w:top w:val="single" w:sz="12" w:space="0" w:color="auto"/>
              <w:left w:val="single" w:sz="4" w:space="0" w:color="auto"/>
              <w:bottom w:val="single" w:sz="12" w:space="0" w:color="auto"/>
              <w:right w:val="single" w:sz="4" w:space="0" w:color="auto"/>
            </w:tcBorders>
            <w:shd w:val="clear" w:color="auto" w:fill="BDD6EE" w:themeFill="accent1" w:themeFillTint="66"/>
            <w:vAlign w:val="center"/>
            <w:hideMark/>
          </w:tcPr>
          <w:p w14:paraId="075B26A8" w14:textId="77777777" w:rsidR="00C86770" w:rsidRPr="000C2DEB" w:rsidRDefault="00C86770" w:rsidP="002F1168">
            <w:pPr>
              <w:spacing w:after="0" w:line="240" w:lineRule="auto"/>
              <w:jc w:val="center"/>
              <w:rPr>
                <w:rFonts w:eastAsia="Times New Roman" w:cs="Calibri"/>
                <w:b/>
                <w:bCs/>
                <w:i/>
                <w:color w:val="auto"/>
                <w:sz w:val="18"/>
                <w:szCs w:val="18"/>
                <w:lang w:eastAsia="el-GR"/>
              </w:rPr>
            </w:pPr>
            <w:r w:rsidRPr="000C2DEB">
              <w:rPr>
                <w:rFonts w:eastAsia="Times New Roman" w:cs="Calibri"/>
                <w:b/>
                <w:bCs/>
                <w:i/>
                <w:color w:val="auto"/>
                <w:sz w:val="18"/>
                <w:szCs w:val="18"/>
                <w:lang w:eastAsia="el-GR"/>
              </w:rPr>
              <w:t xml:space="preserve">Δ </w:t>
            </w:r>
          </w:p>
          <w:p w14:paraId="4EE6A84A" w14:textId="77777777" w:rsidR="00C86770" w:rsidRPr="000C2DEB" w:rsidRDefault="00C86770" w:rsidP="002F1168">
            <w:pPr>
              <w:spacing w:after="0" w:line="240" w:lineRule="auto"/>
              <w:jc w:val="center"/>
              <w:rPr>
                <w:rFonts w:eastAsia="Times New Roman" w:cs="Calibri"/>
                <w:b/>
                <w:bCs/>
                <w:i/>
                <w:color w:val="auto"/>
                <w:sz w:val="18"/>
                <w:szCs w:val="18"/>
                <w:lang w:eastAsia="el-GR"/>
              </w:rPr>
            </w:pPr>
            <w:r w:rsidRPr="000C2DEB">
              <w:rPr>
                <w:rFonts w:eastAsia="Times New Roman" w:cs="Calibri"/>
                <w:b/>
                <w:bCs/>
                <w:i/>
                <w:color w:val="auto"/>
                <w:sz w:val="18"/>
                <w:szCs w:val="18"/>
                <w:lang w:eastAsia="el-GR"/>
              </w:rPr>
              <w:t>2019-20</w:t>
            </w:r>
          </w:p>
        </w:tc>
        <w:tc>
          <w:tcPr>
            <w:tcW w:w="867" w:type="dxa"/>
            <w:tcBorders>
              <w:top w:val="single" w:sz="12" w:space="0" w:color="auto"/>
              <w:left w:val="single" w:sz="4" w:space="0" w:color="auto"/>
              <w:bottom w:val="single" w:sz="12" w:space="0" w:color="auto"/>
              <w:right w:val="single" w:sz="4" w:space="0" w:color="auto"/>
            </w:tcBorders>
            <w:shd w:val="clear" w:color="auto" w:fill="BDD6EE" w:themeFill="accent1" w:themeFillTint="66"/>
            <w:vAlign w:val="center"/>
            <w:hideMark/>
          </w:tcPr>
          <w:p w14:paraId="01D2EDA3" w14:textId="77777777" w:rsidR="00C86770" w:rsidRPr="000C2DEB" w:rsidRDefault="00C86770" w:rsidP="002F1168">
            <w:pPr>
              <w:spacing w:after="0" w:line="240" w:lineRule="auto"/>
              <w:jc w:val="center"/>
              <w:rPr>
                <w:rFonts w:eastAsia="Times New Roman" w:cs="Calibri"/>
                <w:b/>
                <w:bCs/>
                <w:i/>
                <w:color w:val="auto"/>
                <w:sz w:val="18"/>
                <w:szCs w:val="18"/>
                <w:lang w:eastAsia="el-GR"/>
              </w:rPr>
            </w:pPr>
            <w:r w:rsidRPr="000C2DEB">
              <w:rPr>
                <w:rFonts w:eastAsia="Times New Roman" w:cs="Calibri"/>
                <w:b/>
                <w:bCs/>
                <w:i/>
                <w:color w:val="auto"/>
                <w:sz w:val="18"/>
                <w:szCs w:val="18"/>
                <w:lang w:eastAsia="el-GR"/>
              </w:rPr>
              <w:t>% Δ 2019-20</w:t>
            </w:r>
          </w:p>
        </w:tc>
      </w:tr>
      <w:tr w:rsidR="00C86770" w:rsidRPr="00253C46" w14:paraId="7712D528" w14:textId="77777777" w:rsidTr="00BC33A4">
        <w:trPr>
          <w:trHeight w:val="580"/>
        </w:trPr>
        <w:tc>
          <w:tcPr>
            <w:tcW w:w="1633" w:type="dxa"/>
            <w:tcBorders>
              <w:top w:val="single" w:sz="12" w:space="0" w:color="auto"/>
              <w:left w:val="single" w:sz="4" w:space="0" w:color="auto"/>
              <w:bottom w:val="nil"/>
              <w:right w:val="single" w:sz="4" w:space="0" w:color="auto"/>
            </w:tcBorders>
            <w:shd w:val="clear" w:color="000000" w:fill="D9D9D9"/>
            <w:vAlign w:val="center"/>
            <w:hideMark/>
          </w:tcPr>
          <w:p w14:paraId="746C334F" w14:textId="77777777" w:rsidR="00C86770" w:rsidRPr="00253C46" w:rsidRDefault="00C86770" w:rsidP="002F1168">
            <w:pPr>
              <w:spacing w:after="0" w:line="240" w:lineRule="auto"/>
              <w:jc w:val="left"/>
              <w:rPr>
                <w:rFonts w:eastAsia="Times New Roman" w:cs="Calibri"/>
                <w:color w:val="auto"/>
                <w:sz w:val="18"/>
                <w:szCs w:val="18"/>
                <w:lang w:eastAsia="el-GR"/>
              </w:rPr>
            </w:pPr>
            <w:r w:rsidRPr="00253C46">
              <w:rPr>
                <w:rFonts w:eastAsia="Times New Roman" w:cs="Calibri"/>
                <w:color w:val="auto"/>
                <w:sz w:val="18"/>
                <w:szCs w:val="18"/>
                <w:lang w:eastAsia="el-GR"/>
              </w:rPr>
              <w:t>Άνεργοι</w:t>
            </w:r>
          </w:p>
        </w:tc>
        <w:tc>
          <w:tcPr>
            <w:tcW w:w="686" w:type="dxa"/>
            <w:tcBorders>
              <w:top w:val="single" w:sz="12" w:space="0" w:color="auto"/>
              <w:left w:val="single" w:sz="4" w:space="0" w:color="auto"/>
              <w:bottom w:val="nil"/>
              <w:right w:val="dotted" w:sz="18" w:space="0" w:color="auto"/>
            </w:tcBorders>
            <w:shd w:val="clear" w:color="000000" w:fill="D9D9D9"/>
            <w:vAlign w:val="center"/>
            <w:hideMark/>
          </w:tcPr>
          <w:p w14:paraId="75F95834" w14:textId="77777777" w:rsidR="00C86770" w:rsidRPr="00253C46" w:rsidRDefault="00C86770" w:rsidP="002F1168">
            <w:pPr>
              <w:spacing w:after="0" w:line="240" w:lineRule="auto"/>
              <w:jc w:val="center"/>
              <w:rPr>
                <w:rFonts w:eastAsia="Times New Roman" w:cs="Calibri"/>
                <w:color w:val="auto"/>
                <w:sz w:val="18"/>
                <w:szCs w:val="18"/>
                <w:lang w:eastAsia="el-GR"/>
              </w:rPr>
            </w:pPr>
            <w:r>
              <w:rPr>
                <w:rFonts w:eastAsia="Times New Roman" w:cs="Calibri"/>
                <w:color w:val="auto"/>
                <w:sz w:val="18"/>
                <w:szCs w:val="18"/>
                <w:lang w:eastAsia="el-GR"/>
              </w:rPr>
              <w:t>388</w:t>
            </w:r>
          </w:p>
        </w:tc>
        <w:tc>
          <w:tcPr>
            <w:tcW w:w="735" w:type="dxa"/>
            <w:tcBorders>
              <w:top w:val="single" w:sz="12" w:space="0" w:color="auto"/>
              <w:left w:val="dotted" w:sz="18" w:space="0" w:color="auto"/>
              <w:bottom w:val="nil"/>
              <w:right w:val="single" w:sz="4" w:space="0" w:color="auto"/>
            </w:tcBorders>
            <w:shd w:val="clear" w:color="000000" w:fill="D9D9D9"/>
            <w:vAlign w:val="center"/>
          </w:tcPr>
          <w:p w14:paraId="79B9C27E" w14:textId="77777777" w:rsidR="00C86770" w:rsidRPr="00253C46" w:rsidRDefault="00C86770" w:rsidP="002F1168">
            <w:pPr>
              <w:spacing w:after="0" w:line="240" w:lineRule="auto"/>
              <w:jc w:val="center"/>
              <w:rPr>
                <w:rFonts w:eastAsia="Times New Roman" w:cs="Calibri"/>
                <w:color w:val="auto"/>
                <w:sz w:val="18"/>
                <w:szCs w:val="18"/>
                <w:lang w:eastAsia="el-GR"/>
              </w:rPr>
            </w:pPr>
            <w:r>
              <w:rPr>
                <w:rFonts w:eastAsia="Times New Roman" w:cs="Calibri"/>
                <w:color w:val="auto"/>
                <w:sz w:val="18"/>
                <w:szCs w:val="18"/>
                <w:lang w:eastAsia="el-GR"/>
              </w:rPr>
              <w:t>1197</w:t>
            </w:r>
          </w:p>
        </w:tc>
        <w:tc>
          <w:tcPr>
            <w:tcW w:w="735" w:type="dxa"/>
            <w:tcBorders>
              <w:top w:val="single" w:sz="12" w:space="0" w:color="auto"/>
              <w:left w:val="single" w:sz="4" w:space="0" w:color="auto"/>
              <w:bottom w:val="nil"/>
              <w:right w:val="single" w:sz="4" w:space="0" w:color="auto"/>
            </w:tcBorders>
            <w:shd w:val="clear" w:color="000000" w:fill="D9D9D9"/>
            <w:vAlign w:val="center"/>
            <w:hideMark/>
          </w:tcPr>
          <w:p w14:paraId="66674280" w14:textId="77777777" w:rsidR="00C86770" w:rsidRPr="00253C46" w:rsidRDefault="00C86770" w:rsidP="002F1168">
            <w:pPr>
              <w:spacing w:after="0" w:line="240" w:lineRule="auto"/>
              <w:jc w:val="center"/>
              <w:rPr>
                <w:rFonts w:eastAsia="Times New Roman" w:cs="Calibri"/>
                <w:color w:val="auto"/>
                <w:sz w:val="18"/>
                <w:szCs w:val="18"/>
                <w:lang w:eastAsia="el-GR"/>
              </w:rPr>
            </w:pPr>
            <w:r>
              <w:rPr>
                <w:rFonts w:eastAsia="Times New Roman" w:cs="Calibri"/>
                <w:color w:val="auto"/>
                <w:sz w:val="18"/>
                <w:szCs w:val="18"/>
                <w:lang w:eastAsia="el-GR"/>
              </w:rPr>
              <w:t>1131</w:t>
            </w:r>
          </w:p>
        </w:tc>
        <w:tc>
          <w:tcPr>
            <w:tcW w:w="735" w:type="dxa"/>
            <w:tcBorders>
              <w:top w:val="single" w:sz="12" w:space="0" w:color="auto"/>
              <w:left w:val="single" w:sz="4" w:space="0" w:color="auto"/>
              <w:bottom w:val="nil"/>
              <w:right w:val="single" w:sz="4" w:space="0" w:color="auto"/>
            </w:tcBorders>
            <w:shd w:val="clear" w:color="000000" w:fill="D9D9D9"/>
            <w:vAlign w:val="center"/>
            <w:hideMark/>
          </w:tcPr>
          <w:p w14:paraId="226F038A" w14:textId="77777777" w:rsidR="00C86770" w:rsidRPr="00253C46" w:rsidRDefault="00C86770" w:rsidP="002F1168">
            <w:pPr>
              <w:spacing w:after="0" w:line="240" w:lineRule="auto"/>
              <w:jc w:val="center"/>
              <w:rPr>
                <w:rFonts w:eastAsia="Times New Roman" w:cs="Calibri"/>
                <w:color w:val="auto"/>
                <w:sz w:val="18"/>
                <w:szCs w:val="18"/>
                <w:lang w:eastAsia="el-GR"/>
              </w:rPr>
            </w:pPr>
            <w:r>
              <w:rPr>
                <w:rFonts w:eastAsia="Times New Roman" w:cs="Calibri"/>
                <w:color w:val="auto"/>
                <w:sz w:val="18"/>
                <w:szCs w:val="18"/>
                <w:lang w:eastAsia="el-GR"/>
              </w:rPr>
              <w:t>1027</w:t>
            </w:r>
          </w:p>
        </w:tc>
        <w:tc>
          <w:tcPr>
            <w:tcW w:w="735" w:type="dxa"/>
            <w:tcBorders>
              <w:top w:val="single" w:sz="12" w:space="0" w:color="auto"/>
              <w:left w:val="single" w:sz="4" w:space="0" w:color="auto"/>
              <w:bottom w:val="nil"/>
              <w:right w:val="single" w:sz="4" w:space="0" w:color="auto"/>
            </w:tcBorders>
            <w:shd w:val="clear" w:color="000000" w:fill="D9D9D9"/>
            <w:vAlign w:val="center"/>
            <w:hideMark/>
          </w:tcPr>
          <w:p w14:paraId="17E79336" w14:textId="77777777" w:rsidR="00C86770" w:rsidRPr="00253C46" w:rsidRDefault="00C86770" w:rsidP="002F1168">
            <w:pPr>
              <w:spacing w:after="0" w:line="240" w:lineRule="auto"/>
              <w:jc w:val="center"/>
              <w:rPr>
                <w:rFonts w:eastAsia="Times New Roman" w:cs="Calibri"/>
                <w:color w:val="auto"/>
                <w:sz w:val="18"/>
                <w:szCs w:val="18"/>
                <w:lang w:eastAsia="el-GR"/>
              </w:rPr>
            </w:pPr>
            <w:r>
              <w:rPr>
                <w:rFonts w:eastAsia="Times New Roman" w:cs="Calibri"/>
                <w:color w:val="auto"/>
                <w:sz w:val="18"/>
                <w:szCs w:val="18"/>
                <w:lang w:eastAsia="el-GR"/>
              </w:rPr>
              <w:t>915</w:t>
            </w:r>
          </w:p>
        </w:tc>
        <w:tc>
          <w:tcPr>
            <w:tcW w:w="735" w:type="dxa"/>
            <w:tcBorders>
              <w:top w:val="single" w:sz="12" w:space="0" w:color="auto"/>
              <w:left w:val="single" w:sz="4" w:space="0" w:color="auto"/>
              <w:bottom w:val="nil"/>
              <w:right w:val="single" w:sz="4" w:space="0" w:color="auto"/>
            </w:tcBorders>
            <w:shd w:val="clear" w:color="000000" w:fill="D9D9D9"/>
            <w:vAlign w:val="center"/>
            <w:hideMark/>
          </w:tcPr>
          <w:p w14:paraId="2A073C6F" w14:textId="77777777" w:rsidR="00C86770" w:rsidRPr="00253C46" w:rsidRDefault="00C86770" w:rsidP="002F1168">
            <w:pPr>
              <w:spacing w:after="0" w:line="240" w:lineRule="auto"/>
              <w:jc w:val="center"/>
              <w:rPr>
                <w:rFonts w:eastAsia="Times New Roman" w:cs="Calibri"/>
                <w:color w:val="auto"/>
                <w:sz w:val="18"/>
                <w:szCs w:val="18"/>
                <w:lang w:eastAsia="el-GR"/>
              </w:rPr>
            </w:pPr>
            <w:r>
              <w:rPr>
                <w:rFonts w:eastAsia="Times New Roman" w:cs="Calibri"/>
                <w:color w:val="auto"/>
                <w:sz w:val="18"/>
                <w:szCs w:val="18"/>
                <w:lang w:eastAsia="el-GR"/>
              </w:rPr>
              <w:t>819</w:t>
            </w:r>
          </w:p>
        </w:tc>
        <w:tc>
          <w:tcPr>
            <w:tcW w:w="833" w:type="dxa"/>
            <w:tcBorders>
              <w:top w:val="single" w:sz="12" w:space="0" w:color="auto"/>
              <w:left w:val="single" w:sz="4" w:space="0" w:color="auto"/>
              <w:bottom w:val="nil"/>
              <w:right w:val="single" w:sz="4" w:space="0" w:color="auto"/>
            </w:tcBorders>
            <w:shd w:val="clear" w:color="000000" w:fill="D9D9D9"/>
            <w:vAlign w:val="center"/>
          </w:tcPr>
          <w:p w14:paraId="72A6428A" w14:textId="77777777" w:rsidR="00C86770" w:rsidRPr="00253C46" w:rsidRDefault="00C86770" w:rsidP="002F1168">
            <w:pPr>
              <w:spacing w:after="0" w:line="240" w:lineRule="auto"/>
              <w:jc w:val="center"/>
              <w:rPr>
                <w:rFonts w:eastAsia="Times New Roman" w:cs="Calibri"/>
                <w:color w:val="auto"/>
                <w:sz w:val="18"/>
                <w:szCs w:val="18"/>
                <w:lang w:eastAsia="el-GR"/>
              </w:rPr>
            </w:pPr>
            <w:r>
              <w:rPr>
                <w:rFonts w:eastAsia="Times New Roman" w:cs="Calibri"/>
                <w:color w:val="auto"/>
                <w:sz w:val="18"/>
                <w:szCs w:val="18"/>
                <w:lang w:eastAsia="el-GR"/>
              </w:rPr>
              <w:t>755</w:t>
            </w:r>
          </w:p>
        </w:tc>
        <w:tc>
          <w:tcPr>
            <w:tcW w:w="829" w:type="dxa"/>
            <w:tcBorders>
              <w:top w:val="single" w:sz="12" w:space="0" w:color="auto"/>
              <w:left w:val="single" w:sz="4" w:space="0" w:color="auto"/>
              <w:bottom w:val="nil"/>
              <w:right w:val="single" w:sz="4" w:space="0" w:color="auto"/>
            </w:tcBorders>
            <w:shd w:val="clear" w:color="000000" w:fill="D9D9D9"/>
            <w:vAlign w:val="center"/>
            <w:hideMark/>
          </w:tcPr>
          <w:p w14:paraId="6F53AEA0" w14:textId="77777777" w:rsidR="00C86770" w:rsidRPr="000C2DEB" w:rsidRDefault="00C86770" w:rsidP="002F1168">
            <w:pPr>
              <w:spacing w:after="0" w:line="240" w:lineRule="auto"/>
              <w:jc w:val="center"/>
              <w:rPr>
                <w:rFonts w:eastAsia="Times New Roman" w:cs="Calibri"/>
                <w:i/>
                <w:color w:val="auto"/>
                <w:sz w:val="18"/>
                <w:szCs w:val="18"/>
                <w:lang w:eastAsia="el-GR"/>
              </w:rPr>
            </w:pPr>
            <w:r w:rsidRPr="000C2DEB">
              <w:rPr>
                <w:rFonts w:eastAsia="Times New Roman" w:cs="Calibri"/>
                <w:i/>
                <w:color w:val="auto"/>
                <w:sz w:val="18"/>
                <w:szCs w:val="18"/>
                <w:lang w:eastAsia="el-GR"/>
              </w:rPr>
              <w:t>-64</w:t>
            </w:r>
          </w:p>
        </w:tc>
        <w:tc>
          <w:tcPr>
            <w:tcW w:w="867" w:type="dxa"/>
            <w:tcBorders>
              <w:top w:val="single" w:sz="12" w:space="0" w:color="auto"/>
              <w:left w:val="single" w:sz="4" w:space="0" w:color="auto"/>
              <w:bottom w:val="nil"/>
              <w:right w:val="single" w:sz="4" w:space="0" w:color="auto"/>
            </w:tcBorders>
            <w:shd w:val="clear" w:color="000000" w:fill="D9D9D9"/>
            <w:vAlign w:val="center"/>
            <w:hideMark/>
          </w:tcPr>
          <w:p w14:paraId="785F321F" w14:textId="77777777" w:rsidR="00C86770" w:rsidRPr="000C2DEB" w:rsidRDefault="00C86770" w:rsidP="002F1168">
            <w:pPr>
              <w:spacing w:after="0" w:line="240" w:lineRule="auto"/>
              <w:jc w:val="center"/>
              <w:rPr>
                <w:rFonts w:eastAsia="Times New Roman" w:cs="Calibri"/>
                <w:i/>
                <w:color w:val="auto"/>
                <w:sz w:val="18"/>
                <w:szCs w:val="18"/>
                <w:lang w:eastAsia="el-GR"/>
              </w:rPr>
            </w:pPr>
            <w:r w:rsidRPr="000C2DEB">
              <w:rPr>
                <w:rFonts w:eastAsia="Times New Roman" w:cs="Calibri"/>
                <w:i/>
                <w:color w:val="auto"/>
                <w:sz w:val="18"/>
                <w:szCs w:val="18"/>
                <w:lang w:eastAsia="el-GR"/>
              </w:rPr>
              <w:t>-7,8%</w:t>
            </w:r>
          </w:p>
        </w:tc>
      </w:tr>
      <w:tr w:rsidR="00C86770" w:rsidRPr="00253C46" w14:paraId="75357E24" w14:textId="77777777" w:rsidTr="00BC33A4">
        <w:trPr>
          <w:trHeight w:val="580"/>
        </w:trPr>
        <w:tc>
          <w:tcPr>
            <w:tcW w:w="1633" w:type="dxa"/>
            <w:tcBorders>
              <w:top w:val="nil"/>
              <w:left w:val="single" w:sz="4" w:space="0" w:color="auto"/>
              <w:bottom w:val="nil"/>
              <w:right w:val="single" w:sz="4" w:space="0" w:color="auto"/>
            </w:tcBorders>
            <w:shd w:val="clear" w:color="auto" w:fill="auto"/>
            <w:vAlign w:val="center"/>
            <w:hideMark/>
          </w:tcPr>
          <w:p w14:paraId="28885026" w14:textId="77777777" w:rsidR="00C86770" w:rsidRPr="00253C46" w:rsidRDefault="00C86770" w:rsidP="002F1168">
            <w:pPr>
              <w:spacing w:after="0" w:line="240" w:lineRule="auto"/>
              <w:jc w:val="left"/>
              <w:rPr>
                <w:rFonts w:eastAsia="Times New Roman" w:cs="Calibri"/>
                <w:i/>
                <w:iCs/>
                <w:color w:val="auto"/>
                <w:sz w:val="18"/>
                <w:szCs w:val="18"/>
                <w:lang w:eastAsia="el-GR"/>
              </w:rPr>
            </w:pPr>
            <w:r w:rsidRPr="00253C46">
              <w:rPr>
                <w:rFonts w:eastAsia="Times New Roman" w:cs="Calibri"/>
                <w:i/>
                <w:iCs/>
                <w:color w:val="auto"/>
                <w:sz w:val="18"/>
                <w:szCs w:val="18"/>
                <w:lang w:eastAsia="el-GR"/>
              </w:rPr>
              <w:t>Πάνω από 12 μήνες</w:t>
            </w:r>
          </w:p>
        </w:tc>
        <w:tc>
          <w:tcPr>
            <w:tcW w:w="686" w:type="dxa"/>
            <w:tcBorders>
              <w:top w:val="nil"/>
              <w:left w:val="single" w:sz="4" w:space="0" w:color="auto"/>
              <w:bottom w:val="nil"/>
              <w:right w:val="dotted" w:sz="18" w:space="0" w:color="auto"/>
            </w:tcBorders>
            <w:shd w:val="clear" w:color="auto" w:fill="auto"/>
            <w:vAlign w:val="center"/>
            <w:hideMark/>
          </w:tcPr>
          <w:p w14:paraId="10779BF2" w14:textId="77777777" w:rsidR="00C86770" w:rsidRPr="00253C46" w:rsidRDefault="00C86770" w:rsidP="002F1168">
            <w:pPr>
              <w:spacing w:after="0" w:line="240" w:lineRule="auto"/>
              <w:jc w:val="center"/>
              <w:rPr>
                <w:rFonts w:eastAsia="Times New Roman" w:cs="Calibri"/>
                <w:i/>
                <w:iCs/>
                <w:color w:val="auto"/>
                <w:sz w:val="18"/>
                <w:szCs w:val="18"/>
                <w:lang w:eastAsia="el-GR"/>
              </w:rPr>
            </w:pPr>
            <w:r>
              <w:rPr>
                <w:rFonts w:eastAsia="Times New Roman" w:cs="Calibri"/>
                <w:i/>
                <w:iCs/>
                <w:color w:val="auto"/>
                <w:sz w:val="18"/>
                <w:szCs w:val="18"/>
                <w:lang w:eastAsia="el-GR"/>
              </w:rPr>
              <w:t>193</w:t>
            </w:r>
          </w:p>
        </w:tc>
        <w:tc>
          <w:tcPr>
            <w:tcW w:w="735" w:type="dxa"/>
            <w:tcBorders>
              <w:top w:val="nil"/>
              <w:left w:val="dotted" w:sz="18" w:space="0" w:color="auto"/>
              <w:bottom w:val="nil"/>
              <w:right w:val="single" w:sz="4" w:space="0" w:color="auto"/>
            </w:tcBorders>
            <w:shd w:val="clear" w:color="auto" w:fill="auto"/>
            <w:vAlign w:val="center"/>
          </w:tcPr>
          <w:p w14:paraId="57A65A18" w14:textId="77777777" w:rsidR="00C86770" w:rsidRPr="00253C46" w:rsidRDefault="00C86770" w:rsidP="002F1168">
            <w:pPr>
              <w:spacing w:after="0" w:line="240" w:lineRule="auto"/>
              <w:jc w:val="center"/>
              <w:rPr>
                <w:rFonts w:eastAsia="Times New Roman" w:cs="Calibri"/>
                <w:i/>
                <w:iCs/>
                <w:color w:val="auto"/>
                <w:sz w:val="18"/>
                <w:szCs w:val="18"/>
                <w:lang w:eastAsia="el-GR"/>
              </w:rPr>
            </w:pPr>
            <w:r>
              <w:rPr>
                <w:rFonts w:eastAsia="Times New Roman" w:cs="Calibri"/>
                <w:i/>
                <w:iCs/>
                <w:color w:val="auto"/>
                <w:sz w:val="18"/>
                <w:szCs w:val="18"/>
                <w:lang w:eastAsia="el-GR"/>
              </w:rPr>
              <w:t>875</w:t>
            </w:r>
          </w:p>
        </w:tc>
        <w:tc>
          <w:tcPr>
            <w:tcW w:w="735" w:type="dxa"/>
            <w:tcBorders>
              <w:top w:val="nil"/>
              <w:left w:val="single" w:sz="4" w:space="0" w:color="auto"/>
              <w:bottom w:val="nil"/>
              <w:right w:val="single" w:sz="4" w:space="0" w:color="auto"/>
            </w:tcBorders>
            <w:shd w:val="clear" w:color="auto" w:fill="auto"/>
            <w:vAlign w:val="center"/>
            <w:hideMark/>
          </w:tcPr>
          <w:p w14:paraId="23DB39FD" w14:textId="77777777" w:rsidR="00C86770" w:rsidRPr="00253C46" w:rsidRDefault="00C86770" w:rsidP="002F1168">
            <w:pPr>
              <w:spacing w:after="0" w:line="240" w:lineRule="auto"/>
              <w:jc w:val="center"/>
              <w:rPr>
                <w:rFonts w:eastAsia="Times New Roman" w:cs="Calibri"/>
                <w:i/>
                <w:iCs/>
                <w:color w:val="auto"/>
                <w:sz w:val="18"/>
                <w:szCs w:val="18"/>
                <w:lang w:eastAsia="el-GR"/>
              </w:rPr>
            </w:pPr>
            <w:r>
              <w:rPr>
                <w:rFonts w:eastAsia="Times New Roman" w:cs="Calibri"/>
                <w:i/>
                <w:iCs/>
                <w:color w:val="auto"/>
                <w:sz w:val="18"/>
                <w:szCs w:val="18"/>
                <w:lang w:eastAsia="el-GR"/>
              </w:rPr>
              <w:t>814</w:t>
            </w:r>
          </w:p>
        </w:tc>
        <w:tc>
          <w:tcPr>
            <w:tcW w:w="735" w:type="dxa"/>
            <w:tcBorders>
              <w:top w:val="nil"/>
              <w:left w:val="single" w:sz="4" w:space="0" w:color="auto"/>
              <w:bottom w:val="nil"/>
              <w:right w:val="single" w:sz="4" w:space="0" w:color="auto"/>
            </w:tcBorders>
            <w:shd w:val="clear" w:color="auto" w:fill="auto"/>
            <w:vAlign w:val="center"/>
            <w:hideMark/>
          </w:tcPr>
          <w:p w14:paraId="2C4C6EA3" w14:textId="77777777" w:rsidR="00C86770" w:rsidRPr="00253C46" w:rsidRDefault="00C86770" w:rsidP="002F1168">
            <w:pPr>
              <w:spacing w:after="0" w:line="240" w:lineRule="auto"/>
              <w:jc w:val="center"/>
              <w:rPr>
                <w:rFonts w:eastAsia="Times New Roman" w:cs="Calibri"/>
                <w:i/>
                <w:iCs/>
                <w:color w:val="auto"/>
                <w:sz w:val="18"/>
                <w:szCs w:val="18"/>
                <w:lang w:eastAsia="el-GR"/>
              </w:rPr>
            </w:pPr>
            <w:r>
              <w:rPr>
                <w:rFonts w:eastAsia="Times New Roman" w:cs="Calibri"/>
                <w:i/>
                <w:iCs/>
                <w:color w:val="auto"/>
                <w:sz w:val="18"/>
                <w:szCs w:val="18"/>
                <w:lang w:eastAsia="el-GR"/>
              </w:rPr>
              <w:t>747</w:t>
            </w:r>
          </w:p>
        </w:tc>
        <w:tc>
          <w:tcPr>
            <w:tcW w:w="735" w:type="dxa"/>
            <w:tcBorders>
              <w:top w:val="nil"/>
              <w:left w:val="single" w:sz="4" w:space="0" w:color="auto"/>
              <w:bottom w:val="nil"/>
              <w:right w:val="single" w:sz="4" w:space="0" w:color="auto"/>
            </w:tcBorders>
            <w:shd w:val="clear" w:color="auto" w:fill="auto"/>
            <w:vAlign w:val="center"/>
            <w:hideMark/>
          </w:tcPr>
          <w:p w14:paraId="0B3D20E2" w14:textId="77777777" w:rsidR="00C86770" w:rsidRPr="00253C46" w:rsidRDefault="00C86770" w:rsidP="002F1168">
            <w:pPr>
              <w:spacing w:after="0" w:line="240" w:lineRule="auto"/>
              <w:jc w:val="center"/>
              <w:rPr>
                <w:rFonts w:eastAsia="Times New Roman" w:cs="Calibri"/>
                <w:i/>
                <w:iCs/>
                <w:color w:val="auto"/>
                <w:sz w:val="18"/>
                <w:szCs w:val="18"/>
                <w:lang w:eastAsia="el-GR"/>
              </w:rPr>
            </w:pPr>
            <w:r>
              <w:rPr>
                <w:rFonts w:eastAsia="Times New Roman" w:cs="Calibri"/>
                <w:i/>
                <w:iCs/>
                <w:color w:val="auto"/>
                <w:sz w:val="18"/>
                <w:szCs w:val="18"/>
                <w:lang w:eastAsia="el-GR"/>
              </w:rPr>
              <w:t>644</w:t>
            </w:r>
          </w:p>
        </w:tc>
        <w:tc>
          <w:tcPr>
            <w:tcW w:w="735" w:type="dxa"/>
            <w:tcBorders>
              <w:top w:val="nil"/>
              <w:left w:val="single" w:sz="4" w:space="0" w:color="auto"/>
              <w:bottom w:val="nil"/>
              <w:right w:val="single" w:sz="4" w:space="0" w:color="auto"/>
            </w:tcBorders>
            <w:shd w:val="clear" w:color="auto" w:fill="auto"/>
            <w:vAlign w:val="center"/>
            <w:hideMark/>
          </w:tcPr>
          <w:p w14:paraId="43234462" w14:textId="77777777" w:rsidR="00C86770" w:rsidRPr="00253C46" w:rsidRDefault="00C86770" w:rsidP="002F1168">
            <w:pPr>
              <w:spacing w:after="0" w:line="240" w:lineRule="auto"/>
              <w:jc w:val="center"/>
              <w:rPr>
                <w:rFonts w:eastAsia="Times New Roman" w:cs="Calibri"/>
                <w:i/>
                <w:iCs/>
                <w:color w:val="auto"/>
                <w:sz w:val="18"/>
                <w:szCs w:val="18"/>
                <w:lang w:eastAsia="el-GR"/>
              </w:rPr>
            </w:pPr>
            <w:r>
              <w:rPr>
                <w:rFonts w:eastAsia="Times New Roman" w:cs="Calibri"/>
                <w:i/>
                <w:iCs/>
                <w:color w:val="auto"/>
                <w:sz w:val="18"/>
                <w:szCs w:val="18"/>
                <w:lang w:eastAsia="el-GR"/>
              </w:rPr>
              <w:t>574</w:t>
            </w:r>
          </w:p>
        </w:tc>
        <w:tc>
          <w:tcPr>
            <w:tcW w:w="833" w:type="dxa"/>
            <w:tcBorders>
              <w:top w:val="nil"/>
              <w:left w:val="single" w:sz="4" w:space="0" w:color="auto"/>
              <w:bottom w:val="nil"/>
              <w:right w:val="single" w:sz="4" w:space="0" w:color="auto"/>
            </w:tcBorders>
            <w:vAlign w:val="center"/>
          </w:tcPr>
          <w:p w14:paraId="3B034BFA" w14:textId="77777777" w:rsidR="00C86770" w:rsidRPr="00253C46" w:rsidRDefault="00C86770" w:rsidP="002F1168">
            <w:pPr>
              <w:spacing w:after="0" w:line="240" w:lineRule="auto"/>
              <w:jc w:val="center"/>
              <w:rPr>
                <w:rFonts w:eastAsia="Times New Roman" w:cs="Calibri"/>
                <w:i/>
                <w:iCs/>
                <w:color w:val="auto"/>
                <w:sz w:val="18"/>
                <w:szCs w:val="18"/>
                <w:lang w:eastAsia="el-GR"/>
              </w:rPr>
            </w:pPr>
            <w:r>
              <w:rPr>
                <w:rFonts w:eastAsia="Times New Roman" w:cs="Calibri"/>
                <w:i/>
                <w:iCs/>
                <w:color w:val="auto"/>
                <w:sz w:val="18"/>
                <w:szCs w:val="18"/>
                <w:lang w:eastAsia="el-GR"/>
              </w:rPr>
              <w:t>502</w:t>
            </w:r>
          </w:p>
        </w:tc>
        <w:tc>
          <w:tcPr>
            <w:tcW w:w="829" w:type="dxa"/>
            <w:tcBorders>
              <w:top w:val="nil"/>
              <w:left w:val="single" w:sz="4" w:space="0" w:color="auto"/>
              <w:bottom w:val="nil"/>
              <w:right w:val="single" w:sz="4" w:space="0" w:color="auto"/>
            </w:tcBorders>
            <w:shd w:val="clear" w:color="auto" w:fill="auto"/>
            <w:vAlign w:val="center"/>
            <w:hideMark/>
          </w:tcPr>
          <w:p w14:paraId="088690A3" w14:textId="77777777" w:rsidR="00C86770" w:rsidRPr="000C2DEB" w:rsidRDefault="00C86770" w:rsidP="002F1168">
            <w:pPr>
              <w:spacing w:after="0" w:line="240" w:lineRule="auto"/>
              <w:jc w:val="center"/>
              <w:rPr>
                <w:rFonts w:eastAsia="Times New Roman" w:cs="Calibri"/>
                <w:i/>
                <w:iCs/>
                <w:color w:val="auto"/>
                <w:sz w:val="18"/>
                <w:szCs w:val="18"/>
                <w:lang w:eastAsia="el-GR"/>
              </w:rPr>
            </w:pPr>
            <w:r w:rsidRPr="000C2DEB">
              <w:rPr>
                <w:rFonts w:eastAsia="Times New Roman" w:cs="Calibri"/>
                <w:i/>
                <w:iCs/>
                <w:color w:val="auto"/>
                <w:sz w:val="18"/>
                <w:szCs w:val="18"/>
                <w:lang w:eastAsia="el-GR"/>
              </w:rPr>
              <w:t>-72</w:t>
            </w:r>
          </w:p>
        </w:tc>
        <w:tc>
          <w:tcPr>
            <w:tcW w:w="867" w:type="dxa"/>
            <w:tcBorders>
              <w:top w:val="nil"/>
              <w:left w:val="single" w:sz="4" w:space="0" w:color="auto"/>
              <w:bottom w:val="nil"/>
              <w:right w:val="single" w:sz="4" w:space="0" w:color="auto"/>
            </w:tcBorders>
            <w:shd w:val="clear" w:color="auto" w:fill="auto"/>
            <w:vAlign w:val="center"/>
            <w:hideMark/>
          </w:tcPr>
          <w:p w14:paraId="2D677663" w14:textId="77777777" w:rsidR="00C86770" w:rsidRPr="000C2DEB" w:rsidRDefault="00C86770" w:rsidP="002F1168">
            <w:pPr>
              <w:spacing w:after="0" w:line="240" w:lineRule="auto"/>
              <w:jc w:val="center"/>
              <w:rPr>
                <w:rFonts w:eastAsia="Times New Roman" w:cs="Calibri"/>
                <w:i/>
                <w:iCs/>
                <w:color w:val="auto"/>
                <w:sz w:val="18"/>
                <w:szCs w:val="18"/>
                <w:lang w:eastAsia="el-GR"/>
              </w:rPr>
            </w:pPr>
            <w:r w:rsidRPr="000C2DEB">
              <w:rPr>
                <w:rFonts w:eastAsia="Times New Roman" w:cs="Calibri"/>
                <w:i/>
                <w:iCs/>
                <w:color w:val="auto"/>
                <w:sz w:val="18"/>
                <w:szCs w:val="18"/>
                <w:lang w:eastAsia="el-GR"/>
              </w:rPr>
              <w:t>-12,6%</w:t>
            </w:r>
          </w:p>
        </w:tc>
      </w:tr>
      <w:tr w:rsidR="00C86770" w:rsidRPr="00253C46" w14:paraId="1115E54B" w14:textId="77777777" w:rsidTr="00BC33A4">
        <w:trPr>
          <w:trHeight w:val="580"/>
        </w:trPr>
        <w:tc>
          <w:tcPr>
            <w:tcW w:w="1633"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035248A" w14:textId="77777777" w:rsidR="00C86770" w:rsidRPr="00253C46" w:rsidRDefault="00C86770" w:rsidP="002F1168">
            <w:pPr>
              <w:spacing w:after="0" w:line="240" w:lineRule="auto"/>
              <w:jc w:val="left"/>
              <w:rPr>
                <w:rFonts w:eastAsia="Times New Roman" w:cs="Calibri"/>
                <w:i/>
                <w:iCs/>
                <w:color w:val="auto"/>
                <w:sz w:val="18"/>
                <w:szCs w:val="18"/>
                <w:lang w:eastAsia="el-GR"/>
              </w:rPr>
            </w:pPr>
            <w:r w:rsidRPr="00253C46">
              <w:rPr>
                <w:rFonts w:eastAsia="Times New Roman" w:cs="Calibri"/>
                <w:i/>
                <w:iCs/>
                <w:color w:val="auto"/>
                <w:sz w:val="18"/>
                <w:szCs w:val="18"/>
                <w:lang w:eastAsia="el-GR"/>
              </w:rPr>
              <w:t xml:space="preserve">% επί </w:t>
            </w:r>
            <w:r>
              <w:rPr>
                <w:rFonts w:eastAsia="Times New Roman" w:cs="Calibri"/>
                <w:i/>
                <w:iCs/>
                <w:color w:val="auto"/>
                <w:sz w:val="18"/>
                <w:szCs w:val="18"/>
                <w:lang w:eastAsia="el-GR"/>
              </w:rPr>
              <w:t xml:space="preserve">του </w:t>
            </w:r>
            <w:r w:rsidRPr="00253C46">
              <w:rPr>
                <w:rFonts w:eastAsia="Times New Roman" w:cs="Calibri"/>
                <w:i/>
                <w:iCs/>
                <w:color w:val="auto"/>
                <w:sz w:val="18"/>
                <w:szCs w:val="18"/>
                <w:lang w:eastAsia="el-GR"/>
              </w:rPr>
              <w:t>συνόλ</w:t>
            </w:r>
            <w:r>
              <w:rPr>
                <w:rFonts w:eastAsia="Times New Roman" w:cs="Calibri"/>
                <w:i/>
                <w:iCs/>
                <w:color w:val="auto"/>
                <w:sz w:val="18"/>
                <w:szCs w:val="18"/>
                <w:lang w:eastAsia="el-GR"/>
              </w:rPr>
              <w:t>ου της</w:t>
            </w:r>
            <w:r w:rsidRPr="00253C46">
              <w:rPr>
                <w:rFonts w:eastAsia="Times New Roman" w:cs="Calibri"/>
                <w:i/>
                <w:iCs/>
                <w:color w:val="auto"/>
                <w:sz w:val="18"/>
                <w:szCs w:val="18"/>
                <w:lang w:eastAsia="el-GR"/>
              </w:rPr>
              <w:t xml:space="preserve"> ανεργίας</w:t>
            </w:r>
          </w:p>
        </w:tc>
        <w:tc>
          <w:tcPr>
            <w:tcW w:w="686" w:type="dxa"/>
            <w:tcBorders>
              <w:top w:val="nil"/>
              <w:left w:val="single" w:sz="4" w:space="0" w:color="auto"/>
              <w:bottom w:val="single" w:sz="4" w:space="0" w:color="auto"/>
              <w:right w:val="dotted" w:sz="18" w:space="0" w:color="auto"/>
            </w:tcBorders>
            <w:shd w:val="clear" w:color="auto" w:fill="F2F2F2" w:themeFill="background1" w:themeFillShade="F2"/>
            <w:vAlign w:val="center"/>
            <w:hideMark/>
          </w:tcPr>
          <w:p w14:paraId="31C7868B" w14:textId="77777777" w:rsidR="00C86770" w:rsidRPr="00253C46" w:rsidRDefault="00C86770" w:rsidP="002F1168">
            <w:pPr>
              <w:spacing w:after="0" w:line="240" w:lineRule="auto"/>
              <w:jc w:val="center"/>
              <w:rPr>
                <w:rFonts w:eastAsia="Times New Roman" w:cs="Calibri"/>
                <w:i/>
                <w:iCs/>
                <w:color w:val="auto"/>
                <w:sz w:val="18"/>
                <w:szCs w:val="18"/>
                <w:lang w:eastAsia="el-GR"/>
              </w:rPr>
            </w:pPr>
            <w:r>
              <w:rPr>
                <w:rFonts w:eastAsia="Times New Roman" w:cs="Calibri"/>
                <w:i/>
                <w:iCs/>
                <w:color w:val="auto"/>
                <w:sz w:val="18"/>
                <w:szCs w:val="18"/>
                <w:lang w:eastAsia="el-GR"/>
              </w:rPr>
              <w:t>4</w:t>
            </w:r>
            <w:r w:rsidRPr="00253C46">
              <w:rPr>
                <w:rFonts w:eastAsia="Times New Roman" w:cs="Calibri"/>
                <w:i/>
                <w:iCs/>
                <w:color w:val="auto"/>
                <w:sz w:val="18"/>
                <w:szCs w:val="18"/>
                <w:lang w:eastAsia="el-GR"/>
              </w:rPr>
              <w:t>7,1%</w:t>
            </w:r>
          </w:p>
        </w:tc>
        <w:tc>
          <w:tcPr>
            <w:tcW w:w="735" w:type="dxa"/>
            <w:tcBorders>
              <w:top w:val="nil"/>
              <w:left w:val="dotted" w:sz="18" w:space="0" w:color="auto"/>
              <w:bottom w:val="single" w:sz="4" w:space="0" w:color="auto"/>
              <w:right w:val="single" w:sz="4" w:space="0" w:color="auto"/>
            </w:tcBorders>
            <w:shd w:val="clear" w:color="auto" w:fill="F2F2F2" w:themeFill="background1" w:themeFillShade="F2"/>
            <w:vAlign w:val="center"/>
          </w:tcPr>
          <w:p w14:paraId="4E81561E" w14:textId="77777777" w:rsidR="00C86770" w:rsidRPr="00253C46" w:rsidRDefault="00C86770" w:rsidP="002F1168">
            <w:pPr>
              <w:spacing w:after="0" w:line="240" w:lineRule="auto"/>
              <w:jc w:val="center"/>
              <w:rPr>
                <w:rFonts w:eastAsia="Times New Roman" w:cs="Calibri"/>
                <w:i/>
                <w:iCs/>
                <w:color w:val="auto"/>
                <w:sz w:val="18"/>
                <w:szCs w:val="18"/>
                <w:lang w:eastAsia="el-GR"/>
              </w:rPr>
            </w:pPr>
            <w:r>
              <w:rPr>
                <w:rFonts w:eastAsia="Times New Roman" w:cs="Calibri"/>
                <w:i/>
                <w:iCs/>
                <w:color w:val="auto"/>
                <w:sz w:val="18"/>
                <w:szCs w:val="18"/>
                <w:lang w:eastAsia="el-GR"/>
              </w:rPr>
              <w:t>73,1%</w:t>
            </w:r>
          </w:p>
        </w:tc>
        <w:tc>
          <w:tcPr>
            <w:tcW w:w="735"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2D18BA6" w14:textId="77777777" w:rsidR="00C86770" w:rsidRPr="00253C46" w:rsidRDefault="00C86770" w:rsidP="002F1168">
            <w:pPr>
              <w:spacing w:after="0" w:line="240" w:lineRule="auto"/>
              <w:jc w:val="center"/>
              <w:rPr>
                <w:rFonts w:eastAsia="Times New Roman" w:cs="Calibri"/>
                <w:i/>
                <w:iCs/>
                <w:color w:val="auto"/>
                <w:sz w:val="18"/>
                <w:szCs w:val="18"/>
                <w:lang w:eastAsia="el-GR"/>
              </w:rPr>
            </w:pPr>
            <w:r>
              <w:rPr>
                <w:rFonts w:eastAsia="Times New Roman" w:cs="Calibri"/>
                <w:i/>
                <w:iCs/>
                <w:color w:val="auto"/>
                <w:sz w:val="18"/>
                <w:szCs w:val="18"/>
                <w:lang w:eastAsia="el-GR"/>
              </w:rPr>
              <w:t>72,0</w:t>
            </w:r>
            <w:r w:rsidRPr="00253C46">
              <w:rPr>
                <w:rFonts w:eastAsia="Times New Roman" w:cs="Calibri"/>
                <w:i/>
                <w:iCs/>
                <w:color w:val="auto"/>
                <w:sz w:val="18"/>
                <w:szCs w:val="18"/>
                <w:lang w:eastAsia="el-GR"/>
              </w:rPr>
              <w:t>%</w:t>
            </w:r>
          </w:p>
        </w:tc>
        <w:tc>
          <w:tcPr>
            <w:tcW w:w="735"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BE73579" w14:textId="77777777" w:rsidR="00C86770" w:rsidRPr="00253C46" w:rsidRDefault="00C86770" w:rsidP="002F1168">
            <w:pPr>
              <w:spacing w:after="0" w:line="240" w:lineRule="auto"/>
              <w:jc w:val="center"/>
              <w:rPr>
                <w:rFonts w:eastAsia="Times New Roman" w:cs="Calibri"/>
                <w:i/>
                <w:iCs/>
                <w:color w:val="auto"/>
                <w:sz w:val="18"/>
                <w:szCs w:val="18"/>
                <w:lang w:eastAsia="el-GR"/>
              </w:rPr>
            </w:pPr>
            <w:r>
              <w:rPr>
                <w:rFonts w:eastAsia="Times New Roman" w:cs="Calibri"/>
                <w:i/>
                <w:iCs/>
                <w:color w:val="auto"/>
                <w:sz w:val="18"/>
                <w:szCs w:val="18"/>
                <w:lang w:eastAsia="el-GR"/>
              </w:rPr>
              <w:t>72,8</w:t>
            </w:r>
            <w:r w:rsidRPr="00253C46">
              <w:rPr>
                <w:rFonts w:eastAsia="Times New Roman" w:cs="Calibri"/>
                <w:i/>
                <w:iCs/>
                <w:color w:val="auto"/>
                <w:sz w:val="18"/>
                <w:szCs w:val="18"/>
                <w:lang w:eastAsia="el-GR"/>
              </w:rPr>
              <w:t>%</w:t>
            </w:r>
          </w:p>
        </w:tc>
        <w:tc>
          <w:tcPr>
            <w:tcW w:w="735"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FFB3872" w14:textId="77777777" w:rsidR="00C86770" w:rsidRPr="00253C46" w:rsidRDefault="00C86770" w:rsidP="002F1168">
            <w:pPr>
              <w:spacing w:after="0" w:line="240" w:lineRule="auto"/>
              <w:jc w:val="center"/>
              <w:rPr>
                <w:rFonts w:eastAsia="Times New Roman" w:cs="Calibri"/>
                <w:i/>
                <w:iCs/>
                <w:color w:val="auto"/>
                <w:sz w:val="18"/>
                <w:szCs w:val="18"/>
                <w:lang w:eastAsia="el-GR"/>
              </w:rPr>
            </w:pPr>
            <w:r>
              <w:rPr>
                <w:rFonts w:eastAsia="Times New Roman" w:cs="Calibri"/>
                <w:i/>
                <w:iCs/>
                <w:color w:val="auto"/>
                <w:sz w:val="18"/>
                <w:szCs w:val="18"/>
                <w:lang w:eastAsia="el-GR"/>
              </w:rPr>
              <w:t>70,3</w:t>
            </w:r>
            <w:r w:rsidRPr="00253C46">
              <w:rPr>
                <w:rFonts w:eastAsia="Times New Roman" w:cs="Calibri"/>
                <w:i/>
                <w:iCs/>
                <w:color w:val="auto"/>
                <w:sz w:val="18"/>
                <w:szCs w:val="18"/>
                <w:lang w:eastAsia="el-GR"/>
              </w:rPr>
              <w:t>%</w:t>
            </w:r>
          </w:p>
        </w:tc>
        <w:tc>
          <w:tcPr>
            <w:tcW w:w="735"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3B17748" w14:textId="77777777" w:rsidR="00C86770" w:rsidRPr="00253C46" w:rsidRDefault="00C86770" w:rsidP="002F1168">
            <w:pPr>
              <w:spacing w:after="0" w:line="240" w:lineRule="auto"/>
              <w:jc w:val="center"/>
              <w:rPr>
                <w:rFonts w:eastAsia="Times New Roman" w:cs="Calibri"/>
                <w:i/>
                <w:iCs/>
                <w:color w:val="auto"/>
                <w:sz w:val="18"/>
                <w:szCs w:val="18"/>
                <w:lang w:eastAsia="el-GR"/>
              </w:rPr>
            </w:pPr>
            <w:r>
              <w:rPr>
                <w:rFonts w:eastAsia="Times New Roman" w:cs="Calibri"/>
                <w:i/>
                <w:iCs/>
                <w:color w:val="auto"/>
                <w:sz w:val="18"/>
                <w:szCs w:val="18"/>
                <w:lang w:eastAsia="el-GR"/>
              </w:rPr>
              <w:t>70,1</w:t>
            </w:r>
            <w:r w:rsidRPr="00253C46">
              <w:rPr>
                <w:rFonts w:eastAsia="Times New Roman" w:cs="Calibri"/>
                <w:i/>
                <w:iCs/>
                <w:color w:val="auto"/>
                <w:sz w:val="18"/>
                <w:szCs w:val="18"/>
                <w:lang w:eastAsia="el-GR"/>
              </w:rPr>
              <w:t>%</w:t>
            </w:r>
          </w:p>
        </w:tc>
        <w:tc>
          <w:tcPr>
            <w:tcW w:w="833"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2A39E764" w14:textId="77777777" w:rsidR="00C86770" w:rsidRPr="00253C46" w:rsidRDefault="00C86770" w:rsidP="002F1168">
            <w:pPr>
              <w:spacing w:after="0" w:line="240" w:lineRule="auto"/>
              <w:jc w:val="center"/>
              <w:rPr>
                <w:rFonts w:eastAsia="Times New Roman" w:cs="Calibri"/>
                <w:i/>
                <w:iCs/>
                <w:color w:val="auto"/>
                <w:sz w:val="18"/>
                <w:szCs w:val="18"/>
                <w:lang w:eastAsia="el-GR"/>
              </w:rPr>
            </w:pPr>
            <w:r>
              <w:rPr>
                <w:rFonts w:eastAsia="Times New Roman" w:cs="Calibri"/>
                <w:i/>
                <w:iCs/>
                <w:color w:val="auto"/>
                <w:sz w:val="18"/>
                <w:szCs w:val="18"/>
                <w:lang w:eastAsia="el-GR"/>
              </w:rPr>
              <w:t>66,5</w:t>
            </w:r>
            <w:r w:rsidRPr="00253C46">
              <w:rPr>
                <w:rFonts w:eastAsia="Times New Roman" w:cs="Calibri"/>
                <w:i/>
                <w:iCs/>
                <w:color w:val="auto"/>
                <w:sz w:val="18"/>
                <w:szCs w:val="18"/>
                <w:lang w:eastAsia="el-GR"/>
              </w:rPr>
              <w:t>%</w:t>
            </w:r>
          </w:p>
        </w:tc>
        <w:tc>
          <w:tcPr>
            <w:tcW w:w="829"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A6E9FD4" w14:textId="77777777" w:rsidR="00C86770" w:rsidRPr="00253C46" w:rsidRDefault="00C86770" w:rsidP="002F1168">
            <w:pPr>
              <w:spacing w:after="0" w:line="240" w:lineRule="auto"/>
              <w:jc w:val="center"/>
              <w:rPr>
                <w:rFonts w:eastAsia="Times New Roman" w:cs="Calibri"/>
                <w:i/>
                <w:iCs/>
                <w:color w:val="auto"/>
                <w:sz w:val="18"/>
                <w:szCs w:val="18"/>
                <w:lang w:eastAsia="el-GR"/>
              </w:rPr>
            </w:pPr>
          </w:p>
        </w:tc>
        <w:tc>
          <w:tcPr>
            <w:tcW w:w="8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0F639D8" w14:textId="77777777" w:rsidR="00C86770" w:rsidRPr="00253C46" w:rsidRDefault="00C86770" w:rsidP="002F1168">
            <w:pPr>
              <w:spacing w:after="0" w:line="240" w:lineRule="auto"/>
              <w:jc w:val="center"/>
              <w:rPr>
                <w:rFonts w:ascii="Times New Roman" w:eastAsia="Times New Roman" w:hAnsi="Times New Roman" w:cs="Times New Roman"/>
                <w:color w:val="auto"/>
                <w:sz w:val="20"/>
                <w:szCs w:val="20"/>
                <w:lang w:eastAsia="el-GR"/>
              </w:rPr>
            </w:pPr>
          </w:p>
        </w:tc>
      </w:tr>
      <w:tr w:rsidR="00C86770" w:rsidRPr="00253C46" w14:paraId="1D1666A3" w14:textId="77777777" w:rsidTr="00BC33A4">
        <w:trPr>
          <w:trHeight w:val="610"/>
        </w:trPr>
        <w:tc>
          <w:tcPr>
            <w:tcW w:w="1633" w:type="dxa"/>
            <w:tcBorders>
              <w:top w:val="single" w:sz="8" w:space="0" w:color="676A6E"/>
              <w:left w:val="single" w:sz="4" w:space="0" w:color="auto"/>
              <w:bottom w:val="single" w:sz="12" w:space="0" w:color="auto"/>
              <w:right w:val="single" w:sz="4" w:space="0" w:color="auto"/>
            </w:tcBorders>
            <w:shd w:val="clear" w:color="000000" w:fill="D0CECE"/>
            <w:vAlign w:val="center"/>
            <w:hideMark/>
          </w:tcPr>
          <w:p w14:paraId="100A2F36" w14:textId="77777777" w:rsidR="00C86770" w:rsidRPr="00253C46" w:rsidRDefault="00C86770" w:rsidP="002F1168">
            <w:pPr>
              <w:spacing w:after="0" w:line="240" w:lineRule="auto"/>
              <w:jc w:val="left"/>
              <w:rPr>
                <w:rFonts w:eastAsia="Times New Roman" w:cs="Calibri"/>
                <w:b/>
                <w:bCs/>
                <w:color w:val="auto"/>
                <w:sz w:val="18"/>
                <w:szCs w:val="18"/>
                <w:lang w:eastAsia="el-GR"/>
              </w:rPr>
            </w:pPr>
            <w:r w:rsidRPr="00253C46">
              <w:rPr>
                <w:rFonts w:eastAsia="Times New Roman" w:cs="Calibri"/>
                <w:b/>
                <w:bCs/>
                <w:color w:val="auto"/>
                <w:sz w:val="18"/>
                <w:szCs w:val="18"/>
                <w:lang w:eastAsia="el-GR"/>
              </w:rPr>
              <w:t>Ποσοστό ανεργίας</w:t>
            </w:r>
          </w:p>
        </w:tc>
        <w:tc>
          <w:tcPr>
            <w:tcW w:w="686" w:type="dxa"/>
            <w:tcBorders>
              <w:top w:val="single" w:sz="8" w:space="0" w:color="676A6E"/>
              <w:left w:val="single" w:sz="4" w:space="0" w:color="auto"/>
              <w:bottom w:val="single" w:sz="12" w:space="0" w:color="auto"/>
              <w:right w:val="nil"/>
            </w:tcBorders>
            <w:shd w:val="clear" w:color="000000" w:fill="D0CECE"/>
            <w:vAlign w:val="center"/>
            <w:hideMark/>
          </w:tcPr>
          <w:p w14:paraId="71C1F099" w14:textId="77777777" w:rsidR="00C86770" w:rsidRPr="00253C46" w:rsidRDefault="00C86770" w:rsidP="002F1168">
            <w:pPr>
              <w:spacing w:after="0" w:line="240" w:lineRule="auto"/>
              <w:jc w:val="center"/>
              <w:rPr>
                <w:rFonts w:eastAsia="Times New Roman" w:cs="Calibri"/>
                <w:b/>
                <w:bCs/>
                <w:color w:val="auto"/>
                <w:sz w:val="18"/>
                <w:szCs w:val="18"/>
                <w:lang w:eastAsia="el-GR"/>
              </w:rPr>
            </w:pPr>
            <w:r>
              <w:rPr>
                <w:rFonts w:eastAsia="Times New Roman" w:cs="Calibri"/>
                <w:b/>
                <w:bCs/>
                <w:color w:val="auto"/>
                <w:sz w:val="18"/>
                <w:szCs w:val="18"/>
                <w:lang w:eastAsia="el-GR"/>
              </w:rPr>
              <w:t>7,8</w:t>
            </w:r>
            <w:r w:rsidRPr="00253C46">
              <w:rPr>
                <w:rFonts w:eastAsia="Times New Roman" w:cs="Calibri"/>
                <w:b/>
                <w:bCs/>
                <w:color w:val="auto"/>
                <w:sz w:val="18"/>
                <w:szCs w:val="18"/>
                <w:lang w:eastAsia="el-GR"/>
              </w:rPr>
              <w:t>%</w:t>
            </w:r>
          </w:p>
        </w:tc>
        <w:tc>
          <w:tcPr>
            <w:tcW w:w="735" w:type="dxa"/>
            <w:tcBorders>
              <w:top w:val="single" w:sz="8" w:space="0" w:color="676A6E"/>
              <w:left w:val="nil"/>
              <w:bottom w:val="single" w:sz="12" w:space="0" w:color="auto"/>
              <w:right w:val="single" w:sz="4" w:space="0" w:color="auto"/>
            </w:tcBorders>
            <w:shd w:val="clear" w:color="000000" w:fill="D0CECE"/>
            <w:vAlign w:val="center"/>
          </w:tcPr>
          <w:p w14:paraId="38381073" w14:textId="77777777" w:rsidR="00C86770" w:rsidRPr="00253C46" w:rsidRDefault="00C86770" w:rsidP="002F1168">
            <w:pPr>
              <w:spacing w:after="0" w:line="240" w:lineRule="auto"/>
              <w:jc w:val="center"/>
              <w:rPr>
                <w:rFonts w:eastAsia="Times New Roman" w:cs="Calibri"/>
                <w:b/>
                <w:bCs/>
                <w:color w:val="auto"/>
                <w:sz w:val="18"/>
                <w:szCs w:val="18"/>
                <w:lang w:eastAsia="el-GR"/>
              </w:rPr>
            </w:pPr>
            <w:r>
              <w:rPr>
                <w:rFonts w:eastAsia="Times New Roman" w:cs="Calibri"/>
                <w:b/>
                <w:bCs/>
                <w:color w:val="auto"/>
                <w:sz w:val="18"/>
                <w:szCs w:val="18"/>
                <w:lang w:eastAsia="el-GR"/>
              </w:rPr>
              <w:t>24,9%</w:t>
            </w:r>
          </w:p>
        </w:tc>
        <w:tc>
          <w:tcPr>
            <w:tcW w:w="735" w:type="dxa"/>
            <w:tcBorders>
              <w:top w:val="single" w:sz="8" w:space="0" w:color="676A6E"/>
              <w:left w:val="single" w:sz="4" w:space="0" w:color="auto"/>
              <w:bottom w:val="single" w:sz="12" w:space="0" w:color="auto"/>
              <w:right w:val="single" w:sz="4" w:space="0" w:color="auto"/>
            </w:tcBorders>
            <w:shd w:val="clear" w:color="000000" w:fill="D0CECE"/>
            <w:vAlign w:val="center"/>
            <w:hideMark/>
          </w:tcPr>
          <w:p w14:paraId="59DBD0C9" w14:textId="77777777" w:rsidR="00C86770" w:rsidRPr="00253C46" w:rsidRDefault="00C86770" w:rsidP="002F1168">
            <w:pPr>
              <w:spacing w:after="0" w:line="240" w:lineRule="auto"/>
              <w:jc w:val="center"/>
              <w:rPr>
                <w:rFonts w:eastAsia="Times New Roman" w:cs="Calibri"/>
                <w:b/>
                <w:bCs/>
                <w:color w:val="auto"/>
                <w:sz w:val="18"/>
                <w:szCs w:val="18"/>
                <w:lang w:eastAsia="el-GR"/>
              </w:rPr>
            </w:pPr>
            <w:r>
              <w:rPr>
                <w:rFonts w:eastAsia="Times New Roman" w:cs="Calibri"/>
                <w:b/>
                <w:bCs/>
                <w:color w:val="auto"/>
                <w:sz w:val="18"/>
                <w:szCs w:val="18"/>
                <w:lang w:eastAsia="el-GR"/>
              </w:rPr>
              <w:t>23,5</w:t>
            </w:r>
            <w:r w:rsidRPr="00253C46">
              <w:rPr>
                <w:rFonts w:eastAsia="Times New Roman" w:cs="Calibri"/>
                <w:b/>
                <w:bCs/>
                <w:color w:val="auto"/>
                <w:sz w:val="18"/>
                <w:szCs w:val="18"/>
                <w:lang w:eastAsia="el-GR"/>
              </w:rPr>
              <w:t>%</w:t>
            </w:r>
          </w:p>
        </w:tc>
        <w:tc>
          <w:tcPr>
            <w:tcW w:w="735" w:type="dxa"/>
            <w:tcBorders>
              <w:top w:val="single" w:sz="8" w:space="0" w:color="676A6E"/>
              <w:left w:val="single" w:sz="4" w:space="0" w:color="auto"/>
              <w:bottom w:val="single" w:sz="12" w:space="0" w:color="auto"/>
              <w:right w:val="single" w:sz="4" w:space="0" w:color="auto"/>
            </w:tcBorders>
            <w:shd w:val="clear" w:color="000000" w:fill="D0CECE"/>
            <w:vAlign w:val="center"/>
            <w:hideMark/>
          </w:tcPr>
          <w:p w14:paraId="60E59405" w14:textId="77777777" w:rsidR="00C86770" w:rsidRPr="00253C46" w:rsidRDefault="00C86770" w:rsidP="002F1168">
            <w:pPr>
              <w:spacing w:after="0" w:line="240" w:lineRule="auto"/>
              <w:jc w:val="center"/>
              <w:rPr>
                <w:rFonts w:eastAsia="Times New Roman" w:cs="Calibri"/>
                <w:b/>
                <w:bCs/>
                <w:color w:val="auto"/>
                <w:sz w:val="18"/>
                <w:szCs w:val="18"/>
                <w:lang w:eastAsia="el-GR"/>
              </w:rPr>
            </w:pPr>
            <w:r>
              <w:rPr>
                <w:rFonts w:eastAsia="Times New Roman" w:cs="Calibri"/>
                <w:b/>
                <w:bCs/>
                <w:color w:val="auto"/>
                <w:sz w:val="18"/>
                <w:szCs w:val="18"/>
                <w:lang w:eastAsia="el-GR"/>
              </w:rPr>
              <w:t>21</w:t>
            </w:r>
            <w:r w:rsidRPr="00253C46">
              <w:rPr>
                <w:rFonts w:eastAsia="Times New Roman" w:cs="Calibri"/>
                <w:b/>
                <w:bCs/>
                <w:color w:val="auto"/>
                <w:sz w:val="18"/>
                <w:szCs w:val="18"/>
                <w:lang w:eastAsia="el-GR"/>
              </w:rPr>
              <w:t>,5%</w:t>
            </w:r>
          </w:p>
        </w:tc>
        <w:tc>
          <w:tcPr>
            <w:tcW w:w="735" w:type="dxa"/>
            <w:tcBorders>
              <w:top w:val="single" w:sz="8" w:space="0" w:color="676A6E"/>
              <w:left w:val="single" w:sz="4" w:space="0" w:color="auto"/>
              <w:bottom w:val="single" w:sz="12" w:space="0" w:color="auto"/>
              <w:right w:val="single" w:sz="4" w:space="0" w:color="auto"/>
            </w:tcBorders>
            <w:shd w:val="clear" w:color="000000" w:fill="D0CECE"/>
            <w:vAlign w:val="center"/>
            <w:hideMark/>
          </w:tcPr>
          <w:p w14:paraId="626C7E53" w14:textId="77777777" w:rsidR="00C86770" w:rsidRPr="00253C46" w:rsidRDefault="00C86770" w:rsidP="002F1168">
            <w:pPr>
              <w:spacing w:after="0" w:line="240" w:lineRule="auto"/>
              <w:jc w:val="center"/>
              <w:rPr>
                <w:rFonts w:eastAsia="Times New Roman" w:cs="Calibri"/>
                <w:b/>
                <w:bCs/>
                <w:color w:val="auto"/>
                <w:sz w:val="18"/>
                <w:szCs w:val="18"/>
                <w:lang w:eastAsia="el-GR"/>
              </w:rPr>
            </w:pPr>
            <w:r>
              <w:rPr>
                <w:rFonts w:eastAsia="Times New Roman" w:cs="Calibri"/>
                <w:b/>
                <w:bCs/>
                <w:color w:val="auto"/>
                <w:sz w:val="18"/>
                <w:szCs w:val="18"/>
                <w:lang w:eastAsia="el-GR"/>
              </w:rPr>
              <w:t>19,3</w:t>
            </w:r>
            <w:r w:rsidRPr="00253C46">
              <w:rPr>
                <w:rFonts w:eastAsia="Times New Roman" w:cs="Calibri"/>
                <w:b/>
                <w:bCs/>
                <w:color w:val="auto"/>
                <w:sz w:val="18"/>
                <w:szCs w:val="18"/>
                <w:lang w:eastAsia="el-GR"/>
              </w:rPr>
              <w:t>%</w:t>
            </w:r>
          </w:p>
        </w:tc>
        <w:tc>
          <w:tcPr>
            <w:tcW w:w="735" w:type="dxa"/>
            <w:tcBorders>
              <w:top w:val="single" w:sz="8" w:space="0" w:color="676A6E"/>
              <w:left w:val="single" w:sz="4" w:space="0" w:color="auto"/>
              <w:bottom w:val="single" w:sz="12" w:space="0" w:color="auto"/>
              <w:right w:val="single" w:sz="4" w:space="0" w:color="auto"/>
            </w:tcBorders>
            <w:shd w:val="clear" w:color="000000" w:fill="D0CECE"/>
            <w:vAlign w:val="center"/>
            <w:hideMark/>
          </w:tcPr>
          <w:p w14:paraId="77370F50" w14:textId="77777777" w:rsidR="00C86770" w:rsidRPr="00253C46" w:rsidRDefault="00C86770" w:rsidP="002F1168">
            <w:pPr>
              <w:spacing w:after="0" w:line="240" w:lineRule="auto"/>
              <w:jc w:val="center"/>
              <w:rPr>
                <w:rFonts w:eastAsia="Times New Roman" w:cs="Calibri"/>
                <w:b/>
                <w:bCs/>
                <w:color w:val="auto"/>
                <w:sz w:val="18"/>
                <w:szCs w:val="18"/>
                <w:lang w:eastAsia="el-GR"/>
              </w:rPr>
            </w:pPr>
            <w:r>
              <w:rPr>
                <w:rFonts w:eastAsia="Times New Roman" w:cs="Calibri"/>
                <w:b/>
                <w:bCs/>
                <w:color w:val="auto"/>
                <w:sz w:val="18"/>
                <w:szCs w:val="18"/>
                <w:lang w:eastAsia="el-GR"/>
              </w:rPr>
              <w:t>17</w:t>
            </w:r>
            <w:r w:rsidRPr="00253C46">
              <w:rPr>
                <w:rFonts w:eastAsia="Times New Roman" w:cs="Calibri"/>
                <w:b/>
                <w:bCs/>
                <w:color w:val="auto"/>
                <w:sz w:val="18"/>
                <w:szCs w:val="18"/>
                <w:lang w:eastAsia="el-GR"/>
              </w:rPr>
              <w:t>,3%</w:t>
            </w:r>
          </w:p>
        </w:tc>
        <w:tc>
          <w:tcPr>
            <w:tcW w:w="833" w:type="dxa"/>
            <w:tcBorders>
              <w:top w:val="single" w:sz="8" w:space="0" w:color="676A6E"/>
              <w:left w:val="single" w:sz="4" w:space="0" w:color="auto"/>
              <w:bottom w:val="single" w:sz="12" w:space="0" w:color="auto"/>
              <w:right w:val="single" w:sz="4" w:space="0" w:color="auto"/>
            </w:tcBorders>
            <w:shd w:val="clear" w:color="000000" w:fill="D0CECE"/>
            <w:vAlign w:val="center"/>
          </w:tcPr>
          <w:p w14:paraId="1653761D" w14:textId="77777777" w:rsidR="00C86770" w:rsidRPr="00253C46" w:rsidRDefault="00C86770" w:rsidP="002F1168">
            <w:pPr>
              <w:spacing w:after="0" w:line="240" w:lineRule="auto"/>
              <w:jc w:val="center"/>
              <w:rPr>
                <w:rFonts w:eastAsia="Times New Roman" w:cs="Calibri"/>
                <w:b/>
                <w:bCs/>
                <w:color w:val="auto"/>
                <w:sz w:val="18"/>
                <w:szCs w:val="18"/>
                <w:lang w:eastAsia="el-GR"/>
              </w:rPr>
            </w:pPr>
            <w:r>
              <w:rPr>
                <w:rFonts w:eastAsia="Times New Roman" w:cs="Calibri"/>
                <w:b/>
                <w:bCs/>
                <w:color w:val="auto"/>
                <w:sz w:val="18"/>
                <w:szCs w:val="18"/>
                <w:lang w:eastAsia="el-GR"/>
              </w:rPr>
              <w:t>16,3</w:t>
            </w:r>
            <w:r w:rsidRPr="00253C46">
              <w:rPr>
                <w:rFonts w:eastAsia="Times New Roman" w:cs="Calibri"/>
                <w:b/>
                <w:bCs/>
                <w:color w:val="auto"/>
                <w:sz w:val="18"/>
                <w:szCs w:val="18"/>
                <w:lang w:eastAsia="el-GR"/>
              </w:rPr>
              <w:t>%</w:t>
            </w:r>
          </w:p>
        </w:tc>
        <w:tc>
          <w:tcPr>
            <w:tcW w:w="829" w:type="dxa"/>
            <w:tcBorders>
              <w:top w:val="single" w:sz="8" w:space="0" w:color="676A6E"/>
              <w:left w:val="single" w:sz="4" w:space="0" w:color="auto"/>
              <w:bottom w:val="single" w:sz="12" w:space="0" w:color="auto"/>
              <w:right w:val="single" w:sz="4" w:space="0" w:color="auto"/>
            </w:tcBorders>
            <w:shd w:val="clear" w:color="000000" w:fill="D0CECE"/>
            <w:vAlign w:val="center"/>
            <w:hideMark/>
          </w:tcPr>
          <w:p w14:paraId="1AE6E85D" w14:textId="77777777" w:rsidR="00C86770" w:rsidRPr="00253C46" w:rsidRDefault="00C86770" w:rsidP="002F1168">
            <w:pPr>
              <w:spacing w:after="0" w:line="240" w:lineRule="auto"/>
              <w:jc w:val="center"/>
              <w:rPr>
                <w:rFonts w:eastAsia="Times New Roman" w:cs="Calibri"/>
                <w:b/>
                <w:bCs/>
                <w:color w:val="auto"/>
                <w:sz w:val="18"/>
                <w:szCs w:val="18"/>
                <w:lang w:eastAsia="el-GR"/>
              </w:rPr>
            </w:pPr>
            <w:r w:rsidRPr="00253C46">
              <w:rPr>
                <w:rFonts w:eastAsia="Times New Roman" w:cs="Calibri"/>
                <w:b/>
                <w:bCs/>
                <w:color w:val="auto"/>
                <w:sz w:val="18"/>
                <w:szCs w:val="18"/>
                <w:lang w:eastAsia="el-GR"/>
              </w:rPr>
              <w:t> </w:t>
            </w:r>
          </w:p>
        </w:tc>
        <w:tc>
          <w:tcPr>
            <w:tcW w:w="867" w:type="dxa"/>
            <w:tcBorders>
              <w:top w:val="single" w:sz="8" w:space="0" w:color="676A6E"/>
              <w:left w:val="single" w:sz="4" w:space="0" w:color="auto"/>
              <w:bottom w:val="single" w:sz="12" w:space="0" w:color="auto"/>
              <w:right w:val="single" w:sz="4" w:space="0" w:color="auto"/>
            </w:tcBorders>
            <w:shd w:val="clear" w:color="000000" w:fill="D0CECE"/>
            <w:vAlign w:val="center"/>
            <w:hideMark/>
          </w:tcPr>
          <w:p w14:paraId="276D099C" w14:textId="77777777" w:rsidR="00C86770" w:rsidRPr="00253C46" w:rsidRDefault="00C86770" w:rsidP="002F1168">
            <w:pPr>
              <w:spacing w:after="0" w:line="240" w:lineRule="auto"/>
              <w:jc w:val="center"/>
              <w:rPr>
                <w:rFonts w:eastAsia="Times New Roman" w:cs="Calibri"/>
                <w:b/>
                <w:bCs/>
                <w:color w:val="auto"/>
                <w:sz w:val="18"/>
                <w:szCs w:val="18"/>
                <w:lang w:eastAsia="el-GR"/>
              </w:rPr>
            </w:pPr>
            <w:r w:rsidRPr="00253C46">
              <w:rPr>
                <w:rFonts w:eastAsia="Times New Roman" w:cs="Calibri"/>
                <w:b/>
                <w:bCs/>
                <w:color w:val="auto"/>
                <w:sz w:val="18"/>
                <w:szCs w:val="18"/>
                <w:lang w:eastAsia="el-GR"/>
              </w:rPr>
              <w:t> </w:t>
            </w:r>
          </w:p>
        </w:tc>
      </w:tr>
    </w:tbl>
    <w:p w14:paraId="7F6C4132" w14:textId="77777777" w:rsidR="00C86770" w:rsidRPr="003D2A3B" w:rsidRDefault="00C86770" w:rsidP="00C86770">
      <w:pPr>
        <w:spacing w:before="120"/>
        <w:rPr>
          <w:iCs/>
          <w:noProof/>
          <w:color w:val="00A3E0"/>
          <w:sz w:val="16"/>
          <w:szCs w:val="16"/>
        </w:rPr>
      </w:pPr>
      <w:r w:rsidRPr="00253C46">
        <w:rPr>
          <w:b/>
          <w:color w:val="808080"/>
          <w:sz w:val="16"/>
          <w:szCs w:val="16"/>
        </w:rPr>
        <w:t>Πηγή:</w:t>
      </w:r>
      <w:r w:rsidRPr="00253C46">
        <w:rPr>
          <w:iCs/>
          <w:noProof/>
          <w:color w:val="808080"/>
          <w:sz w:val="16"/>
          <w:szCs w:val="16"/>
        </w:rPr>
        <w:t xml:space="preserve"> </w:t>
      </w:r>
      <w:r w:rsidRPr="00253C46">
        <w:rPr>
          <w:iCs/>
          <w:noProof/>
          <w:color w:val="00A3E0"/>
          <w:sz w:val="16"/>
          <w:szCs w:val="16"/>
        </w:rPr>
        <w:t>ΕΛΣΤΑΤ, Έρευνα Εργατ</w:t>
      </w:r>
      <w:r>
        <w:rPr>
          <w:iCs/>
          <w:noProof/>
          <w:color w:val="00A3E0"/>
          <w:sz w:val="16"/>
          <w:szCs w:val="16"/>
        </w:rPr>
        <w:t>ικού Δυναμικού</w:t>
      </w:r>
      <w:r w:rsidRPr="00253C46">
        <w:rPr>
          <w:iCs/>
          <w:noProof/>
          <w:color w:val="00A3E0"/>
          <w:sz w:val="16"/>
          <w:szCs w:val="16"/>
        </w:rPr>
        <w:t>.</w:t>
      </w:r>
    </w:p>
    <w:p w14:paraId="568BD7D1" w14:textId="35945526" w:rsidR="004B7FEF" w:rsidRDefault="004B7FEF" w:rsidP="004B7FEF"/>
    <w:p w14:paraId="1693533F" w14:textId="774A8FDD" w:rsidR="004F59E8" w:rsidRDefault="004F59E8" w:rsidP="004B7FEF"/>
    <w:p w14:paraId="027DFF22" w14:textId="607780E1" w:rsidR="004F59E8" w:rsidRDefault="004F59E8" w:rsidP="004B7FEF"/>
    <w:p w14:paraId="31586A2B" w14:textId="71ADFFEF" w:rsidR="004B7FEF" w:rsidRDefault="004B7FEF" w:rsidP="004B7FEF">
      <w:pPr>
        <w:pStyle w:val="a2"/>
        <w:ind w:left="284"/>
        <w:rPr>
          <w:i/>
          <w:sz w:val="24"/>
          <w:szCs w:val="24"/>
        </w:rPr>
      </w:pPr>
      <w:r w:rsidRPr="004B7FEF">
        <w:rPr>
          <w:i/>
          <w:sz w:val="24"/>
          <w:szCs w:val="24"/>
        </w:rPr>
        <w:t xml:space="preserve">Ισοζύγιο πληρωμών </w:t>
      </w:r>
    </w:p>
    <w:p w14:paraId="286B2BF8" w14:textId="77777777" w:rsidR="00CC05A7" w:rsidRPr="00CC05A7" w:rsidRDefault="002840F1" w:rsidP="00CC05A7">
      <w:pPr>
        <w:spacing w:after="0"/>
        <w:rPr>
          <w:i/>
          <w:color w:val="auto"/>
        </w:rPr>
      </w:pPr>
      <w:r w:rsidRPr="002840F1">
        <w:rPr>
          <w:color w:val="auto"/>
        </w:rPr>
        <w:t>Η επίδραση της πανδημίας στο ισοζύγιο πληρωμών ήταν ιδιαίτερα εμφανής το 2020, κυρίως λόγω της μεγάλης μείωσης της τουριστικής κίνησης. Συγκεκριμένα</w:t>
      </w:r>
      <w:r w:rsidRPr="002840F1">
        <w:rPr>
          <w:i/>
          <w:color w:val="auto"/>
        </w:rPr>
        <w:fldChar w:fldCharType="begin"/>
      </w:r>
      <w:r w:rsidRPr="002840F1">
        <w:rPr>
          <w:i/>
          <w:color w:val="auto"/>
        </w:rPr>
        <w:instrText xml:space="preserve"> REF _Ref71844849 \h  \* MERGEFORMAT </w:instrText>
      </w:r>
      <w:r w:rsidRPr="002840F1">
        <w:rPr>
          <w:i/>
          <w:color w:val="auto"/>
        </w:rPr>
      </w:r>
      <w:r w:rsidRPr="002840F1">
        <w:rPr>
          <w:i/>
          <w:color w:val="auto"/>
        </w:rPr>
        <w:fldChar w:fldCharType="separate"/>
      </w:r>
    </w:p>
    <w:p w14:paraId="1201D485" w14:textId="55812139" w:rsidR="002840F1" w:rsidRPr="006750F2" w:rsidRDefault="00CC05A7" w:rsidP="002840F1">
      <w:pPr>
        <w:spacing w:after="0"/>
        <w:rPr>
          <w:i/>
          <w:color w:val="auto"/>
        </w:rPr>
      </w:pPr>
      <w:r w:rsidRPr="00CC05A7">
        <w:rPr>
          <w:i/>
          <w:color w:val="auto"/>
        </w:rPr>
        <w:t>Διάγραμμα 8</w:t>
      </w:r>
      <w:r w:rsidR="002840F1" w:rsidRPr="002840F1">
        <w:rPr>
          <w:i/>
          <w:color w:val="auto"/>
        </w:rPr>
        <w:fldChar w:fldCharType="end"/>
      </w:r>
      <w:r w:rsidR="002840F1" w:rsidRPr="002840F1">
        <w:rPr>
          <w:i/>
          <w:color w:val="auto"/>
        </w:rPr>
        <w:t>),</w:t>
      </w:r>
      <w:r w:rsidR="002840F1" w:rsidRPr="002840F1">
        <w:rPr>
          <w:color w:val="auto"/>
        </w:rPr>
        <w:t xml:space="preserve"> το έλλειμμα του ισοζυγίου τρεχουσών συναλλαγών υπερτετραπλασιάστηκε ανερχόμενο σε 11.144 εκατ. ευρώ (-6,7% του ΑΕΠ) έναντι 2.725 εκατ. ευρώ το 2019 (-1,5% του ΑΕΠ). </w:t>
      </w:r>
    </w:p>
    <w:p w14:paraId="51AFE19F" w14:textId="77777777" w:rsidR="003E69BF" w:rsidRDefault="003E69BF" w:rsidP="00D11975">
      <w:pPr>
        <w:spacing w:after="0" w:line="240" w:lineRule="auto"/>
        <w:rPr>
          <w:iCs/>
          <w:sz w:val="20"/>
          <w:szCs w:val="20"/>
        </w:rPr>
      </w:pPr>
      <w:bookmarkStart w:id="46" w:name="_Ref71844849"/>
      <w:bookmarkStart w:id="47" w:name="_Toc71906503"/>
    </w:p>
    <w:p w14:paraId="3DAD9E19" w14:textId="44CBDE0C" w:rsidR="00D11975" w:rsidRPr="000B38C0" w:rsidRDefault="00D11975" w:rsidP="00D11975">
      <w:pPr>
        <w:spacing w:after="0" w:line="240" w:lineRule="auto"/>
        <w:rPr>
          <w:color w:val="00A3E0"/>
          <w:sz w:val="20"/>
          <w:szCs w:val="20"/>
        </w:rPr>
      </w:pPr>
      <w:bookmarkStart w:id="48" w:name="_Toc73435794"/>
      <w:r w:rsidRPr="000B38C0">
        <w:rPr>
          <w:iCs/>
          <w:sz w:val="20"/>
          <w:szCs w:val="20"/>
        </w:rPr>
        <w:t xml:space="preserve">Διάγραμμα </w:t>
      </w:r>
      <w:r w:rsidRPr="000B38C0">
        <w:rPr>
          <w:iCs/>
          <w:sz w:val="20"/>
          <w:szCs w:val="20"/>
        </w:rPr>
        <w:fldChar w:fldCharType="begin"/>
      </w:r>
      <w:r w:rsidRPr="000B38C0">
        <w:rPr>
          <w:iCs/>
          <w:sz w:val="20"/>
          <w:szCs w:val="20"/>
        </w:rPr>
        <w:instrText xml:space="preserve"> SEQ Διάγραμμα \* ARABIC </w:instrText>
      </w:r>
      <w:r w:rsidRPr="000B38C0">
        <w:rPr>
          <w:iCs/>
          <w:sz w:val="20"/>
          <w:szCs w:val="20"/>
        </w:rPr>
        <w:fldChar w:fldCharType="separate"/>
      </w:r>
      <w:r w:rsidR="00CC05A7">
        <w:rPr>
          <w:iCs/>
          <w:noProof/>
          <w:sz w:val="20"/>
          <w:szCs w:val="20"/>
        </w:rPr>
        <w:t>8</w:t>
      </w:r>
      <w:r w:rsidRPr="000B38C0">
        <w:rPr>
          <w:iCs/>
          <w:sz w:val="20"/>
          <w:szCs w:val="20"/>
        </w:rPr>
        <w:fldChar w:fldCharType="end"/>
      </w:r>
      <w:bookmarkEnd w:id="46"/>
      <w:r w:rsidRPr="000B38C0">
        <w:rPr>
          <w:iCs/>
          <w:sz w:val="20"/>
          <w:szCs w:val="20"/>
        </w:rPr>
        <w:t xml:space="preserve">: </w:t>
      </w:r>
      <w:r w:rsidRPr="000B38C0">
        <w:rPr>
          <w:color w:val="00A3E0"/>
          <w:sz w:val="20"/>
          <w:szCs w:val="20"/>
        </w:rPr>
        <w:t>Ισοζύγιο τρεχουσών συναλλαγών (εκατ. ευρώ)</w:t>
      </w:r>
      <w:bookmarkEnd w:id="47"/>
      <w:bookmarkEnd w:id="48"/>
    </w:p>
    <w:p w14:paraId="48970AD6" w14:textId="77777777" w:rsidR="00D11975" w:rsidRPr="00D11975" w:rsidRDefault="00D11975" w:rsidP="002D5955">
      <w:pPr>
        <w:spacing w:after="0" w:line="240" w:lineRule="auto"/>
        <w:rPr>
          <w:color w:val="auto"/>
        </w:rPr>
      </w:pPr>
      <w:r w:rsidRPr="00D11975">
        <w:rPr>
          <w:noProof/>
          <w:lang w:eastAsia="el-GR"/>
        </w:rPr>
        <w:drawing>
          <wp:inline distT="0" distB="0" distL="0" distR="0" wp14:anchorId="69B436C2" wp14:editId="15819BB1">
            <wp:extent cx="5248275" cy="3228975"/>
            <wp:effectExtent l="0" t="0" r="9525" b="952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58780D7" w14:textId="77777777" w:rsidR="00D11975" w:rsidRPr="00D11975" w:rsidRDefault="00D11975" w:rsidP="00D11975">
      <w:pPr>
        <w:rPr>
          <w:color w:val="auto"/>
          <w:sz w:val="18"/>
          <w:szCs w:val="18"/>
        </w:rPr>
      </w:pPr>
      <w:r w:rsidRPr="00D11975">
        <w:rPr>
          <w:b/>
          <w:color w:val="auto"/>
          <w:sz w:val="16"/>
          <w:szCs w:val="16"/>
        </w:rPr>
        <w:t>Πηγή:</w:t>
      </w:r>
      <w:r w:rsidRPr="00D11975">
        <w:rPr>
          <w:color w:val="auto"/>
          <w:sz w:val="16"/>
          <w:szCs w:val="16"/>
        </w:rPr>
        <w:t xml:space="preserve"> </w:t>
      </w:r>
      <w:r w:rsidRPr="00D11975">
        <w:rPr>
          <w:iCs/>
          <w:noProof/>
          <w:color w:val="00A3E0"/>
          <w:sz w:val="16"/>
          <w:szCs w:val="16"/>
        </w:rPr>
        <w:t>Τράπεζα της Ελλάδος.</w:t>
      </w:r>
    </w:p>
    <w:p w14:paraId="2E08E7CC" w14:textId="6036963B" w:rsidR="000C2DEB" w:rsidRPr="00D11975" w:rsidRDefault="000C2DEB" w:rsidP="00302E04">
      <w:pPr>
        <w:spacing w:after="160"/>
        <w:rPr>
          <w:color w:val="auto"/>
        </w:rPr>
      </w:pPr>
      <w:r w:rsidRPr="00D11975">
        <w:rPr>
          <w:color w:val="auto"/>
        </w:rPr>
        <w:t>Η επιδείνωση αυτή οφείλεται στη μείωση του πλεονάσματος του ισοζυγίου υπηρεσιών κατά 13.838 εκατ.</w:t>
      </w:r>
      <w:r>
        <w:rPr>
          <w:color w:val="auto"/>
        </w:rPr>
        <w:t xml:space="preserve"> ευρώ</w:t>
      </w:r>
      <w:r w:rsidRPr="00D11975">
        <w:rPr>
          <w:color w:val="auto"/>
        </w:rPr>
        <w:t xml:space="preserve"> (-65,5%), η οποία μερικώς μόνο αντισταθμίστηκε από τον περιορισμό των ελλειμμάτων των ισοζυγίων αγαθών και πρωτογενών εισοδημάτων κατά 4.305</w:t>
      </w:r>
      <w:r>
        <w:rPr>
          <w:color w:val="auto"/>
        </w:rPr>
        <w:t xml:space="preserve"> εκατ. ευρώ</w:t>
      </w:r>
      <w:r w:rsidRPr="00D11975">
        <w:rPr>
          <w:color w:val="auto"/>
        </w:rPr>
        <w:t xml:space="preserve"> (-1</w:t>
      </w:r>
      <w:r>
        <w:rPr>
          <w:color w:val="auto"/>
        </w:rPr>
        <w:t xml:space="preserve">8,9%) και </w:t>
      </w:r>
      <w:r w:rsidRPr="00D11975">
        <w:rPr>
          <w:color w:val="auto"/>
        </w:rPr>
        <w:t>1.136 εκατ. ευρώ (-71,4%) αντίστοιχα. Το πλεόνασμα του ισοζυγίου δευτερογενών εισοδημάτων εμφάνισε μικρή υποχώρηση κατά 22 εκατ. ευρώ (-3,8%).</w:t>
      </w:r>
      <w:r>
        <w:rPr>
          <w:color w:val="auto"/>
        </w:rPr>
        <w:t xml:space="preserve"> </w:t>
      </w:r>
    </w:p>
    <w:p w14:paraId="71326672" w14:textId="52ABB688" w:rsidR="00D11975" w:rsidRDefault="00D11975" w:rsidP="002D5955">
      <w:pPr>
        <w:spacing w:after="120"/>
        <w:rPr>
          <w:color w:val="auto"/>
        </w:rPr>
      </w:pPr>
      <w:r w:rsidRPr="00D11975">
        <w:rPr>
          <w:color w:val="auto"/>
        </w:rPr>
        <w:t>Ειδικότερα, το έλλειμμα του ισοζυγίου αγαθών (</w:t>
      </w:r>
      <w:r w:rsidRPr="00302E04">
        <w:rPr>
          <w:i/>
          <w:color w:val="auto"/>
        </w:rPr>
        <w:fldChar w:fldCharType="begin"/>
      </w:r>
      <w:r w:rsidRPr="00302E04">
        <w:rPr>
          <w:i/>
          <w:color w:val="auto"/>
        </w:rPr>
        <w:instrText xml:space="preserve"> REF _Ref8994983 \h  \* MERGEFORMAT </w:instrText>
      </w:r>
      <w:r w:rsidRPr="00302E04">
        <w:rPr>
          <w:i/>
          <w:color w:val="auto"/>
        </w:rPr>
      </w:r>
      <w:r w:rsidRPr="00302E04">
        <w:rPr>
          <w:i/>
          <w:color w:val="auto"/>
        </w:rPr>
        <w:fldChar w:fldCharType="separate"/>
      </w:r>
      <w:r w:rsidR="00CC05A7" w:rsidRPr="00CC05A7">
        <w:rPr>
          <w:i/>
          <w:color w:val="auto"/>
        </w:rPr>
        <w:t>Διάγραμμα</w:t>
      </w:r>
      <w:r w:rsidR="00CC05A7" w:rsidRPr="000B38C0">
        <w:rPr>
          <w:iCs/>
          <w:sz w:val="20"/>
          <w:szCs w:val="20"/>
        </w:rPr>
        <w:t xml:space="preserve"> </w:t>
      </w:r>
      <w:r w:rsidR="00CC05A7">
        <w:rPr>
          <w:iCs/>
          <w:noProof/>
          <w:sz w:val="20"/>
          <w:szCs w:val="20"/>
        </w:rPr>
        <w:t>9</w:t>
      </w:r>
      <w:r w:rsidRPr="00302E04">
        <w:rPr>
          <w:i/>
          <w:color w:val="auto"/>
        </w:rPr>
        <w:fldChar w:fldCharType="end"/>
      </w:r>
      <w:r w:rsidRPr="00D11975">
        <w:rPr>
          <w:color w:val="auto"/>
        </w:rPr>
        <w:t xml:space="preserve">) διαμορφώθηκε στα 18.528 εκατ. ευρώ έναντι 22.833 εκατ. </w:t>
      </w:r>
      <w:r w:rsidR="00D26724">
        <w:rPr>
          <w:color w:val="auto"/>
        </w:rPr>
        <w:t xml:space="preserve">ευρώ </w:t>
      </w:r>
      <w:r w:rsidRPr="00D11975">
        <w:rPr>
          <w:color w:val="auto"/>
        </w:rPr>
        <w:t>το 2019. Η βελτίωση αυτή του ισοζυγίου αγαθών προήλθε από τις μειώσεις των ελλειμμάτων του ισοζυγίου καυσίμων κατά 1.845 εκατ. (-36,6%), λόγω κυρίως της μείωσης των διεθνών τιμών του πετρελαίου και του ισοζυγίου λοιπών αγαθών κατά 2.180 εκατ. (-12,5%). Ομοίως, μείωση παρουσίασε και το έλλειμμα του ισοζυγίου πλοίων κατά 280 εκατ. ευρώ.</w:t>
      </w:r>
    </w:p>
    <w:p w14:paraId="1810B761" w14:textId="68CD9552" w:rsidR="004F59E8" w:rsidRDefault="004F59E8" w:rsidP="002D5955">
      <w:pPr>
        <w:spacing w:after="120"/>
        <w:rPr>
          <w:color w:val="auto"/>
        </w:rPr>
      </w:pPr>
    </w:p>
    <w:p w14:paraId="31E65171" w14:textId="001654CB" w:rsidR="004F59E8" w:rsidRDefault="004F59E8" w:rsidP="002D5955">
      <w:pPr>
        <w:spacing w:after="120"/>
        <w:rPr>
          <w:color w:val="auto"/>
        </w:rPr>
      </w:pPr>
    </w:p>
    <w:p w14:paraId="73BF8F4A" w14:textId="41DE4963" w:rsidR="004F59E8" w:rsidRDefault="004F59E8" w:rsidP="002D5955">
      <w:pPr>
        <w:spacing w:after="120"/>
        <w:rPr>
          <w:color w:val="auto"/>
        </w:rPr>
      </w:pPr>
    </w:p>
    <w:p w14:paraId="07B23209" w14:textId="1D1682BA" w:rsidR="004F59E8" w:rsidRDefault="004F59E8" w:rsidP="002D5955">
      <w:pPr>
        <w:spacing w:after="120"/>
        <w:rPr>
          <w:color w:val="auto"/>
        </w:rPr>
      </w:pPr>
    </w:p>
    <w:p w14:paraId="3591250A" w14:textId="2BF416D7" w:rsidR="00D11975" w:rsidRPr="000B38C0" w:rsidRDefault="00D11975" w:rsidP="00302E04">
      <w:pPr>
        <w:spacing w:after="0" w:line="240" w:lineRule="auto"/>
        <w:rPr>
          <w:color w:val="00A3E0"/>
          <w:sz w:val="20"/>
          <w:szCs w:val="20"/>
        </w:rPr>
      </w:pPr>
      <w:bookmarkStart w:id="49" w:name="_Ref8994983"/>
      <w:bookmarkStart w:id="50" w:name="_Toc40495869"/>
      <w:bookmarkStart w:id="51" w:name="_Toc71906504"/>
      <w:bookmarkStart w:id="52" w:name="_Toc73435795"/>
      <w:r w:rsidRPr="000B38C0">
        <w:rPr>
          <w:iCs/>
          <w:sz w:val="20"/>
          <w:szCs w:val="20"/>
        </w:rPr>
        <w:t xml:space="preserve">Διάγραμμα </w:t>
      </w:r>
      <w:r w:rsidRPr="000B38C0">
        <w:rPr>
          <w:iCs/>
          <w:sz w:val="20"/>
          <w:szCs w:val="20"/>
        </w:rPr>
        <w:fldChar w:fldCharType="begin"/>
      </w:r>
      <w:r w:rsidRPr="000B38C0">
        <w:rPr>
          <w:iCs/>
          <w:sz w:val="20"/>
          <w:szCs w:val="20"/>
        </w:rPr>
        <w:instrText xml:space="preserve"> SEQ Διάγραμμα \* ARABIC </w:instrText>
      </w:r>
      <w:r w:rsidRPr="000B38C0">
        <w:rPr>
          <w:iCs/>
          <w:sz w:val="20"/>
          <w:szCs w:val="20"/>
        </w:rPr>
        <w:fldChar w:fldCharType="separate"/>
      </w:r>
      <w:r w:rsidR="00CC05A7">
        <w:rPr>
          <w:iCs/>
          <w:noProof/>
          <w:sz w:val="20"/>
          <w:szCs w:val="20"/>
        </w:rPr>
        <w:t>9</w:t>
      </w:r>
      <w:r w:rsidRPr="000B38C0">
        <w:rPr>
          <w:iCs/>
          <w:sz w:val="20"/>
          <w:szCs w:val="20"/>
        </w:rPr>
        <w:fldChar w:fldCharType="end"/>
      </w:r>
      <w:bookmarkEnd w:id="49"/>
      <w:r w:rsidRPr="000B38C0">
        <w:rPr>
          <w:iCs/>
          <w:sz w:val="20"/>
          <w:szCs w:val="20"/>
        </w:rPr>
        <w:t xml:space="preserve">: </w:t>
      </w:r>
      <w:r w:rsidRPr="000B38C0">
        <w:rPr>
          <w:color w:val="00A3E0"/>
          <w:sz w:val="20"/>
          <w:szCs w:val="20"/>
        </w:rPr>
        <w:t>Ισοζύγιο αγαθών (εκατ. ευρώ)</w:t>
      </w:r>
      <w:bookmarkEnd w:id="50"/>
      <w:bookmarkEnd w:id="51"/>
      <w:bookmarkEnd w:id="52"/>
    </w:p>
    <w:p w14:paraId="1C46D3C4" w14:textId="77777777" w:rsidR="00D11975" w:rsidRPr="00D11975" w:rsidRDefault="00D11975" w:rsidP="00D26724">
      <w:pPr>
        <w:spacing w:after="0" w:line="240" w:lineRule="auto"/>
        <w:rPr>
          <w:b/>
          <w:color w:val="00A3E0"/>
          <w:sz w:val="20"/>
          <w:szCs w:val="20"/>
        </w:rPr>
      </w:pPr>
      <w:r w:rsidRPr="00D11975">
        <w:rPr>
          <w:noProof/>
          <w:lang w:eastAsia="el-GR"/>
        </w:rPr>
        <w:drawing>
          <wp:inline distT="0" distB="0" distL="0" distR="0" wp14:anchorId="0BD9BC00" wp14:editId="2C885426">
            <wp:extent cx="5276850" cy="2562225"/>
            <wp:effectExtent l="0" t="0" r="0" b="952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436C597" w14:textId="7DED7834" w:rsidR="00D11975" w:rsidRDefault="00D11975" w:rsidP="00D11975">
      <w:pPr>
        <w:rPr>
          <w:iCs/>
          <w:noProof/>
          <w:color w:val="00A3E0"/>
          <w:sz w:val="16"/>
          <w:szCs w:val="16"/>
        </w:rPr>
      </w:pPr>
      <w:r w:rsidRPr="00D11975">
        <w:rPr>
          <w:b/>
          <w:color w:val="auto"/>
          <w:sz w:val="16"/>
          <w:szCs w:val="16"/>
        </w:rPr>
        <w:t>Πηγή:</w:t>
      </w:r>
      <w:r w:rsidRPr="00D11975">
        <w:rPr>
          <w:color w:val="auto"/>
          <w:sz w:val="16"/>
          <w:szCs w:val="16"/>
        </w:rPr>
        <w:t xml:space="preserve"> </w:t>
      </w:r>
      <w:r w:rsidRPr="00D11975">
        <w:rPr>
          <w:iCs/>
          <w:noProof/>
          <w:color w:val="00A3E0"/>
          <w:sz w:val="16"/>
          <w:szCs w:val="16"/>
        </w:rPr>
        <w:t>Τράπεζα της Ελλάδος.</w:t>
      </w:r>
    </w:p>
    <w:p w14:paraId="24472552" w14:textId="716ECAF6" w:rsidR="00D11975" w:rsidRPr="00D11975" w:rsidRDefault="00D11975" w:rsidP="002D5955">
      <w:pPr>
        <w:spacing w:after="120"/>
        <w:rPr>
          <w:color w:val="auto"/>
        </w:rPr>
      </w:pPr>
      <w:r w:rsidRPr="00D11975">
        <w:rPr>
          <w:color w:val="auto"/>
        </w:rPr>
        <w:t>Οι εξαγωγές αγαθών (</w:t>
      </w:r>
      <w:r w:rsidRPr="00302E04">
        <w:rPr>
          <w:i/>
          <w:color w:val="auto"/>
        </w:rPr>
        <w:fldChar w:fldCharType="begin"/>
      </w:r>
      <w:r w:rsidRPr="00302E04">
        <w:rPr>
          <w:i/>
          <w:color w:val="auto"/>
        </w:rPr>
        <w:instrText xml:space="preserve"> REF _Ref8996616 \h  \* MERGEFORMAT </w:instrText>
      </w:r>
      <w:r w:rsidRPr="00302E04">
        <w:rPr>
          <w:i/>
          <w:color w:val="auto"/>
        </w:rPr>
      </w:r>
      <w:r w:rsidRPr="00302E04">
        <w:rPr>
          <w:i/>
          <w:color w:val="auto"/>
        </w:rPr>
        <w:fldChar w:fldCharType="separate"/>
      </w:r>
      <w:r w:rsidR="00CC05A7" w:rsidRPr="00CC05A7">
        <w:rPr>
          <w:i/>
          <w:color w:val="auto"/>
        </w:rPr>
        <w:t>Διάγραμμα 10</w:t>
      </w:r>
      <w:r w:rsidRPr="00302E04">
        <w:rPr>
          <w:i/>
          <w:color w:val="auto"/>
        </w:rPr>
        <w:fldChar w:fldCharType="end"/>
      </w:r>
      <w:r w:rsidRPr="00D11975">
        <w:rPr>
          <w:color w:val="auto"/>
        </w:rPr>
        <w:t xml:space="preserve">) μειώθηκαν κατά 3.529 εκατ. ευρώ (-10,9%), κυρίως λόγω της μείωσης των εξαγωγών καυσίμων κατά 2.976 εκατ. </w:t>
      </w:r>
      <w:r w:rsidR="00D26724">
        <w:rPr>
          <w:color w:val="auto"/>
        </w:rPr>
        <w:t xml:space="preserve">ευρώ </w:t>
      </w:r>
      <w:r w:rsidRPr="00D11975">
        <w:rPr>
          <w:color w:val="auto"/>
        </w:rPr>
        <w:t xml:space="preserve">(-32,8%), ενώ οι εξαγωγές των λοιπών αγαθών παρουσίασαν αξιοσημείωτη ανθεκτικότητα με μικρή μείωση κατά </w:t>
      </w:r>
      <w:r w:rsidR="00D26724">
        <w:rPr>
          <w:color w:val="auto"/>
        </w:rPr>
        <w:t xml:space="preserve">μόλις </w:t>
      </w:r>
      <w:r w:rsidRPr="00D11975">
        <w:rPr>
          <w:color w:val="auto"/>
        </w:rPr>
        <w:t>2,6% (-614 εκατ.</w:t>
      </w:r>
      <w:r w:rsidR="00D26724">
        <w:rPr>
          <w:color w:val="auto"/>
        </w:rPr>
        <w:t xml:space="preserve"> ευρώ</w:t>
      </w:r>
      <w:r w:rsidRPr="00D11975">
        <w:rPr>
          <w:color w:val="auto"/>
        </w:rPr>
        <w:t>). Από την άλλη πλευρά, η μείωση των εισαγωγών ήταν υπερδιπλάσια εκείνης των εξαγωγών (-7.834 εκατ., -14,2%), με αποτέλεσμα τη</w:t>
      </w:r>
      <w:r w:rsidR="00D26724">
        <w:rPr>
          <w:color w:val="auto"/>
        </w:rPr>
        <w:t>ν προαναφερόμενη</w:t>
      </w:r>
      <w:r w:rsidRPr="00D11975">
        <w:rPr>
          <w:color w:val="auto"/>
        </w:rPr>
        <w:t xml:space="preserve"> βελτίωση του ισοζυγίου αγαθών.</w:t>
      </w:r>
    </w:p>
    <w:p w14:paraId="4B1E9C3D" w14:textId="24F7C543" w:rsidR="00D11975" w:rsidRPr="000B38C0" w:rsidRDefault="00D11975" w:rsidP="00D11975">
      <w:pPr>
        <w:spacing w:line="240" w:lineRule="auto"/>
        <w:rPr>
          <w:color w:val="00A3E0"/>
          <w:sz w:val="20"/>
          <w:szCs w:val="20"/>
        </w:rPr>
      </w:pPr>
      <w:bookmarkStart w:id="53" w:name="_Ref8996616"/>
      <w:bookmarkStart w:id="54" w:name="_Toc40495870"/>
      <w:bookmarkStart w:id="55" w:name="_Toc71906505"/>
      <w:bookmarkStart w:id="56" w:name="_Toc73435796"/>
      <w:r w:rsidRPr="000B38C0">
        <w:rPr>
          <w:iCs/>
          <w:sz w:val="20"/>
          <w:szCs w:val="20"/>
        </w:rPr>
        <w:t xml:space="preserve">Διάγραμμα </w:t>
      </w:r>
      <w:r w:rsidRPr="000B38C0">
        <w:rPr>
          <w:iCs/>
          <w:sz w:val="20"/>
          <w:szCs w:val="20"/>
        </w:rPr>
        <w:fldChar w:fldCharType="begin"/>
      </w:r>
      <w:r w:rsidRPr="000B38C0">
        <w:rPr>
          <w:iCs/>
          <w:sz w:val="20"/>
          <w:szCs w:val="20"/>
        </w:rPr>
        <w:instrText xml:space="preserve"> SEQ Διάγραμμα \* ARABIC </w:instrText>
      </w:r>
      <w:r w:rsidRPr="000B38C0">
        <w:rPr>
          <w:iCs/>
          <w:sz w:val="20"/>
          <w:szCs w:val="20"/>
        </w:rPr>
        <w:fldChar w:fldCharType="separate"/>
      </w:r>
      <w:r w:rsidR="00CC05A7">
        <w:rPr>
          <w:iCs/>
          <w:noProof/>
          <w:sz w:val="20"/>
          <w:szCs w:val="20"/>
        </w:rPr>
        <w:t>10</w:t>
      </w:r>
      <w:r w:rsidRPr="000B38C0">
        <w:rPr>
          <w:iCs/>
          <w:sz w:val="20"/>
          <w:szCs w:val="20"/>
        </w:rPr>
        <w:fldChar w:fldCharType="end"/>
      </w:r>
      <w:bookmarkEnd w:id="53"/>
      <w:r w:rsidRPr="000B38C0">
        <w:rPr>
          <w:iCs/>
          <w:sz w:val="20"/>
          <w:szCs w:val="20"/>
        </w:rPr>
        <w:t xml:space="preserve">: </w:t>
      </w:r>
      <w:r w:rsidRPr="000B38C0">
        <w:rPr>
          <w:color w:val="00A3E0"/>
          <w:sz w:val="20"/>
          <w:szCs w:val="20"/>
        </w:rPr>
        <w:t>Εισαγωγές και εξαγωγές αγαθών (εκατ. ευρώ)</w:t>
      </w:r>
      <w:bookmarkEnd w:id="54"/>
      <w:bookmarkEnd w:id="55"/>
      <w:bookmarkEnd w:id="56"/>
    </w:p>
    <w:p w14:paraId="705CAB6C" w14:textId="77777777" w:rsidR="00D11975" w:rsidRPr="00D11975" w:rsidRDefault="00D11975" w:rsidP="002D5955">
      <w:pPr>
        <w:spacing w:after="0" w:line="240" w:lineRule="auto"/>
        <w:rPr>
          <w:b/>
          <w:color w:val="00A3E0"/>
          <w:sz w:val="20"/>
          <w:szCs w:val="20"/>
        </w:rPr>
      </w:pPr>
      <w:r w:rsidRPr="00D11975">
        <w:rPr>
          <w:noProof/>
          <w:lang w:eastAsia="el-GR"/>
        </w:rPr>
        <w:drawing>
          <wp:inline distT="0" distB="0" distL="0" distR="0" wp14:anchorId="227663D9" wp14:editId="0510F293">
            <wp:extent cx="5276850" cy="249555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E293137" w14:textId="77777777" w:rsidR="00D11975" w:rsidRPr="00D11975" w:rsidRDefault="00D11975" w:rsidP="00AE74EB">
      <w:pPr>
        <w:spacing w:after="240"/>
        <w:rPr>
          <w:color w:val="auto"/>
          <w:sz w:val="18"/>
          <w:szCs w:val="18"/>
        </w:rPr>
      </w:pPr>
      <w:r w:rsidRPr="00D11975">
        <w:rPr>
          <w:b/>
          <w:color w:val="auto"/>
          <w:sz w:val="16"/>
          <w:szCs w:val="16"/>
        </w:rPr>
        <w:t>Πηγή:</w:t>
      </w:r>
      <w:r w:rsidRPr="00D11975">
        <w:rPr>
          <w:color w:val="auto"/>
          <w:sz w:val="16"/>
          <w:szCs w:val="16"/>
        </w:rPr>
        <w:t xml:space="preserve"> </w:t>
      </w:r>
      <w:r w:rsidRPr="00D11975">
        <w:rPr>
          <w:iCs/>
          <w:noProof/>
          <w:color w:val="00A3E0"/>
          <w:sz w:val="16"/>
          <w:szCs w:val="16"/>
        </w:rPr>
        <w:t>Τράπεζα της Ελλάδος.</w:t>
      </w:r>
    </w:p>
    <w:p w14:paraId="7D51E2DE" w14:textId="063B3CF9" w:rsidR="00D11975" w:rsidRDefault="00D11975" w:rsidP="00D11975">
      <w:pPr>
        <w:spacing w:after="120"/>
        <w:rPr>
          <w:color w:val="auto"/>
        </w:rPr>
      </w:pPr>
      <w:r w:rsidRPr="00D11975">
        <w:rPr>
          <w:color w:val="auto"/>
        </w:rPr>
        <w:t xml:space="preserve">Όσον αφορά </w:t>
      </w:r>
      <w:r w:rsidR="00AA66D3">
        <w:rPr>
          <w:color w:val="auto"/>
        </w:rPr>
        <w:t>σ</w:t>
      </w:r>
      <w:r w:rsidRPr="00D11975">
        <w:rPr>
          <w:color w:val="auto"/>
        </w:rPr>
        <w:t>το ισοζύγιο υπηρεσιών (</w:t>
      </w:r>
      <w:r w:rsidRPr="00AE74EB">
        <w:rPr>
          <w:i/>
          <w:color w:val="auto"/>
        </w:rPr>
        <w:fldChar w:fldCharType="begin"/>
      </w:r>
      <w:r w:rsidRPr="00AE74EB">
        <w:rPr>
          <w:i/>
          <w:color w:val="auto"/>
        </w:rPr>
        <w:instrText xml:space="preserve"> REF _Ref8997303 \h  \* MERGEFORMAT </w:instrText>
      </w:r>
      <w:r w:rsidRPr="00AE74EB">
        <w:rPr>
          <w:i/>
          <w:color w:val="auto"/>
        </w:rPr>
      </w:r>
      <w:r w:rsidRPr="00AE74EB">
        <w:rPr>
          <w:i/>
          <w:color w:val="auto"/>
        </w:rPr>
        <w:fldChar w:fldCharType="separate"/>
      </w:r>
      <w:r w:rsidR="00CC05A7" w:rsidRPr="00CC05A7">
        <w:rPr>
          <w:i/>
          <w:color w:val="auto"/>
        </w:rPr>
        <w:t>Διάγραμμα 11</w:t>
      </w:r>
      <w:r w:rsidRPr="00AE74EB">
        <w:rPr>
          <w:i/>
          <w:color w:val="auto"/>
        </w:rPr>
        <w:fldChar w:fldCharType="end"/>
      </w:r>
      <w:r w:rsidRPr="00D11975">
        <w:rPr>
          <w:color w:val="auto"/>
        </w:rPr>
        <w:t>), η μείωση του πλεονάσματος οφείλεται κατά κύριο λόγο στην επιδείνωση του ταξιδιωτικού ισοζυγίου κατά 11.909 εκατ.</w:t>
      </w:r>
      <w:r w:rsidR="00762D1B">
        <w:rPr>
          <w:color w:val="auto"/>
        </w:rPr>
        <w:t xml:space="preserve"> ευρώ</w:t>
      </w:r>
      <w:r w:rsidRPr="00D11975">
        <w:rPr>
          <w:color w:val="auto"/>
        </w:rPr>
        <w:t xml:space="preserve"> (-77,2%) και δευτερευόντως στη μείωση του πλεονάσματος του ισοζυγίου μεταφορών κατά 1.984 εκατ. (-33,5%), ιδίως λόγω του περιορισμού </w:t>
      </w:r>
      <w:r w:rsidR="00AA66D3">
        <w:rPr>
          <w:color w:val="auto"/>
        </w:rPr>
        <w:t>του</w:t>
      </w:r>
      <w:r w:rsidRPr="00D11975">
        <w:rPr>
          <w:color w:val="auto"/>
        </w:rPr>
        <w:t xml:space="preserve"> θαλάσσιου εμπορίου και των αεροπορικών μετακινήσεων. Από την άλλη πλευρά, το ισοζύγιο λοιπών υπηρεσιών εμφάνισε μείωση του ελλείμματος κατά 56 εκατ. </w:t>
      </w:r>
      <w:r w:rsidR="00762D1B">
        <w:rPr>
          <w:color w:val="auto"/>
        </w:rPr>
        <w:t xml:space="preserve">ευρώ </w:t>
      </w:r>
      <w:r w:rsidRPr="00D11975">
        <w:rPr>
          <w:color w:val="auto"/>
        </w:rPr>
        <w:t xml:space="preserve">(-22,9%). </w:t>
      </w:r>
    </w:p>
    <w:p w14:paraId="45990B2E" w14:textId="77777777" w:rsidR="004F59E8" w:rsidRPr="00D11975" w:rsidRDefault="004F59E8" w:rsidP="00D11975">
      <w:pPr>
        <w:spacing w:after="120"/>
        <w:rPr>
          <w:color w:val="auto"/>
        </w:rPr>
      </w:pPr>
    </w:p>
    <w:p w14:paraId="49796153" w14:textId="6EE46822" w:rsidR="00D11975" w:rsidRPr="000B38C0" w:rsidRDefault="00D11975" w:rsidP="00AE74EB">
      <w:pPr>
        <w:spacing w:after="0" w:line="240" w:lineRule="auto"/>
        <w:rPr>
          <w:color w:val="00A3E0"/>
          <w:sz w:val="20"/>
          <w:szCs w:val="20"/>
        </w:rPr>
      </w:pPr>
      <w:bookmarkStart w:id="57" w:name="_Ref8997303"/>
      <w:bookmarkStart w:id="58" w:name="_Toc40495871"/>
      <w:bookmarkStart w:id="59" w:name="_Toc71906506"/>
      <w:bookmarkStart w:id="60" w:name="_Toc73435797"/>
      <w:r w:rsidRPr="000B38C0">
        <w:rPr>
          <w:iCs/>
          <w:sz w:val="20"/>
          <w:szCs w:val="20"/>
        </w:rPr>
        <w:t xml:space="preserve">Διάγραμμα </w:t>
      </w:r>
      <w:r w:rsidRPr="000B38C0">
        <w:rPr>
          <w:iCs/>
          <w:sz w:val="20"/>
          <w:szCs w:val="20"/>
        </w:rPr>
        <w:fldChar w:fldCharType="begin"/>
      </w:r>
      <w:r w:rsidRPr="000B38C0">
        <w:rPr>
          <w:iCs/>
          <w:sz w:val="20"/>
          <w:szCs w:val="20"/>
        </w:rPr>
        <w:instrText xml:space="preserve"> SEQ Διάγραμμα \* ARABIC </w:instrText>
      </w:r>
      <w:r w:rsidRPr="000B38C0">
        <w:rPr>
          <w:iCs/>
          <w:sz w:val="20"/>
          <w:szCs w:val="20"/>
        </w:rPr>
        <w:fldChar w:fldCharType="separate"/>
      </w:r>
      <w:r w:rsidR="00CC05A7">
        <w:rPr>
          <w:iCs/>
          <w:noProof/>
          <w:sz w:val="20"/>
          <w:szCs w:val="20"/>
        </w:rPr>
        <w:t>11</w:t>
      </w:r>
      <w:r w:rsidRPr="000B38C0">
        <w:rPr>
          <w:iCs/>
          <w:sz w:val="20"/>
          <w:szCs w:val="20"/>
        </w:rPr>
        <w:fldChar w:fldCharType="end"/>
      </w:r>
      <w:bookmarkEnd w:id="57"/>
      <w:r w:rsidRPr="000B38C0">
        <w:rPr>
          <w:iCs/>
          <w:sz w:val="20"/>
          <w:szCs w:val="20"/>
        </w:rPr>
        <w:t xml:space="preserve">: </w:t>
      </w:r>
      <w:r w:rsidRPr="000B38C0">
        <w:rPr>
          <w:color w:val="00A3E0"/>
          <w:sz w:val="20"/>
          <w:szCs w:val="20"/>
        </w:rPr>
        <w:t>Ισοζύγιο υπηρεσιών (εκατ. ευρώ)</w:t>
      </w:r>
      <w:bookmarkEnd w:id="58"/>
      <w:bookmarkEnd w:id="59"/>
      <w:bookmarkEnd w:id="60"/>
    </w:p>
    <w:p w14:paraId="50977E99" w14:textId="77777777" w:rsidR="00D11975" w:rsidRPr="00D11975" w:rsidRDefault="00D11975" w:rsidP="002D5955">
      <w:pPr>
        <w:spacing w:after="0" w:line="240" w:lineRule="auto"/>
        <w:rPr>
          <w:b/>
          <w:color w:val="00A3E0"/>
          <w:sz w:val="20"/>
          <w:szCs w:val="20"/>
        </w:rPr>
      </w:pPr>
      <w:r w:rsidRPr="00D11975">
        <w:rPr>
          <w:noProof/>
          <w:lang w:eastAsia="el-GR"/>
        </w:rPr>
        <w:drawing>
          <wp:inline distT="0" distB="0" distL="0" distR="0" wp14:anchorId="07CBEE3D" wp14:editId="7E4BEA43">
            <wp:extent cx="5276850" cy="333375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EE09E6E" w14:textId="77777777" w:rsidR="00D11975" w:rsidRPr="00D11975" w:rsidRDefault="00D11975" w:rsidP="00D11975">
      <w:pPr>
        <w:rPr>
          <w:color w:val="auto"/>
        </w:rPr>
      </w:pPr>
      <w:r w:rsidRPr="00D11975">
        <w:rPr>
          <w:b/>
          <w:color w:val="auto"/>
          <w:sz w:val="16"/>
          <w:szCs w:val="16"/>
        </w:rPr>
        <w:t>Πηγή:</w:t>
      </w:r>
      <w:r w:rsidRPr="00D11975">
        <w:rPr>
          <w:color w:val="auto"/>
          <w:sz w:val="16"/>
          <w:szCs w:val="16"/>
        </w:rPr>
        <w:t xml:space="preserve"> </w:t>
      </w:r>
      <w:r w:rsidRPr="00D11975">
        <w:rPr>
          <w:iCs/>
          <w:noProof/>
          <w:color w:val="00A3E0"/>
          <w:sz w:val="16"/>
          <w:szCs w:val="16"/>
        </w:rPr>
        <w:t>Τράπεζα της Ελλάδος.</w:t>
      </w:r>
    </w:p>
    <w:p w14:paraId="6A2ABC8C" w14:textId="63F08140" w:rsidR="00D11975" w:rsidRPr="00D11975" w:rsidRDefault="00D11975" w:rsidP="00D11975">
      <w:pPr>
        <w:spacing w:after="120"/>
        <w:rPr>
          <w:color w:val="auto"/>
        </w:rPr>
      </w:pPr>
      <w:bookmarkStart w:id="61" w:name="_Ref71848343"/>
      <w:r w:rsidRPr="00D11975">
        <w:rPr>
          <w:color w:val="auto"/>
        </w:rPr>
        <w:t xml:space="preserve">Ειδικότερα, η προαναφερθείσα </w:t>
      </w:r>
      <w:r w:rsidR="00AE74EB">
        <w:rPr>
          <w:color w:val="auto"/>
        </w:rPr>
        <w:t>μείωση</w:t>
      </w:r>
      <w:r w:rsidRPr="00D11975">
        <w:rPr>
          <w:color w:val="auto"/>
        </w:rPr>
        <w:t xml:space="preserve"> του </w:t>
      </w:r>
      <w:r w:rsidR="00AE74EB">
        <w:rPr>
          <w:color w:val="auto"/>
        </w:rPr>
        <w:t xml:space="preserve">πλεονάσματος του </w:t>
      </w:r>
      <w:r w:rsidRPr="00D11975">
        <w:rPr>
          <w:color w:val="auto"/>
        </w:rPr>
        <w:t>ταξιδιωτικού ισοζυγίου από 15.435 εκατ. ευρώ το 2019 σε 3.526 εκατ. το 2020 οφείλεται στη</w:t>
      </w:r>
      <w:r w:rsidR="00AE74EB">
        <w:rPr>
          <w:color w:val="auto"/>
        </w:rPr>
        <w:t>ν</w:t>
      </w:r>
      <w:r w:rsidRPr="00D11975">
        <w:rPr>
          <w:color w:val="auto"/>
        </w:rPr>
        <w:t xml:space="preserve"> </w:t>
      </w:r>
      <w:r w:rsidR="00AE74EB">
        <w:rPr>
          <w:color w:val="auto"/>
        </w:rPr>
        <w:t>πτώση</w:t>
      </w:r>
      <w:r w:rsidRPr="00D11975">
        <w:rPr>
          <w:color w:val="auto"/>
        </w:rPr>
        <w:t xml:space="preserve"> των ταξιδιωτικών εισπράξεων κατά 13.860 εκατ. (-76,2%), λόγω της μείωσης της εισερχόμενης ταξιδιωτικής κίνησης από 34 εκατ. άτομα το 2019</w:t>
      </w:r>
      <w:r w:rsidRPr="00D11975">
        <w:rPr>
          <w:color w:val="auto"/>
          <w:vertAlign w:val="superscript"/>
        </w:rPr>
        <w:footnoteReference w:id="7"/>
      </w:r>
      <w:r w:rsidRPr="00D11975">
        <w:rPr>
          <w:color w:val="auto"/>
        </w:rPr>
        <w:t xml:space="preserve"> σε 7,4 εκατ. το 2020 (-78,2%). </w:t>
      </w:r>
    </w:p>
    <w:p w14:paraId="3A06D2F6" w14:textId="671BCDD2" w:rsidR="00BC33A4" w:rsidRDefault="00BC33A4">
      <w:pPr>
        <w:spacing w:after="160" w:line="0" w:lineRule="auto"/>
        <w:jc w:val="left"/>
        <w:rPr>
          <w:iCs/>
          <w:sz w:val="20"/>
          <w:szCs w:val="20"/>
        </w:rPr>
      </w:pPr>
      <w:bookmarkStart w:id="62" w:name="_Ref71906054"/>
      <w:bookmarkStart w:id="63" w:name="_Toc71906507"/>
    </w:p>
    <w:p w14:paraId="52AD30A2" w14:textId="6DD17D92" w:rsidR="00D11975" w:rsidRPr="000B38C0" w:rsidRDefault="00D11975" w:rsidP="00AE74EB">
      <w:pPr>
        <w:spacing w:after="0" w:line="240" w:lineRule="auto"/>
        <w:rPr>
          <w:color w:val="00A3E0"/>
          <w:sz w:val="20"/>
          <w:szCs w:val="20"/>
        </w:rPr>
      </w:pPr>
      <w:bookmarkStart w:id="64" w:name="_Toc73435798"/>
      <w:r w:rsidRPr="000B38C0">
        <w:rPr>
          <w:iCs/>
          <w:sz w:val="20"/>
          <w:szCs w:val="20"/>
        </w:rPr>
        <w:t xml:space="preserve">Διάγραμμα </w:t>
      </w:r>
      <w:r w:rsidRPr="000B38C0">
        <w:rPr>
          <w:iCs/>
          <w:sz w:val="20"/>
          <w:szCs w:val="20"/>
        </w:rPr>
        <w:fldChar w:fldCharType="begin"/>
      </w:r>
      <w:r w:rsidRPr="000B38C0">
        <w:rPr>
          <w:iCs/>
          <w:sz w:val="20"/>
          <w:szCs w:val="20"/>
        </w:rPr>
        <w:instrText xml:space="preserve"> SEQ Διάγραμμα \* ARABIC </w:instrText>
      </w:r>
      <w:r w:rsidRPr="000B38C0">
        <w:rPr>
          <w:iCs/>
          <w:sz w:val="20"/>
          <w:szCs w:val="20"/>
        </w:rPr>
        <w:fldChar w:fldCharType="separate"/>
      </w:r>
      <w:r w:rsidR="00CC05A7">
        <w:rPr>
          <w:iCs/>
          <w:noProof/>
          <w:sz w:val="20"/>
          <w:szCs w:val="20"/>
        </w:rPr>
        <w:t>12</w:t>
      </w:r>
      <w:r w:rsidRPr="000B38C0">
        <w:rPr>
          <w:iCs/>
          <w:sz w:val="20"/>
          <w:szCs w:val="20"/>
        </w:rPr>
        <w:fldChar w:fldCharType="end"/>
      </w:r>
      <w:bookmarkEnd w:id="61"/>
      <w:bookmarkEnd w:id="62"/>
      <w:r w:rsidRPr="000B38C0">
        <w:rPr>
          <w:iCs/>
          <w:sz w:val="20"/>
          <w:szCs w:val="20"/>
        </w:rPr>
        <w:t xml:space="preserve">: </w:t>
      </w:r>
      <w:r w:rsidRPr="000B38C0">
        <w:rPr>
          <w:color w:val="00A3E0"/>
          <w:sz w:val="20"/>
          <w:szCs w:val="20"/>
        </w:rPr>
        <w:t>Ταξιδιωτικές εισπράξεις (εκατ. ευρώ)</w:t>
      </w:r>
      <w:bookmarkEnd w:id="63"/>
      <w:bookmarkEnd w:id="64"/>
    </w:p>
    <w:p w14:paraId="592F85C0" w14:textId="77777777" w:rsidR="00D11975" w:rsidRPr="00D11975" w:rsidRDefault="00D11975" w:rsidP="00D11975">
      <w:pPr>
        <w:spacing w:after="120"/>
        <w:rPr>
          <w:color w:val="auto"/>
        </w:rPr>
      </w:pPr>
      <w:r w:rsidRPr="00D11975">
        <w:rPr>
          <w:noProof/>
          <w:lang w:eastAsia="el-GR"/>
        </w:rPr>
        <w:drawing>
          <wp:inline distT="0" distB="0" distL="0" distR="0" wp14:anchorId="72AF36E8" wp14:editId="2B2928D9">
            <wp:extent cx="5276850" cy="2886075"/>
            <wp:effectExtent l="0" t="0" r="0" b="95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F2AFADC" w14:textId="2B2AE409" w:rsidR="00D11975" w:rsidRDefault="00D11975" w:rsidP="00D11975">
      <w:pPr>
        <w:rPr>
          <w:iCs/>
          <w:noProof/>
          <w:color w:val="00A3E0"/>
          <w:sz w:val="16"/>
          <w:szCs w:val="16"/>
        </w:rPr>
      </w:pPr>
      <w:r w:rsidRPr="00D11975">
        <w:rPr>
          <w:b/>
          <w:color w:val="auto"/>
          <w:sz w:val="16"/>
          <w:szCs w:val="16"/>
        </w:rPr>
        <w:t>Πηγή:</w:t>
      </w:r>
      <w:r w:rsidRPr="00D11975">
        <w:rPr>
          <w:color w:val="auto"/>
          <w:sz w:val="16"/>
          <w:szCs w:val="16"/>
        </w:rPr>
        <w:t xml:space="preserve"> </w:t>
      </w:r>
      <w:r w:rsidRPr="00D11975">
        <w:rPr>
          <w:iCs/>
          <w:noProof/>
          <w:color w:val="00A3E0"/>
          <w:sz w:val="16"/>
          <w:szCs w:val="16"/>
        </w:rPr>
        <w:t>Τράπεζα της Ελλάδος.</w:t>
      </w:r>
    </w:p>
    <w:p w14:paraId="277AEDC9" w14:textId="77777777" w:rsidR="00762D1B" w:rsidRPr="00D11975" w:rsidRDefault="00762D1B" w:rsidP="00762D1B">
      <w:pPr>
        <w:spacing w:after="0"/>
        <w:rPr>
          <w:color w:val="auto"/>
          <w:sz w:val="18"/>
          <w:szCs w:val="18"/>
        </w:rPr>
      </w:pPr>
    </w:p>
    <w:p w14:paraId="461ADF35" w14:textId="77777777" w:rsidR="00BC33A4" w:rsidRDefault="00BC33A4" w:rsidP="00BC33A4">
      <w:pPr>
        <w:spacing w:after="120"/>
        <w:rPr>
          <w:color w:val="auto"/>
        </w:rPr>
      </w:pPr>
      <w:r>
        <w:rPr>
          <w:color w:val="auto"/>
        </w:rPr>
        <w:t>Ο</w:t>
      </w:r>
      <w:r w:rsidRPr="00D11975">
        <w:rPr>
          <w:color w:val="auto"/>
        </w:rPr>
        <w:t>ι ταξιδιωτικές εισπράξεις κατά τους μήνες Απρίλιο-Ιούνιο ήταν ελάχιστες, ανερχόμενες μόλις στο 3% των εισπράξεων του 2019, με αποτέλεσμα την απώλεια άνω των 4,5 δισ. ευρώ. Τον Ιούλιο η κατάσταση άρχισε να βελτιώνεται</w:t>
      </w:r>
      <w:r>
        <w:rPr>
          <w:color w:val="auto"/>
        </w:rPr>
        <w:t>,</w:t>
      </w:r>
      <w:r w:rsidRPr="00D11975">
        <w:rPr>
          <w:color w:val="auto"/>
        </w:rPr>
        <w:t xml:space="preserve"> οι εισπράξεις </w:t>
      </w:r>
      <w:r>
        <w:rPr>
          <w:color w:val="auto"/>
        </w:rPr>
        <w:t>ωστόσο διαμορφώθηκαν μόλις στο 18% σε σχέση με το 2019</w:t>
      </w:r>
      <w:r w:rsidRPr="00D11975">
        <w:rPr>
          <w:color w:val="auto"/>
        </w:rPr>
        <w:t>. Οι σχετικές απώλειες υπερέβησαν τα 3 δισ. ευρώ καθιστώντας τον Ιούλιο τον χειρότερο μήνα από πλευράς απόλυτου ύψους απωλειών. Εν συνεχεία, από τον Αύγουστο μέχρι τον Οκτώβριο οι εισπράξεις σταθεροποιήθηκαν περίπου στο 1/3 των εισπράξεων του 2019, επισωρεύοντ</w:t>
      </w:r>
      <w:r>
        <w:rPr>
          <w:color w:val="auto"/>
        </w:rPr>
        <w:t>ας περαιτέρω απώλειες ύψους 5,7</w:t>
      </w:r>
      <w:r w:rsidRPr="00D11975">
        <w:rPr>
          <w:color w:val="auto"/>
        </w:rPr>
        <w:t xml:space="preserve"> δισ. ευρώ</w:t>
      </w:r>
      <w:r>
        <w:rPr>
          <w:color w:val="auto"/>
        </w:rPr>
        <w:t>, περίπου</w:t>
      </w:r>
      <w:r w:rsidRPr="00D11975">
        <w:rPr>
          <w:color w:val="auto"/>
        </w:rPr>
        <w:t xml:space="preserve">.  </w:t>
      </w:r>
    </w:p>
    <w:p w14:paraId="2A17A6BB" w14:textId="524D3E95" w:rsidR="004F59E8" w:rsidRDefault="00D11975" w:rsidP="004F59E8">
      <w:pPr>
        <w:spacing w:after="240"/>
        <w:rPr>
          <w:color w:val="auto"/>
        </w:rPr>
      </w:pPr>
      <w:r w:rsidRPr="00D11975">
        <w:rPr>
          <w:color w:val="auto"/>
        </w:rPr>
        <w:t>Τέλος, οι Άμεσες Ξένες Επενδύσεις (</w:t>
      </w:r>
      <w:r w:rsidRPr="00D11975">
        <w:rPr>
          <w:color w:val="auto"/>
        </w:rPr>
        <w:fldChar w:fldCharType="begin"/>
      </w:r>
      <w:r w:rsidRPr="00D11975">
        <w:rPr>
          <w:color w:val="auto"/>
        </w:rPr>
        <w:instrText xml:space="preserve"> REF _Ref8998535 \h  \* MERGEFORMAT </w:instrText>
      </w:r>
      <w:r w:rsidRPr="00D11975">
        <w:rPr>
          <w:color w:val="auto"/>
        </w:rPr>
      </w:r>
      <w:r w:rsidRPr="00D11975">
        <w:rPr>
          <w:color w:val="auto"/>
        </w:rPr>
        <w:fldChar w:fldCharType="separate"/>
      </w:r>
      <w:r w:rsidR="00CC05A7" w:rsidRPr="00CC05A7">
        <w:rPr>
          <w:color w:val="auto"/>
        </w:rPr>
        <w:t>Διάγραμμα 13</w:t>
      </w:r>
      <w:r w:rsidRPr="00D11975">
        <w:rPr>
          <w:color w:val="auto"/>
        </w:rPr>
        <w:fldChar w:fldCharType="end"/>
      </w:r>
      <w:r w:rsidRPr="00D11975">
        <w:rPr>
          <w:color w:val="auto"/>
        </w:rPr>
        <w:t xml:space="preserve">) </w:t>
      </w:r>
      <w:r w:rsidR="002840F1" w:rsidRPr="002840F1">
        <w:rPr>
          <w:color w:val="auto"/>
        </w:rPr>
        <w:t>μειώθηκαν σε σχέση με το 2019 κατά 1.257 εκατ. ευρώ (ή -28,1%) και περιορίστηκαν  στα 3.216 εκατ. ευρώ (1,9% του ΑΕΠ).</w:t>
      </w:r>
      <w:r w:rsidR="00542B07" w:rsidRPr="00542B07">
        <w:rPr>
          <w:color w:val="auto"/>
        </w:rPr>
        <w:t xml:space="preserve"> Οι σχετικές εισροές αφορούσαν κυρίως τη διαχείριση ακίνητης περιουσίας (21%), τη μεταποίηση (18%), τον κλάδο των χρηματοπιστωτικών </w:t>
      </w:r>
      <w:r w:rsidR="00542B07">
        <w:rPr>
          <w:color w:val="auto"/>
        </w:rPr>
        <w:t>και</w:t>
      </w:r>
      <w:r w:rsidR="00542B07" w:rsidRPr="00542B07">
        <w:rPr>
          <w:color w:val="auto"/>
        </w:rPr>
        <w:t xml:space="preserve"> ασφαλιστικών δραστηριοτήτων (17%), καθώς και ιδιωτικές αγοραπωλησίες ακινήτων (14%). Χώρες προέλευσης των επενδύσεων ήταν κατά κύριο λόγο η Κύπρος (28%), η Ελβετία (15%), το Ηνωμένο Βασίλειο (9,1%), η Ολλανδία (8,9%) και η Γερμανία (8,7%).</w:t>
      </w:r>
    </w:p>
    <w:p w14:paraId="69829973" w14:textId="16A77056" w:rsidR="00D11975" w:rsidRPr="000B38C0" w:rsidRDefault="00D11975" w:rsidP="00AE74EB">
      <w:pPr>
        <w:spacing w:after="0" w:line="240" w:lineRule="auto"/>
        <w:rPr>
          <w:color w:val="00A3E0"/>
          <w:sz w:val="20"/>
          <w:szCs w:val="20"/>
        </w:rPr>
      </w:pPr>
      <w:bookmarkStart w:id="65" w:name="_Ref8998535"/>
      <w:bookmarkStart w:id="66" w:name="_Toc40495872"/>
      <w:bookmarkStart w:id="67" w:name="_Toc71906508"/>
      <w:bookmarkStart w:id="68" w:name="_Toc73435799"/>
      <w:r w:rsidRPr="000B38C0">
        <w:rPr>
          <w:iCs/>
          <w:sz w:val="20"/>
          <w:szCs w:val="20"/>
        </w:rPr>
        <w:t xml:space="preserve">Διάγραμμα </w:t>
      </w:r>
      <w:r w:rsidRPr="000B38C0">
        <w:rPr>
          <w:iCs/>
          <w:sz w:val="20"/>
          <w:szCs w:val="20"/>
        </w:rPr>
        <w:fldChar w:fldCharType="begin"/>
      </w:r>
      <w:r w:rsidRPr="000B38C0">
        <w:rPr>
          <w:iCs/>
          <w:sz w:val="20"/>
          <w:szCs w:val="20"/>
        </w:rPr>
        <w:instrText xml:space="preserve"> SEQ Διάγραμμα \* ARABIC </w:instrText>
      </w:r>
      <w:r w:rsidRPr="000B38C0">
        <w:rPr>
          <w:iCs/>
          <w:sz w:val="20"/>
          <w:szCs w:val="20"/>
        </w:rPr>
        <w:fldChar w:fldCharType="separate"/>
      </w:r>
      <w:r w:rsidR="00CC05A7">
        <w:rPr>
          <w:iCs/>
          <w:noProof/>
          <w:sz w:val="20"/>
          <w:szCs w:val="20"/>
        </w:rPr>
        <w:t>13</w:t>
      </w:r>
      <w:r w:rsidRPr="000B38C0">
        <w:rPr>
          <w:iCs/>
          <w:sz w:val="20"/>
          <w:szCs w:val="20"/>
        </w:rPr>
        <w:fldChar w:fldCharType="end"/>
      </w:r>
      <w:bookmarkEnd w:id="65"/>
      <w:r w:rsidRPr="000B38C0">
        <w:rPr>
          <w:iCs/>
          <w:sz w:val="20"/>
          <w:szCs w:val="20"/>
        </w:rPr>
        <w:t xml:space="preserve">: </w:t>
      </w:r>
      <w:r w:rsidRPr="000B38C0">
        <w:rPr>
          <w:color w:val="00A3E0"/>
          <w:sz w:val="20"/>
          <w:szCs w:val="20"/>
        </w:rPr>
        <w:t>Άμεσες ξένες επενδύσεις (εκατ. ευρώ)</w:t>
      </w:r>
      <w:bookmarkEnd w:id="66"/>
      <w:bookmarkEnd w:id="67"/>
      <w:bookmarkEnd w:id="68"/>
    </w:p>
    <w:p w14:paraId="5245D27A" w14:textId="77777777" w:rsidR="00D11975" w:rsidRPr="00D11975" w:rsidRDefault="00D11975" w:rsidP="001C1D2B">
      <w:pPr>
        <w:spacing w:after="0" w:line="240" w:lineRule="auto"/>
        <w:rPr>
          <w:b/>
          <w:color w:val="00A3E0"/>
          <w:sz w:val="20"/>
          <w:szCs w:val="20"/>
        </w:rPr>
      </w:pPr>
      <w:r w:rsidRPr="00D11975">
        <w:rPr>
          <w:noProof/>
          <w:lang w:eastAsia="el-GR"/>
        </w:rPr>
        <w:drawing>
          <wp:inline distT="0" distB="0" distL="0" distR="0" wp14:anchorId="40ADFB7D" wp14:editId="25674562">
            <wp:extent cx="5278120" cy="2971800"/>
            <wp:effectExtent l="0" t="0" r="1778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BA87C44" w14:textId="0B6C4127" w:rsidR="00D11975" w:rsidRPr="00D11975" w:rsidRDefault="00D11975" w:rsidP="00D11975">
      <w:pPr>
        <w:rPr>
          <w:color w:val="auto"/>
          <w:sz w:val="18"/>
          <w:szCs w:val="18"/>
        </w:rPr>
      </w:pPr>
      <w:r w:rsidRPr="00D11975">
        <w:rPr>
          <w:b/>
          <w:color w:val="auto"/>
          <w:sz w:val="16"/>
          <w:szCs w:val="16"/>
        </w:rPr>
        <w:t>Πηγή:</w:t>
      </w:r>
      <w:r w:rsidRPr="00D11975">
        <w:rPr>
          <w:color w:val="auto"/>
          <w:sz w:val="16"/>
          <w:szCs w:val="16"/>
        </w:rPr>
        <w:t xml:space="preserve"> </w:t>
      </w:r>
      <w:r w:rsidR="00AE74EB">
        <w:rPr>
          <w:iCs/>
          <w:noProof/>
          <w:color w:val="00A3E0"/>
          <w:sz w:val="16"/>
          <w:szCs w:val="16"/>
        </w:rPr>
        <w:t>Τράπεζα της Ελλάδος</w:t>
      </w:r>
    </w:p>
    <w:p w14:paraId="2CA0DE41" w14:textId="3DB79C46" w:rsidR="00C265EF" w:rsidRDefault="00C265EF">
      <w:pPr>
        <w:spacing w:after="160" w:line="0" w:lineRule="auto"/>
        <w:jc w:val="left"/>
        <w:rPr>
          <w:color w:val="auto"/>
        </w:rPr>
      </w:pPr>
      <w:r>
        <w:rPr>
          <w:color w:val="auto"/>
        </w:rPr>
        <w:br w:type="page"/>
      </w:r>
    </w:p>
    <w:p w14:paraId="4AEFF601" w14:textId="3F103234" w:rsidR="008866AA" w:rsidRPr="003E45FF" w:rsidRDefault="003E45FF" w:rsidP="003E45FF">
      <w:pPr>
        <w:pStyle w:val="a1"/>
        <w:ind w:left="0"/>
        <w:rPr>
          <w:sz w:val="28"/>
          <w:szCs w:val="28"/>
        </w:rPr>
      </w:pPr>
      <w:bookmarkStart w:id="69" w:name="_Toc73435734"/>
      <w:r w:rsidRPr="008866AA">
        <w:rPr>
          <w:sz w:val="28"/>
          <w:szCs w:val="28"/>
        </w:rPr>
        <w:t xml:space="preserve">Χρηματοπιστωτικός </w:t>
      </w:r>
      <w:r w:rsidR="00DB0231">
        <w:rPr>
          <w:sz w:val="28"/>
          <w:szCs w:val="28"/>
        </w:rPr>
        <w:t>τ</w:t>
      </w:r>
      <w:r w:rsidRPr="008866AA">
        <w:rPr>
          <w:sz w:val="28"/>
          <w:szCs w:val="28"/>
        </w:rPr>
        <w:t>ομέας</w:t>
      </w:r>
      <w:r>
        <w:rPr>
          <w:sz w:val="28"/>
          <w:szCs w:val="28"/>
        </w:rPr>
        <w:t xml:space="preserve"> –</w:t>
      </w:r>
      <w:r w:rsidR="00DB0231">
        <w:rPr>
          <w:sz w:val="28"/>
          <w:szCs w:val="28"/>
        </w:rPr>
        <w:t xml:space="preserve"> μ</w:t>
      </w:r>
      <w:r>
        <w:rPr>
          <w:sz w:val="28"/>
          <w:szCs w:val="28"/>
        </w:rPr>
        <w:t>η εξυπηρετούμενα δάνεια (ΜΕΔ)</w:t>
      </w:r>
      <w:bookmarkEnd w:id="69"/>
    </w:p>
    <w:p w14:paraId="6671599E" w14:textId="28C8BBAD" w:rsidR="003E45FF" w:rsidRDefault="00AA66D3" w:rsidP="003E45FF">
      <w:pPr>
        <w:spacing w:after="160"/>
        <w:rPr>
          <w:color w:val="auto"/>
        </w:rPr>
      </w:pPr>
      <w:r w:rsidRPr="00AA66D3">
        <w:rPr>
          <w:color w:val="auto"/>
        </w:rPr>
        <w:t>Η βελτίωση της ποιότητας του χαρτοφυλακίου των ελληνικών πιστωτικών ιδρυμάτων ήταν σταθε</w:t>
      </w:r>
      <w:r w:rsidR="006750F2">
        <w:rPr>
          <w:color w:val="auto"/>
        </w:rPr>
        <w:t xml:space="preserve">ρή κατά την τελευταία τριετία, </w:t>
      </w:r>
      <w:r w:rsidRPr="00AA66D3">
        <w:rPr>
          <w:color w:val="auto"/>
        </w:rPr>
        <w:t>όπως φαίνεται από τη σταδιακή αποκλιμάκωση του ποσοστού των μη εξυπηρετούμενων δανείων (ΜΕΔ) στο ελληνικό τραπεζικό σύστημα. Η μείωση του αποθέματος των ΜΕΔ ως προς το σύνολο των τραπεζικών δανείων συνεχίστηκε το 2020, κυρίως λόγω πωλήσεων και διαγραφών μέρους των δανεί</w:t>
      </w:r>
      <w:r>
        <w:rPr>
          <w:color w:val="auto"/>
        </w:rPr>
        <w:t>ων</w:t>
      </w:r>
      <w:r w:rsidR="003E45FF" w:rsidRPr="003E45FF">
        <w:rPr>
          <w:color w:val="auto"/>
        </w:rPr>
        <w:t xml:space="preserve">. </w:t>
      </w:r>
    </w:p>
    <w:p w14:paraId="2587F484" w14:textId="714547D9" w:rsidR="003E45FF" w:rsidRPr="000B38C0" w:rsidRDefault="003E45FF" w:rsidP="004F59E8">
      <w:pPr>
        <w:spacing w:after="0" w:line="259" w:lineRule="auto"/>
        <w:rPr>
          <w:color w:val="00B0F0"/>
          <w:sz w:val="20"/>
          <w:szCs w:val="20"/>
        </w:rPr>
      </w:pPr>
      <w:bookmarkStart w:id="70" w:name="_Toc73435800"/>
      <w:r w:rsidRPr="000B38C0">
        <w:rPr>
          <w:iCs/>
          <w:sz w:val="20"/>
          <w:szCs w:val="20"/>
        </w:rPr>
        <w:t xml:space="preserve">Διάγραμμα </w:t>
      </w:r>
      <w:r w:rsidRPr="000B38C0">
        <w:rPr>
          <w:iCs/>
          <w:sz w:val="20"/>
          <w:szCs w:val="20"/>
        </w:rPr>
        <w:fldChar w:fldCharType="begin"/>
      </w:r>
      <w:r w:rsidRPr="000B38C0">
        <w:rPr>
          <w:iCs/>
          <w:sz w:val="20"/>
          <w:szCs w:val="20"/>
        </w:rPr>
        <w:instrText xml:space="preserve"> SEQ Διάγραμμα \* ARABIC </w:instrText>
      </w:r>
      <w:r w:rsidRPr="000B38C0">
        <w:rPr>
          <w:iCs/>
          <w:sz w:val="20"/>
          <w:szCs w:val="20"/>
        </w:rPr>
        <w:fldChar w:fldCharType="separate"/>
      </w:r>
      <w:r w:rsidR="00CC05A7">
        <w:rPr>
          <w:iCs/>
          <w:noProof/>
          <w:sz w:val="20"/>
          <w:szCs w:val="20"/>
        </w:rPr>
        <w:t>14</w:t>
      </w:r>
      <w:r w:rsidRPr="000B38C0">
        <w:rPr>
          <w:iCs/>
          <w:sz w:val="20"/>
          <w:szCs w:val="20"/>
        </w:rPr>
        <w:fldChar w:fldCharType="end"/>
      </w:r>
      <w:r w:rsidRPr="000B38C0">
        <w:rPr>
          <w:iCs/>
          <w:sz w:val="20"/>
          <w:szCs w:val="20"/>
        </w:rPr>
        <w:t>:</w:t>
      </w:r>
      <w:r w:rsidRPr="000B38C0">
        <w:rPr>
          <w:color w:val="00B0F0"/>
        </w:rPr>
        <w:t xml:space="preserve"> </w:t>
      </w:r>
      <w:r w:rsidRPr="000B38C0">
        <w:rPr>
          <w:color w:val="00B0F0"/>
          <w:sz w:val="20"/>
          <w:szCs w:val="20"/>
        </w:rPr>
        <w:t>Μη εξυπηρετούμενα δάνεια (σε δισ. ευρώ –και ως % επί του συνόλου)</w:t>
      </w:r>
      <w:bookmarkEnd w:id="70"/>
    </w:p>
    <w:p w14:paraId="6BBC37EE" w14:textId="77777777" w:rsidR="003E45FF" w:rsidRPr="003E45FF" w:rsidRDefault="003E45FF" w:rsidP="003E45FF">
      <w:pPr>
        <w:spacing w:after="0" w:line="259" w:lineRule="auto"/>
        <w:jc w:val="left"/>
        <w:rPr>
          <w:b/>
          <w:color w:val="00B0F0"/>
        </w:rPr>
      </w:pPr>
      <w:r w:rsidRPr="003E45FF">
        <w:rPr>
          <w:rFonts w:asciiTheme="minorHAnsi" w:hAnsiTheme="minorHAnsi"/>
          <w:noProof/>
          <w:color w:val="auto"/>
          <w:lang w:eastAsia="el-GR"/>
        </w:rPr>
        <w:drawing>
          <wp:inline distT="0" distB="0" distL="0" distR="0" wp14:anchorId="14E52FC3" wp14:editId="0607AF6F">
            <wp:extent cx="5172075" cy="2943225"/>
            <wp:effectExtent l="0" t="0" r="9525" b="9525"/>
            <wp:docPr id="14" name="Γράφημα 14">
              <a:extLst xmlns:a="http://schemas.openxmlformats.org/drawingml/2006/main">
                <a:ext uri="{FF2B5EF4-FFF2-40B4-BE49-F238E27FC236}">
                  <a16:creationId xmlns:a16="http://schemas.microsoft.com/office/drawing/2014/main" id="{09F043B8-3909-4BBF-A52C-12AC6A08F1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EBA8658" w14:textId="64510E6E" w:rsidR="003E45FF" w:rsidRPr="00AE74EB" w:rsidRDefault="003E45FF" w:rsidP="003E45FF">
      <w:pPr>
        <w:spacing w:after="160" w:line="259" w:lineRule="auto"/>
        <w:jc w:val="left"/>
        <w:rPr>
          <w:iCs/>
          <w:noProof/>
          <w:color w:val="00A3E0"/>
          <w:sz w:val="16"/>
          <w:szCs w:val="16"/>
        </w:rPr>
      </w:pPr>
      <w:r w:rsidRPr="003E45FF">
        <w:rPr>
          <w:bCs/>
          <w:color w:val="auto"/>
          <w:sz w:val="16"/>
          <w:szCs w:val="16"/>
        </w:rPr>
        <w:t xml:space="preserve">Πηγή: </w:t>
      </w:r>
      <w:r w:rsidR="00AE74EB">
        <w:rPr>
          <w:iCs/>
          <w:noProof/>
          <w:color w:val="00A3E0"/>
          <w:sz w:val="16"/>
          <w:szCs w:val="16"/>
        </w:rPr>
        <w:t>Τράπεζα της Ελλάδος</w:t>
      </w:r>
    </w:p>
    <w:p w14:paraId="0AF3537C" w14:textId="3BE89B4C" w:rsidR="00AA66D3" w:rsidRPr="00AA66D3" w:rsidRDefault="00AE74EB" w:rsidP="00AA66D3">
      <w:pPr>
        <w:spacing w:after="160"/>
        <w:rPr>
          <w:b/>
          <w:color w:val="00B0F0"/>
        </w:rPr>
      </w:pPr>
      <w:r w:rsidRPr="003E45FF">
        <w:rPr>
          <w:color w:val="auto"/>
        </w:rPr>
        <w:t xml:space="preserve">Ειδικότερα, </w:t>
      </w:r>
      <w:r w:rsidR="00AA66D3" w:rsidRPr="00AA66D3">
        <w:rPr>
          <w:color w:val="auto"/>
        </w:rPr>
        <w:t>τον Δεκέμβριο του 2020, τα ΜΕΔ ανήλθαν σε 47,4 δισ. ευρώ ή  30,2% του συνολικού υπολοίπου των δανείων στο ελληνικό τραπεζικό σύστημα έναντι 68,5 δισ. ευρώ τον Δεκέμβριο του 2019 (40,6% του συνόλου). Ωστόσο, οι επιπτώσεις της πανδημίας είναι πιθανό να ανακόψουν τον ρυθμό μείωσης των ΜΕΔ το επόμενο διάστημα, γεγονός που χρήζει στενής παρακολούθησης όσον αφορά στην εξέλιξή τους.</w:t>
      </w:r>
    </w:p>
    <w:p w14:paraId="33D66C60" w14:textId="7ECC8A59" w:rsidR="00AA66D3" w:rsidRDefault="00AA66D3" w:rsidP="00AA66D3">
      <w:pPr>
        <w:spacing w:after="240"/>
        <w:rPr>
          <w:color w:val="auto"/>
        </w:rPr>
      </w:pPr>
      <w:r w:rsidRPr="00AA66D3">
        <w:rPr>
          <w:color w:val="auto"/>
        </w:rPr>
        <w:t>Ως προς την διάρθρωση των μη εξυπηρετούμενων δανείων, το 59% περίπου των συνολικών ΜΕΔ στο τραπεζι</w:t>
      </w:r>
      <w:r w:rsidR="00871D96">
        <w:rPr>
          <w:color w:val="auto"/>
        </w:rPr>
        <w:t>κό σύστημα είναι επιχειρηματικά</w:t>
      </w:r>
      <w:r w:rsidRPr="00AA66D3">
        <w:rPr>
          <w:color w:val="auto"/>
        </w:rPr>
        <w:t>, το 29% στεγαστικά και το υπόλοιπο 12% καταναλωτικά. Όλες ανεξαιρέτως οι κατηγορίες ΜΕΔ παρουσιάζουν συνεχή αποκλιμάκωση με διαφορετικό, ωστόσο, ρυθμό (</w:t>
      </w:r>
      <w:r w:rsidRPr="00AA66D3">
        <w:rPr>
          <w:i/>
          <w:color w:val="auto"/>
        </w:rPr>
        <w:fldChar w:fldCharType="begin"/>
      </w:r>
      <w:r w:rsidRPr="00AA66D3">
        <w:rPr>
          <w:i/>
          <w:color w:val="auto"/>
        </w:rPr>
        <w:instrText xml:space="preserve"> REF _Ref72061059 \h  \* MERGEFORMAT </w:instrText>
      </w:r>
      <w:r w:rsidRPr="00AA66D3">
        <w:rPr>
          <w:i/>
          <w:color w:val="auto"/>
        </w:rPr>
      </w:r>
      <w:r w:rsidRPr="00AA66D3">
        <w:rPr>
          <w:i/>
          <w:color w:val="auto"/>
        </w:rPr>
        <w:fldChar w:fldCharType="separate"/>
      </w:r>
      <w:r w:rsidR="00CC05A7" w:rsidRPr="00CC05A7">
        <w:rPr>
          <w:i/>
          <w:iCs/>
          <w:color w:val="auto"/>
        </w:rPr>
        <w:t xml:space="preserve">Διάγραμμα </w:t>
      </w:r>
      <w:r w:rsidR="00CC05A7" w:rsidRPr="00CC05A7">
        <w:rPr>
          <w:i/>
          <w:iCs/>
          <w:noProof/>
          <w:color w:val="auto"/>
        </w:rPr>
        <w:t>15</w:t>
      </w:r>
      <w:r w:rsidRPr="00AA66D3">
        <w:rPr>
          <w:i/>
          <w:color w:val="auto"/>
        </w:rPr>
        <w:fldChar w:fldCharType="end"/>
      </w:r>
      <w:r w:rsidRPr="00AA66D3">
        <w:rPr>
          <w:color w:val="auto"/>
        </w:rPr>
        <w:t xml:space="preserve">). Σχετικά ταχύτερη ήταν η βελτίωση στον τομέα των επιχειρηματικών δανείων:  τον Δεκέμβριο του 2020 μη εξυπηρετούμενα ήταν το 27,8% του συνόλου των επιχειρηματικών δανείων. Ο αντίστοιχος λόγος ήταν 31% στα στεγαστικά και 46,2% στα καταναλωτικά. Σε απόλυτα μεγέθη, τα αποθέματα των μη εξυπηρετούμενων δανείων ανήλθαν την ίδια περίοδο σε 5,9 δισ. ευρώ για τα καταναλωτικά, 13,7 δισ. ευρώ για τα στεγαστικά και 27,9 δισ. ευρώ για </w:t>
      </w:r>
      <w:r>
        <w:rPr>
          <w:color w:val="auto"/>
        </w:rPr>
        <w:t>τ</w:t>
      </w:r>
      <w:r w:rsidRPr="00AA66D3">
        <w:rPr>
          <w:color w:val="auto"/>
        </w:rPr>
        <w:t>α επιχειρηματικά δάνεια.</w:t>
      </w:r>
    </w:p>
    <w:p w14:paraId="0E7614D9" w14:textId="77777777" w:rsidR="004F59E8" w:rsidRPr="00AA66D3" w:rsidRDefault="004F59E8" w:rsidP="00AA66D3">
      <w:pPr>
        <w:spacing w:after="240"/>
        <w:rPr>
          <w:color w:val="auto"/>
        </w:rPr>
      </w:pPr>
    </w:p>
    <w:p w14:paraId="3C7DD831" w14:textId="579481A6" w:rsidR="003E45FF" w:rsidRPr="003E45FF" w:rsidRDefault="003E45FF" w:rsidP="003E45FF">
      <w:pPr>
        <w:spacing w:after="160" w:line="259" w:lineRule="auto"/>
        <w:rPr>
          <w:color w:val="00B0F0"/>
          <w:sz w:val="20"/>
          <w:szCs w:val="20"/>
        </w:rPr>
      </w:pPr>
      <w:bookmarkStart w:id="71" w:name="_Ref72061059"/>
      <w:bookmarkStart w:id="72" w:name="_Toc73435801"/>
      <w:r w:rsidRPr="000B38C0">
        <w:rPr>
          <w:iCs/>
          <w:sz w:val="20"/>
          <w:szCs w:val="20"/>
        </w:rPr>
        <w:t xml:space="preserve">Διάγραμμα </w:t>
      </w:r>
      <w:r w:rsidRPr="000B38C0">
        <w:rPr>
          <w:iCs/>
          <w:sz w:val="20"/>
          <w:szCs w:val="20"/>
        </w:rPr>
        <w:fldChar w:fldCharType="begin"/>
      </w:r>
      <w:r w:rsidRPr="000B38C0">
        <w:rPr>
          <w:iCs/>
          <w:sz w:val="20"/>
          <w:szCs w:val="20"/>
        </w:rPr>
        <w:instrText xml:space="preserve"> SEQ Διάγραμμα \* ARABIC </w:instrText>
      </w:r>
      <w:r w:rsidRPr="000B38C0">
        <w:rPr>
          <w:iCs/>
          <w:sz w:val="20"/>
          <w:szCs w:val="20"/>
        </w:rPr>
        <w:fldChar w:fldCharType="separate"/>
      </w:r>
      <w:r w:rsidR="00CC05A7">
        <w:rPr>
          <w:iCs/>
          <w:noProof/>
          <w:sz w:val="20"/>
          <w:szCs w:val="20"/>
        </w:rPr>
        <w:t>15</w:t>
      </w:r>
      <w:r w:rsidRPr="000B38C0">
        <w:rPr>
          <w:iCs/>
          <w:sz w:val="20"/>
          <w:szCs w:val="20"/>
        </w:rPr>
        <w:fldChar w:fldCharType="end"/>
      </w:r>
      <w:bookmarkEnd w:id="71"/>
      <w:r w:rsidRPr="000B38C0">
        <w:rPr>
          <w:iCs/>
          <w:sz w:val="20"/>
          <w:szCs w:val="20"/>
        </w:rPr>
        <w:t>:</w:t>
      </w:r>
      <w:r w:rsidRPr="000B38C0">
        <w:rPr>
          <w:color w:val="00B0F0"/>
        </w:rPr>
        <w:t xml:space="preserve"> </w:t>
      </w:r>
      <w:r w:rsidRPr="000B38C0">
        <w:rPr>
          <w:color w:val="00B0F0"/>
          <w:sz w:val="20"/>
          <w:szCs w:val="20"/>
        </w:rPr>
        <w:t>Μη εξυπηρετούμενα δάνεια ανά κατηγορία (ως % επί του συνόλου</w:t>
      </w:r>
      <w:r w:rsidR="00AE74EB" w:rsidRPr="000B38C0">
        <w:rPr>
          <w:color w:val="00B0F0"/>
          <w:sz w:val="20"/>
          <w:szCs w:val="20"/>
        </w:rPr>
        <w:t xml:space="preserve"> της</w:t>
      </w:r>
      <w:r w:rsidR="00AE74EB">
        <w:rPr>
          <w:color w:val="00B0F0"/>
          <w:sz w:val="20"/>
          <w:szCs w:val="20"/>
        </w:rPr>
        <w:t xml:space="preserve"> κατηγορίας</w:t>
      </w:r>
      <w:r w:rsidRPr="003E45FF">
        <w:rPr>
          <w:color w:val="00B0F0"/>
          <w:sz w:val="20"/>
          <w:szCs w:val="20"/>
        </w:rPr>
        <w:t>)</w:t>
      </w:r>
      <w:bookmarkEnd w:id="72"/>
    </w:p>
    <w:p w14:paraId="42DBA0A6" w14:textId="77777777" w:rsidR="003E45FF" w:rsidRPr="003E45FF" w:rsidRDefault="003E45FF" w:rsidP="003E45FF">
      <w:pPr>
        <w:spacing w:after="0" w:line="240" w:lineRule="auto"/>
        <w:jc w:val="left"/>
        <w:rPr>
          <w:rFonts w:asciiTheme="minorHAnsi" w:hAnsiTheme="minorHAnsi"/>
          <w:color w:val="auto"/>
        </w:rPr>
      </w:pPr>
      <w:r w:rsidRPr="003E45FF">
        <w:rPr>
          <w:rFonts w:asciiTheme="minorHAnsi" w:hAnsiTheme="minorHAnsi"/>
          <w:noProof/>
          <w:color w:val="auto"/>
          <w:lang w:eastAsia="el-GR"/>
        </w:rPr>
        <w:drawing>
          <wp:inline distT="0" distB="0" distL="0" distR="0" wp14:anchorId="6208B52E" wp14:editId="3027D006">
            <wp:extent cx="5416550" cy="3067050"/>
            <wp:effectExtent l="0" t="0" r="12700" b="0"/>
            <wp:docPr id="27" name="Γράφημα 27">
              <a:extLst xmlns:a="http://schemas.openxmlformats.org/drawingml/2006/main">
                <a:ext uri="{FF2B5EF4-FFF2-40B4-BE49-F238E27FC236}">
                  <a16:creationId xmlns:a16="http://schemas.microsoft.com/office/drawing/2014/main" id="{12C4CC2F-F0A3-45CB-A388-12538D5406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EAED9C4" w14:textId="6788AEF1" w:rsidR="003E45FF" w:rsidRPr="00AE74EB" w:rsidRDefault="003E45FF" w:rsidP="003E45FF">
      <w:pPr>
        <w:spacing w:after="160" w:line="259" w:lineRule="auto"/>
        <w:jc w:val="left"/>
        <w:rPr>
          <w:bCs/>
          <w:color w:val="auto"/>
          <w:sz w:val="16"/>
          <w:szCs w:val="16"/>
        </w:rPr>
      </w:pPr>
      <w:r w:rsidRPr="00AE74EB">
        <w:rPr>
          <w:bCs/>
          <w:color w:val="auto"/>
          <w:sz w:val="16"/>
          <w:szCs w:val="16"/>
        </w:rPr>
        <w:t xml:space="preserve">Πηγή: </w:t>
      </w:r>
      <w:r w:rsidR="00AE74EB">
        <w:rPr>
          <w:iCs/>
          <w:noProof/>
          <w:color w:val="00A3E0"/>
          <w:sz w:val="16"/>
          <w:szCs w:val="16"/>
        </w:rPr>
        <w:t>Τράπεζα της Ελλάδος</w:t>
      </w:r>
    </w:p>
    <w:p w14:paraId="56D7C2C5" w14:textId="77777777" w:rsidR="003E45FF" w:rsidRDefault="003E45FF" w:rsidP="00F778C1">
      <w:pPr>
        <w:rPr>
          <w:rFonts w:eastAsia="Calibri" w:cs="Times New Roman"/>
          <w:b/>
          <w:color w:val="00A3E0"/>
          <w:sz w:val="16"/>
          <w:szCs w:val="16"/>
        </w:rPr>
      </w:pPr>
    </w:p>
    <w:p w14:paraId="456DE33F" w14:textId="49303674" w:rsidR="003E45FF" w:rsidRDefault="003E45FF">
      <w:pPr>
        <w:spacing w:after="160" w:line="0" w:lineRule="auto"/>
        <w:jc w:val="left"/>
        <w:rPr>
          <w:rFonts w:eastAsia="Calibri" w:cs="Times New Roman"/>
          <w:b/>
          <w:color w:val="00A3E0"/>
          <w:sz w:val="16"/>
          <w:szCs w:val="16"/>
        </w:rPr>
      </w:pPr>
      <w:r>
        <w:rPr>
          <w:rFonts w:eastAsia="Calibri" w:cs="Times New Roman"/>
          <w:b/>
          <w:color w:val="00A3E0"/>
          <w:sz w:val="16"/>
          <w:szCs w:val="16"/>
        </w:rPr>
        <w:br w:type="page"/>
      </w:r>
    </w:p>
    <w:p w14:paraId="27D533BE" w14:textId="2E590D80" w:rsidR="008866AA" w:rsidRPr="005A45C7" w:rsidRDefault="008866AA" w:rsidP="008866AA">
      <w:pPr>
        <w:pStyle w:val="a0"/>
        <w:ind w:left="0"/>
        <w:rPr>
          <w:sz w:val="32"/>
          <w:szCs w:val="32"/>
        </w:rPr>
      </w:pPr>
      <w:bookmarkStart w:id="73" w:name="_Toc73435735"/>
      <w:r w:rsidRPr="008866AA">
        <w:rPr>
          <w:sz w:val="32"/>
          <w:szCs w:val="32"/>
        </w:rPr>
        <w:t>Μακροοικονομικές εξελίξεις 2021, πρόδρομοι δείκτες και χρηματοπιστωτικός τομέας</w:t>
      </w:r>
      <w:bookmarkEnd w:id="73"/>
      <w:r w:rsidRPr="008866AA">
        <w:rPr>
          <w:sz w:val="32"/>
          <w:szCs w:val="32"/>
        </w:rPr>
        <w:t xml:space="preserve"> </w:t>
      </w:r>
    </w:p>
    <w:p w14:paraId="11E11B0D" w14:textId="77777777" w:rsidR="00AA66D3" w:rsidRPr="00AA66D3" w:rsidRDefault="00317216" w:rsidP="00AA66D3">
      <w:pPr>
        <w:pStyle w:val="ListParagraph"/>
        <w:numPr>
          <w:ilvl w:val="0"/>
          <w:numId w:val="8"/>
        </w:numPr>
        <w:ind w:left="709" w:hanging="357"/>
        <w:contextualSpacing w:val="0"/>
        <w:rPr>
          <w:rFonts w:eastAsia="Calibri" w:cs="Times New Roman"/>
          <w:b/>
          <w:iCs/>
          <w:color w:val="595959" w:themeColor="text1" w:themeTint="A6"/>
          <w:sz w:val="24"/>
          <w:szCs w:val="24"/>
        </w:rPr>
      </w:pPr>
      <w:r w:rsidRPr="00431AD3">
        <w:rPr>
          <w:rFonts w:eastAsia="Calibri" w:cs="Times New Roman"/>
          <w:b/>
          <w:iCs/>
          <w:color w:val="595959" w:themeColor="text1" w:themeTint="A6"/>
          <w:sz w:val="24"/>
          <w:szCs w:val="24"/>
        </w:rPr>
        <w:t xml:space="preserve">Διατηρούνται </w:t>
      </w:r>
      <w:r w:rsidR="00AA66D3" w:rsidRPr="00AA66D3">
        <w:rPr>
          <w:rFonts w:eastAsia="Calibri" w:cs="Times New Roman"/>
          <w:b/>
          <w:iCs/>
          <w:color w:val="595959" w:themeColor="text1" w:themeTint="A6"/>
          <w:sz w:val="24"/>
          <w:szCs w:val="24"/>
        </w:rPr>
        <w:t>οι αντιπληθωριστικές πιέσεις τους πρώτους μήνες του 2021, με τον πληθωρισμό να διαμορφώνεται στο -1,1% τον Απρίλιο.</w:t>
      </w:r>
    </w:p>
    <w:p w14:paraId="03D76D1C" w14:textId="2FFD846C" w:rsidR="00AA66D3" w:rsidRPr="00871D96" w:rsidRDefault="00871D96" w:rsidP="00871D96">
      <w:pPr>
        <w:numPr>
          <w:ilvl w:val="0"/>
          <w:numId w:val="8"/>
        </w:numPr>
        <w:ind w:left="709"/>
        <w:rPr>
          <w:rFonts w:eastAsia="Calibri" w:cs="Times New Roman"/>
          <w:b/>
          <w:iCs/>
          <w:color w:val="595959" w:themeColor="text1" w:themeTint="A6"/>
          <w:sz w:val="24"/>
          <w:szCs w:val="24"/>
        </w:rPr>
      </w:pPr>
      <w:r>
        <w:rPr>
          <w:rFonts w:eastAsia="Calibri" w:cs="Times New Roman"/>
          <w:b/>
          <w:iCs/>
          <w:color w:val="595959" w:themeColor="text1" w:themeTint="A6"/>
          <w:sz w:val="24"/>
          <w:szCs w:val="24"/>
        </w:rPr>
        <w:t xml:space="preserve">Βελτιώθηκε </w:t>
      </w:r>
      <w:r w:rsidR="00AA66D3" w:rsidRPr="00AA66D3">
        <w:rPr>
          <w:rFonts w:eastAsia="Calibri" w:cs="Times New Roman"/>
          <w:b/>
          <w:iCs/>
          <w:color w:val="595959" w:themeColor="text1" w:themeTint="A6"/>
          <w:sz w:val="24"/>
          <w:szCs w:val="24"/>
        </w:rPr>
        <w:t>η εικόνα στο ισοζύγιο τρεχουσών συναλλαγών το πρώτο δίμηνο του 20</w:t>
      </w:r>
      <w:r>
        <w:rPr>
          <w:rFonts w:eastAsia="Calibri" w:cs="Times New Roman"/>
          <w:b/>
          <w:iCs/>
          <w:color w:val="595959" w:themeColor="text1" w:themeTint="A6"/>
          <w:sz w:val="24"/>
          <w:szCs w:val="24"/>
        </w:rPr>
        <w:t xml:space="preserve">21, καθώς το έλλειμμα μειώθηκε </w:t>
      </w:r>
      <w:r w:rsidR="00AA66D3" w:rsidRPr="00871D96">
        <w:rPr>
          <w:rFonts w:eastAsia="Calibri" w:cs="Times New Roman"/>
          <w:b/>
          <w:iCs/>
          <w:color w:val="595959" w:themeColor="text1" w:themeTint="A6"/>
          <w:sz w:val="24"/>
          <w:szCs w:val="24"/>
        </w:rPr>
        <w:t>κατά 1,2 δισ. ευρώ σε σχέση με πέρυσι.</w:t>
      </w:r>
    </w:p>
    <w:p w14:paraId="7A81852A" w14:textId="77777777" w:rsidR="00AA66D3" w:rsidRPr="00AA66D3" w:rsidRDefault="00AA66D3" w:rsidP="00AA66D3">
      <w:pPr>
        <w:numPr>
          <w:ilvl w:val="0"/>
          <w:numId w:val="8"/>
        </w:numPr>
        <w:ind w:left="709"/>
        <w:rPr>
          <w:rFonts w:eastAsia="Calibri" w:cs="Times New Roman"/>
          <w:b/>
          <w:iCs/>
          <w:color w:val="595959" w:themeColor="text1" w:themeTint="A6"/>
          <w:sz w:val="24"/>
          <w:szCs w:val="24"/>
        </w:rPr>
      </w:pPr>
      <w:r w:rsidRPr="00AA66D3">
        <w:rPr>
          <w:rFonts w:eastAsia="Calibri" w:cs="Times New Roman"/>
          <w:b/>
          <w:iCs/>
          <w:color w:val="595959" w:themeColor="text1" w:themeTint="A6"/>
          <w:sz w:val="24"/>
          <w:szCs w:val="24"/>
        </w:rPr>
        <w:t>Ενθαρρυντικά στοιχεία προκύπτουν από τους δείκτες οικονομικής συγκυρίας τους πρώτους μήνες του έτους∙ ανοδική ήταν η τάση σε ότι αφορά το  οικονομικό κλίμα, την καταναλωτική εμπιστοσύνη, τον δείκτη υπευθύνων προμηθειών (PMI) και τη βιομηχανική παραγωγή.</w:t>
      </w:r>
    </w:p>
    <w:p w14:paraId="55DE8CB9" w14:textId="77777777" w:rsidR="00AA66D3" w:rsidRPr="00AA66D3" w:rsidRDefault="00AA66D3" w:rsidP="00AA66D3">
      <w:pPr>
        <w:numPr>
          <w:ilvl w:val="0"/>
          <w:numId w:val="8"/>
        </w:numPr>
        <w:ind w:left="709"/>
        <w:rPr>
          <w:rFonts w:eastAsia="Calibri" w:cs="Times New Roman"/>
          <w:b/>
          <w:iCs/>
          <w:color w:val="595959" w:themeColor="text1" w:themeTint="A6"/>
          <w:sz w:val="24"/>
          <w:szCs w:val="24"/>
        </w:rPr>
      </w:pPr>
      <w:r w:rsidRPr="00AA66D3">
        <w:rPr>
          <w:rFonts w:eastAsia="Calibri" w:cs="Times New Roman"/>
          <w:b/>
          <w:iCs/>
          <w:color w:val="595959" w:themeColor="text1" w:themeTint="A6"/>
          <w:sz w:val="24"/>
          <w:szCs w:val="24"/>
        </w:rPr>
        <w:t>Συνεχίζεται η αύξηση των καταθέσεων του ιδιωτικού τομέα. Τον Μάρτιο του 2021 ανήλθαν σε 164,7 δισ. ευρώ.</w:t>
      </w:r>
    </w:p>
    <w:p w14:paraId="36EAFB17" w14:textId="55C987C5" w:rsidR="00372FD1" w:rsidRPr="00431AD3" w:rsidRDefault="00AA66D3" w:rsidP="00AA66D3">
      <w:pPr>
        <w:pStyle w:val="ListParagraph"/>
        <w:numPr>
          <w:ilvl w:val="0"/>
          <w:numId w:val="8"/>
        </w:numPr>
        <w:ind w:left="709" w:hanging="357"/>
        <w:contextualSpacing w:val="0"/>
        <w:rPr>
          <w:rFonts w:eastAsia="Calibri" w:cs="Times New Roman"/>
          <w:b/>
          <w:iCs/>
          <w:color w:val="595959" w:themeColor="text1" w:themeTint="A6"/>
          <w:sz w:val="24"/>
          <w:szCs w:val="24"/>
        </w:rPr>
      </w:pPr>
      <w:r w:rsidRPr="00AA66D3">
        <w:rPr>
          <w:rFonts w:eastAsia="Calibri" w:cs="Times New Roman"/>
          <w:b/>
          <w:iCs/>
          <w:color w:val="595959" w:themeColor="text1" w:themeTint="A6"/>
          <w:sz w:val="24"/>
          <w:szCs w:val="24"/>
        </w:rPr>
        <w:t>Υψηλή πιστωτική επέκταση στα επιχειρηματικά δάνεια παρατηρήθηκε το α’ τρίμηνο του 2021, ενώ διατηρήθηκε η συρρίκνωση της στεγαστικής και καταναλωτικής πίστης</w:t>
      </w:r>
      <w:r w:rsidR="00372FD1" w:rsidRPr="00431AD3">
        <w:rPr>
          <w:rFonts w:eastAsia="Calibri" w:cs="Times New Roman"/>
          <w:b/>
          <w:iCs/>
          <w:color w:val="595959" w:themeColor="text1" w:themeTint="A6"/>
          <w:sz w:val="24"/>
          <w:szCs w:val="24"/>
        </w:rPr>
        <w:t>.</w:t>
      </w:r>
    </w:p>
    <w:p w14:paraId="54FB89DF" w14:textId="61A56950" w:rsidR="008866AA" w:rsidRPr="00B52880" w:rsidRDefault="008866AA" w:rsidP="00317216">
      <w:pPr>
        <w:rPr>
          <w:rFonts w:eastAsia="Calibri" w:cs="Times New Roman"/>
          <w:b/>
          <w:iCs/>
          <w:color w:val="808080"/>
        </w:rPr>
      </w:pPr>
    </w:p>
    <w:p w14:paraId="4B9F96C3" w14:textId="4FC49EC5" w:rsidR="00E45AAC" w:rsidRDefault="00E45AAC">
      <w:pPr>
        <w:spacing w:after="160" w:line="0" w:lineRule="auto"/>
        <w:jc w:val="left"/>
        <w:rPr>
          <w:rFonts w:eastAsia="Calibri" w:cs="Times New Roman"/>
          <w:b/>
          <w:color w:val="00A3E0"/>
          <w:sz w:val="16"/>
          <w:szCs w:val="16"/>
        </w:rPr>
      </w:pPr>
      <w:r>
        <w:rPr>
          <w:rFonts w:eastAsia="Calibri" w:cs="Times New Roman"/>
          <w:b/>
          <w:color w:val="00A3E0"/>
          <w:sz w:val="16"/>
          <w:szCs w:val="16"/>
        </w:rPr>
        <w:br w:type="page"/>
      </w:r>
    </w:p>
    <w:p w14:paraId="00BDD374" w14:textId="22004F9C" w:rsidR="00354FDE" w:rsidRPr="00354FDE" w:rsidRDefault="008866AA" w:rsidP="008866AA">
      <w:pPr>
        <w:pStyle w:val="a1"/>
        <w:ind w:left="0"/>
        <w:rPr>
          <w:sz w:val="28"/>
          <w:szCs w:val="28"/>
        </w:rPr>
      </w:pPr>
      <w:bookmarkStart w:id="74" w:name="_Toc73435736"/>
      <w:r w:rsidRPr="008866AA">
        <w:rPr>
          <w:sz w:val="28"/>
          <w:szCs w:val="28"/>
        </w:rPr>
        <w:t>Πληθωρισμός</w:t>
      </w:r>
      <w:bookmarkEnd w:id="74"/>
      <w:r w:rsidR="00F778C1">
        <w:rPr>
          <w:sz w:val="28"/>
          <w:szCs w:val="28"/>
        </w:rPr>
        <w:t xml:space="preserve"> </w:t>
      </w:r>
    </w:p>
    <w:p w14:paraId="44A32AED" w14:textId="2ADC549B" w:rsidR="00676DBF" w:rsidRDefault="00676DBF" w:rsidP="00676DBF">
      <w:pPr>
        <w:spacing w:after="60"/>
        <w:rPr>
          <w:color w:val="auto"/>
        </w:rPr>
      </w:pPr>
      <w:r>
        <w:rPr>
          <w:color w:val="auto"/>
        </w:rPr>
        <w:t>Κατά το πρώτο τετράμηνο του 2021 συνεχίζουν να επικρατούν οι αντιπληθωριστικές τάσεις που αναπτύχθηκαν λόγω της πανδημίας κατά το προηγούμενο έτος, αλλά με φθίνοντα ρυθμό. Συγκεκριμένα (</w:t>
      </w:r>
      <w:r w:rsidRPr="009522E3">
        <w:rPr>
          <w:i/>
          <w:color w:val="auto"/>
        </w:rPr>
        <w:fldChar w:fldCharType="begin"/>
      </w:r>
      <w:r w:rsidRPr="009522E3">
        <w:rPr>
          <w:i/>
          <w:color w:val="auto"/>
        </w:rPr>
        <w:instrText xml:space="preserve"> REF _Ref9513923 \h  \* MERGEFORMAT </w:instrText>
      </w:r>
      <w:r w:rsidRPr="009522E3">
        <w:rPr>
          <w:i/>
          <w:color w:val="auto"/>
        </w:rPr>
      </w:r>
      <w:r w:rsidRPr="009522E3">
        <w:rPr>
          <w:i/>
          <w:color w:val="auto"/>
        </w:rPr>
        <w:fldChar w:fldCharType="separate"/>
      </w:r>
      <w:r w:rsidR="00CC05A7" w:rsidRPr="00CC05A7">
        <w:rPr>
          <w:i/>
          <w:color w:val="auto"/>
        </w:rPr>
        <w:t>Διάγραμμα 16</w:t>
      </w:r>
      <w:r w:rsidRPr="009522E3">
        <w:rPr>
          <w:i/>
          <w:color w:val="auto"/>
        </w:rPr>
        <w:fldChar w:fldCharType="end"/>
      </w:r>
      <w:r>
        <w:rPr>
          <w:color w:val="auto"/>
        </w:rPr>
        <w:t xml:space="preserve">), η ποσοστιαία μεταβολή του Εναρμονισμένου Δείκτη Τιμών Καταναλωτή (Εν.ΔΤΚ) </w:t>
      </w:r>
      <w:r w:rsidR="009522E3">
        <w:rPr>
          <w:color w:val="auto"/>
        </w:rPr>
        <w:t xml:space="preserve">σε σχέση με τον αντίστοιχο μήνα του προηγούμενου έτους περιορίστηκε σε -1,1% τον Απρίλιο του 2021, </w:t>
      </w:r>
      <w:r>
        <w:rPr>
          <w:color w:val="auto"/>
        </w:rPr>
        <w:t xml:space="preserve">από -2,4% τον Ιανουάριο. Σε επίπεδο ευρωζώνης, ο πληθωρισμός έχει επανέλθει από την αρχή του έτους σε θετικό </w:t>
      </w:r>
      <w:r w:rsidR="00AA66D3">
        <w:rPr>
          <w:color w:val="auto"/>
        </w:rPr>
        <w:t>επίπεδο</w:t>
      </w:r>
      <w:r>
        <w:rPr>
          <w:color w:val="auto"/>
        </w:rPr>
        <w:t xml:space="preserve"> και τον Μάρτιο η ποσοστιαία μεταβολή του Εν.ΔΤΚ ανήλθε σε 1,3%. </w:t>
      </w:r>
      <w:r w:rsidR="009522E3">
        <w:rPr>
          <w:color w:val="auto"/>
        </w:rPr>
        <w:t xml:space="preserve"> </w:t>
      </w:r>
    </w:p>
    <w:p w14:paraId="42B28E2E" w14:textId="77777777" w:rsidR="00676DBF" w:rsidRDefault="00676DBF" w:rsidP="00676DBF">
      <w:pPr>
        <w:spacing w:after="60"/>
        <w:rPr>
          <w:color w:val="auto"/>
        </w:rPr>
      </w:pPr>
    </w:p>
    <w:p w14:paraId="57054A82" w14:textId="13884F65" w:rsidR="00676DBF" w:rsidRPr="000B38C0" w:rsidRDefault="00676DBF" w:rsidP="00676DBF">
      <w:pPr>
        <w:spacing w:after="60"/>
        <w:jc w:val="left"/>
        <w:rPr>
          <w:color w:val="00A3E0"/>
          <w:sz w:val="20"/>
          <w:szCs w:val="20"/>
        </w:rPr>
      </w:pPr>
      <w:bookmarkStart w:id="75" w:name="_Ref9513923"/>
      <w:bookmarkStart w:id="76" w:name="_Toc40744055"/>
      <w:bookmarkStart w:id="77" w:name="_Toc71950764"/>
      <w:bookmarkStart w:id="78" w:name="_Toc73435802"/>
      <w:r w:rsidRPr="000B38C0">
        <w:rPr>
          <w:rFonts w:cs="Times New Roman"/>
          <w:sz w:val="20"/>
          <w:szCs w:val="20"/>
        </w:rPr>
        <w:t xml:space="preserve">Διάγραμμα </w:t>
      </w:r>
      <w:r w:rsidRPr="000B38C0">
        <w:rPr>
          <w:rFonts w:cs="Times New Roman"/>
          <w:sz w:val="20"/>
          <w:szCs w:val="20"/>
        </w:rPr>
        <w:fldChar w:fldCharType="begin"/>
      </w:r>
      <w:r w:rsidRPr="000B38C0">
        <w:rPr>
          <w:rFonts w:cs="Times New Roman"/>
          <w:sz w:val="20"/>
          <w:szCs w:val="20"/>
        </w:rPr>
        <w:instrText xml:space="preserve"> SEQ Διάγραμμα \* ARABIC </w:instrText>
      </w:r>
      <w:r w:rsidRPr="000B38C0">
        <w:rPr>
          <w:rFonts w:cs="Times New Roman"/>
          <w:sz w:val="20"/>
          <w:szCs w:val="20"/>
        </w:rPr>
        <w:fldChar w:fldCharType="separate"/>
      </w:r>
      <w:r w:rsidR="00CC05A7">
        <w:rPr>
          <w:rFonts w:cs="Times New Roman"/>
          <w:noProof/>
          <w:sz w:val="20"/>
          <w:szCs w:val="20"/>
        </w:rPr>
        <w:t>16</w:t>
      </w:r>
      <w:r w:rsidRPr="000B38C0">
        <w:rPr>
          <w:rFonts w:cs="Times New Roman"/>
          <w:sz w:val="20"/>
          <w:szCs w:val="20"/>
        </w:rPr>
        <w:fldChar w:fldCharType="end"/>
      </w:r>
      <w:bookmarkEnd w:id="75"/>
      <w:r w:rsidRPr="000B38C0">
        <w:rPr>
          <w:rFonts w:cs="Times New Roman"/>
          <w:sz w:val="20"/>
          <w:szCs w:val="20"/>
        </w:rPr>
        <w:t>:</w:t>
      </w:r>
      <w:r w:rsidRPr="000B38C0">
        <w:rPr>
          <w:rFonts w:eastAsiaTheme="minorEastAsia"/>
          <w:kern w:val="24"/>
          <w:lang w:eastAsia="el-GR"/>
        </w:rPr>
        <w:t xml:space="preserve"> </w:t>
      </w:r>
      <w:r w:rsidRPr="000B38C0">
        <w:rPr>
          <w:color w:val="00A3E0"/>
          <w:sz w:val="20"/>
          <w:szCs w:val="20"/>
        </w:rPr>
        <w:t>Εναρμονισμένος Δείκτης Τιμών Καταναλωτή (ετήσιες % μεταβολές)</w:t>
      </w:r>
      <w:bookmarkEnd w:id="76"/>
      <w:bookmarkEnd w:id="77"/>
      <w:bookmarkEnd w:id="78"/>
    </w:p>
    <w:p w14:paraId="0108483A" w14:textId="77777777" w:rsidR="00676DBF" w:rsidRDefault="00676DBF" w:rsidP="00676DBF">
      <w:pPr>
        <w:spacing w:after="60"/>
        <w:jc w:val="left"/>
        <w:rPr>
          <w:color w:val="00A3E0"/>
          <w:sz w:val="20"/>
          <w:szCs w:val="20"/>
        </w:rPr>
      </w:pPr>
      <w:r>
        <w:rPr>
          <w:noProof/>
          <w:lang w:eastAsia="el-GR"/>
        </w:rPr>
        <w:drawing>
          <wp:inline distT="0" distB="0" distL="0" distR="0" wp14:anchorId="2653107B" wp14:editId="1BC5B3A3">
            <wp:extent cx="5276850" cy="3790950"/>
            <wp:effectExtent l="0" t="0" r="0" b="0"/>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5C79B3C" w14:textId="77777777" w:rsidR="00676DBF" w:rsidRDefault="00676DBF" w:rsidP="00676DBF">
      <w:pPr>
        <w:rPr>
          <w:iCs/>
          <w:noProof/>
          <w:color w:val="00A3E0"/>
          <w:sz w:val="16"/>
          <w:szCs w:val="16"/>
        </w:rPr>
      </w:pPr>
      <w:r w:rsidRPr="004D1F57">
        <w:rPr>
          <w:b/>
          <w:color w:val="auto"/>
          <w:sz w:val="16"/>
          <w:szCs w:val="16"/>
        </w:rPr>
        <w:t>Πηγή:</w:t>
      </w:r>
      <w:r w:rsidRPr="004D1F57">
        <w:rPr>
          <w:color w:val="auto"/>
          <w:sz w:val="16"/>
          <w:szCs w:val="16"/>
        </w:rPr>
        <w:t xml:space="preserve"> </w:t>
      </w:r>
      <w:r>
        <w:rPr>
          <w:iCs/>
          <w:noProof/>
          <w:color w:val="00A3E0"/>
          <w:sz w:val="16"/>
          <w:szCs w:val="16"/>
          <w:lang w:val="en-US"/>
        </w:rPr>
        <w:t>Eurostat</w:t>
      </w:r>
      <w:r w:rsidRPr="004D1F57">
        <w:rPr>
          <w:iCs/>
          <w:noProof/>
          <w:color w:val="00A3E0"/>
          <w:sz w:val="16"/>
          <w:szCs w:val="16"/>
        </w:rPr>
        <w:t>.</w:t>
      </w:r>
    </w:p>
    <w:p w14:paraId="459B0F2F" w14:textId="77777777" w:rsidR="00676DBF" w:rsidRDefault="00676DBF" w:rsidP="00676DBF">
      <w:pPr>
        <w:spacing w:after="60"/>
        <w:rPr>
          <w:color w:val="auto"/>
        </w:rPr>
      </w:pPr>
    </w:p>
    <w:p w14:paraId="68A260D4" w14:textId="09758CF5" w:rsidR="00676DBF" w:rsidRDefault="00676DBF" w:rsidP="00676DBF">
      <w:pPr>
        <w:spacing w:after="60"/>
        <w:rPr>
          <w:color w:val="auto"/>
        </w:rPr>
      </w:pPr>
      <w:r>
        <w:rPr>
          <w:color w:val="auto"/>
        </w:rPr>
        <w:t xml:space="preserve">Ειδικότερα, η μείωση του Εν.ΔΤΚ κατά τον Απρίλιο του 2021 </w:t>
      </w:r>
      <w:r w:rsidRPr="009F332D">
        <w:rPr>
          <w:i/>
          <w:color w:val="auto"/>
        </w:rPr>
        <w:t>(</w:t>
      </w:r>
      <w:r w:rsidRPr="009F332D">
        <w:rPr>
          <w:i/>
          <w:color w:val="auto"/>
        </w:rPr>
        <w:fldChar w:fldCharType="begin"/>
      </w:r>
      <w:r w:rsidRPr="009F332D">
        <w:rPr>
          <w:i/>
          <w:color w:val="auto"/>
        </w:rPr>
        <w:instrText xml:space="preserve"> REF _Ref9518487 \h  \* MERGEFORMAT </w:instrText>
      </w:r>
      <w:r w:rsidRPr="009F332D">
        <w:rPr>
          <w:i/>
          <w:color w:val="auto"/>
        </w:rPr>
      </w:r>
      <w:r w:rsidRPr="009F332D">
        <w:rPr>
          <w:i/>
          <w:color w:val="auto"/>
        </w:rPr>
        <w:fldChar w:fldCharType="separate"/>
      </w:r>
      <w:r w:rsidR="00CC05A7" w:rsidRPr="00CC05A7">
        <w:rPr>
          <w:i/>
          <w:color w:val="auto"/>
        </w:rPr>
        <w:t>Διάγραμμα 17</w:t>
      </w:r>
      <w:r w:rsidRPr="009F332D">
        <w:rPr>
          <w:i/>
          <w:color w:val="auto"/>
        </w:rPr>
        <w:fldChar w:fldCharType="end"/>
      </w:r>
      <w:r>
        <w:rPr>
          <w:color w:val="auto"/>
        </w:rPr>
        <w:t>) προήλθε κυρίως από τους κλάδους των μεταφορών (-2,6%) και της στέγασης-ύδρευσης-ηλεκτρισμού-αερίου (-2%). Από την άλλη πλευρά, αύξηση τιμών παρουσίασε ο κλάδος της διατροφής (+2,2%).</w:t>
      </w:r>
    </w:p>
    <w:p w14:paraId="38698E4A" w14:textId="4D1E9AA8" w:rsidR="00676DBF" w:rsidRDefault="00676DBF" w:rsidP="00676DBF">
      <w:pPr>
        <w:spacing w:after="60"/>
        <w:rPr>
          <w:color w:val="auto"/>
        </w:rPr>
      </w:pPr>
    </w:p>
    <w:p w14:paraId="2A2002C3" w14:textId="26F01A36" w:rsidR="009F332D" w:rsidRDefault="009F332D" w:rsidP="00676DBF">
      <w:pPr>
        <w:spacing w:after="60"/>
        <w:rPr>
          <w:color w:val="auto"/>
        </w:rPr>
      </w:pPr>
    </w:p>
    <w:p w14:paraId="642A4063" w14:textId="5286AC80" w:rsidR="009F332D" w:rsidRDefault="009F332D" w:rsidP="00676DBF">
      <w:pPr>
        <w:spacing w:after="60"/>
        <w:rPr>
          <w:color w:val="auto"/>
        </w:rPr>
      </w:pPr>
    </w:p>
    <w:p w14:paraId="13948EFB" w14:textId="5902EDD2" w:rsidR="009F332D" w:rsidRDefault="009F332D" w:rsidP="00676DBF">
      <w:pPr>
        <w:spacing w:after="60"/>
        <w:rPr>
          <w:color w:val="auto"/>
        </w:rPr>
      </w:pPr>
    </w:p>
    <w:p w14:paraId="606A8799" w14:textId="15A90D4B" w:rsidR="009F332D" w:rsidRDefault="009F332D" w:rsidP="00676DBF">
      <w:pPr>
        <w:spacing w:after="60"/>
        <w:rPr>
          <w:color w:val="auto"/>
        </w:rPr>
      </w:pPr>
    </w:p>
    <w:p w14:paraId="116FB9D6" w14:textId="20055557" w:rsidR="009F332D" w:rsidRDefault="009F332D" w:rsidP="00676DBF">
      <w:pPr>
        <w:spacing w:after="60"/>
        <w:rPr>
          <w:color w:val="auto"/>
        </w:rPr>
      </w:pPr>
    </w:p>
    <w:p w14:paraId="44848E97" w14:textId="6490D9C7" w:rsidR="00676DBF" w:rsidRPr="000B38C0" w:rsidRDefault="00676DBF" w:rsidP="00676DBF">
      <w:pPr>
        <w:spacing w:after="60"/>
        <w:jc w:val="left"/>
        <w:rPr>
          <w:color w:val="00A3E0"/>
          <w:sz w:val="20"/>
          <w:szCs w:val="20"/>
        </w:rPr>
      </w:pPr>
      <w:bookmarkStart w:id="79" w:name="_Ref9518487"/>
      <w:bookmarkStart w:id="80" w:name="_Toc40744056"/>
      <w:bookmarkStart w:id="81" w:name="_Toc71950765"/>
      <w:bookmarkStart w:id="82" w:name="_Toc73435803"/>
      <w:r w:rsidRPr="000B38C0">
        <w:rPr>
          <w:rFonts w:cs="Times New Roman"/>
          <w:sz w:val="20"/>
          <w:szCs w:val="20"/>
        </w:rPr>
        <w:t xml:space="preserve">Διάγραμμα </w:t>
      </w:r>
      <w:r w:rsidRPr="000B38C0">
        <w:rPr>
          <w:rFonts w:cs="Times New Roman"/>
          <w:sz w:val="20"/>
          <w:szCs w:val="20"/>
        </w:rPr>
        <w:fldChar w:fldCharType="begin"/>
      </w:r>
      <w:r w:rsidRPr="000B38C0">
        <w:rPr>
          <w:rFonts w:cs="Times New Roman"/>
          <w:sz w:val="20"/>
          <w:szCs w:val="20"/>
        </w:rPr>
        <w:instrText xml:space="preserve"> SEQ Διάγραμμα \* ARABIC </w:instrText>
      </w:r>
      <w:r w:rsidRPr="000B38C0">
        <w:rPr>
          <w:rFonts w:cs="Times New Roman"/>
          <w:sz w:val="20"/>
          <w:szCs w:val="20"/>
        </w:rPr>
        <w:fldChar w:fldCharType="separate"/>
      </w:r>
      <w:r w:rsidR="00CC05A7">
        <w:rPr>
          <w:rFonts w:cs="Times New Roman"/>
          <w:noProof/>
          <w:sz w:val="20"/>
          <w:szCs w:val="20"/>
        </w:rPr>
        <w:t>17</w:t>
      </w:r>
      <w:r w:rsidRPr="000B38C0">
        <w:rPr>
          <w:rFonts w:cs="Times New Roman"/>
          <w:sz w:val="20"/>
          <w:szCs w:val="20"/>
        </w:rPr>
        <w:fldChar w:fldCharType="end"/>
      </w:r>
      <w:bookmarkEnd w:id="79"/>
      <w:r w:rsidRPr="000B38C0">
        <w:rPr>
          <w:rFonts w:cs="Times New Roman"/>
          <w:sz w:val="20"/>
          <w:szCs w:val="20"/>
        </w:rPr>
        <w:t>:</w:t>
      </w:r>
      <w:r w:rsidRPr="000B38C0">
        <w:rPr>
          <w:rFonts w:eastAsiaTheme="minorEastAsia"/>
          <w:kern w:val="24"/>
          <w:lang w:eastAsia="el-GR"/>
        </w:rPr>
        <w:t xml:space="preserve"> </w:t>
      </w:r>
      <w:r w:rsidRPr="000B38C0">
        <w:rPr>
          <w:color w:val="00A3E0"/>
          <w:sz w:val="20"/>
          <w:szCs w:val="20"/>
        </w:rPr>
        <w:t>Ανάλυση μεταβολής Εν.ΔΤΚ Απριλίου 2021 (ετήσιες % μεταβολές)</w:t>
      </w:r>
      <w:bookmarkEnd w:id="80"/>
      <w:bookmarkEnd w:id="81"/>
      <w:bookmarkEnd w:id="82"/>
    </w:p>
    <w:p w14:paraId="2C5F0B4D" w14:textId="77777777" w:rsidR="00676DBF" w:rsidRDefault="00676DBF" w:rsidP="00676DBF">
      <w:pPr>
        <w:spacing w:after="60"/>
        <w:jc w:val="left"/>
        <w:rPr>
          <w:color w:val="00A3E0"/>
          <w:sz w:val="20"/>
          <w:szCs w:val="20"/>
        </w:rPr>
      </w:pPr>
      <w:r>
        <w:rPr>
          <w:noProof/>
          <w:lang w:eastAsia="el-GR"/>
        </w:rPr>
        <w:drawing>
          <wp:inline distT="0" distB="0" distL="0" distR="0" wp14:anchorId="6FDA5087" wp14:editId="49EFCC8B">
            <wp:extent cx="5278120" cy="3363580"/>
            <wp:effectExtent l="0" t="0" r="17780" b="889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54157A5" w14:textId="77777777" w:rsidR="00676DBF" w:rsidRDefault="00676DBF" w:rsidP="00676DBF">
      <w:pPr>
        <w:rPr>
          <w:iCs/>
          <w:noProof/>
          <w:color w:val="00A3E0"/>
          <w:sz w:val="16"/>
          <w:szCs w:val="16"/>
        </w:rPr>
      </w:pPr>
      <w:r w:rsidRPr="004D1F57">
        <w:rPr>
          <w:b/>
          <w:color w:val="auto"/>
          <w:sz w:val="16"/>
          <w:szCs w:val="16"/>
        </w:rPr>
        <w:t>Πηγή:</w:t>
      </w:r>
      <w:r w:rsidRPr="004D1F57">
        <w:rPr>
          <w:color w:val="auto"/>
          <w:sz w:val="16"/>
          <w:szCs w:val="16"/>
        </w:rPr>
        <w:t xml:space="preserve"> </w:t>
      </w:r>
      <w:r>
        <w:rPr>
          <w:iCs/>
          <w:noProof/>
          <w:color w:val="00A3E0"/>
          <w:sz w:val="16"/>
          <w:szCs w:val="16"/>
        </w:rPr>
        <w:t>ΕΛΣΤΑΤ</w:t>
      </w:r>
      <w:r w:rsidRPr="004D1F57">
        <w:rPr>
          <w:iCs/>
          <w:noProof/>
          <w:color w:val="00A3E0"/>
          <w:sz w:val="16"/>
          <w:szCs w:val="16"/>
        </w:rPr>
        <w:t>.</w:t>
      </w:r>
    </w:p>
    <w:p w14:paraId="12F2D561" w14:textId="42575D3D" w:rsidR="008866AA" w:rsidRDefault="008866AA" w:rsidP="0019422B">
      <w:pPr>
        <w:spacing w:after="240"/>
        <w:rPr>
          <w:rFonts w:eastAsia="Calibri" w:cs="Times New Roman"/>
          <w:iCs/>
          <w:color w:val="auto"/>
        </w:rPr>
      </w:pPr>
    </w:p>
    <w:p w14:paraId="5DD04677" w14:textId="18ADB993" w:rsidR="008866AA" w:rsidRDefault="008866AA" w:rsidP="001801C1">
      <w:pPr>
        <w:spacing w:after="120"/>
        <w:rPr>
          <w:rFonts w:eastAsia="Calibri" w:cs="Times New Roman"/>
          <w:iCs/>
          <w:color w:val="auto"/>
        </w:rPr>
      </w:pPr>
    </w:p>
    <w:p w14:paraId="5BB4FC64" w14:textId="5156D11C" w:rsidR="008866AA" w:rsidRPr="008866AA" w:rsidRDefault="008866AA" w:rsidP="008866AA">
      <w:pPr>
        <w:pStyle w:val="a1"/>
        <w:ind w:left="0"/>
        <w:rPr>
          <w:sz w:val="28"/>
          <w:szCs w:val="28"/>
        </w:rPr>
      </w:pPr>
      <w:bookmarkStart w:id="83" w:name="_Toc73435737"/>
      <w:r w:rsidRPr="008866AA">
        <w:rPr>
          <w:sz w:val="28"/>
          <w:szCs w:val="28"/>
        </w:rPr>
        <w:t>Απασχόληση</w:t>
      </w:r>
      <w:bookmarkEnd w:id="83"/>
    </w:p>
    <w:p w14:paraId="485000D0" w14:textId="3A19BA54" w:rsidR="00CC0B22" w:rsidRPr="00CC0B22" w:rsidRDefault="00CC0B22" w:rsidP="00CC0B22">
      <w:pPr>
        <w:rPr>
          <w:color w:val="auto"/>
          <w:szCs w:val="20"/>
        </w:rPr>
      </w:pPr>
      <w:r w:rsidRPr="00CC0B22">
        <w:rPr>
          <w:color w:val="auto"/>
          <w:szCs w:val="20"/>
        </w:rPr>
        <w:t xml:space="preserve">Τα στοιχεία του πληροφοριακού συστήματος «ΕΡΓΑΝΗ» αποτυπώνουν την επίδραση των μέτρων στήριξης της απασχόλησης και κατά το πρώτο δίμηνο του 2021. </w:t>
      </w:r>
      <w:r w:rsidR="005E65FE">
        <w:rPr>
          <w:color w:val="auto"/>
          <w:szCs w:val="20"/>
        </w:rPr>
        <w:t>Σημειώνεται</w:t>
      </w:r>
      <w:r w:rsidRPr="00CC0B22">
        <w:rPr>
          <w:color w:val="auto"/>
          <w:szCs w:val="20"/>
        </w:rPr>
        <w:t xml:space="preserve"> ότι</w:t>
      </w:r>
      <w:r w:rsidR="009F332D">
        <w:rPr>
          <w:color w:val="auto"/>
          <w:szCs w:val="20"/>
        </w:rPr>
        <w:t>,</w:t>
      </w:r>
      <w:r w:rsidRPr="00CC0B22">
        <w:rPr>
          <w:color w:val="auto"/>
          <w:szCs w:val="20"/>
        </w:rPr>
        <w:t xml:space="preserve"> προϋπόθεση για την ένταξη των επιχειρήσεων στα σημαντικότερα μέτρα στήριξης είναι η διατήρηση του συνολικού αριθμού των απασχολούμενων. Συγκεκριμένα, σωρευτικά για το δίμηνο Ιανουάριου–Φεβρουαρίου 2021, οι αναγγελίες προσλήψεων ανήλθαν σε 195.296 θέσεις εργασίας και οι αποχωρήσεις έφτασαν τις 165.725 θέσεις εργασίας με αποτέλεσμα θετικό ισοζύγιο 29.571 θέσεων. Σε σχέση με την αντίστοιχη περυσινή περίοδο προέκυψε βελτίωση κατά 22.022 </w:t>
      </w:r>
      <w:r w:rsidR="00AA66D3">
        <w:rPr>
          <w:color w:val="auto"/>
          <w:szCs w:val="20"/>
        </w:rPr>
        <w:t>θέσεις</w:t>
      </w:r>
      <w:r w:rsidRPr="00CC0B22">
        <w:rPr>
          <w:color w:val="auto"/>
          <w:szCs w:val="20"/>
        </w:rPr>
        <w:t xml:space="preserve"> εργασίας. Ειδικότερα, κατά το Φεβρουάριο του 2021 οι προσλήψεις εργαζομένων µε σχέση εξαρτημένης εργασίας ιδιωτικού δικαίου ανήλθαν σε 98.428 και οι αποχωρήσεις σε 71.195 με αποτέλεσμα το ισοζύγιο προσλήψεων/αποχωρήσεων να είναι θετικό κατά 27.233 θέσεις εργασίας, έναντι 24.867 θέσεων εργασίας το Φεβρουάριο του 2020. Οι κλάδοι με υψηλότερα θετικά ισοζύγια το μήνα Φεβρουάριο 2021 είναι η δημόσια διοίκηση και άμυνα (+4.738) και η εκπαίδευση (+2.218), ενώ τα επαγγέλματα με τη μεγαλύτερη βελτίωση αφορούσαν υπαλλήλους γραφείου (+6.383), ανειδίκευτους εργάτες (+3.070), προσωπικό καθαριότητας (+2.715) και διδακτικό προσωπικό (+2.174).   </w:t>
      </w:r>
    </w:p>
    <w:p w14:paraId="403BFD29" w14:textId="5E29056A" w:rsidR="00CC0B22" w:rsidRDefault="00CC0B22" w:rsidP="00CC0B22">
      <w:pPr>
        <w:rPr>
          <w:szCs w:val="20"/>
        </w:rPr>
      </w:pPr>
      <w:r>
        <w:rPr>
          <w:szCs w:val="20"/>
        </w:rPr>
        <w:t xml:space="preserve"> </w:t>
      </w:r>
    </w:p>
    <w:p w14:paraId="66C1A8B2" w14:textId="77777777" w:rsidR="009F332D" w:rsidRDefault="009F332D" w:rsidP="00CC0B22">
      <w:pPr>
        <w:rPr>
          <w:szCs w:val="20"/>
        </w:rPr>
      </w:pPr>
    </w:p>
    <w:p w14:paraId="586BE051" w14:textId="262CCE83" w:rsidR="00CC0B22" w:rsidRPr="009F332D" w:rsidRDefault="005E65FE" w:rsidP="005E65FE">
      <w:pPr>
        <w:spacing w:after="0" w:line="240" w:lineRule="auto"/>
        <w:rPr>
          <w:rFonts w:eastAsia="Calibri" w:cs="Times New Roman"/>
          <w:iCs/>
          <w:color w:val="00A3E0"/>
          <w:sz w:val="20"/>
          <w:szCs w:val="20"/>
        </w:rPr>
      </w:pPr>
      <w:bookmarkStart w:id="84" w:name="_Toc73435766"/>
      <w:r w:rsidRPr="009F332D">
        <w:rPr>
          <w:rFonts w:eastAsia="Calibri" w:cs="Times New Roman"/>
          <w:iCs/>
          <w:sz w:val="20"/>
          <w:szCs w:val="20"/>
        </w:rPr>
        <w:t xml:space="preserve">Πίνακας </w:t>
      </w:r>
      <w:r w:rsidRPr="009F332D">
        <w:rPr>
          <w:rFonts w:eastAsia="Calibri" w:cs="Times New Roman"/>
          <w:iCs/>
          <w:sz w:val="20"/>
          <w:szCs w:val="20"/>
        </w:rPr>
        <w:fldChar w:fldCharType="begin"/>
      </w:r>
      <w:r w:rsidRPr="009F332D">
        <w:rPr>
          <w:rFonts w:eastAsia="Calibri" w:cs="Times New Roman"/>
          <w:iCs/>
          <w:sz w:val="20"/>
          <w:szCs w:val="20"/>
        </w:rPr>
        <w:instrText xml:space="preserve"> SEQ Πίνακας \* ARABIC </w:instrText>
      </w:r>
      <w:r w:rsidRPr="009F332D">
        <w:rPr>
          <w:rFonts w:eastAsia="Calibri" w:cs="Times New Roman"/>
          <w:iCs/>
          <w:sz w:val="20"/>
          <w:szCs w:val="20"/>
        </w:rPr>
        <w:fldChar w:fldCharType="separate"/>
      </w:r>
      <w:r w:rsidR="00CC05A7">
        <w:rPr>
          <w:rFonts w:eastAsia="Calibri" w:cs="Times New Roman"/>
          <w:iCs/>
          <w:noProof/>
          <w:sz w:val="20"/>
          <w:szCs w:val="20"/>
        </w:rPr>
        <w:t>5</w:t>
      </w:r>
      <w:r w:rsidRPr="009F332D">
        <w:rPr>
          <w:rFonts w:eastAsia="Calibri" w:cs="Times New Roman"/>
          <w:iCs/>
          <w:sz w:val="20"/>
          <w:szCs w:val="20"/>
        </w:rPr>
        <w:fldChar w:fldCharType="end"/>
      </w:r>
      <w:r w:rsidRPr="009F332D">
        <w:rPr>
          <w:rFonts w:eastAsia="Calibri" w:cs="Times New Roman"/>
          <w:iCs/>
          <w:sz w:val="20"/>
          <w:szCs w:val="20"/>
        </w:rPr>
        <w:t>:</w:t>
      </w:r>
      <w:r w:rsidRPr="009F332D">
        <w:rPr>
          <w:rFonts w:asciiTheme="minorHAnsi" w:hAnsiTheme="minorHAnsi" w:cstheme="minorHAnsi"/>
          <w:sz w:val="20"/>
          <w:szCs w:val="20"/>
        </w:rPr>
        <w:t xml:space="preserve"> </w:t>
      </w:r>
      <w:r w:rsidRPr="009F332D">
        <w:rPr>
          <w:rFonts w:eastAsia="Calibri"/>
          <w:iCs/>
          <w:sz w:val="20"/>
          <w:szCs w:val="20"/>
        </w:rPr>
        <w:t xml:space="preserve"> </w:t>
      </w:r>
      <w:r w:rsidR="00CC0B22" w:rsidRPr="009F332D">
        <w:rPr>
          <w:rFonts w:eastAsia="Calibri" w:cs="Times New Roman"/>
          <w:iCs/>
          <w:color w:val="00A3E0"/>
          <w:sz w:val="20"/>
          <w:szCs w:val="20"/>
        </w:rPr>
        <w:t>Ισοζύγιο ροών μισθωτής απασχόλησης στον ιδιωτικό τομέα, Φεβρουάριος 2021</w:t>
      </w:r>
      <w:bookmarkEnd w:id="84"/>
    </w:p>
    <w:tbl>
      <w:tblPr>
        <w:tblStyle w:val="GridTable4-Accent1"/>
        <w:tblW w:w="8593"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96"/>
        <w:gridCol w:w="1344"/>
        <w:gridCol w:w="1345"/>
        <w:gridCol w:w="959"/>
        <w:gridCol w:w="1345"/>
        <w:gridCol w:w="1345"/>
        <w:gridCol w:w="959"/>
      </w:tblGrid>
      <w:tr w:rsidR="005E65FE" w:rsidRPr="005E65FE" w14:paraId="60A15F69" w14:textId="77777777" w:rsidTr="00AA66D3">
        <w:trPr>
          <w:cnfStyle w:val="100000000000" w:firstRow="1" w:lastRow="0" w:firstColumn="0" w:lastColumn="0" w:oddVBand="0" w:evenVBand="0" w:oddHBand="0" w:evenHBand="0" w:firstRowFirstColumn="0" w:firstRowLastColumn="0" w:lastRowFirstColumn="0" w:lastRowLastColumn="0"/>
          <w:trHeight w:val="826"/>
        </w:trPr>
        <w:tc>
          <w:tcPr>
            <w:cnfStyle w:val="001000000000" w:firstRow="0" w:lastRow="0" w:firstColumn="1" w:lastColumn="0" w:oddVBand="0" w:evenVBand="0" w:oddHBand="0" w:evenHBand="0" w:firstRowFirstColumn="0" w:firstRowLastColumn="0" w:lastRowFirstColumn="0" w:lastRowLastColumn="0"/>
            <w:tcW w:w="1296" w:type="dxa"/>
            <w:tcBorders>
              <w:top w:val="single" w:sz="12" w:space="0" w:color="auto"/>
              <w:left w:val="single" w:sz="12" w:space="0" w:color="auto"/>
              <w:bottom w:val="single" w:sz="4" w:space="0" w:color="auto"/>
              <w:right w:val="single" w:sz="12" w:space="0" w:color="auto"/>
            </w:tcBorders>
            <w:shd w:val="clear" w:color="auto" w:fill="BDD6EE" w:themeFill="accent1" w:themeFillTint="66"/>
          </w:tcPr>
          <w:p w14:paraId="3D8955C6" w14:textId="77777777" w:rsidR="00CC0B22" w:rsidRPr="005E65FE" w:rsidRDefault="00CC0B22" w:rsidP="00F233A7">
            <w:pPr>
              <w:jc w:val="center"/>
              <w:rPr>
                <w:color w:val="auto"/>
                <w:sz w:val="18"/>
                <w:lang w:val="el-GR"/>
              </w:rPr>
            </w:pPr>
          </w:p>
        </w:tc>
        <w:tc>
          <w:tcPr>
            <w:tcW w:w="1344" w:type="dxa"/>
            <w:tcBorders>
              <w:top w:val="single" w:sz="12" w:space="0" w:color="auto"/>
              <w:left w:val="single" w:sz="12" w:space="0" w:color="auto"/>
              <w:bottom w:val="single" w:sz="4" w:space="0" w:color="auto"/>
              <w:right w:val="single" w:sz="4" w:space="0" w:color="auto"/>
            </w:tcBorders>
            <w:shd w:val="clear" w:color="auto" w:fill="BDD6EE" w:themeFill="accent1" w:themeFillTint="66"/>
          </w:tcPr>
          <w:p w14:paraId="58AC584E" w14:textId="77777777" w:rsidR="00CC0B22" w:rsidRPr="005E65FE" w:rsidRDefault="00CC0B22" w:rsidP="00F233A7">
            <w:pPr>
              <w:jc w:val="center"/>
              <w:cnfStyle w:val="100000000000" w:firstRow="1" w:lastRow="0" w:firstColumn="0" w:lastColumn="0" w:oddVBand="0" w:evenVBand="0" w:oddHBand="0" w:evenHBand="0" w:firstRowFirstColumn="0" w:firstRowLastColumn="0" w:lastRowFirstColumn="0" w:lastRowLastColumn="0"/>
              <w:rPr>
                <w:color w:val="auto"/>
                <w:sz w:val="18"/>
                <w:lang w:val="el-GR"/>
              </w:rPr>
            </w:pPr>
            <w:r w:rsidRPr="005E65FE">
              <w:rPr>
                <w:color w:val="auto"/>
                <w:sz w:val="18"/>
                <w:lang w:val="el-GR"/>
              </w:rPr>
              <w:t>Φεβρουάριος</w:t>
            </w:r>
          </w:p>
          <w:p w14:paraId="66C49E32" w14:textId="77777777" w:rsidR="00CC0B22" w:rsidRPr="005E65FE" w:rsidRDefault="00CC0B22" w:rsidP="00F233A7">
            <w:pPr>
              <w:jc w:val="center"/>
              <w:cnfStyle w:val="100000000000" w:firstRow="1" w:lastRow="0" w:firstColumn="0" w:lastColumn="0" w:oddVBand="0" w:evenVBand="0" w:oddHBand="0" w:evenHBand="0" w:firstRowFirstColumn="0" w:firstRowLastColumn="0" w:lastRowFirstColumn="0" w:lastRowLastColumn="0"/>
              <w:rPr>
                <w:color w:val="auto"/>
                <w:sz w:val="18"/>
                <w:lang w:val="el-GR"/>
              </w:rPr>
            </w:pPr>
            <w:r w:rsidRPr="005E65FE">
              <w:rPr>
                <w:color w:val="auto"/>
                <w:sz w:val="18"/>
                <w:lang w:val="el-GR"/>
              </w:rPr>
              <w:t>2021</w:t>
            </w:r>
          </w:p>
        </w:tc>
        <w:tc>
          <w:tcPr>
            <w:tcW w:w="1345" w:type="dxa"/>
            <w:tcBorders>
              <w:top w:val="single" w:sz="12" w:space="0" w:color="auto"/>
              <w:left w:val="single" w:sz="4" w:space="0" w:color="auto"/>
              <w:bottom w:val="single" w:sz="4" w:space="0" w:color="auto"/>
              <w:right w:val="single" w:sz="4" w:space="0" w:color="auto"/>
            </w:tcBorders>
            <w:shd w:val="clear" w:color="auto" w:fill="BDD6EE" w:themeFill="accent1" w:themeFillTint="66"/>
          </w:tcPr>
          <w:p w14:paraId="1FF5D9A7" w14:textId="77777777" w:rsidR="00CC0B22" w:rsidRPr="005E65FE" w:rsidRDefault="00CC0B22" w:rsidP="00F233A7">
            <w:pPr>
              <w:jc w:val="center"/>
              <w:cnfStyle w:val="100000000000" w:firstRow="1" w:lastRow="0" w:firstColumn="0" w:lastColumn="0" w:oddVBand="0" w:evenVBand="0" w:oddHBand="0" w:evenHBand="0" w:firstRowFirstColumn="0" w:firstRowLastColumn="0" w:lastRowFirstColumn="0" w:lastRowLastColumn="0"/>
              <w:rPr>
                <w:color w:val="auto"/>
                <w:sz w:val="18"/>
                <w:lang w:val="el-GR"/>
              </w:rPr>
            </w:pPr>
            <w:r w:rsidRPr="005E65FE">
              <w:rPr>
                <w:color w:val="auto"/>
                <w:sz w:val="18"/>
                <w:lang w:val="el-GR"/>
              </w:rPr>
              <w:t>Φεβρουάριος</w:t>
            </w:r>
          </w:p>
          <w:p w14:paraId="35ABAE51" w14:textId="77777777" w:rsidR="00CC0B22" w:rsidRPr="005E65FE" w:rsidRDefault="00CC0B22" w:rsidP="00F233A7">
            <w:pPr>
              <w:jc w:val="center"/>
              <w:cnfStyle w:val="100000000000" w:firstRow="1" w:lastRow="0" w:firstColumn="0" w:lastColumn="0" w:oddVBand="0" w:evenVBand="0" w:oddHBand="0" w:evenHBand="0" w:firstRowFirstColumn="0" w:firstRowLastColumn="0" w:lastRowFirstColumn="0" w:lastRowLastColumn="0"/>
              <w:rPr>
                <w:color w:val="auto"/>
                <w:sz w:val="18"/>
                <w:lang w:val="el-GR"/>
              </w:rPr>
            </w:pPr>
            <w:r w:rsidRPr="005E65FE">
              <w:rPr>
                <w:color w:val="auto"/>
                <w:sz w:val="18"/>
                <w:lang w:val="el-GR"/>
              </w:rPr>
              <w:t>2020</w:t>
            </w:r>
          </w:p>
        </w:tc>
        <w:tc>
          <w:tcPr>
            <w:tcW w:w="959" w:type="dxa"/>
            <w:tcBorders>
              <w:top w:val="single" w:sz="12" w:space="0" w:color="auto"/>
              <w:left w:val="single" w:sz="4" w:space="0" w:color="auto"/>
              <w:bottom w:val="single" w:sz="4" w:space="0" w:color="auto"/>
              <w:right w:val="single" w:sz="12" w:space="0" w:color="auto"/>
            </w:tcBorders>
            <w:shd w:val="clear" w:color="auto" w:fill="BDD6EE" w:themeFill="accent1" w:themeFillTint="66"/>
          </w:tcPr>
          <w:p w14:paraId="164B1A51" w14:textId="77777777" w:rsidR="00CC0B22" w:rsidRPr="005E65FE" w:rsidRDefault="00CC0B22" w:rsidP="00F233A7">
            <w:pPr>
              <w:jc w:val="center"/>
              <w:cnfStyle w:val="100000000000" w:firstRow="1" w:lastRow="0" w:firstColumn="0" w:lastColumn="0" w:oddVBand="0" w:evenVBand="0" w:oddHBand="0" w:evenHBand="0" w:firstRowFirstColumn="0" w:firstRowLastColumn="0" w:lastRowFirstColumn="0" w:lastRowLastColumn="0"/>
              <w:rPr>
                <w:i/>
                <w:color w:val="auto"/>
                <w:sz w:val="18"/>
                <w:lang w:val="el-GR"/>
              </w:rPr>
            </w:pPr>
            <w:r w:rsidRPr="005E65FE">
              <w:rPr>
                <w:i/>
                <w:color w:val="auto"/>
                <w:sz w:val="18"/>
                <w:lang w:val="el-GR"/>
              </w:rPr>
              <w:t>Διαφορά</w:t>
            </w:r>
          </w:p>
        </w:tc>
        <w:tc>
          <w:tcPr>
            <w:tcW w:w="1345" w:type="dxa"/>
            <w:tcBorders>
              <w:top w:val="single" w:sz="12" w:space="0" w:color="auto"/>
              <w:left w:val="single" w:sz="12" w:space="0" w:color="auto"/>
              <w:bottom w:val="single" w:sz="4" w:space="0" w:color="auto"/>
              <w:right w:val="single" w:sz="4" w:space="0" w:color="auto"/>
            </w:tcBorders>
            <w:shd w:val="clear" w:color="auto" w:fill="BDD6EE" w:themeFill="accent1" w:themeFillTint="66"/>
          </w:tcPr>
          <w:p w14:paraId="5A3D5470" w14:textId="77777777" w:rsidR="00CC0B22" w:rsidRPr="005E65FE" w:rsidRDefault="00CC0B22" w:rsidP="00F233A7">
            <w:pPr>
              <w:jc w:val="center"/>
              <w:cnfStyle w:val="100000000000" w:firstRow="1" w:lastRow="0" w:firstColumn="0" w:lastColumn="0" w:oddVBand="0" w:evenVBand="0" w:oddHBand="0" w:evenHBand="0" w:firstRowFirstColumn="0" w:firstRowLastColumn="0" w:lastRowFirstColumn="0" w:lastRowLastColumn="0"/>
              <w:rPr>
                <w:color w:val="auto"/>
                <w:sz w:val="18"/>
                <w:lang w:val="el-GR"/>
              </w:rPr>
            </w:pPr>
            <w:r w:rsidRPr="005E65FE">
              <w:rPr>
                <w:color w:val="auto"/>
                <w:sz w:val="18"/>
                <w:lang w:val="el-GR"/>
              </w:rPr>
              <w:t>Ιαν.-Φεβρ. 2021</w:t>
            </w:r>
          </w:p>
        </w:tc>
        <w:tc>
          <w:tcPr>
            <w:tcW w:w="1345" w:type="dxa"/>
            <w:tcBorders>
              <w:top w:val="single" w:sz="12" w:space="0" w:color="auto"/>
              <w:left w:val="single" w:sz="4" w:space="0" w:color="auto"/>
              <w:bottom w:val="single" w:sz="4" w:space="0" w:color="auto"/>
              <w:right w:val="single" w:sz="4" w:space="0" w:color="auto"/>
            </w:tcBorders>
            <w:shd w:val="clear" w:color="auto" w:fill="BDD6EE" w:themeFill="accent1" w:themeFillTint="66"/>
          </w:tcPr>
          <w:p w14:paraId="7DDD43AC" w14:textId="77777777" w:rsidR="00CC0B22" w:rsidRPr="005E65FE" w:rsidRDefault="00CC0B22" w:rsidP="00F233A7">
            <w:pPr>
              <w:jc w:val="center"/>
              <w:cnfStyle w:val="100000000000" w:firstRow="1" w:lastRow="0" w:firstColumn="0" w:lastColumn="0" w:oddVBand="0" w:evenVBand="0" w:oddHBand="0" w:evenHBand="0" w:firstRowFirstColumn="0" w:firstRowLastColumn="0" w:lastRowFirstColumn="0" w:lastRowLastColumn="0"/>
              <w:rPr>
                <w:color w:val="auto"/>
                <w:sz w:val="18"/>
                <w:lang w:val="el-GR"/>
              </w:rPr>
            </w:pPr>
            <w:r w:rsidRPr="005E65FE">
              <w:rPr>
                <w:color w:val="auto"/>
                <w:sz w:val="18"/>
                <w:lang w:val="el-GR"/>
              </w:rPr>
              <w:t>Ιαν.-Φεβρ. 2020</w:t>
            </w:r>
          </w:p>
        </w:tc>
        <w:tc>
          <w:tcPr>
            <w:tcW w:w="959" w:type="dxa"/>
            <w:tcBorders>
              <w:top w:val="single" w:sz="12" w:space="0" w:color="auto"/>
              <w:left w:val="single" w:sz="4" w:space="0" w:color="auto"/>
              <w:bottom w:val="single" w:sz="4" w:space="0" w:color="auto"/>
              <w:right w:val="single" w:sz="12" w:space="0" w:color="auto"/>
            </w:tcBorders>
            <w:shd w:val="clear" w:color="auto" w:fill="BDD6EE" w:themeFill="accent1" w:themeFillTint="66"/>
          </w:tcPr>
          <w:p w14:paraId="2C7A0869" w14:textId="77777777" w:rsidR="00CC0B22" w:rsidRPr="005E65FE" w:rsidRDefault="00CC0B22" w:rsidP="00F233A7">
            <w:pPr>
              <w:jc w:val="center"/>
              <w:cnfStyle w:val="100000000000" w:firstRow="1" w:lastRow="0" w:firstColumn="0" w:lastColumn="0" w:oddVBand="0" w:evenVBand="0" w:oddHBand="0" w:evenHBand="0" w:firstRowFirstColumn="0" w:firstRowLastColumn="0" w:lastRowFirstColumn="0" w:lastRowLastColumn="0"/>
              <w:rPr>
                <w:i/>
                <w:color w:val="auto"/>
                <w:sz w:val="18"/>
                <w:lang w:val="el-GR"/>
              </w:rPr>
            </w:pPr>
            <w:r w:rsidRPr="005E65FE">
              <w:rPr>
                <w:i/>
                <w:color w:val="auto"/>
                <w:sz w:val="18"/>
                <w:lang w:val="el-GR"/>
              </w:rPr>
              <w:t>Διαφορά</w:t>
            </w:r>
          </w:p>
        </w:tc>
      </w:tr>
      <w:tr w:rsidR="005E65FE" w:rsidRPr="005E65FE" w14:paraId="72756264" w14:textId="77777777" w:rsidTr="00AA66D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auto"/>
              <w:left w:val="single" w:sz="12" w:space="0" w:color="auto"/>
              <w:bottom w:val="single" w:sz="4" w:space="0" w:color="auto"/>
              <w:right w:val="single" w:sz="12" w:space="0" w:color="auto"/>
            </w:tcBorders>
            <w:shd w:val="clear" w:color="auto" w:fill="FFFFFF" w:themeFill="background1"/>
          </w:tcPr>
          <w:p w14:paraId="29D632FC" w14:textId="77777777" w:rsidR="00CC0B22" w:rsidRPr="005E65FE" w:rsidRDefault="00CC0B22" w:rsidP="00F233A7">
            <w:pPr>
              <w:rPr>
                <w:b w:val="0"/>
                <w:color w:val="auto"/>
                <w:sz w:val="18"/>
                <w:lang w:val="el-GR"/>
              </w:rPr>
            </w:pPr>
            <w:r w:rsidRPr="005E65FE">
              <w:rPr>
                <w:b w:val="0"/>
                <w:color w:val="auto"/>
                <w:sz w:val="18"/>
                <w:lang w:val="el-GR"/>
              </w:rPr>
              <w:t>Προσλήψεις</w:t>
            </w:r>
          </w:p>
        </w:tc>
        <w:tc>
          <w:tcPr>
            <w:tcW w:w="1344" w:type="dxa"/>
            <w:tcBorders>
              <w:top w:val="single" w:sz="4" w:space="0" w:color="auto"/>
              <w:left w:val="single" w:sz="12" w:space="0" w:color="auto"/>
              <w:bottom w:val="single" w:sz="4" w:space="0" w:color="auto"/>
              <w:right w:val="single" w:sz="4" w:space="0" w:color="auto"/>
            </w:tcBorders>
            <w:shd w:val="clear" w:color="auto" w:fill="FFFFFF" w:themeFill="background1"/>
          </w:tcPr>
          <w:p w14:paraId="196EC058" w14:textId="77777777" w:rsidR="00CC0B22" w:rsidRPr="005E65FE" w:rsidRDefault="00CC0B22" w:rsidP="00F233A7">
            <w:pPr>
              <w:cnfStyle w:val="000000100000" w:firstRow="0" w:lastRow="0" w:firstColumn="0" w:lastColumn="0" w:oddVBand="0" w:evenVBand="0" w:oddHBand="1" w:evenHBand="0" w:firstRowFirstColumn="0" w:firstRowLastColumn="0" w:lastRowFirstColumn="0" w:lastRowLastColumn="0"/>
              <w:rPr>
                <w:color w:val="auto"/>
                <w:sz w:val="18"/>
                <w:lang w:val="el-GR"/>
              </w:rPr>
            </w:pPr>
            <w:r w:rsidRPr="005E65FE">
              <w:rPr>
                <w:color w:val="auto"/>
                <w:sz w:val="18"/>
                <w:lang w:val="el-GR"/>
              </w:rPr>
              <w:t>98.428</w:t>
            </w:r>
          </w:p>
        </w:tc>
        <w:tc>
          <w:tcPr>
            <w:tcW w:w="1345" w:type="dxa"/>
            <w:tcBorders>
              <w:top w:val="single" w:sz="4" w:space="0" w:color="auto"/>
              <w:left w:val="single" w:sz="4" w:space="0" w:color="auto"/>
              <w:bottom w:val="single" w:sz="4" w:space="0" w:color="auto"/>
              <w:right w:val="single" w:sz="4" w:space="0" w:color="auto"/>
            </w:tcBorders>
            <w:shd w:val="clear" w:color="auto" w:fill="FFFFFF" w:themeFill="background1"/>
          </w:tcPr>
          <w:p w14:paraId="48D5BECB" w14:textId="77777777" w:rsidR="00CC0B22" w:rsidRPr="005E65FE" w:rsidRDefault="00CC0B22" w:rsidP="00F233A7">
            <w:pPr>
              <w:cnfStyle w:val="000000100000" w:firstRow="0" w:lastRow="0" w:firstColumn="0" w:lastColumn="0" w:oddVBand="0" w:evenVBand="0" w:oddHBand="1" w:evenHBand="0" w:firstRowFirstColumn="0" w:firstRowLastColumn="0" w:lastRowFirstColumn="0" w:lastRowLastColumn="0"/>
              <w:rPr>
                <w:color w:val="auto"/>
                <w:sz w:val="18"/>
                <w:lang w:val="el-GR"/>
              </w:rPr>
            </w:pPr>
            <w:r w:rsidRPr="005E65FE">
              <w:rPr>
                <w:color w:val="auto"/>
                <w:sz w:val="18"/>
                <w:lang w:val="el-GR"/>
              </w:rPr>
              <w:t>183.602</w:t>
            </w:r>
          </w:p>
        </w:tc>
        <w:tc>
          <w:tcPr>
            <w:tcW w:w="959" w:type="dxa"/>
            <w:tcBorders>
              <w:top w:val="single" w:sz="4" w:space="0" w:color="auto"/>
              <w:left w:val="single" w:sz="4" w:space="0" w:color="auto"/>
              <w:bottom w:val="single" w:sz="4" w:space="0" w:color="auto"/>
              <w:right w:val="single" w:sz="12" w:space="0" w:color="auto"/>
            </w:tcBorders>
            <w:shd w:val="clear" w:color="auto" w:fill="FFFFFF" w:themeFill="background1"/>
          </w:tcPr>
          <w:p w14:paraId="4B054EE2" w14:textId="77777777" w:rsidR="00CC0B22" w:rsidRPr="005E65FE" w:rsidRDefault="00CC0B22" w:rsidP="00F233A7">
            <w:pPr>
              <w:cnfStyle w:val="000000100000" w:firstRow="0" w:lastRow="0" w:firstColumn="0" w:lastColumn="0" w:oddVBand="0" w:evenVBand="0" w:oddHBand="1" w:evenHBand="0" w:firstRowFirstColumn="0" w:firstRowLastColumn="0" w:lastRowFirstColumn="0" w:lastRowLastColumn="0"/>
              <w:rPr>
                <w:i/>
                <w:color w:val="auto"/>
                <w:sz w:val="18"/>
                <w:lang w:val="el-GR"/>
              </w:rPr>
            </w:pPr>
            <w:r w:rsidRPr="005E65FE">
              <w:rPr>
                <w:i/>
                <w:color w:val="auto"/>
                <w:sz w:val="18"/>
                <w:lang w:val="el-GR"/>
              </w:rPr>
              <w:t>-85.174</w:t>
            </w:r>
          </w:p>
        </w:tc>
        <w:tc>
          <w:tcPr>
            <w:tcW w:w="1345" w:type="dxa"/>
            <w:tcBorders>
              <w:top w:val="single" w:sz="4" w:space="0" w:color="auto"/>
              <w:left w:val="single" w:sz="12" w:space="0" w:color="auto"/>
              <w:bottom w:val="single" w:sz="4" w:space="0" w:color="auto"/>
              <w:right w:val="single" w:sz="4" w:space="0" w:color="auto"/>
            </w:tcBorders>
            <w:shd w:val="clear" w:color="auto" w:fill="FFFFFF" w:themeFill="background1"/>
          </w:tcPr>
          <w:p w14:paraId="25B0057A" w14:textId="77777777" w:rsidR="00CC0B22" w:rsidRPr="005E65FE" w:rsidRDefault="00CC0B22" w:rsidP="00F233A7">
            <w:pPr>
              <w:cnfStyle w:val="000000100000" w:firstRow="0" w:lastRow="0" w:firstColumn="0" w:lastColumn="0" w:oddVBand="0" w:evenVBand="0" w:oddHBand="1" w:evenHBand="0" w:firstRowFirstColumn="0" w:firstRowLastColumn="0" w:lastRowFirstColumn="0" w:lastRowLastColumn="0"/>
              <w:rPr>
                <w:color w:val="auto"/>
                <w:sz w:val="18"/>
                <w:lang w:val="el-GR"/>
              </w:rPr>
            </w:pPr>
            <w:r w:rsidRPr="005E65FE">
              <w:rPr>
                <w:color w:val="auto"/>
                <w:sz w:val="18"/>
                <w:lang w:val="el-GR"/>
              </w:rPr>
              <w:t>195.296</w:t>
            </w:r>
          </w:p>
        </w:tc>
        <w:tc>
          <w:tcPr>
            <w:tcW w:w="1345" w:type="dxa"/>
            <w:tcBorders>
              <w:top w:val="single" w:sz="4" w:space="0" w:color="auto"/>
              <w:left w:val="single" w:sz="4" w:space="0" w:color="auto"/>
              <w:bottom w:val="single" w:sz="4" w:space="0" w:color="auto"/>
              <w:right w:val="single" w:sz="4" w:space="0" w:color="auto"/>
            </w:tcBorders>
            <w:shd w:val="clear" w:color="auto" w:fill="FFFFFF" w:themeFill="background1"/>
          </w:tcPr>
          <w:p w14:paraId="6CCED6D6" w14:textId="77777777" w:rsidR="00CC0B22" w:rsidRPr="005E65FE" w:rsidRDefault="00CC0B22" w:rsidP="00F233A7">
            <w:pPr>
              <w:cnfStyle w:val="000000100000" w:firstRow="0" w:lastRow="0" w:firstColumn="0" w:lastColumn="0" w:oddVBand="0" w:evenVBand="0" w:oddHBand="1" w:evenHBand="0" w:firstRowFirstColumn="0" w:firstRowLastColumn="0" w:lastRowFirstColumn="0" w:lastRowLastColumn="0"/>
              <w:rPr>
                <w:color w:val="auto"/>
                <w:sz w:val="18"/>
                <w:lang w:val="el-GR"/>
              </w:rPr>
            </w:pPr>
            <w:r w:rsidRPr="005E65FE">
              <w:rPr>
                <w:color w:val="auto"/>
                <w:sz w:val="18"/>
                <w:lang w:val="el-GR"/>
              </w:rPr>
              <w:t>361.234</w:t>
            </w:r>
          </w:p>
        </w:tc>
        <w:tc>
          <w:tcPr>
            <w:tcW w:w="959" w:type="dxa"/>
            <w:tcBorders>
              <w:top w:val="single" w:sz="4" w:space="0" w:color="auto"/>
              <w:left w:val="single" w:sz="4" w:space="0" w:color="auto"/>
              <w:bottom w:val="single" w:sz="4" w:space="0" w:color="auto"/>
              <w:right w:val="single" w:sz="12" w:space="0" w:color="auto"/>
            </w:tcBorders>
            <w:shd w:val="clear" w:color="auto" w:fill="FFFFFF" w:themeFill="background1"/>
          </w:tcPr>
          <w:p w14:paraId="5614AE73" w14:textId="77777777" w:rsidR="00CC0B22" w:rsidRPr="005E65FE" w:rsidRDefault="00CC0B22" w:rsidP="00F233A7">
            <w:pPr>
              <w:cnfStyle w:val="000000100000" w:firstRow="0" w:lastRow="0" w:firstColumn="0" w:lastColumn="0" w:oddVBand="0" w:evenVBand="0" w:oddHBand="1" w:evenHBand="0" w:firstRowFirstColumn="0" w:firstRowLastColumn="0" w:lastRowFirstColumn="0" w:lastRowLastColumn="0"/>
              <w:rPr>
                <w:i/>
                <w:color w:val="auto"/>
                <w:sz w:val="18"/>
                <w:lang w:val="el-GR"/>
              </w:rPr>
            </w:pPr>
            <w:r w:rsidRPr="005E65FE">
              <w:rPr>
                <w:i/>
                <w:color w:val="auto"/>
                <w:sz w:val="18"/>
                <w:lang w:val="el-GR"/>
              </w:rPr>
              <w:t>-165.938</w:t>
            </w:r>
          </w:p>
        </w:tc>
      </w:tr>
      <w:tr w:rsidR="005E65FE" w:rsidRPr="005E65FE" w14:paraId="3207E583" w14:textId="77777777" w:rsidTr="00AA66D3">
        <w:trPr>
          <w:trHeight w:val="270"/>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auto"/>
              <w:left w:val="single" w:sz="12" w:space="0" w:color="auto"/>
              <w:bottom w:val="single" w:sz="4" w:space="0" w:color="auto"/>
              <w:right w:val="single" w:sz="12" w:space="0" w:color="auto"/>
            </w:tcBorders>
          </w:tcPr>
          <w:p w14:paraId="1C4C96C2" w14:textId="77777777" w:rsidR="00CC0B22" w:rsidRPr="005E65FE" w:rsidRDefault="00CC0B22" w:rsidP="00F233A7">
            <w:pPr>
              <w:rPr>
                <w:b w:val="0"/>
                <w:color w:val="auto"/>
                <w:sz w:val="18"/>
                <w:lang w:val="el-GR"/>
              </w:rPr>
            </w:pPr>
            <w:r w:rsidRPr="005E65FE">
              <w:rPr>
                <w:b w:val="0"/>
                <w:color w:val="auto"/>
                <w:sz w:val="18"/>
                <w:lang w:val="el-GR"/>
              </w:rPr>
              <w:t xml:space="preserve">Αποχωρήσεις   </w:t>
            </w:r>
          </w:p>
        </w:tc>
        <w:tc>
          <w:tcPr>
            <w:tcW w:w="1344" w:type="dxa"/>
            <w:tcBorders>
              <w:top w:val="single" w:sz="4" w:space="0" w:color="auto"/>
              <w:left w:val="single" w:sz="12" w:space="0" w:color="auto"/>
              <w:bottom w:val="single" w:sz="4" w:space="0" w:color="auto"/>
              <w:right w:val="single" w:sz="4" w:space="0" w:color="auto"/>
            </w:tcBorders>
          </w:tcPr>
          <w:p w14:paraId="414050D7" w14:textId="77777777" w:rsidR="00CC0B22" w:rsidRPr="005E65FE" w:rsidRDefault="00CC0B22" w:rsidP="00F233A7">
            <w:pPr>
              <w:cnfStyle w:val="000000000000" w:firstRow="0" w:lastRow="0" w:firstColumn="0" w:lastColumn="0" w:oddVBand="0" w:evenVBand="0" w:oddHBand="0" w:evenHBand="0" w:firstRowFirstColumn="0" w:firstRowLastColumn="0" w:lastRowFirstColumn="0" w:lastRowLastColumn="0"/>
              <w:rPr>
                <w:color w:val="auto"/>
                <w:sz w:val="18"/>
                <w:lang w:val="el-GR"/>
              </w:rPr>
            </w:pPr>
            <w:r w:rsidRPr="005E65FE">
              <w:rPr>
                <w:color w:val="auto"/>
                <w:sz w:val="18"/>
                <w:lang w:val="el-GR"/>
              </w:rPr>
              <w:t>71.195</w:t>
            </w:r>
          </w:p>
        </w:tc>
        <w:tc>
          <w:tcPr>
            <w:tcW w:w="1345" w:type="dxa"/>
            <w:tcBorders>
              <w:top w:val="single" w:sz="4" w:space="0" w:color="auto"/>
              <w:left w:val="single" w:sz="4" w:space="0" w:color="auto"/>
              <w:bottom w:val="single" w:sz="4" w:space="0" w:color="auto"/>
              <w:right w:val="single" w:sz="4" w:space="0" w:color="auto"/>
            </w:tcBorders>
          </w:tcPr>
          <w:p w14:paraId="5B6A2311" w14:textId="77777777" w:rsidR="00CC0B22" w:rsidRPr="005E65FE" w:rsidRDefault="00CC0B22" w:rsidP="00F233A7">
            <w:pPr>
              <w:cnfStyle w:val="000000000000" w:firstRow="0" w:lastRow="0" w:firstColumn="0" w:lastColumn="0" w:oddVBand="0" w:evenVBand="0" w:oddHBand="0" w:evenHBand="0" w:firstRowFirstColumn="0" w:firstRowLastColumn="0" w:lastRowFirstColumn="0" w:lastRowLastColumn="0"/>
              <w:rPr>
                <w:color w:val="auto"/>
                <w:sz w:val="18"/>
                <w:lang w:val="el-GR"/>
              </w:rPr>
            </w:pPr>
            <w:r w:rsidRPr="005E65FE">
              <w:rPr>
                <w:color w:val="auto"/>
                <w:sz w:val="18"/>
                <w:lang w:val="el-GR"/>
              </w:rPr>
              <w:t>158.735</w:t>
            </w:r>
          </w:p>
        </w:tc>
        <w:tc>
          <w:tcPr>
            <w:tcW w:w="959" w:type="dxa"/>
            <w:tcBorders>
              <w:top w:val="single" w:sz="4" w:space="0" w:color="auto"/>
              <w:left w:val="single" w:sz="4" w:space="0" w:color="auto"/>
              <w:bottom w:val="single" w:sz="4" w:space="0" w:color="auto"/>
              <w:right w:val="single" w:sz="12" w:space="0" w:color="auto"/>
            </w:tcBorders>
          </w:tcPr>
          <w:p w14:paraId="11D030A6" w14:textId="77777777" w:rsidR="00CC0B22" w:rsidRPr="005E65FE" w:rsidRDefault="00CC0B22" w:rsidP="00F233A7">
            <w:pPr>
              <w:cnfStyle w:val="000000000000" w:firstRow="0" w:lastRow="0" w:firstColumn="0" w:lastColumn="0" w:oddVBand="0" w:evenVBand="0" w:oddHBand="0" w:evenHBand="0" w:firstRowFirstColumn="0" w:firstRowLastColumn="0" w:lastRowFirstColumn="0" w:lastRowLastColumn="0"/>
              <w:rPr>
                <w:i/>
                <w:color w:val="auto"/>
                <w:sz w:val="18"/>
                <w:lang w:val="el-GR"/>
              </w:rPr>
            </w:pPr>
            <w:r w:rsidRPr="005E65FE">
              <w:rPr>
                <w:i/>
                <w:color w:val="auto"/>
                <w:sz w:val="18"/>
                <w:lang w:val="el-GR"/>
              </w:rPr>
              <w:t>-87.540</w:t>
            </w:r>
          </w:p>
        </w:tc>
        <w:tc>
          <w:tcPr>
            <w:tcW w:w="1345" w:type="dxa"/>
            <w:tcBorders>
              <w:top w:val="single" w:sz="4" w:space="0" w:color="auto"/>
              <w:left w:val="single" w:sz="12" w:space="0" w:color="auto"/>
              <w:bottom w:val="single" w:sz="4" w:space="0" w:color="auto"/>
              <w:right w:val="single" w:sz="4" w:space="0" w:color="auto"/>
            </w:tcBorders>
          </w:tcPr>
          <w:p w14:paraId="7AE7123D" w14:textId="77777777" w:rsidR="00CC0B22" w:rsidRPr="005E65FE" w:rsidRDefault="00CC0B22" w:rsidP="00F233A7">
            <w:pPr>
              <w:cnfStyle w:val="000000000000" w:firstRow="0" w:lastRow="0" w:firstColumn="0" w:lastColumn="0" w:oddVBand="0" w:evenVBand="0" w:oddHBand="0" w:evenHBand="0" w:firstRowFirstColumn="0" w:firstRowLastColumn="0" w:lastRowFirstColumn="0" w:lastRowLastColumn="0"/>
              <w:rPr>
                <w:color w:val="auto"/>
                <w:sz w:val="18"/>
                <w:lang w:val="el-GR"/>
              </w:rPr>
            </w:pPr>
            <w:r w:rsidRPr="005E65FE">
              <w:rPr>
                <w:color w:val="auto"/>
                <w:sz w:val="18"/>
                <w:lang w:val="el-GR"/>
              </w:rPr>
              <w:t>165.725</w:t>
            </w:r>
          </w:p>
        </w:tc>
        <w:tc>
          <w:tcPr>
            <w:tcW w:w="1345" w:type="dxa"/>
            <w:tcBorders>
              <w:top w:val="single" w:sz="4" w:space="0" w:color="auto"/>
              <w:left w:val="single" w:sz="4" w:space="0" w:color="auto"/>
              <w:bottom w:val="single" w:sz="4" w:space="0" w:color="auto"/>
              <w:right w:val="single" w:sz="4" w:space="0" w:color="auto"/>
            </w:tcBorders>
          </w:tcPr>
          <w:p w14:paraId="0DB3A85F" w14:textId="77777777" w:rsidR="00CC0B22" w:rsidRPr="005E65FE" w:rsidRDefault="00CC0B22" w:rsidP="00F233A7">
            <w:pPr>
              <w:cnfStyle w:val="000000000000" w:firstRow="0" w:lastRow="0" w:firstColumn="0" w:lastColumn="0" w:oddVBand="0" w:evenVBand="0" w:oddHBand="0" w:evenHBand="0" w:firstRowFirstColumn="0" w:firstRowLastColumn="0" w:lastRowFirstColumn="0" w:lastRowLastColumn="0"/>
              <w:rPr>
                <w:color w:val="auto"/>
                <w:sz w:val="18"/>
                <w:lang w:val="el-GR"/>
              </w:rPr>
            </w:pPr>
            <w:r w:rsidRPr="005E65FE">
              <w:rPr>
                <w:color w:val="auto"/>
                <w:sz w:val="18"/>
                <w:lang w:val="el-GR"/>
              </w:rPr>
              <w:t>353.685</w:t>
            </w:r>
          </w:p>
        </w:tc>
        <w:tc>
          <w:tcPr>
            <w:tcW w:w="959" w:type="dxa"/>
            <w:tcBorders>
              <w:top w:val="single" w:sz="4" w:space="0" w:color="auto"/>
              <w:left w:val="single" w:sz="4" w:space="0" w:color="auto"/>
              <w:bottom w:val="single" w:sz="4" w:space="0" w:color="auto"/>
              <w:right w:val="single" w:sz="12" w:space="0" w:color="auto"/>
            </w:tcBorders>
          </w:tcPr>
          <w:p w14:paraId="404F01E1" w14:textId="77777777" w:rsidR="00CC0B22" w:rsidRPr="005E65FE" w:rsidRDefault="00CC0B22" w:rsidP="00F233A7">
            <w:pPr>
              <w:cnfStyle w:val="000000000000" w:firstRow="0" w:lastRow="0" w:firstColumn="0" w:lastColumn="0" w:oddVBand="0" w:evenVBand="0" w:oddHBand="0" w:evenHBand="0" w:firstRowFirstColumn="0" w:firstRowLastColumn="0" w:lastRowFirstColumn="0" w:lastRowLastColumn="0"/>
              <w:rPr>
                <w:i/>
                <w:color w:val="auto"/>
                <w:sz w:val="18"/>
                <w:lang w:val="el-GR"/>
              </w:rPr>
            </w:pPr>
            <w:r w:rsidRPr="005E65FE">
              <w:rPr>
                <w:i/>
                <w:color w:val="auto"/>
                <w:sz w:val="18"/>
                <w:lang w:val="el-GR"/>
              </w:rPr>
              <w:t>-187.960</w:t>
            </w:r>
          </w:p>
        </w:tc>
      </w:tr>
      <w:tr w:rsidR="005E65FE" w:rsidRPr="005E65FE" w14:paraId="6FE011F6" w14:textId="77777777" w:rsidTr="00AA66D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auto"/>
              <w:left w:val="single" w:sz="12" w:space="0" w:color="auto"/>
              <w:bottom w:val="single" w:sz="12" w:space="0" w:color="auto"/>
              <w:right w:val="single" w:sz="12" w:space="0" w:color="auto"/>
            </w:tcBorders>
            <w:shd w:val="clear" w:color="auto" w:fill="EDEDED" w:themeFill="accent3" w:themeFillTint="33"/>
          </w:tcPr>
          <w:p w14:paraId="73FCA515" w14:textId="77777777" w:rsidR="00CC0B22" w:rsidRPr="005E65FE" w:rsidRDefault="00CC0B22" w:rsidP="00F233A7">
            <w:pPr>
              <w:rPr>
                <w:color w:val="auto"/>
                <w:sz w:val="18"/>
                <w:lang w:val="el-GR"/>
              </w:rPr>
            </w:pPr>
            <w:r w:rsidRPr="005E65FE">
              <w:rPr>
                <w:color w:val="auto"/>
                <w:sz w:val="18"/>
                <w:lang w:val="el-GR"/>
              </w:rPr>
              <w:t>Ισοζύγιο</w:t>
            </w:r>
          </w:p>
        </w:tc>
        <w:tc>
          <w:tcPr>
            <w:tcW w:w="1344" w:type="dxa"/>
            <w:tcBorders>
              <w:top w:val="single" w:sz="4" w:space="0" w:color="auto"/>
              <w:left w:val="single" w:sz="12" w:space="0" w:color="auto"/>
              <w:bottom w:val="single" w:sz="12" w:space="0" w:color="auto"/>
              <w:right w:val="single" w:sz="4" w:space="0" w:color="auto"/>
            </w:tcBorders>
            <w:shd w:val="clear" w:color="auto" w:fill="EDEDED" w:themeFill="accent3" w:themeFillTint="33"/>
          </w:tcPr>
          <w:p w14:paraId="3E56164F" w14:textId="77777777" w:rsidR="00CC0B22" w:rsidRPr="005E65FE" w:rsidRDefault="00CC0B22" w:rsidP="00F233A7">
            <w:pPr>
              <w:cnfStyle w:val="000000100000" w:firstRow="0" w:lastRow="0" w:firstColumn="0" w:lastColumn="0" w:oddVBand="0" w:evenVBand="0" w:oddHBand="1" w:evenHBand="0" w:firstRowFirstColumn="0" w:firstRowLastColumn="0" w:lastRowFirstColumn="0" w:lastRowLastColumn="0"/>
              <w:rPr>
                <w:b/>
                <w:color w:val="auto"/>
                <w:sz w:val="18"/>
                <w:lang w:val="el-GR"/>
              </w:rPr>
            </w:pPr>
            <w:r w:rsidRPr="005E65FE">
              <w:rPr>
                <w:b/>
                <w:color w:val="auto"/>
                <w:sz w:val="18"/>
                <w:lang w:val="el-GR"/>
              </w:rPr>
              <w:t>27.233</w:t>
            </w:r>
          </w:p>
        </w:tc>
        <w:tc>
          <w:tcPr>
            <w:tcW w:w="1345" w:type="dxa"/>
            <w:tcBorders>
              <w:top w:val="single" w:sz="4" w:space="0" w:color="auto"/>
              <w:left w:val="single" w:sz="4" w:space="0" w:color="auto"/>
              <w:bottom w:val="single" w:sz="12" w:space="0" w:color="auto"/>
              <w:right w:val="single" w:sz="4" w:space="0" w:color="auto"/>
            </w:tcBorders>
            <w:shd w:val="clear" w:color="auto" w:fill="EDEDED" w:themeFill="accent3" w:themeFillTint="33"/>
          </w:tcPr>
          <w:p w14:paraId="07A29BF6" w14:textId="77777777" w:rsidR="00CC0B22" w:rsidRPr="005E65FE" w:rsidRDefault="00CC0B22" w:rsidP="00F233A7">
            <w:pPr>
              <w:cnfStyle w:val="000000100000" w:firstRow="0" w:lastRow="0" w:firstColumn="0" w:lastColumn="0" w:oddVBand="0" w:evenVBand="0" w:oddHBand="1" w:evenHBand="0" w:firstRowFirstColumn="0" w:firstRowLastColumn="0" w:lastRowFirstColumn="0" w:lastRowLastColumn="0"/>
              <w:rPr>
                <w:b/>
                <w:color w:val="auto"/>
                <w:sz w:val="18"/>
                <w:lang w:val="el-GR"/>
              </w:rPr>
            </w:pPr>
            <w:r w:rsidRPr="005E65FE">
              <w:rPr>
                <w:b/>
                <w:color w:val="auto"/>
                <w:sz w:val="18"/>
                <w:lang w:val="el-GR"/>
              </w:rPr>
              <w:t>24.867</w:t>
            </w:r>
          </w:p>
        </w:tc>
        <w:tc>
          <w:tcPr>
            <w:tcW w:w="959" w:type="dxa"/>
            <w:tcBorders>
              <w:top w:val="single" w:sz="4" w:space="0" w:color="auto"/>
              <w:left w:val="single" w:sz="4" w:space="0" w:color="auto"/>
              <w:bottom w:val="single" w:sz="12" w:space="0" w:color="auto"/>
              <w:right w:val="single" w:sz="12" w:space="0" w:color="auto"/>
            </w:tcBorders>
            <w:shd w:val="clear" w:color="auto" w:fill="EDEDED" w:themeFill="accent3" w:themeFillTint="33"/>
          </w:tcPr>
          <w:p w14:paraId="0445D5E2" w14:textId="77777777" w:rsidR="00CC0B22" w:rsidRPr="005E65FE" w:rsidRDefault="00CC0B22" w:rsidP="00F233A7">
            <w:pPr>
              <w:cnfStyle w:val="000000100000" w:firstRow="0" w:lastRow="0" w:firstColumn="0" w:lastColumn="0" w:oddVBand="0" w:evenVBand="0" w:oddHBand="1" w:evenHBand="0" w:firstRowFirstColumn="0" w:firstRowLastColumn="0" w:lastRowFirstColumn="0" w:lastRowLastColumn="0"/>
              <w:rPr>
                <w:b/>
                <w:i/>
                <w:color w:val="auto"/>
                <w:sz w:val="18"/>
                <w:lang w:val="el-GR"/>
              </w:rPr>
            </w:pPr>
            <w:r w:rsidRPr="005E65FE">
              <w:rPr>
                <w:b/>
                <w:i/>
                <w:color w:val="auto"/>
                <w:sz w:val="18"/>
                <w:lang w:val="el-GR"/>
              </w:rPr>
              <w:t>2.366</w:t>
            </w:r>
          </w:p>
        </w:tc>
        <w:tc>
          <w:tcPr>
            <w:tcW w:w="1345" w:type="dxa"/>
            <w:tcBorders>
              <w:top w:val="single" w:sz="4" w:space="0" w:color="auto"/>
              <w:left w:val="single" w:sz="12" w:space="0" w:color="auto"/>
              <w:bottom w:val="single" w:sz="12" w:space="0" w:color="auto"/>
              <w:right w:val="single" w:sz="4" w:space="0" w:color="auto"/>
            </w:tcBorders>
            <w:shd w:val="clear" w:color="auto" w:fill="EDEDED" w:themeFill="accent3" w:themeFillTint="33"/>
          </w:tcPr>
          <w:p w14:paraId="062AE458" w14:textId="77777777" w:rsidR="00CC0B22" w:rsidRPr="005E65FE" w:rsidRDefault="00CC0B22" w:rsidP="00F233A7">
            <w:pPr>
              <w:cnfStyle w:val="000000100000" w:firstRow="0" w:lastRow="0" w:firstColumn="0" w:lastColumn="0" w:oddVBand="0" w:evenVBand="0" w:oddHBand="1" w:evenHBand="0" w:firstRowFirstColumn="0" w:firstRowLastColumn="0" w:lastRowFirstColumn="0" w:lastRowLastColumn="0"/>
              <w:rPr>
                <w:b/>
                <w:color w:val="auto"/>
                <w:sz w:val="18"/>
                <w:lang w:val="el-GR"/>
              </w:rPr>
            </w:pPr>
            <w:r w:rsidRPr="005E65FE">
              <w:rPr>
                <w:b/>
                <w:color w:val="auto"/>
                <w:sz w:val="18"/>
                <w:lang w:val="el-GR"/>
              </w:rPr>
              <w:t>29.571</w:t>
            </w:r>
          </w:p>
        </w:tc>
        <w:tc>
          <w:tcPr>
            <w:tcW w:w="1345" w:type="dxa"/>
            <w:tcBorders>
              <w:top w:val="single" w:sz="4" w:space="0" w:color="auto"/>
              <w:left w:val="single" w:sz="4" w:space="0" w:color="auto"/>
              <w:bottom w:val="single" w:sz="12" w:space="0" w:color="auto"/>
              <w:right w:val="single" w:sz="4" w:space="0" w:color="auto"/>
            </w:tcBorders>
            <w:shd w:val="clear" w:color="auto" w:fill="EDEDED" w:themeFill="accent3" w:themeFillTint="33"/>
          </w:tcPr>
          <w:p w14:paraId="3686C203" w14:textId="77777777" w:rsidR="00CC0B22" w:rsidRPr="005E65FE" w:rsidRDefault="00CC0B22" w:rsidP="00F233A7">
            <w:pPr>
              <w:cnfStyle w:val="000000100000" w:firstRow="0" w:lastRow="0" w:firstColumn="0" w:lastColumn="0" w:oddVBand="0" w:evenVBand="0" w:oddHBand="1" w:evenHBand="0" w:firstRowFirstColumn="0" w:firstRowLastColumn="0" w:lastRowFirstColumn="0" w:lastRowLastColumn="0"/>
              <w:rPr>
                <w:b/>
                <w:color w:val="auto"/>
                <w:sz w:val="18"/>
                <w:lang w:val="el-GR"/>
              </w:rPr>
            </w:pPr>
            <w:r w:rsidRPr="005E65FE">
              <w:rPr>
                <w:b/>
                <w:color w:val="auto"/>
                <w:sz w:val="18"/>
                <w:lang w:val="el-GR"/>
              </w:rPr>
              <w:t>7.549</w:t>
            </w:r>
          </w:p>
        </w:tc>
        <w:tc>
          <w:tcPr>
            <w:tcW w:w="959" w:type="dxa"/>
            <w:tcBorders>
              <w:top w:val="single" w:sz="4" w:space="0" w:color="auto"/>
              <w:left w:val="single" w:sz="4" w:space="0" w:color="auto"/>
              <w:bottom w:val="single" w:sz="12" w:space="0" w:color="auto"/>
              <w:right w:val="single" w:sz="12" w:space="0" w:color="auto"/>
            </w:tcBorders>
            <w:shd w:val="clear" w:color="auto" w:fill="EDEDED" w:themeFill="accent3" w:themeFillTint="33"/>
          </w:tcPr>
          <w:p w14:paraId="6ACDAFD9" w14:textId="77777777" w:rsidR="00CC0B22" w:rsidRPr="005E65FE" w:rsidRDefault="00CC0B22" w:rsidP="00F233A7">
            <w:pPr>
              <w:cnfStyle w:val="000000100000" w:firstRow="0" w:lastRow="0" w:firstColumn="0" w:lastColumn="0" w:oddVBand="0" w:evenVBand="0" w:oddHBand="1" w:evenHBand="0" w:firstRowFirstColumn="0" w:firstRowLastColumn="0" w:lastRowFirstColumn="0" w:lastRowLastColumn="0"/>
              <w:rPr>
                <w:b/>
                <w:i/>
                <w:color w:val="auto"/>
                <w:sz w:val="18"/>
                <w:lang w:val="el-GR"/>
              </w:rPr>
            </w:pPr>
            <w:r w:rsidRPr="005E65FE">
              <w:rPr>
                <w:b/>
                <w:i/>
                <w:color w:val="auto"/>
                <w:sz w:val="18"/>
                <w:lang w:val="el-GR"/>
              </w:rPr>
              <w:t>22.022</w:t>
            </w:r>
          </w:p>
        </w:tc>
      </w:tr>
    </w:tbl>
    <w:p w14:paraId="021E0D92" w14:textId="77777777" w:rsidR="00CC0B22" w:rsidRPr="00F85916" w:rsidRDefault="00CC0B22" w:rsidP="00CC0B22">
      <w:pPr>
        <w:spacing w:before="120" w:after="360"/>
        <w:rPr>
          <w:rFonts w:eastAsia="Calibri" w:cs="Times New Roman"/>
          <w:sz w:val="18"/>
          <w:szCs w:val="18"/>
        </w:rPr>
      </w:pPr>
      <w:r w:rsidRPr="00F85916">
        <w:rPr>
          <w:rFonts w:eastAsia="Calibri" w:cs="Times New Roman"/>
          <w:b/>
          <w:sz w:val="16"/>
          <w:szCs w:val="16"/>
        </w:rPr>
        <w:t>Πηγή:</w:t>
      </w:r>
      <w:r w:rsidRPr="00F85916">
        <w:rPr>
          <w:rFonts w:eastAsia="Calibri" w:cs="Times New Roman"/>
          <w:iCs/>
          <w:noProof/>
          <w:color w:val="00A3E0"/>
          <w:sz w:val="16"/>
          <w:szCs w:val="16"/>
        </w:rPr>
        <w:t xml:space="preserve"> Υπουργείο Εργασίας, Πληροφοριακό Σύστημα ΕΡΓΑΝΗ.</w:t>
      </w:r>
    </w:p>
    <w:p w14:paraId="29442A33" w14:textId="77777777" w:rsidR="00CC0B22" w:rsidRDefault="00CC0B22" w:rsidP="001801C1">
      <w:pPr>
        <w:spacing w:after="120"/>
        <w:rPr>
          <w:rFonts w:eastAsia="Calibri" w:cs="Times New Roman"/>
          <w:iCs/>
          <w:color w:val="auto"/>
        </w:rPr>
      </w:pPr>
    </w:p>
    <w:p w14:paraId="435E7F93" w14:textId="544B4324" w:rsidR="001801C1" w:rsidRPr="008866AA" w:rsidRDefault="008866AA" w:rsidP="008866AA">
      <w:pPr>
        <w:pStyle w:val="a1"/>
        <w:ind w:left="0"/>
        <w:rPr>
          <w:sz w:val="28"/>
          <w:szCs w:val="28"/>
        </w:rPr>
      </w:pPr>
      <w:bookmarkStart w:id="85" w:name="_Toc73435738"/>
      <w:r w:rsidRPr="008866AA">
        <w:rPr>
          <w:sz w:val="28"/>
          <w:szCs w:val="28"/>
        </w:rPr>
        <w:t>Ισοζύγιο πληρωμών</w:t>
      </w:r>
      <w:bookmarkEnd w:id="85"/>
    </w:p>
    <w:p w14:paraId="5E9F4303" w14:textId="3BFD9C1A" w:rsidR="002F1168" w:rsidRDefault="002F1168" w:rsidP="002F1168">
      <w:pPr>
        <w:spacing w:after="60"/>
        <w:rPr>
          <w:color w:val="auto"/>
        </w:rPr>
      </w:pPr>
      <w:r>
        <w:rPr>
          <w:color w:val="auto"/>
        </w:rPr>
        <w:t>Κατά το πρώτο δίμηνο του 2021, το ισοζύγιο τρεχουσών συναλλαγών (</w:t>
      </w:r>
      <w:r>
        <w:rPr>
          <w:color w:val="auto"/>
        </w:rPr>
        <w:fldChar w:fldCharType="begin"/>
      </w:r>
      <w:r>
        <w:rPr>
          <w:color w:val="auto"/>
        </w:rPr>
        <w:instrText xml:space="preserve"> REF _Ref9338713 \h  \* MERGEFORMAT </w:instrText>
      </w:r>
      <w:r>
        <w:rPr>
          <w:color w:val="auto"/>
        </w:rPr>
      </w:r>
      <w:r>
        <w:rPr>
          <w:color w:val="auto"/>
        </w:rPr>
        <w:fldChar w:fldCharType="separate"/>
      </w:r>
      <w:r w:rsidR="00CC05A7" w:rsidRPr="00CC05A7">
        <w:rPr>
          <w:color w:val="auto"/>
        </w:rPr>
        <w:t>Διάγραμμα 18</w:t>
      </w:r>
      <w:r>
        <w:rPr>
          <w:color w:val="auto"/>
        </w:rPr>
        <w:fldChar w:fldCharType="end"/>
      </w:r>
      <w:r>
        <w:rPr>
          <w:color w:val="auto"/>
        </w:rPr>
        <w:t xml:space="preserve">) </w:t>
      </w:r>
      <w:r w:rsidR="0068574A" w:rsidRPr="0068574A">
        <w:rPr>
          <w:color w:val="auto"/>
        </w:rPr>
        <w:t>εμφάνισε έλλειμμα 1.276 εκατ. ευρώ, μειωμένο κατά 1.168 εκατ. (-47,8%) σε σχέση με την αντίστοιχη περίοδο του προηγούμενου έτους. Πρόκειται για μικρό χρονικό διάστημα που δεν επιτρέπει τη συναγωγή  συμπερασμάτων για την πορεία του έτους συνολικά. Η εν λόγω βελτίωση οφείλεται στην μείωση του ελλείμματος του ισοζυγίου αγαθών κατά 885 εκατ. (-23,3%) και στην αύξηση του ισοζυγίου πρωτογενών εισοδημάτων κατά 530 εκατ. ευρώ. Οι μεταβολές αυτές υπεραντιστάθμισαν τη μείωση του πλεονάσματος του ισοζυγίου υπηρεσιών κατά 281 εκατ. ευρώ (-35,6%). Μικρή θετική συμβολή είχε επίσης η βελτίωση του ισοζυγίου δευτερογενών εισοδημάτων κατά 34 εκατ. ευρώ</w:t>
      </w:r>
      <w:r>
        <w:rPr>
          <w:color w:val="auto"/>
        </w:rPr>
        <w:t>.</w:t>
      </w:r>
    </w:p>
    <w:p w14:paraId="1EDAB1B8" w14:textId="77777777" w:rsidR="002F1168" w:rsidRDefault="002F1168" w:rsidP="002F1168">
      <w:pPr>
        <w:spacing w:after="60"/>
        <w:rPr>
          <w:color w:val="auto"/>
        </w:rPr>
      </w:pPr>
    </w:p>
    <w:p w14:paraId="46E0B257" w14:textId="368FFDD4" w:rsidR="002F1168" w:rsidRPr="002A11B0" w:rsidRDefault="002F1168" w:rsidP="002F1168">
      <w:pPr>
        <w:spacing w:after="0" w:line="240" w:lineRule="auto"/>
        <w:rPr>
          <w:color w:val="00A3E0"/>
          <w:sz w:val="20"/>
          <w:szCs w:val="20"/>
        </w:rPr>
      </w:pPr>
      <w:bookmarkStart w:id="86" w:name="_Ref9338713"/>
      <w:bookmarkStart w:id="87" w:name="_Toc42210314"/>
      <w:bookmarkStart w:id="88" w:name="_Toc71906509"/>
      <w:bookmarkStart w:id="89" w:name="_Toc73435804"/>
      <w:r w:rsidRPr="002A11B0">
        <w:rPr>
          <w:iCs/>
          <w:sz w:val="20"/>
          <w:szCs w:val="20"/>
        </w:rPr>
        <w:t xml:space="preserve">Διάγραμμα </w:t>
      </w:r>
      <w:r w:rsidRPr="002A11B0">
        <w:rPr>
          <w:iCs/>
          <w:sz w:val="20"/>
          <w:szCs w:val="20"/>
        </w:rPr>
        <w:fldChar w:fldCharType="begin"/>
      </w:r>
      <w:r w:rsidRPr="002A11B0">
        <w:rPr>
          <w:iCs/>
          <w:sz w:val="20"/>
          <w:szCs w:val="20"/>
        </w:rPr>
        <w:instrText xml:space="preserve"> SEQ Διάγραμμα \* ARABIC </w:instrText>
      </w:r>
      <w:r w:rsidRPr="002A11B0">
        <w:rPr>
          <w:iCs/>
          <w:sz w:val="20"/>
          <w:szCs w:val="20"/>
        </w:rPr>
        <w:fldChar w:fldCharType="separate"/>
      </w:r>
      <w:r w:rsidR="00CC05A7">
        <w:rPr>
          <w:iCs/>
          <w:noProof/>
          <w:sz w:val="20"/>
          <w:szCs w:val="20"/>
        </w:rPr>
        <w:t>18</w:t>
      </w:r>
      <w:r w:rsidRPr="002A11B0">
        <w:rPr>
          <w:iCs/>
          <w:sz w:val="20"/>
          <w:szCs w:val="20"/>
        </w:rPr>
        <w:fldChar w:fldCharType="end"/>
      </w:r>
      <w:bookmarkEnd w:id="86"/>
      <w:r w:rsidRPr="002A11B0">
        <w:rPr>
          <w:iCs/>
          <w:sz w:val="20"/>
          <w:szCs w:val="20"/>
        </w:rPr>
        <w:t xml:space="preserve">: </w:t>
      </w:r>
      <w:r w:rsidRPr="002A11B0">
        <w:rPr>
          <w:color w:val="00A3E0"/>
          <w:sz w:val="20"/>
          <w:szCs w:val="20"/>
        </w:rPr>
        <w:t>Ισοζύγιο τρεχουσών συναλλαγών Ιανουαρίου-Φεβρουαρίου (εκατ. ευρώ)</w:t>
      </w:r>
      <w:bookmarkEnd w:id="87"/>
      <w:bookmarkEnd w:id="88"/>
      <w:bookmarkEnd w:id="89"/>
    </w:p>
    <w:p w14:paraId="35268CEC" w14:textId="77777777" w:rsidR="002F1168" w:rsidRPr="004D1F57" w:rsidRDefault="002F1168" w:rsidP="002F1168">
      <w:pPr>
        <w:spacing w:after="0" w:line="240" w:lineRule="auto"/>
        <w:rPr>
          <w:b/>
          <w:color w:val="00A3E0"/>
          <w:sz w:val="20"/>
          <w:szCs w:val="20"/>
        </w:rPr>
      </w:pPr>
      <w:r w:rsidRPr="00B81518">
        <w:rPr>
          <w:b/>
          <w:noProof/>
          <w:lang w:eastAsia="el-GR"/>
        </w:rPr>
        <w:drawing>
          <wp:inline distT="0" distB="0" distL="0" distR="0" wp14:anchorId="262C3760" wp14:editId="0F86C7F1">
            <wp:extent cx="5278120" cy="3598163"/>
            <wp:effectExtent l="0" t="0" r="17780" b="2540"/>
            <wp:docPr id="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2F900FE" w14:textId="77777777" w:rsidR="002F1168" w:rsidRPr="004D1F57" w:rsidRDefault="002F1168" w:rsidP="002F1168">
      <w:pPr>
        <w:rPr>
          <w:color w:val="auto"/>
          <w:sz w:val="18"/>
          <w:szCs w:val="18"/>
        </w:rPr>
      </w:pPr>
      <w:r w:rsidRPr="004D1F57">
        <w:rPr>
          <w:b/>
          <w:color w:val="auto"/>
          <w:sz w:val="16"/>
          <w:szCs w:val="16"/>
        </w:rPr>
        <w:t>Πηγή:</w:t>
      </w:r>
      <w:r w:rsidRPr="004D1F57">
        <w:rPr>
          <w:color w:val="auto"/>
          <w:sz w:val="16"/>
          <w:szCs w:val="16"/>
        </w:rPr>
        <w:t xml:space="preserve"> </w:t>
      </w:r>
      <w:r w:rsidRPr="004D1F57">
        <w:rPr>
          <w:iCs/>
          <w:noProof/>
          <w:color w:val="00A3E0"/>
          <w:sz w:val="16"/>
          <w:szCs w:val="16"/>
        </w:rPr>
        <w:t>Τράπεζα της Ελλάδος.</w:t>
      </w:r>
    </w:p>
    <w:p w14:paraId="45A7E026" w14:textId="77777777" w:rsidR="002F1168" w:rsidRDefault="002F1168" w:rsidP="002F1168">
      <w:pPr>
        <w:spacing w:after="60"/>
        <w:rPr>
          <w:color w:val="auto"/>
        </w:rPr>
      </w:pPr>
    </w:p>
    <w:p w14:paraId="544EDD68" w14:textId="6AD9BD50" w:rsidR="002F1168" w:rsidRDefault="002F1168" w:rsidP="002F1168">
      <w:pPr>
        <w:rPr>
          <w:color w:val="auto"/>
        </w:rPr>
      </w:pPr>
      <w:r w:rsidRPr="001A667A">
        <w:rPr>
          <w:color w:val="auto"/>
        </w:rPr>
        <w:t xml:space="preserve">Ειδικότερα, </w:t>
      </w:r>
      <w:r>
        <w:rPr>
          <w:color w:val="auto"/>
        </w:rPr>
        <w:t>ο περιορισμός του ελλείμματος του ισοζυγί</w:t>
      </w:r>
      <w:r w:rsidR="0068574A">
        <w:rPr>
          <w:color w:val="auto"/>
        </w:rPr>
        <w:t>ου αγαθών προήλθε κυρίως από τη</w:t>
      </w:r>
      <w:r>
        <w:rPr>
          <w:color w:val="auto"/>
        </w:rPr>
        <w:t xml:space="preserve"> βελτίωση των ισοζυγίων καυσίμων και λοιπών αγαθών κατά 510 και 361 εκατ. αντίστοιχα. Οι εξαγωγές αγαθών εμφάνισαν μικρή μείωση κατά 124 εκατ. (-2,4%), η οποία υπερκαλύφθηκε από την πτώση των εισαγωγών κατά 1.008 εκατ. ευρώ (-11,2%).</w:t>
      </w:r>
    </w:p>
    <w:p w14:paraId="7090C32F" w14:textId="17014FFC" w:rsidR="002F1168" w:rsidRDefault="002F1168" w:rsidP="002F1168">
      <w:pPr>
        <w:rPr>
          <w:color w:val="auto"/>
        </w:rPr>
      </w:pPr>
      <w:r>
        <w:rPr>
          <w:color w:val="auto"/>
        </w:rPr>
        <w:t xml:space="preserve">Όσον αφορά το ισοζύγιο υπηρεσιών, η μείωση του πλεονάσματος κατά το πρώτο δίμηνο του έτους </w:t>
      </w:r>
      <w:r w:rsidRPr="00D62B95">
        <w:rPr>
          <w:color w:val="auto"/>
        </w:rPr>
        <w:t xml:space="preserve">οφείλεται </w:t>
      </w:r>
      <w:r>
        <w:rPr>
          <w:color w:val="auto"/>
        </w:rPr>
        <w:t xml:space="preserve">στα περιοριστικά μέτρα λόγω της πανδημίας τα οποία οδήγησαν </w:t>
      </w:r>
      <w:r w:rsidR="0068574A">
        <w:rPr>
          <w:color w:val="auto"/>
        </w:rPr>
        <w:t>σε</w:t>
      </w:r>
      <w:r>
        <w:rPr>
          <w:color w:val="auto"/>
        </w:rPr>
        <w:t xml:space="preserve"> επιδείνωση του ισοζυγίου μεταφορών και του ταξιδιωτικού ισοζυγίου κατά 179 και 159 εκατ. αντίστοιχα. Από την άλλη πλευρά, το ισοζύγιο λοιπών υπηρεσιών βελτιώθηκε κατά 57 εκατ. ευρώ. Οι ταξιδιωτικές εισπράξεις, εμφάνισαν πολύ μεγάλη πτώση κατά 90,3% (-453 εκατ.), η οποία ήταν αναμεν</w:t>
      </w:r>
      <w:r w:rsidR="006E61FC">
        <w:rPr>
          <w:color w:val="auto"/>
        </w:rPr>
        <w:t>όμενη καθότι στο αντίστοιχο περ</w:t>
      </w:r>
      <w:r>
        <w:rPr>
          <w:color w:val="auto"/>
        </w:rPr>
        <w:t xml:space="preserve">σινό </w:t>
      </w:r>
      <w:r w:rsidR="009444E7">
        <w:rPr>
          <w:color w:val="auto"/>
        </w:rPr>
        <w:t>πρώτο δίμηνο</w:t>
      </w:r>
      <w:r>
        <w:rPr>
          <w:color w:val="auto"/>
        </w:rPr>
        <w:t xml:space="preserve"> δεν είχαν αποτυπωθεί οι συνέπειες της πανδημίας</w:t>
      </w:r>
      <w:r w:rsidR="0068574A">
        <w:rPr>
          <w:color w:val="auto"/>
        </w:rPr>
        <w:t>.</w:t>
      </w:r>
    </w:p>
    <w:p w14:paraId="7C9CCB32" w14:textId="7878E633" w:rsidR="002F1168" w:rsidRDefault="002F1168" w:rsidP="002F1168">
      <w:pPr>
        <w:spacing w:after="120"/>
        <w:rPr>
          <w:color w:val="auto"/>
        </w:rPr>
      </w:pPr>
      <w:r>
        <w:rPr>
          <w:color w:val="auto"/>
        </w:rPr>
        <w:t>Τέλος, οι Άμεσες Ξένες Επενδύσεις διαμορφώθηκαν σε 585 εκατ., μειωμένες σε σχέση με πέρυσι κατά 275 εκατ. ευρώ (-32%).</w:t>
      </w:r>
    </w:p>
    <w:p w14:paraId="5124367A" w14:textId="77777777" w:rsidR="002A11B0" w:rsidRDefault="002A11B0" w:rsidP="002F1168">
      <w:pPr>
        <w:spacing w:after="120"/>
        <w:rPr>
          <w:rFonts w:eastAsia="Calibri" w:cs="Times New Roman"/>
          <w:iCs/>
          <w:color w:val="auto"/>
        </w:rPr>
      </w:pPr>
    </w:p>
    <w:p w14:paraId="32543E25" w14:textId="77777777" w:rsidR="008866AA" w:rsidRDefault="008866AA" w:rsidP="008866AA">
      <w:pPr>
        <w:spacing w:after="120"/>
        <w:rPr>
          <w:rFonts w:eastAsia="Calibri" w:cs="Times New Roman"/>
          <w:iCs/>
          <w:color w:val="auto"/>
        </w:rPr>
      </w:pPr>
    </w:p>
    <w:p w14:paraId="6F29ED66" w14:textId="09BD1A2E" w:rsidR="008866AA" w:rsidRPr="008866AA" w:rsidRDefault="008866AA" w:rsidP="008866AA">
      <w:pPr>
        <w:pStyle w:val="a1"/>
        <w:ind w:left="0"/>
        <w:rPr>
          <w:sz w:val="28"/>
          <w:szCs w:val="28"/>
        </w:rPr>
      </w:pPr>
      <w:bookmarkStart w:id="90" w:name="_Toc73435739"/>
      <w:r w:rsidRPr="008866AA">
        <w:rPr>
          <w:sz w:val="28"/>
          <w:szCs w:val="28"/>
        </w:rPr>
        <w:t>Οικονομική συγκυρία &amp; βιομηχανία</w:t>
      </w:r>
      <w:bookmarkEnd w:id="90"/>
    </w:p>
    <w:p w14:paraId="12573D93" w14:textId="27451DA9" w:rsidR="00F03309" w:rsidRPr="00F03309" w:rsidRDefault="00F03309" w:rsidP="00F03309">
      <w:pPr>
        <w:spacing w:after="160"/>
        <w:rPr>
          <w:color w:val="auto"/>
        </w:rPr>
      </w:pPr>
      <w:r w:rsidRPr="00F03309">
        <w:rPr>
          <w:color w:val="auto"/>
        </w:rPr>
        <w:t xml:space="preserve">Ο δείκτης του οικονομικού κλίματος στην Ελλάδα </w:t>
      </w:r>
      <w:r w:rsidRPr="002A11B0">
        <w:rPr>
          <w:i/>
          <w:color w:val="auto"/>
        </w:rPr>
        <w:t>(</w:t>
      </w:r>
      <w:r w:rsidRPr="002A11B0">
        <w:rPr>
          <w:i/>
          <w:color w:val="auto"/>
        </w:rPr>
        <w:fldChar w:fldCharType="begin"/>
      </w:r>
      <w:r w:rsidRPr="002A11B0">
        <w:rPr>
          <w:i/>
          <w:color w:val="auto"/>
        </w:rPr>
        <w:instrText xml:space="preserve"> REF _Ref72008837 \h </w:instrText>
      </w:r>
      <w:r w:rsidR="002A11B0" w:rsidRPr="002A11B0">
        <w:rPr>
          <w:i/>
          <w:color w:val="auto"/>
        </w:rPr>
        <w:instrText xml:space="preserve"> \* MERGEFORMAT </w:instrText>
      </w:r>
      <w:r w:rsidRPr="002A11B0">
        <w:rPr>
          <w:i/>
          <w:color w:val="auto"/>
        </w:rPr>
      </w:r>
      <w:r w:rsidRPr="002A11B0">
        <w:rPr>
          <w:i/>
          <w:color w:val="auto"/>
        </w:rPr>
        <w:fldChar w:fldCharType="separate"/>
      </w:r>
      <w:r w:rsidR="00CC05A7" w:rsidRPr="00CC05A7">
        <w:rPr>
          <w:i/>
          <w:iCs/>
          <w:color w:val="auto"/>
        </w:rPr>
        <w:t xml:space="preserve">Διάγραμμα </w:t>
      </w:r>
      <w:r w:rsidR="00CC05A7" w:rsidRPr="00CC05A7">
        <w:rPr>
          <w:i/>
          <w:iCs/>
          <w:noProof/>
          <w:color w:val="auto"/>
        </w:rPr>
        <w:t>19</w:t>
      </w:r>
      <w:r w:rsidRPr="002A11B0">
        <w:rPr>
          <w:i/>
          <w:color w:val="auto"/>
        </w:rPr>
        <w:fldChar w:fldCharType="end"/>
      </w:r>
      <w:r w:rsidRPr="002A11B0">
        <w:rPr>
          <w:i/>
          <w:color w:val="auto"/>
        </w:rPr>
        <w:t>)</w:t>
      </w:r>
      <w:r w:rsidRPr="002A11B0">
        <w:rPr>
          <w:color w:val="auto"/>
        </w:rPr>
        <w:t xml:space="preserve"> </w:t>
      </w:r>
      <w:r w:rsidRPr="00F03309">
        <w:rPr>
          <w:color w:val="auto"/>
        </w:rPr>
        <w:t>κινήθηκε ανοδικά μετά τον Απρίλιο του 2020</w:t>
      </w:r>
      <w:r w:rsidR="002A11B0">
        <w:rPr>
          <w:color w:val="auto"/>
        </w:rPr>
        <w:t>,</w:t>
      </w:r>
      <w:r w:rsidRPr="00F03309">
        <w:rPr>
          <w:color w:val="auto"/>
        </w:rPr>
        <w:t xml:space="preserve"> όπου έφτασε στο χαμηλότερο σημείο των 67,8 μονάδων. Η ανοδική</w:t>
      </w:r>
      <w:r w:rsidR="00E34C52">
        <w:rPr>
          <w:color w:val="auto"/>
        </w:rPr>
        <w:t xml:space="preserve"> αυτή πορεία οφείλεται τόσο στη</w:t>
      </w:r>
      <w:r w:rsidRPr="00F03309">
        <w:rPr>
          <w:color w:val="auto"/>
        </w:rPr>
        <w:t xml:space="preserve"> βελτίωση των καταναλωτικών όσο και στη βελτίωση των επιχειρηματικών προσδοκιών. Αποτέλεσμα αυτών των μεταβολών είναι ο δείκτης οικονομικού κλίματος να κινείται ελαφρά ανοδικά από τον Ιούλιο του 2020, ακολουθώντας παρόμοια πορεία με τον δείκτη των χωρών της Ευρωζώνης. Ο ελληνικός δείκτης οικονομικού κλίματος, διαμορφώθηκε τον Απρίλιο του 2021  στις 97,9 μονάδες</w:t>
      </w:r>
      <w:r w:rsidR="002A11B0">
        <w:rPr>
          <w:color w:val="auto"/>
        </w:rPr>
        <w:t>,</w:t>
      </w:r>
      <w:r w:rsidRPr="00F03309">
        <w:rPr>
          <w:color w:val="auto"/>
        </w:rPr>
        <w:t xml:space="preserve"> την καλύτερη δηλαδή επίδοση από πέρυσι τον ίδιο μήνα, υπολείπεται ωστόσο του αντίστοιχου δείκτη της Ευρωζώνης</w:t>
      </w:r>
      <w:r w:rsidR="002A11B0">
        <w:rPr>
          <w:color w:val="auto"/>
        </w:rPr>
        <w:t>,</w:t>
      </w:r>
      <w:r w:rsidRPr="00F03309">
        <w:rPr>
          <w:color w:val="auto"/>
        </w:rPr>
        <w:t xml:space="preserve"> ο οποίος προσέγγισε τις 110,3 </w:t>
      </w:r>
      <w:r w:rsidR="002A11B0">
        <w:rPr>
          <w:color w:val="auto"/>
        </w:rPr>
        <w:t>μονάδες</w:t>
      </w:r>
      <w:r w:rsidRPr="00F03309">
        <w:rPr>
          <w:color w:val="auto"/>
        </w:rPr>
        <w:t>. Η σταδιακή άρση των περιοριστικών μ</w:t>
      </w:r>
      <w:r w:rsidR="00E34C52">
        <w:rPr>
          <w:color w:val="auto"/>
        </w:rPr>
        <w:t>έτρων φαίνεται πως συντελεί στη</w:t>
      </w:r>
      <w:r w:rsidRPr="00F03309">
        <w:rPr>
          <w:color w:val="auto"/>
        </w:rPr>
        <w:t xml:space="preserve"> βελτίωση αυτή των προσδοκιών.</w:t>
      </w:r>
    </w:p>
    <w:p w14:paraId="37E1E886" w14:textId="4AD0EE73" w:rsidR="00F03309" w:rsidRPr="00F03309" w:rsidRDefault="00F03309" w:rsidP="00F03309">
      <w:pPr>
        <w:spacing w:after="160"/>
        <w:rPr>
          <w:color w:val="auto"/>
        </w:rPr>
      </w:pPr>
      <w:r w:rsidRPr="00F03309">
        <w:rPr>
          <w:color w:val="auto"/>
        </w:rPr>
        <w:t xml:space="preserve">Ο δείκτης καταναλωτικής </w:t>
      </w:r>
      <w:r w:rsidRPr="002A11B0">
        <w:rPr>
          <w:color w:val="auto"/>
        </w:rPr>
        <w:t xml:space="preserve">εμπιστοσύνης </w:t>
      </w:r>
      <w:r w:rsidRPr="002A11B0">
        <w:rPr>
          <w:i/>
          <w:color w:val="auto"/>
        </w:rPr>
        <w:t>(</w:t>
      </w:r>
      <w:r w:rsidRPr="002A11B0">
        <w:rPr>
          <w:i/>
          <w:color w:val="auto"/>
        </w:rPr>
        <w:fldChar w:fldCharType="begin"/>
      </w:r>
      <w:r w:rsidRPr="002A11B0">
        <w:rPr>
          <w:i/>
          <w:color w:val="auto"/>
        </w:rPr>
        <w:instrText xml:space="preserve"> REF _Ref72008837 \h </w:instrText>
      </w:r>
      <w:r w:rsidR="002A11B0" w:rsidRPr="002A11B0">
        <w:rPr>
          <w:i/>
          <w:color w:val="auto"/>
        </w:rPr>
        <w:instrText xml:space="preserve"> \* MERGEFORMAT </w:instrText>
      </w:r>
      <w:r w:rsidRPr="002A11B0">
        <w:rPr>
          <w:i/>
          <w:color w:val="auto"/>
        </w:rPr>
      </w:r>
      <w:r w:rsidRPr="002A11B0">
        <w:rPr>
          <w:i/>
          <w:color w:val="auto"/>
        </w:rPr>
        <w:fldChar w:fldCharType="separate"/>
      </w:r>
      <w:r w:rsidR="00CC05A7" w:rsidRPr="00CC05A7">
        <w:rPr>
          <w:i/>
          <w:iCs/>
          <w:color w:val="auto"/>
        </w:rPr>
        <w:t xml:space="preserve">Διάγραμμα </w:t>
      </w:r>
      <w:r w:rsidR="00CC05A7" w:rsidRPr="00CC05A7">
        <w:rPr>
          <w:i/>
          <w:iCs/>
          <w:noProof/>
          <w:color w:val="auto"/>
        </w:rPr>
        <w:t>19</w:t>
      </w:r>
      <w:r w:rsidRPr="002A11B0">
        <w:rPr>
          <w:i/>
          <w:color w:val="auto"/>
        </w:rPr>
        <w:fldChar w:fldCharType="end"/>
      </w:r>
      <w:r w:rsidRPr="002A11B0">
        <w:rPr>
          <w:color w:val="auto"/>
        </w:rPr>
        <w:t xml:space="preserve">), παρά το </w:t>
      </w:r>
      <w:r w:rsidRPr="00F03309">
        <w:rPr>
          <w:color w:val="auto"/>
        </w:rPr>
        <w:t>γεγονός ότι βελτιώθηκε σημαντικά το τελευταίο δίμηνο φτάνοντας στις -34,2 μονάδες τον Απρίλιο του 2021 (από -46,2 τον Φεβρουάριο 2021), εξακολουθεί να βρίσκεται σε έντονα αρνητικό έδαφος και στο ίδιο σχεδόν επίπεδο με τον Απρίλιο του προηγούμενο</w:t>
      </w:r>
      <w:r w:rsidR="00E34C52">
        <w:rPr>
          <w:color w:val="auto"/>
        </w:rPr>
        <w:t>υ</w:t>
      </w:r>
      <w:r w:rsidRPr="00F03309">
        <w:rPr>
          <w:color w:val="auto"/>
        </w:rPr>
        <w:t xml:space="preserve"> έτους. Σημειώνεται ότι ο δείκτης καταναλωτικής εμπιστοσύνης στην Ελλάδα υπολείπεται σημαντικά του δείκτη των χωρών της Ευρωζώνης όπου ανέρχεται στις -8,1 μονάδες τον Απρίλιο του 2021 έναντι των -21,9 μονάδων που </w:t>
      </w:r>
      <w:r w:rsidR="00311828">
        <w:rPr>
          <w:color w:val="auto"/>
        </w:rPr>
        <w:t xml:space="preserve">είχαν σημειωθεί </w:t>
      </w:r>
      <w:r w:rsidRPr="00F03309">
        <w:rPr>
          <w:color w:val="auto"/>
        </w:rPr>
        <w:t xml:space="preserve">τον Απρίλιο του 2020. </w:t>
      </w:r>
    </w:p>
    <w:p w14:paraId="70A23864" w14:textId="4A974FE1" w:rsidR="00F03309" w:rsidRPr="002A11B0" w:rsidRDefault="00F03309" w:rsidP="00F03309">
      <w:pPr>
        <w:spacing w:after="160" w:line="259" w:lineRule="auto"/>
        <w:rPr>
          <w:color w:val="00B0F0"/>
          <w:sz w:val="20"/>
          <w:szCs w:val="20"/>
        </w:rPr>
      </w:pPr>
      <w:bookmarkStart w:id="91" w:name="_Ref72008837"/>
      <w:bookmarkStart w:id="92" w:name="_Toc73435805"/>
      <w:r w:rsidRPr="002A11B0">
        <w:rPr>
          <w:noProof/>
          <w:color w:val="auto"/>
          <w:lang w:eastAsia="el-GR"/>
        </w:rPr>
        <w:drawing>
          <wp:anchor distT="0" distB="0" distL="114300" distR="114300" simplePos="0" relativeHeight="251666432" behindDoc="0" locked="0" layoutInCell="1" allowOverlap="1" wp14:anchorId="52B70677" wp14:editId="40B11B0E">
            <wp:simplePos x="0" y="0"/>
            <wp:positionH relativeFrom="margin">
              <wp:align>left</wp:align>
            </wp:positionH>
            <wp:positionV relativeFrom="paragraph">
              <wp:posOffset>257175</wp:posOffset>
            </wp:positionV>
            <wp:extent cx="2790825" cy="1914525"/>
            <wp:effectExtent l="0" t="0" r="9525" b="9525"/>
            <wp:wrapSquare wrapText="bothSides"/>
            <wp:docPr id="26" name="Chart 1">
              <a:extLst xmlns:a="http://schemas.openxmlformats.org/drawingml/2006/main">
                <a:ext uri="{FF2B5EF4-FFF2-40B4-BE49-F238E27FC236}">
                  <a16:creationId xmlns:a16="http://schemas.microsoft.com/office/drawing/2014/main" id="{0BA8862A-ADE3-41C2-A856-AEEDDE21EE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r w:rsidRPr="002A11B0">
        <w:rPr>
          <w:rFonts w:asciiTheme="minorHAnsi" w:hAnsiTheme="minorHAnsi"/>
          <w:noProof/>
          <w:color w:val="auto"/>
          <w:lang w:eastAsia="el-GR"/>
        </w:rPr>
        <w:drawing>
          <wp:anchor distT="0" distB="0" distL="114300" distR="114300" simplePos="0" relativeHeight="251667456" behindDoc="0" locked="0" layoutInCell="1" allowOverlap="1" wp14:anchorId="77CDC664" wp14:editId="6567ABE5">
            <wp:simplePos x="0" y="0"/>
            <wp:positionH relativeFrom="margin">
              <wp:posOffset>2916555</wp:posOffset>
            </wp:positionH>
            <wp:positionV relativeFrom="paragraph">
              <wp:posOffset>256540</wp:posOffset>
            </wp:positionV>
            <wp:extent cx="2657475" cy="1895475"/>
            <wp:effectExtent l="0" t="0" r="9525" b="9525"/>
            <wp:wrapSquare wrapText="bothSides"/>
            <wp:docPr id="25" name="Chart 2">
              <a:extLst xmlns:a="http://schemas.openxmlformats.org/drawingml/2006/main">
                <a:ext uri="{FF2B5EF4-FFF2-40B4-BE49-F238E27FC236}">
                  <a16:creationId xmlns:a16="http://schemas.microsoft.com/office/drawing/2014/main" id="{E5EC8DAE-3919-42DF-BCC7-C1592B2689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sidRPr="002A11B0">
        <w:rPr>
          <w:iCs/>
          <w:sz w:val="20"/>
          <w:szCs w:val="20"/>
        </w:rPr>
        <w:t xml:space="preserve">Διάγραμμα </w:t>
      </w:r>
      <w:r w:rsidRPr="002A11B0">
        <w:rPr>
          <w:iCs/>
          <w:sz w:val="20"/>
          <w:szCs w:val="20"/>
        </w:rPr>
        <w:fldChar w:fldCharType="begin"/>
      </w:r>
      <w:r w:rsidRPr="002A11B0">
        <w:rPr>
          <w:iCs/>
          <w:sz w:val="20"/>
          <w:szCs w:val="20"/>
        </w:rPr>
        <w:instrText xml:space="preserve"> SEQ Διάγραμμα \* ARABIC </w:instrText>
      </w:r>
      <w:r w:rsidRPr="002A11B0">
        <w:rPr>
          <w:iCs/>
          <w:sz w:val="20"/>
          <w:szCs w:val="20"/>
        </w:rPr>
        <w:fldChar w:fldCharType="separate"/>
      </w:r>
      <w:r w:rsidR="00CC05A7">
        <w:rPr>
          <w:iCs/>
          <w:noProof/>
          <w:sz w:val="20"/>
          <w:szCs w:val="20"/>
        </w:rPr>
        <w:t>19</w:t>
      </w:r>
      <w:r w:rsidRPr="002A11B0">
        <w:rPr>
          <w:iCs/>
          <w:sz w:val="20"/>
          <w:szCs w:val="20"/>
        </w:rPr>
        <w:fldChar w:fldCharType="end"/>
      </w:r>
      <w:bookmarkEnd w:id="91"/>
      <w:r w:rsidRPr="002A11B0">
        <w:rPr>
          <w:iCs/>
          <w:sz w:val="20"/>
          <w:szCs w:val="20"/>
        </w:rPr>
        <w:t xml:space="preserve">: </w:t>
      </w:r>
      <w:r w:rsidRPr="002A11B0">
        <w:rPr>
          <w:color w:val="00B0F0"/>
          <w:sz w:val="20"/>
          <w:szCs w:val="20"/>
        </w:rPr>
        <w:t>Δείκτες οικονομικού κλίματος και καταναλωτικής εμπιστοσύνης</w:t>
      </w:r>
      <w:bookmarkEnd w:id="92"/>
      <w:r w:rsidRPr="002A11B0">
        <w:rPr>
          <w:color w:val="00B0F0"/>
          <w:sz w:val="20"/>
          <w:szCs w:val="20"/>
        </w:rPr>
        <w:t xml:space="preserve">   </w:t>
      </w:r>
    </w:p>
    <w:p w14:paraId="128CE3A5" w14:textId="2854F005" w:rsidR="00F03309" w:rsidRPr="00F03309" w:rsidRDefault="00F03309" w:rsidP="00F03309">
      <w:pPr>
        <w:spacing w:after="0" w:line="240" w:lineRule="auto"/>
        <w:rPr>
          <w:color w:val="00B0F0"/>
          <w:sz w:val="20"/>
          <w:szCs w:val="20"/>
        </w:rPr>
      </w:pPr>
    </w:p>
    <w:p w14:paraId="4205E923" w14:textId="5D88BF3D" w:rsidR="00F03309" w:rsidRPr="002A11B0" w:rsidRDefault="00F03309" w:rsidP="00F03309">
      <w:pPr>
        <w:spacing w:after="160" w:line="259" w:lineRule="auto"/>
        <w:jc w:val="left"/>
        <w:rPr>
          <w:iCs/>
          <w:noProof/>
          <w:color w:val="00A3E0"/>
          <w:sz w:val="16"/>
          <w:szCs w:val="16"/>
        </w:rPr>
      </w:pPr>
      <w:r w:rsidRPr="002A11B0">
        <w:rPr>
          <w:iCs/>
          <w:noProof/>
          <w:color w:val="auto"/>
          <w:sz w:val="16"/>
          <w:szCs w:val="16"/>
        </w:rPr>
        <w:t>Πηγή:</w:t>
      </w:r>
      <w:r w:rsidRPr="002A11B0">
        <w:rPr>
          <w:iCs/>
          <w:noProof/>
          <w:color w:val="00A3E0"/>
          <w:sz w:val="16"/>
          <w:szCs w:val="16"/>
        </w:rPr>
        <w:t xml:space="preserve"> Eurostat (εποχικά προσαρμοσμένα στοιχεία).</w:t>
      </w:r>
    </w:p>
    <w:p w14:paraId="34B590BF" w14:textId="77777777" w:rsidR="00F03309" w:rsidRDefault="00F03309" w:rsidP="008866AA">
      <w:pPr>
        <w:spacing w:after="120"/>
        <w:rPr>
          <w:rFonts w:eastAsia="Calibri" w:cs="Times New Roman"/>
          <w:iCs/>
          <w:color w:val="auto"/>
        </w:rPr>
      </w:pPr>
    </w:p>
    <w:p w14:paraId="41A0B0B6" w14:textId="7287D217" w:rsidR="007F0532" w:rsidRPr="00C71748" w:rsidRDefault="007F0532" w:rsidP="007F0532">
      <w:pPr>
        <w:rPr>
          <w:color w:val="auto"/>
        </w:rPr>
      </w:pPr>
      <w:r w:rsidRPr="00C71748">
        <w:rPr>
          <w:color w:val="auto"/>
        </w:rPr>
        <w:t>Ο σύνθετος δείκτης υπευθύνων προμηθειών (</w:t>
      </w:r>
      <w:r w:rsidRPr="00C71748">
        <w:rPr>
          <w:color w:val="auto"/>
          <w:lang w:val="en-US"/>
        </w:rPr>
        <w:t>PMI</w:t>
      </w:r>
      <w:r w:rsidRPr="00C71748">
        <w:rPr>
          <w:color w:val="auto"/>
        </w:rPr>
        <w:t xml:space="preserve">) </w:t>
      </w:r>
      <w:r w:rsidR="00311828" w:rsidRPr="00C71748">
        <w:rPr>
          <w:color w:val="auto"/>
        </w:rPr>
        <w:t>της εταιρείας ΙΗ</w:t>
      </w:r>
      <w:r w:rsidR="00311828" w:rsidRPr="00C71748">
        <w:rPr>
          <w:color w:val="auto"/>
          <w:lang w:val="en-US"/>
        </w:rPr>
        <w:t>S</w:t>
      </w:r>
      <w:r w:rsidR="00311828" w:rsidRPr="00C71748">
        <w:rPr>
          <w:color w:val="auto"/>
        </w:rPr>
        <w:t xml:space="preserve"> </w:t>
      </w:r>
      <w:r w:rsidR="00311828" w:rsidRPr="00C71748">
        <w:rPr>
          <w:color w:val="auto"/>
          <w:lang w:val="en-US"/>
        </w:rPr>
        <w:t>Markit</w:t>
      </w:r>
      <w:r w:rsidR="00311828" w:rsidRPr="00C71748">
        <w:rPr>
          <w:color w:val="auto"/>
        </w:rPr>
        <w:t xml:space="preserve"> </w:t>
      </w:r>
      <w:r w:rsidR="00311828">
        <w:rPr>
          <w:color w:val="auto"/>
        </w:rPr>
        <w:t>στη</w:t>
      </w:r>
      <w:r w:rsidRPr="00C71748">
        <w:rPr>
          <w:color w:val="auto"/>
        </w:rPr>
        <w:t xml:space="preserve"> μεταποίηση </w:t>
      </w:r>
      <w:r w:rsidRPr="002A11B0">
        <w:rPr>
          <w:i/>
          <w:color w:val="auto"/>
        </w:rPr>
        <w:t>(</w:t>
      </w:r>
      <w:r w:rsidRPr="002A11B0">
        <w:rPr>
          <w:i/>
          <w:color w:val="auto"/>
        </w:rPr>
        <w:fldChar w:fldCharType="begin"/>
      </w:r>
      <w:r w:rsidRPr="002A11B0">
        <w:rPr>
          <w:i/>
          <w:color w:val="auto"/>
        </w:rPr>
        <w:instrText xml:space="preserve"> REF _Ref71890195 \h </w:instrText>
      </w:r>
      <w:r w:rsidR="002A11B0" w:rsidRPr="002A11B0">
        <w:rPr>
          <w:i/>
          <w:color w:val="auto"/>
        </w:rPr>
        <w:instrText xml:space="preserve"> \* MERGEFORMAT </w:instrText>
      </w:r>
      <w:r w:rsidRPr="002A11B0">
        <w:rPr>
          <w:i/>
          <w:color w:val="auto"/>
        </w:rPr>
      </w:r>
      <w:r w:rsidRPr="002A11B0">
        <w:rPr>
          <w:i/>
          <w:color w:val="auto"/>
        </w:rPr>
        <w:fldChar w:fldCharType="separate"/>
      </w:r>
      <w:r w:rsidR="00CC05A7" w:rsidRPr="00CC05A7">
        <w:rPr>
          <w:i/>
          <w:color w:val="auto"/>
        </w:rPr>
        <w:t xml:space="preserve">Διάγραμμα </w:t>
      </w:r>
      <w:r w:rsidR="00CC05A7" w:rsidRPr="00CC05A7">
        <w:rPr>
          <w:i/>
          <w:noProof/>
          <w:color w:val="auto"/>
        </w:rPr>
        <w:t>20</w:t>
      </w:r>
      <w:r w:rsidRPr="002A11B0">
        <w:rPr>
          <w:i/>
          <w:color w:val="auto"/>
        </w:rPr>
        <w:fldChar w:fldCharType="end"/>
      </w:r>
      <w:r w:rsidRPr="00C71748">
        <w:rPr>
          <w:color w:val="auto"/>
        </w:rPr>
        <w:t xml:space="preserve">) </w:t>
      </w:r>
      <w:r w:rsidR="005236B1">
        <w:rPr>
          <w:color w:val="auto"/>
        </w:rPr>
        <w:t>βελτιώθ</w:t>
      </w:r>
      <w:r w:rsidR="005236B1" w:rsidRPr="00C71748">
        <w:rPr>
          <w:color w:val="auto"/>
        </w:rPr>
        <w:t>η</w:t>
      </w:r>
      <w:r w:rsidR="005236B1">
        <w:rPr>
          <w:color w:val="auto"/>
        </w:rPr>
        <w:t>κε</w:t>
      </w:r>
      <w:r w:rsidRPr="00C71748">
        <w:rPr>
          <w:color w:val="auto"/>
        </w:rPr>
        <w:t xml:space="preserve"> στην Ελλάδα τον μήνα Απρίλιο</w:t>
      </w:r>
      <w:r w:rsidR="002A11B0" w:rsidRPr="002A11B0">
        <w:rPr>
          <w:color w:val="auto"/>
        </w:rPr>
        <w:t>,</w:t>
      </w:r>
      <w:r w:rsidRPr="00C71748">
        <w:rPr>
          <w:color w:val="auto"/>
        </w:rPr>
        <w:t xml:space="preserve"> για δεύτερο συνεχόμενο μήνα</w:t>
      </w:r>
      <w:r w:rsidR="002A11B0" w:rsidRPr="002A11B0">
        <w:rPr>
          <w:color w:val="auto"/>
        </w:rPr>
        <w:t>,</w:t>
      </w:r>
      <w:r w:rsidR="00375794">
        <w:rPr>
          <w:color w:val="auto"/>
        </w:rPr>
        <w:t xml:space="preserve"> συνεισφέροντας στη διαμόρφωση</w:t>
      </w:r>
      <w:r w:rsidRPr="00C71748">
        <w:rPr>
          <w:color w:val="auto"/>
        </w:rPr>
        <w:t xml:space="preserve"> μιας πεντάμηνης ανοδικής τάσης</w:t>
      </w:r>
      <w:r w:rsidR="00C93B02">
        <w:rPr>
          <w:color w:val="auto"/>
        </w:rPr>
        <w:t xml:space="preserve"> </w:t>
      </w:r>
      <w:r w:rsidRPr="00C71748">
        <w:rPr>
          <w:color w:val="auto"/>
        </w:rPr>
        <w:t>από τον περασμένο Νοέμβριο</w:t>
      </w:r>
      <w:r w:rsidR="00C93B02">
        <w:rPr>
          <w:color w:val="auto"/>
        </w:rPr>
        <w:t xml:space="preserve">. Η εξέλιξη αυτή </w:t>
      </w:r>
      <w:r w:rsidRPr="00C71748">
        <w:rPr>
          <w:color w:val="auto"/>
        </w:rPr>
        <w:t>έχει φέρει το επίπεδο του δείκτη υψηλότερα από τις πενήντα μονάδες,</w:t>
      </w:r>
      <w:r w:rsidR="005236B1">
        <w:rPr>
          <w:color w:val="auto"/>
        </w:rPr>
        <w:t xml:space="preserve"> δείχνοντας ότι </w:t>
      </w:r>
      <w:r w:rsidR="00C93B02">
        <w:rPr>
          <w:color w:val="auto"/>
        </w:rPr>
        <w:t>πλειοψηφ</w:t>
      </w:r>
      <w:r w:rsidR="005236B1">
        <w:rPr>
          <w:color w:val="auto"/>
        </w:rPr>
        <w:t>ούν</w:t>
      </w:r>
      <w:r w:rsidRPr="00C71748">
        <w:rPr>
          <w:color w:val="auto"/>
        </w:rPr>
        <w:t xml:space="preserve"> </w:t>
      </w:r>
      <w:r w:rsidR="005236B1">
        <w:rPr>
          <w:color w:val="auto"/>
        </w:rPr>
        <w:t>οι θετικές</w:t>
      </w:r>
      <w:r w:rsidRPr="00C71748">
        <w:rPr>
          <w:color w:val="auto"/>
        </w:rPr>
        <w:t xml:space="preserve"> </w:t>
      </w:r>
      <w:r w:rsidR="005236B1">
        <w:rPr>
          <w:color w:val="auto"/>
        </w:rPr>
        <w:t xml:space="preserve">προβλέψεις </w:t>
      </w:r>
      <w:r w:rsidRPr="00C71748">
        <w:rPr>
          <w:color w:val="auto"/>
        </w:rPr>
        <w:t xml:space="preserve">για την πορεία του κλάδου (ευνοϊκό κλίμα). Σε σύγκριση με τα επίπεδα των χωρών της Ευρωζώνης (ΕΖ), ο δείκτης στην Ελλάδα </w:t>
      </w:r>
      <w:r w:rsidR="00C93B02" w:rsidRPr="00C71748">
        <w:rPr>
          <w:color w:val="auto"/>
        </w:rPr>
        <w:t>βρίσκεται</w:t>
      </w:r>
      <w:r w:rsidRPr="00C71748">
        <w:rPr>
          <w:color w:val="auto"/>
        </w:rPr>
        <w:t xml:space="preserve"> χαμηλότερα (54,4 στην Ελλάδα έναντι 62,9 στην ΕΖ)</w:t>
      </w:r>
      <w:r w:rsidR="00C93B02">
        <w:rPr>
          <w:color w:val="auto"/>
        </w:rPr>
        <w:t>,</w:t>
      </w:r>
      <w:r w:rsidR="005236B1">
        <w:rPr>
          <w:color w:val="auto"/>
        </w:rPr>
        <w:t xml:space="preserve"> γεγονός που οφείλεται στη</w:t>
      </w:r>
      <w:r w:rsidRPr="00C71748">
        <w:rPr>
          <w:color w:val="auto"/>
        </w:rPr>
        <w:t xml:space="preserve"> </w:t>
      </w:r>
      <w:r w:rsidR="00C93B02">
        <w:rPr>
          <w:color w:val="auto"/>
        </w:rPr>
        <w:t>μεγάλη πτώση π</w:t>
      </w:r>
      <w:r w:rsidRPr="00C71748">
        <w:rPr>
          <w:color w:val="auto"/>
        </w:rPr>
        <w:t xml:space="preserve">ου υπέστη τον </w:t>
      </w:r>
      <w:r w:rsidR="00C93B02" w:rsidRPr="00C71748">
        <w:rPr>
          <w:color w:val="auto"/>
        </w:rPr>
        <w:t>προηγούμενο</w:t>
      </w:r>
      <w:r w:rsidRPr="00C71748">
        <w:rPr>
          <w:color w:val="auto"/>
        </w:rPr>
        <w:t xml:space="preserve"> Νοέμβριο (42,3 μονάδες έναντι 53,8 στην ΕΖ) από την οποία ανακάμπτει τους τελευταίους μήνες, αλλά με ρυθμό όχι σημαντικά μεγαλύτερο από αυτόν των χωρών της ΕΖ.</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2"/>
      </w:tblGrid>
      <w:tr w:rsidR="007F0532" w:rsidRPr="002A11B0" w14:paraId="66A139DD" w14:textId="77777777" w:rsidTr="00F233A7">
        <w:tc>
          <w:tcPr>
            <w:tcW w:w="8306" w:type="dxa"/>
          </w:tcPr>
          <w:p w14:paraId="4CA81101" w14:textId="72F0AD0F" w:rsidR="007F0532" w:rsidRPr="002A11B0" w:rsidRDefault="007F0532" w:rsidP="00F233A7">
            <w:pPr>
              <w:jc w:val="left"/>
              <w:rPr>
                <w:sz w:val="20"/>
                <w:szCs w:val="20"/>
              </w:rPr>
            </w:pPr>
            <w:bookmarkStart w:id="93" w:name="_Ref71890195"/>
            <w:bookmarkStart w:id="94" w:name="_Toc73435806"/>
            <w:r w:rsidRPr="002A11B0">
              <w:rPr>
                <w:sz w:val="20"/>
                <w:szCs w:val="20"/>
              </w:rPr>
              <w:t xml:space="preserve">Διάγραμμα </w:t>
            </w:r>
            <w:r w:rsidRPr="002A11B0">
              <w:rPr>
                <w:i/>
                <w:sz w:val="20"/>
                <w:szCs w:val="20"/>
              </w:rPr>
              <w:fldChar w:fldCharType="begin"/>
            </w:r>
            <w:r w:rsidRPr="002A11B0">
              <w:rPr>
                <w:sz w:val="20"/>
                <w:szCs w:val="20"/>
              </w:rPr>
              <w:instrText xml:space="preserve"> SEQ Διάγραμμα \* ARABIC </w:instrText>
            </w:r>
            <w:r w:rsidRPr="002A11B0">
              <w:rPr>
                <w:i/>
                <w:sz w:val="20"/>
                <w:szCs w:val="20"/>
              </w:rPr>
              <w:fldChar w:fldCharType="separate"/>
            </w:r>
            <w:r w:rsidR="00CC05A7">
              <w:rPr>
                <w:noProof/>
                <w:sz w:val="20"/>
                <w:szCs w:val="20"/>
              </w:rPr>
              <w:t>20</w:t>
            </w:r>
            <w:r w:rsidRPr="002A11B0">
              <w:rPr>
                <w:i/>
                <w:sz w:val="20"/>
                <w:szCs w:val="20"/>
              </w:rPr>
              <w:fldChar w:fldCharType="end"/>
            </w:r>
            <w:bookmarkEnd w:id="93"/>
            <w:r w:rsidRPr="002A11B0">
              <w:rPr>
                <w:sz w:val="20"/>
                <w:szCs w:val="20"/>
              </w:rPr>
              <w:t xml:space="preserve">: </w:t>
            </w:r>
            <w:r w:rsidRPr="002A11B0">
              <w:rPr>
                <w:color w:val="00A3E0"/>
                <w:sz w:val="20"/>
                <w:szCs w:val="20"/>
              </w:rPr>
              <w:t xml:space="preserve">Δείκτης Υπευθύνων Προμηθειών στη Μεταποίηση </w:t>
            </w:r>
            <w:r w:rsidRPr="002A11B0">
              <w:rPr>
                <w:color w:val="00A3E0"/>
                <w:sz w:val="20"/>
                <w:szCs w:val="20"/>
                <w:lang w:val="en-US"/>
              </w:rPr>
              <w:t>PMI</w:t>
            </w:r>
            <w:bookmarkEnd w:id="94"/>
            <w:r w:rsidRPr="002A11B0">
              <w:rPr>
                <w:color w:val="00A3E0"/>
                <w:sz w:val="20"/>
                <w:szCs w:val="20"/>
              </w:rPr>
              <w:t xml:space="preserve"> </w:t>
            </w:r>
          </w:p>
        </w:tc>
      </w:tr>
      <w:tr w:rsidR="007F0532" w14:paraId="73085639" w14:textId="77777777" w:rsidTr="00F233A7">
        <w:tc>
          <w:tcPr>
            <w:tcW w:w="8306" w:type="dxa"/>
          </w:tcPr>
          <w:p w14:paraId="5235BFB5" w14:textId="77777777" w:rsidR="007F0532" w:rsidRPr="003B738B" w:rsidRDefault="007F0532" w:rsidP="00F233A7">
            <w:pPr>
              <w:jc w:val="center"/>
              <w:rPr>
                <w:noProof/>
                <w:sz w:val="12"/>
                <w:szCs w:val="12"/>
                <w:lang w:eastAsia="el-GR"/>
              </w:rPr>
            </w:pPr>
            <w:r>
              <w:rPr>
                <w:noProof/>
                <w:lang w:eastAsia="el-GR"/>
              </w:rPr>
              <w:drawing>
                <wp:inline distT="0" distB="0" distL="0" distR="0" wp14:anchorId="76A20934" wp14:editId="2AEA21CE">
                  <wp:extent cx="5274310" cy="2657475"/>
                  <wp:effectExtent l="0" t="0" r="2540" b="0"/>
                  <wp:docPr id="23" name="Chart 12">
                    <a:extLst xmlns:a="http://schemas.openxmlformats.org/drawingml/2006/main">
                      <a:ext uri="{FF2B5EF4-FFF2-40B4-BE49-F238E27FC236}">
                        <a16:creationId xmlns:a16="http://schemas.microsoft.com/office/drawing/2014/main" id="{375B228B-8AC1-4539-8F90-AF2B94A0AE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r w:rsidR="007F0532" w:rsidRPr="002A11B0" w14:paraId="43C84F96" w14:textId="77777777" w:rsidTr="00F233A7">
        <w:tc>
          <w:tcPr>
            <w:tcW w:w="8306" w:type="dxa"/>
          </w:tcPr>
          <w:p w14:paraId="21E0AFE3" w14:textId="0DC8929A" w:rsidR="007F0532" w:rsidRPr="002A11B0" w:rsidRDefault="007F0532" w:rsidP="002A11B0">
            <w:pPr>
              <w:rPr>
                <w:sz w:val="16"/>
                <w:szCs w:val="16"/>
              </w:rPr>
            </w:pPr>
            <w:r w:rsidRPr="002A11B0">
              <w:rPr>
                <w:b/>
                <w:sz w:val="16"/>
                <w:szCs w:val="16"/>
              </w:rPr>
              <w:t>Πηγή:</w:t>
            </w:r>
            <w:r w:rsidRPr="002A11B0">
              <w:rPr>
                <w:i/>
                <w:sz w:val="16"/>
                <w:szCs w:val="16"/>
              </w:rPr>
              <w:t xml:space="preserve"> </w:t>
            </w:r>
            <w:r w:rsidR="002A11B0" w:rsidRPr="002A11B0">
              <w:rPr>
                <w:i/>
                <w:color w:val="00A3E0"/>
                <w:sz w:val="16"/>
                <w:szCs w:val="16"/>
                <w:lang w:val="en-US"/>
              </w:rPr>
              <w:t>HIS</w:t>
            </w:r>
            <w:r w:rsidR="002A11B0" w:rsidRPr="009C3CE1">
              <w:rPr>
                <w:i/>
                <w:color w:val="00A3E0"/>
                <w:sz w:val="16"/>
                <w:szCs w:val="16"/>
              </w:rPr>
              <w:t xml:space="preserve"> </w:t>
            </w:r>
            <w:r w:rsidRPr="002A11B0">
              <w:rPr>
                <w:i/>
                <w:color w:val="00A3E0"/>
                <w:sz w:val="16"/>
                <w:szCs w:val="16"/>
                <w:lang w:val="en-US"/>
              </w:rPr>
              <w:t>Markit</w:t>
            </w:r>
            <w:r w:rsidRPr="009C3CE1">
              <w:rPr>
                <w:i/>
                <w:color w:val="00A3E0"/>
                <w:sz w:val="16"/>
                <w:szCs w:val="16"/>
              </w:rPr>
              <w:t xml:space="preserve"> </w:t>
            </w:r>
            <w:r w:rsidRPr="002A11B0">
              <w:rPr>
                <w:i/>
                <w:color w:val="00A3E0"/>
                <w:sz w:val="16"/>
                <w:szCs w:val="16"/>
                <w:lang w:val="en-US"/>
              </w:rPr>
              <w:t>Economics</w:t>
            </w:r>
            <w:r w:rsidRPr="002A11B0">
              <w:rPr>
                <w:i/>
                <w:color w:val="00A3E0"/>
                <w:sz w:val="16"/>
                <w:szCs w:val="16"/>
              </w:rPr>
              <w:t xml:space="preserve">, Εποχικά Προσαρμοσμένα Στοιχεία </w:t>
            </w:r>
          </w:p>
        </w:tc>
      </w:tr>
    </w:tbl>
    <w:p w14:paraId="02EA4BF0" w14:textId="77777777" w:rsidR="007F0532" w:rsidRDefault="007F0532" w:rsidP="008866AA">
      <w:pPr>
        <w:spacing w:after="120"/>
        <w:rPr>
          <w:rFonts w:eastAsia="Calibri" w:cs="Times New Roman"/>
          <w:iCs/>
          <w:color w:val="auto"/>
        </w:rPr>
      </w:pPr>
    </w:p>
    <w:p w14:paraId="08F9D202" w14:textId="37F6CF6A" w:rsidR="007F0532" w:rsidRPr="00C71748" w:rsidRDefault="007F0532" w:rsidP="007F0532">
      <w:pPr>
        <w:rPr>
          <w:color w:val="auto"/>
        </w:rPr>
      </w:pPr>
      <w:r w:rsidRPr="00C71748">
        <w:rPr>
          <w:color w:val="auto"/>
        </w:rPr>
        <w:t xml:space="preserve">Τα διαθέσιμα στοιχεία βιομηχανικής παραγωγής για τον μήνα Μάρτιο </w:t>
      </w:r>
      <w:r w:rsidRPr="002A11B0">
        <w:rPr>
          <w:i/>
          <w:color w:val="auto"/>
        </w:rPr>
        <w:t>(</w:t>
      </w:r>
      <w:r w:rsidRPr="002A11B0">
        <w:rPr>
          <w:i/>
          <w:color w:val="auto"/>
        </w:rPr>
        <w:fldChar w:fldCharType="begin"/>
      </w:r>
      <w:r w:rsidRPr="002A11B0">
        <w:rPr>
          <w:i/>
          <w:color w:val="auto"/>
        </w:rPr>
        <w:instrText xml:space="preserve"> REF _Ref514325780 \h </w:instrText>
      </w:r>
      <w:r w:rsidR="002A11B0" w:rsidRPr="002A11B0">
        <w:rPr>
          <w:i/>
          <w:color w:val="auto"/>
        </w:rPr>
        <w:instrText xml:space="preserve"> \* MERGEFORMAT </w:instrText>
      </w:r>
      <w:r w:rsidRPr="002A11B0">
        <w:rPr>
          <w:i/>
          <w:color w:val="auto"/>
        </w:rPr>
      </w:r>
      <w:r w:rsidRPr="002A11B0">
        <w:rPr>
          <w:i/>
          <w:color w:val="auto"/>
        </w:rPr>
        <w:fldChar w:fldCharType="separate"/>
      </w:r>
      <w:r w:rsidR="00CC05A7" w:rsidRPr="00CC05A7">
        <w:rPr>
          <w:i/>
          <w:color w:val="auto"/>
        </w:rPr>
        <w:t xml:space="preserve">Διάγραμμα </w:t>
      </w:r>
      <w:r w:rsidR="00CC05A7" w:rsidRPr="00CC05A7">
        <w:rPr>
          <w:i/>
          <w:noProof/>
          <w:color w:val="auto"/>
        </w:rPr>
        <w:t>21</w:t>
      </w:r>
      <w:r w:rsidRPr="002A11B0">
        <w:rPr>
          <w:i/>
          <w:color w:val="auto"/>
        </w:rPr>
        <w:fldChar w:fldCharType="end"/>
      </w:r>
      <w:r w:rsidRPr="002A11B0">
        <w:rPr>
          <w:i/>
          <w:color w:val="auto"/>
        </w:rPr>
        <w:t>)</w:t>
      </w:r>
      <w:r w:rsidRPr="002A11B0">
        <w:rPr>
          <w:color w:val="auto"/>
        </w:rPr>
        <w:t xml:space="preserve"> </w:t>
      </w:r>
      <w:r w:rsidRPr="00C71748">
        <w:rPr>
          <w:color w:val="auto"/>
        </w:rPr>
        <w:t xml:space="preserve">δείχνουν μια σταθερά ανοδική πορεία για τον γενικό δείκτη και τον δείκτη μεταποίησης τουλάχιστον από τον περασμένο Ιούνιο. Η αύξηση για το διάστημα αυτό είναι </w:t>
      </w:r>
      <w:r w:rsidR="00C93B02">
        <w:rPr>
          <w:color w:val="auto"/>
        </w:rPr>
        <w:t xml:space="preserve">ωστόσο </w:t>
      </w:r>
      <w:r w:rsidRPr="00C71748">
        <w:rPr>
          <w:color w:val="auto"/>
        </w:rPr>
        <w:t xml:space="preserve">οριακά μικρότερη για την Ελλάδα σε σχέση με τον ευρωπαϊκό μέσο όρο (ΕΕ 27). Στους άλλους επιμέρους τομείς, η Ελλάδα κατέγραψε αύξηση παραγωγής από τον περασμένο Ιούνιο τόσο στα </w:t>
      </w:r>
      <w:r w:rsidR="00C93B02">
        <w:rPr>
          <w:color w:val="auto"/>
        </w:rPr>
        <w:t>«ορυχεία – λ</w:t>
      </w:r>
      <w:r w:rsidRPr="00C71748">
        <w:rPr>
          <w:color w:val="auto"/>
        </w:rPr>
        <w:t>ατομεία</w:t>
      </w:r>
      <w:r w:rsidR="00C93B02">
        <w:rPr>
          <w:color w:val="auto"/>
        </w:rPr>
        <w:t>»</w:t>
      </w:r>
      <w:r w:rsidRPr="00C71748">
        <w:rPr>
          <w:color w:val="auto"/>
        </w:rPr>
        <w:t xml:space="preserve">, όσο και στην </w:t>
      </w:r>
      <w:r w:rsidR="00C93B02">
        <w:rPr>
          <w:color w:val="auto"/>
        </w:rPr>
        <w:t>«</w:t>
      </w:r>
      <w:r w:rsidRPr="00C71748">
        <w:rPr>
          <w:color w:val="auto"/>
        </w:rPr>
        <w:t>παραγωγή ενέργειας</w:t>
      </w:r>
      <w:r w:rsidR="00C93B02">
        <w:rPr>
          <w:color w:val="auto"/>
        </w:rPr>
        <w:t>»</w:t>
      </w:r>
      <w:r w:rsidRPr="00C71748">
        <w:rPr>
          <w:color w:val="auto"/>
        </w:rPr>
        <w:t xml:space="preserve">. Η αύξηση είναι μεγαλύτερη από τον ευρωπαϊκό μέσο όρο, αλλά παρουσιάζει μεγαλύτερη μηνιαία μεταβλητότητα.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6"/>
        <w:gridCol w:w="4156"/>
      </w:tblGrid>
      <w:tr w:rsidR="007F0532" w:rsidRPr="002A11B0" w14:paraId="05BB8D0D" w14:textId="77777777" w:rsidTr="00F233A7">
        <w:tc>
          <w:tcPr>
            <w:tcW w:w="8306" w:type="dxa"/>
            <w:gridSpan w:val="2"/>
          </w:tcPr>
          <w:p w14:paraId="72FA41CF" w14:textId="1FC1DEAD" w:rsidR="007F0532" w:rsidRPr="002A11B0" w:rsidRDefault="007F0532" w:rsidP="00F233A7">
            <w:pPr>
              <w:jc w:val="left"/>
              <w:rPr>
                <w:color w:val="00A3E0"/>
                <w:sz w:val="20"/>
                <w:szCs w:val="20"/>
              </w:rPr>
            </w:pPr>
            <w:bookmarkStart w:id="95" w:name="_Ref514325780"/>
            <w:bookmarkStart w:id="96" w:name="_Toc73435807"/>
            <w:bookmarkStart w:id="97" w:name="_Ref514325764"/>
            <w:r w:rsidRPr="002A11B0">
              <w:rPr>
                <w:sz w:val="20"/>
                <w:szCs w:val="20"/>
              </w:rPr>
              <w:t xml:space="preserve">Διάγραμμα </w:t>
            </w:r>
            <w:r w:rsidRPr="002A11B0">
              <w:rPr>
                <w:i/>
                <w:sz w:val="20"/>
                <w:szCs w:val="20"/>
              </w:rPr>
              <w:fldChar w:fldCharType="begin"/>
            </w:r>
            <w:r w:rsidRPr="002A11B0">
              <w:rPr>
                <w:sz w:val="20"/>
                <w:szCs w:val="20"/>
              </w:rPr>
              <w:instrText xml:space="preserve"> SEQ Διάγραμμα \* ARABIC </w:instrText>
            </w:r>
            <w:r w:rsidRPr="002A11B0">
              <w:rPr>
                <w:i/>
                <w:sz w:val="20"/>
                <w:szCs w:val="20"/>
              </w:rPr>
              <w:fldChar w:fldCharType="separate"/>
            </w:r>
            <w:r w:rsidR="00CC05A7">
              <w:rPr>
                <w:noProof/>
                <w:sz w:val="20"/>
                <w:szCs w:val="20"/>
              </w:rPr>
              <w:t>21</w:t>
            </w:r>
            <w:r w:rsidRPr="002A11B0">
              <w:rPr>
                <w:i/>
                <w:sz w:val="20"/>
                <w:szCs w:val="20"/>
              </w:rPr>
              <w:fldChar w:fldCharType="end"/>
            </w:r>
            <w:bookmarkEnd w:id="95"/>
            <w:r w:rsidRPr="002A11B0">
              <w:rPr>
                <w:sz w:val="20"/>
                <w:szCs w:val="20"/>
              </w:rPr>
              <w:t xml:space="preserve">: </w:t>
            </w:r>
            <w:r w:rsidRPr="002A11B0">
              <w:rPr>
                <w:color w:val="00A3E0"/>
                <w:sz w:val="20"/>
                <w:szCs w:val="20"/>
              </w:rPr>
              <w:t>Δείκτες Βιομηχανικής Παραγωγής</w:t>
            </w:r>
            <w:bookmarkEnd w:id="96"/>
            <w:r w:rsidRPr="002A11B0">
              <w:rPr>
                <w:color w:val="00A3E0"/>
                <w:sz w:val="20"/>
                <w:szCs w:val="20"/>
              </w:rPr>
              <w:t xml:space="preserve"> </w:t>
            </w:r>
            <w:bookmarkEnd w:id="97"/>
          </w:p>
        </w:tc>
      </w:tr>
      <w:tr w:rsidR="007F0532" w14:paraId="73C024C2" w14:textId="77777777" w:rsidTr="00F233A7">
        <w:tc>
          <w:tcPr>
            <w:tcW w:w="4153" w:type="dxa"/>
          </w:tcPr>
          <w:p w14:paraId="071EE01A" w14:textId="77777777" w:rsidR="007F0532" w:rsidRPr="00A45861" w:rsidRDefault="007F0532" w:rsidP="00F233A7">
            <w:pPr>
              <w:jc w:val="center"/>
              <w:rPr>
                <w:b/>
                <w:color w:val="00A3E0"/>
                <w:sz w:val="20"/>
                <w:szCs w:val="20"/>
                <w:lang w:val="en-US"/>
              </w:rPr>
            </w:pPr>
            <w:r w:rsidRPr="00C950E5">
              <w:rPr>
                <w:b/>
                <w:color w:val="00A3E0"/>
                <w:sz w:val="20"/>
                <w:szCs w:val="20"/>
              </w:rPr>
              <w:t>Γενικ</w:t>
            </w:r>
            <w:r>
              <w:rPr>
                <w:b/>
                <w:color w:val="00A3E0"/>
                <w:sz w:val="20"/>
                <w:szCs w:val="20"/>
              </w:rPr>
              <w:t>ός Δείκτης</w:t>
            </w:r>
          </w:p>
          <w:p w14:paraId="4687F7A6" w14:textId="77777777" w:rsidR="007F0532" w:rsidRPr="00C950E5" w:rsidRDefault="007F0532" w:rsidP="00F233A7">
            <w:pPr>
              <w:jc w:val="center"/>
              <w:rPr>
                <w:b/>
                <w:color w:val="00A3E0"/>
                <w:sz w:val="20"/>
                <w:szCs w:val="20"/>
              </w:rPr>
            </w:pPr>
            <w:r>
              <w:rPr>
                <w:noProof/>
                <w:lang w:eastAsia="el-GR"/>
              </w:rPr>
              <w:drawing>
                <wp:inline distT="0" distB="0" distL="0" distR="0" wp14:anchorId="0E0872A9" wp14:editId="3A6D2D1A">
                  <wp:extent cx="2505600" cy="2415600"/>
                  <wp:effectExtent l="0" t="0" r="0" b="3810"/>
                  <wp:docPr id="11" name="Chart 4">
                    <a:extLst xmlns:a="http://schemas.openxmlformats.org/drawingml/2006/main">
                      <a:ext uri="{FF2B5EF4-FFF2-40B4-BE49-F238E27FC236}">
                        <a16:creationId xmlns:a16="http://schemas.microsoft.com/office/drawing/2014/main" id="{4AB71A72-1CE1-4630-822C-68BE43D52E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c>
          <w:tcPr>
            <w:tcW w:w="4153" w:type="dxa"/>
          </w:tcPr>
          <w:p w14:paraId="6934699A" w14:textId="77777777" w:rsidR="007F0532" w:rsidRDefault="007F0532" w:rsidP="00F233A7">
            <w:pPr>
              <w:jc w:val="center"/>
              <w:rPr>
                <w:b/>
                <w:color w:val="00A3E0"/>
                <w:sz w:val="20"/>
                <w:szCs w:val="20"/>
              </w:rPr>
            </w:pPr>
            <w:r>
              <w:rPr>
                <w:b/>
                <w:color w:val="00A3E0"/>
                <w:sz w:val="20"/>
                <w:szCs w:val="20"/>
              </w:rPr>
              <w:t>Ορυχεία</w:t>
            </w:r>
          </w:p>
          <w:p w14:paraId="1AC43208" w14:textId="77777777" w:rsidR="007F0532" w:rsidRPr="00C950E5" w:rsidRDefault="007F0532" w:rsidP="00F233A7">
            <w:pPr>
              <w:jc w:val="center"/>
              <w:rPr>
                <w:b/>
                <w:sz w:val="20"/>
                <w:szCs w:val="20"/>
              </w:rPr>
            </w:pPr>
            <w:r>
              <w:rPr>
                <w:noProof/>
                <w:lang w:eastAsia="el-GR"/>
              </w:rPr>
              <w:drawing>
                <wp:inline distT="0" distB="0" distL="0" distR="0" wp14:anchorId="6C9C81F2" wp14:editId="0968119F">
                  <wp:extent cx="2505600" cy="2415600"/>
                  <wp:effectExtent l="0" t="0" r="0" b="3810"/>
                  <wp:docPr id="15" name="Chart 5">
                    <a:extLst xmlns:a="http://schemas.openxmlformats.org/drawingml/2006/main">
                      <a:ext uri="{FF2B5EF4-FFF2-40B4-BE49-F238E27FC236}">
                        <a16:creationId xmlns:a16="http://schemas.microsoft.com/office/drawing/2014/main" id="{493D2FB3-1EF5-46B1-994F-4D1DB395D7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r w:rsidR="007F0532" w14:paraId="0A0ECEB1" w14:textId="77777777" w:rsidTr="00F233A7">
        <w:tc>
          <w:tcPr>
            <w:tcW w:w="4153" w:type="dxa"/>
          </w:tcPr>
          <w:p w14:paraId="2D4F2E19" w14:textId="77777777" w:rsidR="007F0532" w:rsidRDefault="007F0532" w:rsidP="00F233A7">
            <w:pPr>
              <w:jc w:val="center"/>
              <w:rPr>
                <w:b/>
                <w:color w:val="00A3E0"/>
                <w:sz w:val="20"/>
                <w:szCs w:val="20"/>
              </w:rPr>
            </w:pPr>
            <w:r>
              <w:rPr>
                <w:b/>
                <w:color w:val="00A3E0"/>
                <w:sz w:val="20"/>
                <w:szCs w:val="20"/>
              </w:rPr>
              <w:t>Μεταποίηση</w:t>
            </w:r>
          </w:p>
          <w:p w14:paraId="51A8463B" w14:textId="77777777" w:rsidR="007F0532" w:rsidRPr="00FF3B0A" w:rsidRDefault="007F0532" w:rsidP="00F233A7">
            <w:pPr>
              <w:jc w:val="center"/>
              <w:rPr>
                <w:b/>
              </w:rPr>
            </w:pPr>
            <w:r>
              <w:rPr>
                <w:noProof/>
                <w:lang w:eastAsia="el-GR"/>
              </w:rPr>
              <w:drawing>
                <wp:inline distT="0" distB="0" distL="0" distR="0" wp14:anchorId="5D9A88BB" wp14:editId="7878A5B3">
                  <wp:extent cx="2505600" cy="2415600"/>
                  <wp:effectExtent l="0" t="0" r="0" b="3810"/>
                  <wp:docPr id="19" name="Chart 6">
                    <a:extLst xmlns:a="http://schemas.openxmlformats.org/drawingml/2006/main">
                      <a:ext uri="{FF2B5EF4-FFF2-40B4-BE49-F238E27FC236}">
                        <a16:creationId xmlns:a16="http://schemas.microsoft.com/office/drawing/2014/main" id="{CA8AD31D-4AC0-4458-9004-3E9A6C7DFA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c>
          <w:tcPr>
            <w:tcW w:w="4153" w:type="dxa"/>
          </w:tcPr>
          <w:p w14:paraId="3F9B1469" w14:textId="77777777" w:rsidR="007F0532" w:rsidRDefault="007F0532" w:rsidP="00F233A7">
            <w:pPr>
              <w:jc w:val="center"/>
              <w:rPr>
                <w:noProof/>
              </w:rPr>
            </w:pPr>
            <w:r>
              <w:rPr>
                <w:b/>
                <w:color w:val="00A3E0"/>
                <w:sz w:val="20"/>
                <w:szCs w:val="20"/>
              </w:rPr>
              <w:t>Παραγωγή Ενέργειας</w:t>
            </w:r>
            <w:r>
              <w:rPr>
                <w:noProof/>
              </w:rPr>
              <w:t xml:space="preserve"> </w:t>
            </w:r>
          </w:p>
          <w:p w14:paraId="3B6AC4DB" w14:textId="77777777" w:rsidR="007F0532" w:rsidRPr="00FF3B0A" w:rsidRDefault="007F0532" w:rsidP="00F233A7">
            <w:pPr>
              <w:jc w:val="center"/>
              <w:rPr>
                <w:b/>
              </w:rPr>
            </w:pPr>
            <w:r>
              <w:rPr>
                <w:noProof/>
                <w:lang w:eastAsia="el-GR"/>
              </w:rPr>
              <w:drawing>
                <wp:inline distT="0" distB="0" distL="0" distR="0" wp14:anchorId="175BA2C9" wp14:editId="4779B2EC">
                  <wp:extent cx="2505600" cy="2415600"/>
                  <wp:effectExtent l="0" t="0" r="0" b="3810"/>
                  <wp:docPr id="21" name="Chart 7">
                    <a:extLst xmlns:a="http://schemas.openxmlformats.org/drawingml/2006/main">
                      <a:ext uri="{FF2B5EF4-FFF2-40B4-BE49-F238E27FC236}">
                        <a16:creationId xmlns:a16="http://schemas.microsoft.com/office/drawing/2014/main" id="{5A6C7502-B2E2-42F2-8F48-9D6752BA76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r w:rsidR="007F0532" w:rsidRPr="002A11B0" w14:paraId="52340457" w14:textId="77777777" w:rsidTr="00F233A7">
        <w:tc>
          <w:tcPr>
            <w:tcW w:w="8306" w:type="dxa"/>
            <w:gridSpan w:val="2"/>
          </w:tcPr>
          <w:p w14:paraId="751C1A90" w14:textId="77777777" w:rsidR="007F0532" w:rsidRPr="002A11B0" w:rsidRDefault="007F0532" w:rsidP="00F233A7">
            <w:pPr>
              <w:rPr>
                <w:i/>
                <w:color w:val="00A3E0"/>
                <w:sz w:val="16"/>
                <w:szCs w:val="16"/>
              </w:rPr>
            </w:pPr>
            <w:r w:rsidRPr="002A11B0">
              <w:rPr>
                <w:sz w:val="16"/>
                <w:szCs w:val="16"/>
              </w:rPr>
              <w:t>Πηγή:</w:t>
            </w:r>
            <w:r w:rsidRPr="002A11B0">
              <w:rPr>
                <w:i/>
                <w:sz w:val="16"/>
                <w:szCs w:val="16"/>
              </w:rPr>
              <w:t xml:space="preserve"> </w:t>
            </w:r>
            <w:r w:rsidRPr="002A11B0">
              <w:rPr>
                <w:i/>
                <w:color w:val="00A3E0"/>
                <w:sz w:val="16"/>
                <w:szCs w:val="16"/>
                <w:lang w:val="en-US"/>
              </w:rPr>
              <w:t>EUROSTAT</w:t>
            </w:r>
            <w:r w:rsidRPr="002A11B0">
              <w:rPr>
                <w:i/>
                <w:color w:val="00A3E0"/>
                <w:sz w:val="16"/>
                <w:szCs w:val="16"/>
              </w:rPr>
              <w:t xml:space="preserve"> (Στοιχεία με εποχική και ημερολογιακή προσαρμογή)</w:t>
            </w:r>
          </w:p>
        </w:tc>
      </w:tr>
    </w:tbl>
    <w:p w14:paraId="723ED742" w14:textId="77777777" w:rsidR="007F0532" w:rsidRDefault="007F0532" w:rsidP="008866AA">
      <w:pPr>
        <w:spacing w:after="120"/>
        <w:rPr>
          <w:rFonts w:eastAsia="Calibri" w:cs="Times New Roman"/>
          <w:iCs/>
          <w:color w:val="auto"/>
        </w:rPr>
      </w:pPr>
    </w:p>
    <w:p w14:paraId="194BECF3" w14:textId="708B4319" w:rsidR="008866AA" w:rsidRDefault="008866AA" w:rsidP="00794BF4"/>
    <w:p w14:paraId="299A135D" w14:textId="77777777" w:rsidR="002A11B0" w:rsidRDefault="002A11B0" w:rsidP="00794BF4"/>
    <w:p w14:paraId="1063F4EE" w14:textId="6CF03D22" w:rsidR="008866AA" w:rsidRPr="008866AA" w:rsidRDefault="007A5AA4" w:rsidP="008866AA">
      <w:pPr>
        <w:pStyle w:val="a1"/>
        <w:ind w:left="0"/>
        <w:rPr>
          <w:sz w:val="28"/>
          <w:szCs w:val="28"/>
        </w:rPr>
      </w:pPr>
      <w:bookmarkStart w:id="98" w:name="_Toc73435740"/>
      <w:r>
        <w:rPr>
          <w:sz w:val="28"/>
          <w:szCs w:val="28"/>
        </w:rPr>
        <w:t>Χρηματοπιστωτικός τ</w:t>
      </w:r>
      <w:r w:rsidR="008866AA" w:rsidRPr="008866AA">
        <w:rPr>
          <w:sz w:val="28"/>
          <w:szCs w:val="28"/>
        </w:rPr>
        <w:t>ομέας</w:t>
      </w:r>
      <w:r w:rsidR="00CC2E40">
        <w:rPr>
          <w:sz w:val="28"/>
          <w:szCs w:val="28"/>
        </w:rPr>
        <w:t xml:space="preserve"> – </w:t>
      </w:r>
      <w:r>
        <w:rPr>
          <w:sz w:val="28"/>
          <w:szCs w:val="28"/>
        </w:rPr>
        <w:t>καταθέσεις</w:t>
      </w:r>
      <w:r w:rsidR="00CC2E40">
        <w:rPr>
          <w:sz w:val="28"/>
          <w:szCs w:val="28"/>
        </w:rPr>
        <w:t>/χορηγήσεις</w:t>
      </w:r>
      <w:bookmarkEnd w:id="98"/>
    </w:p>
    <w:p w14:paraId="5D13AA18" w14:textId="23E6AE63" w:rsidR="00F97FC4" w:rsidRPr="00372FD1" w:rsidRDefault="00F97FC4" w:rsidP="00F97FC4">
      <w:pPr>
        <w:spacing w:after="160"/>
        <w:rPr>
          <w:color w:val="auto"/>
        </w:rPr>
      </w:pPr>
      <w:r w:rsidRPr="00372FD1">
        <w:rPr>
          <w:color w:val="auto"/>
        </w:rPr>
        <w:t>Το ύψος του υπολοίπου των καταθέσεων του ιδιωτικού τομέα έφτασε τα 164,7 δισ. ευρώ τον Μάρτιο του 2021 εκ των οποίων τα 126 δισ. ευρώ αφορούν σε αποταμιεύσεις από τα νοικοκυριά και τα 32,3 δισ. ευρώ από επιχειρήσεις</w:t>
      </w:r>
      <w:r>
        <w:rPr>
          <w:color w:val="auto"/>
        </w:rPr>
        <w:t xml:space="preserve"> </w:t>
      </w:r>
      <w:r w:rsidRPr="00372FD1">
        <w:rPr>
          <w:color w:val="auto"/>
        </w:rPr>
        <w:t>τ</w:t>
      </w:r>
      <w:r>
        <w:rPr>
          <w:color w:val="auto"/>
        </w:rPr>
        <w:t>ου</w:t>
      </w:r>
      <w:r w:rsidRPr="00372FD1">
        <w:rPr>
          <w:color w:val="auto"/>
        </w:rPr>
        <w:t xml:space="preserve"> μη χρηματοπιστωτικ</w:t>
      </w:r>
      <w:r>
        <w:rPr>
          <w:color w:val="auto"/>
        </w:rPr>
        <w:t>ού</w:t>
      </w:r>
      <w:r w:rsidRPr="00372FD1">
        <w:rPr>
          <w:color w:val="auto"/>
        </w:rPr>
        <w:t xml:space="preserve"> </w:t>
      </w:r>
      <w:r>
        <w:rPr>
          <w:color w:val="auto"/>
        </w:rPr>
        <w:t xml:space="preserve">τομέα. </w:t>
      </w:r>
      <w:r w:rsidRPr="00372FD1">
        <w:rPr>
          <w:color w:val="auto"/>
        </w:rPr>
        <w:t xml:space="preserve">Καθ’ όλη τη διάρκεια του 2020, υπήρξε σωρευτική αύξηση των καταθέσεων του ιδιωτικού τομέα κατά περίπου 22 δισ. ευρώ (15,6%), η οποία διατηρήθηκε, κατά το πρώτο τρίμηνο του 2021 και προκάλεσε περαιτέρω αύξηση κατά 1,9 δισ. ευρώ (1,2%). Η προαναφερθείσα αύξηση το α’ τρίμηνο του 2021 αφορά αποκλειστικά </w:t>
      </w:r>
      <w:r>
        <w:rPr>
          <w:color w:val="auto"/>
        </w:rPr>
        <w:t>καταθέσεις</w:t>
      </w:r>
      <w:r w:rsidRPr="00372FD1">
        <w:rPr>
          <w:color w:val="auto"/>
        </w:rPr>
        <w:t xml:space="preserve"> νοικοκυριών,</w:t>
      </w:r>
      <w:r>
        <w:rPr>
          <w:color w:val="auto"/>
        </w:rPr>
        <w:t xml:space="preserve"> ενώ οι </w:t>
      </w:r>
      <w:r w:rsidRPr="00372FD1">
        <w:rPr>
          <w:color w:val="auto"/>
        </w:rPr>
        <w:t xml:space="preserve"> </w:t>
      </w:r>
      <w:r>
        <w:rPr>
          <w:color w:val="auto"/>
        </w:rPr>
        <w:t>καταθέσεις</w:t>
      </w:r>
      <w:r w:rsidRPr="00372FD1">
        <w:rPr>
          <w:color w:val="auto"/>
        </w:rPr>
        <w:t xml:space="preserve"> μη χρηματοπιστωτικών επιχειρήσεων </w:t>
      </w:r>
      <w:r>
        <w:rPr>
          <w:color w:val="auto"/>
        </w:rPr>
        <w:t xml:space="preserve">επανήλθαν </w:t>
      </w:r>
      <w:r w:rsidRPr="00372FD1">
        <w:rPr>
          <w:color w:val="auto"/>
        </w:rPr>
        <w:t xml:space="preserve"> στα επίπεδα του Δεκεμβρίου 2020</w:t>
      </w:r>
      <w:r>
        <w:rPr>
          <w:color w:val="auto"/>
        </w:rPr>
        <w:t>, μετά από μια παροδική ελαφρά κάμψη</w:t>
      </w:r>
      <w:r w:rsidRPr="00372FD1">
        <w:rPr>
          <w:color w:val="auto"/>
        </w:rPr>
        <w:t xml:space="preserve">. </w:t>
      </w:r>
    </w:p>
    <w:p w14:paraId="621CA90E" w14:textId="567142A5" w:rsidR="00372FD1" w:rsidRPr="00372FD1" w:rsidRDefault="00F97FC4" w:rsidP="00F97FC4">
      <w:pPr>
        <w:spacing w:after="160"/>
        <w:rPr>
          <w:color w:val="auto"/>
        </w:rPr>
      </w:pPr>
      <w:r w:rsidRPr="00372FD1">
        <w:rPr>
          <w:color w:val="auto"/>
        </w:rPr>
        <w:t xml:space="preserve">Σε σημαντικό βαθμό, η αύξηση των καταθέσεων των νοικοκυριών οφείλεται στην αναβολή καταναλωτικών δαπανών λόγω των περιοριστικών </w:t>
      </w:r>
      <w:r>
        <w:rPr>
          <w:color w:val="auto"/>
        </w:rPr>
        <w:t>και</w:t>
      </w:r>
      <w:r w:rsidRPr="00372FD1">
        <w:rPr>
          <w:color w:val="auto"/>
        </w:rPr>
        <w:t xml:space="preserve"> στην οικονομική αβεβαιότητα</w:t>
      </w:r>
      <w:r>
        <w:rPr>
          <w:color w:val="auto"/>
        </w:rPr>
        <w:t xml:space="preserve"> λόγω της πανδημίας</w:t>
      </w:r>
      <w:r w:rsidR="00372FD1" w:rsidRPr="00372FD1">
        <w:rPr>
          <w:color w:val="auto"/>
        </w:rPr>
        <w:t xml:space="preserve">. </w:t>
      </w:r>
    </w:p>
    <w:p w14:paraId="008E5CCD" w14:textId="7C8DB78F" w:rsidR="00372FD1" w:rsidRPr="002A11B0" w:rsidRDefault="00372FD1" w:rsidP="00372FD1">
      <w:pPr>
        <w:spacing w:after="160" w:line="259" w:lineRule="auto"/>
        <w:jc w:val="left"/>
        <w:rPr>
          <w:color w:val="auto"/>
          <w:sz w:val="20"/>
          <w:szCs w:val="20"/>
        </w:rPr>
      </w:pPr>
      <w:bookmarkStart w:id="99" w:name="_Toc73435808"/>
      <w:r w:rsidRPr="002A11B0">
        <w:rPr>
          <w:sz w:val="20"/>
          <w:szCs w:val="20"/>
        </w:rPr>
        <w:t xml:space="preserve">Διάγραμμα </w:t>
      </w:r>
      <w:r w:rsidRPr="002A11B0">
        <w:rPr>
          <w:i/>
          <w:sz w:val="20"/>
          <w:szCs w:val="20"/>
        </w:rPr>
        <w:fldChar w:fldCharType="begin"/>
      </w:r>
      <w:r w:rsidRPr="002A11B0">
        <w:rPr>
          <w:sz w:val="20"/>
          <w:szCs w:val="20"/>
        </w:rPr>
        <w:instrText xml:space="preserve"> SEQ Διάγραμμα \* ARABIC </w:instrText>
      </w:r>
      <w:r w:rsidRPr="002A11B0">
        <w:rPr>
          <w:i/>
          <w:sz w:val="20"/>
          <w:szCs w:val="20"/>
        </w:rPr>
        <w:fldChar w:fldCharType="separate"/>
      </w:r>
      <w:r w:rsidR="00CC05A7">
        <w:rPr>
          <w:noProof/>
          <w:sz w:val="20"/>
          <w:szCs w:val="20"/>
        </w:rPr>
        <w:t>22</w:t>
      </w:r>
      <w:r w:rsidRPr="002A11B0">
        <w:rPr>
          <w:i/>
          <w:sz w:val="20"/>
          <w:szCs w:val="20"/>
        </w:rPr>
        <w:fldChar w:fldCharType="end"/>
      </w:r>
      <w:r w:rsidRPr="002A11B0">
        <w:rPr>
          <w:sz w:val="20"/>
          <w:szCs w:val="20"/>
        </w:rPr>
        <w:t xml:space="preserve">: </w:t>
      </w:r>
      <w:r w:rsidRPr="002A11B0">
        <w:rPr>
          <w:color w:val="00B0F0"/>
          <w:sz w:val="20"/>
          <w:szCs w:val="20"/>
        </w:rPr>
        <w:t>Υπόλοιπα των καταθέσεων των νοικοκυριών (δισ. ευρώ)</w:t>
      </w:r>
      <w:bookmarkEnd w:id="99"/>
    </w:p>
    <w:p w14:paraId="708ADF5D" w14:textId="77777777" w:rsidR="00372FD1" w:rsidRPr="00372FD1" w:rsidRDefault="00372FD1" w:rsidP="00372FD1">
      <w:pPr>
        <w:spacing w:after="160" w:line="259" w:lineRule="auto"/>
        <w:jc w:val="left"/>
        <w:rPr>
          <w:color w:val="auto"/>
          <w:sz w:val="16"/>
          <w:szCs w:val="16"/>
        </w:rPr>
      </w:pPr>
      <w:r w:rsidRPr="00372FD1">
        <w:rPr>
          <w:rFonts w:asciiTheme="minorHAnsi" w:hAnsiTheme="minorHAnsi"/>
          <w:noProof/>
          <w:color w:val="auto"/>
          <w:lang w:eastAsia="el-GR"/>
        </w:rPr>
        <w:drawing>
          <wp:inline distT="0" distB="0" distL="0" distR="0" wp14:anchorId="71B7AC81" wp14:editId="22D1DAFB">
            <wp:extent cx="5200650" cy="2743200"/>
            <wp:effectExtent l="0" t="0" r="0" b="0"/>
            <wp:docPr id="30" name="Chart 1">
              <a:extLst xmlns:a="http://schemas.openxmlformats.org/drawingml/2006/main">
                <a:ext uri="{FF2B5EF4-FFF2-40B4-BE49-F238E27FC236}">
                  <a16:creationId xmlns:a16="http://schemas.microsoft.com/office/drawing/2014/main" id="{86B73F75-766A-42B8-AC0C-D62483497D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DD79292" w14:textId="77777777" w:rsidR="002A11B0" w:rsidRPr="004D1F57" w:rsidRDefault="002A11B0" w:rsidP="002A11B0">
      <w:pPr>
        <w:rPr>
          <w:color w:val="auto"/>
          <w:sz w:val="18"/>
          <w:szCs w:val="18"/>
        </w:rPr>
      </w:pPr>
      <w:r w:rsidRPr="004D1F57">
        <w:rPr>
          <w:b/>
          <w:color w:val="auto"/>
          <w:sz w:val="16"/>
          <w:szCs w:val="16"/>
        </w:rPr>
        <w:t>Πηγή:</w:t>
      </w:r>
      <w:r w:rsidRPr="004D1F57">
        <w:rPr>
          <w:color w:val="auto"/>
          <w:sz w:val="16"/>
          <w:szCs w:val="16"/>
        </w:rPr>
        <w:t xml:space="preserve"> </w:t>
      </w:r>
      <w:r w:rsidRPr="004D1F57">
        <w:rPr>
          <w:iCs/>
          <w:noProof/>
          <w:color w:val="00A3E0"/>
          <w:sz w:val="16"/>
          <w:szCs w:val="16"/>
        </w:rPr>
        <w:t>Τράπεζα της Ελλάδος.</w:t>
      </w:r>
    </w:p>
    <w:p w14:paraId="36CE8075" w14:textId="595608EA" w:rsidR="00372FD1" w:rsidRDefault="00372FD1" w:rsidP="002E7539">
      <w:pPr>
        <w:spacing w:after="160"/>
        <w:rPr>
          <w:color w:val="auto"/>
        </w:rPr>
      </w:pPr>
      <w:r w:rsidRPr="00372FD1">
        <w:rPr>
          <w:color w:val="auto"/>
        </w:rPr>
        <w:t xml:space="preserve">Οι καταθέσεις μη χρηματοπιστωτικών επιχειρήσεων βρίσκονται τον Μάρτιο του 2021 </w:t>
      </w:r>
      <w:r w:rsidR="00E118BF">
        <w:rPr>
          <w:color w:val="auto"/>
        </w:rPr>
        <w:t>στο υψηλότερο επίπεδο</w:t>
      </w:r>
      <w:r w:rsidRPr="00372FD1">
        <w:rPr>
          <w:color w:val="auto"/>
        </w:rPr>
        <w:t xml:space="preserve"> των τελευταίων</w:t>
      </w:r>
      <w:r w:rsidR="002E7539">
        <w:rPr>
          <w:color w:val="auto"/>
        </w:rPr>
        <w:t>,</w:t>
      </w:r>
      <w:r w:rsidRPr="00372FD1">
        <w:rPr>
          <w:color w:val="auto"/>
        </w:rPr>
        <w:t xml:space="preserve"> τουλάχιστον</w:t>
      </w:r>
      <w:r w:rsidR="002E7539">
        <w:rPr>
          <w:color w:val="auto"/>
        </w:rPr>
        <w:t>,</w:t>
      </w:r>
      <w:r w:rsidRPr="00372FD1">
        <w:rPr>
          <w:color w:val="auto"/>
        </w:rPr>
        <w:t xml:space="preserve"> 15 μηνών (32,3 δισ. ευρώ), μετά από μία πρόσκαιρη όπως φαίνεται μείωση που συντελέστηκε το πρώτο δίμηνο του έτους. Η επαναφορά του ύψους των επιχειρηματικών καταθέσεων στο υψηλό επίπεδο του Δεκεμβρίου δημιουργεί προβληματισμό, διότι δείχνει ενδεχόμενη αναβολή επενδυτικών σχεδίων. Από την άλλη πλευρά, το ύψος των αποταμιεύσεων, το οποίο εν πολλοίς βασίζεται στα υποστηρικτικά κυβερνητικά μέτρα (οικονομικές ενισχύσεις, μέτρα αναστολής πληρωμών δανειακών και φορολογικών υποχρεώσεων) αλλά και στην αυξημένη τραπεζική χρηματοδότηση</w:t>
      </w:r>
      <w:r w:rsidR="002E7539">
        <w:rPr>
          <w:color w:val="auto"/>
        </w:rPr>
        <w:t>,</w:t>
      </w:r>
      <w:r w:rsidRPr="00372FD1">
        <w:rPr>
          <w:color w:val="auto"/>
        </w:rPr>
        <w:t xml:space="preserve"> μπορεί να αποτελέσει βραχίονα χρηματοδότησης επενδυτικών σχεδίων εφόσον ελεγχθεί η πανδημία και αποκατασταθεί σε μεγάλο βαθμό το οικονομικό κλίμα.</w:t>
      </w:r>
    </w:p>
    <w:p w14:paraId="54A0D53E" w14:textId="77777777" w:rsidR="00FF008C" w:rsidRDefault="00FF008C" w:rsidP="002E7539">
      <w:pPr>
        <w:spacing w:after="160"/>
        <w:rPr>
          <w:color w:val="auto"/>
        </w:rPr>
      </w:pPr>
    </w:p>
    <w:p w14:paraId="2B22DB60" w14:textId="1BEC8E22" w:rsidR="00372FD1" w:rsidRPr="002E7539" w:rsidRDefault="00372FD1" w:rsidP="00854B21">
      <w:pPr>
        <w:spacing w:after="0" w:line="259" w:lineRule="auto"/>
        <w:rPr>
          <w:color w:val="00B0F0"/>
          <w:sz w:val="20"/>
          <w:szCs w:val="20"/>
        </w:rPr>
      </w:pPr>
      <w:bookmarkStart w:id="100" w:name="_Toc73435809"/>
      <w:r w:rsidRPr="002E7539">
        <w:rPr>
          <w:sz w:val="20"/>
          <w:szCs w:val="20"/>
        </w:rPr>
        <w:t xml:space="preserve">Διάγραμμα </w:t>
      </w:r>
      <w:r w:rsidRPr="002E7539">
        <w:rPr>
          <w:i/>
          <w:sz w:val="20"/>
          <w:szCs w:val="20"/>
        </w:rPr>
        <w:fldChar w:fldCharType="begin"/>
      </w:r>
      <w:r w:rsidRPr="002E7539">
        <w:rPr>
          <w:sz w:val="20"/>
          <w:szCs w:val="20"/>
        </w:rPr>
        <w:instrText xml:space="preserve"> SEQ Διάγραμμα \* ARABIC </w:instrText>
      </w:r>
      <w:r w:rsidRPr="002E7539">
        <w:rPr>
          <w:i/>
          <w:sz w:val="20"/>
          <w:szCs w:val="20"/>
        </w:rPr>
        <w:fldChar w:fldCharType="separate"/>
      </w:r>
      <w:r w:rsidR="00CC05A7">
        <w:rPr>
          <w:noProof/>
          <w:sz w:val="20"/>
          <w:szCs w:val="20"/>
        </w:rPr>
        <w:t>23</w:t>
      </w:r>
      <w:r w:rsidRPr="002E7539">
        <w:rPr>
          <w:i/>
          <w:sz w:val="20"/>
          <w:szCs w:val="20"/>
        </w:rPr>
        <w:fldChar w:fldCharType="end"/>
      </w:r>
      <w:r w:rsidRPr="002E7539">
        <w:rPr>
          <w:sz w:val="20"/>
          <w:szCs w:val="20"/>
        </w:rPr>
        <w:t xml:space="preserve">: </w:t>
      </w:r>
      <w:r w:rsidRPr="002E7539">
        <w:rPr>
          <w:color w:val="00B0F0"/>
          <w:sz w:val="20"/>
          <w:szCs w:val="20"/>
        </w:rPr>
        <w:t>Υπόλοιπα των καταθέσεων μη χρηματοπιστωτικών επιχειρήσεων (δισ. ευρώ)</w:t>
      </w:r>
      <w:bookmarkEnd w:id="100"/>
    </w:p>
    <w:p w14:paraId="7346C7AA" w14:textId="77777777" w:rsidR="00372FD1" w:rsidRPr="00372FD1" w:rsidRDefault="00372FD1" w:rsidP="00FF008C">
      <w:pPr>
        <w:spacing w:after="0" w:line="259" w:lineRule="auto"/>
        <w:jc w:val="left"/>
        <w:rPr>
          <w:rFonts w:asciiTheme="minorHAnsi" w:hAnsiTheme="minorHAnsi"/>
          <w:color w:val="auto"/>
        </w:rPr>
      </w:pPr>
      <w:r w:rsidRPr="00372FD1">
        <w:rPr>
          <w:rFonts w:asciiTheme="minorHAnsi" w:hAnsiTheme="minorHAnsi"/>
          <w:noProof/>
          <w:color w:val="auto"/>
          <w:lang w:eastAsia="el-GR"/>
        </w:rPr>
        <w:drawing>
          <wp:inline distT="0" distB="0" distL="0" distR="0" wp14:anchorId="76095419" wp14:editId="769F5E58">
            <wp:extent cx="5210175" cy="2657475"/>
            <wp:effectExtent l="0" t="0" r="9525" b="9525"/>
            <wp:docPr id="31" name="Chart 2">
              <a:extLst xmlns:a="http://schemas.openxmlformats.org/drawingml/2006/main">
                <a:ext uri="{FF2B5EF4-FFF2-40B4-BE49-F238E27FC236}">
                  <a16:creationId xmlns:a16="http://schemas.microsoft.com/office/drawing/2014/main" id="{21F33B7D-06F8-4397-98FD-BAB13AF4D6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D6490B4" w14:textId="77777777" w:rsidR="002E7539" w:rsidRPr="004D1F57" w:rsidRDefault="002E7539" w:rsidP="002E7539">
      <w:pPr>
        <w:rPr>
          <w:color w:val="auto"/>
          <w:sz w:val="18"/>
          <w:szCs w:val="18"/>
        </w:rPr>
      </w:pPr>
      <w:r w:rsidRPr="004D1F57">
        <w:rPr>
          <w:b/>
          <w:color w:val="auto"/>
          <w:sz w:val="16"/>
          <w:szCs w:val="16"/>
        </w:rPr>
        <w:t>Πηγή:</w:t>
      </w:r>
      <w:r w:rsidRPr="004D1F57">
        <w:rPr>
          <w:color w:val="auto"/>
          <w:sz w:val="16"/>
          <w:szCs w:val="16"/>
        </w:rPr>
        <w:t xml:space="preserve"> </w:t>
      </w:r>
      <w:r w:rsidRPr="004D1F57">
        <w:rPr>
          <w:iCs/>
          <w:noProof/>
          <w:color w:val="00A3E0"/>
          <w:sz w:val="16"/>
          <w:szCs w:val="16"/>
        </w:rPr>
        <w:t>Τράπεζα της Ελλάδος.</w:t>
      </w:r>
    </w:p>
    <w:p w14:paraId="4D8CB20B" w14:textId="492737E6" w:rsidR="00372FD1" w:rsidRPr="00372FD1" w:rsidRDefault="00372FD1" w:rsidP="00372FD1">
      <w:pPr>
        <w:spacing w:after="160" w:line="259" w:lineRule="auto"/>
        <w:rPr>
          <w:color w:val="auto"/>
        </w:rPr>
      </w:pPr>
      <w:r w:rsidRPr="00372FD1">
        <w:rPr>
          <w:color w:val="auto"/>
        </w:rPr>
        <w:t>Το υπόλοιπο της συνολικής χρηματοδότησης από τα ελληνικά χρηματοπιστωτικά ιδρύματα</w:t>
      </w:r>
      <w:r w:rsidR="00F97FC4">
        <w:rPr>
          <w:color w:val="auto"/>
        </w:rPr>
        <w:t xml:space="preserve"> (σωρευτικό απόθεμα δανείων)</w:t>
      </w:r>
      <w:r w:rsidRPr="00372FD1">
        <w:rPr>
          <w:color w:val="auto"/>
        </w:rPr>
        <w:t>, παρουσιάζει συνεχή ανοδική πορεία με μικρές διακυμάνσεις τους τελευταίους δώδεκα μήνες, με αποτέλεσμα τον Μάρτιο του 2021 να ανέλθει στα 199 δισ. ευρώ. Η αύξηση αυτή οφείλεται</w:t>
      </w:r>
      <w:r w:rsidR="00854B21">
        <w:rPr>
          <w:color w:val="auto"/>
        </w:rPr>
        <w:t>,</w:t>
      </w:r>
      <w:r w:rsidRPr="00372FD1">
        <w:rPr>
          <w:color w:val="auto"/>
        </w:rPr>
        <w:t xml:space="preserve"> κατά κύριο λόγο</w:t>
      </w:r>
      <w:r w:rsidR="00854B21">
        <w:rPr>
          <w:color w:val="auto"/>
        </w:rPr>
        <w:t>,</w:t>
      </w:r>
      <w:r w:rsidRPr="00372FD1">
        <w:rPr>
          <w:color w:val="auto"/>
        </w:rPr>
        <w:t xml:space="preserve"> στις αυξημένες ανάγκες της Γενικής Κυβέρνησης της οποίας το υπόλοιπο χρηματοδότησης από 31 δισ. ευρώ περίπου τον Ιανουάριο του 2020 ανήλθε σε 59 δισ. ευρώ τον Μάρτιο του 2021. Αντίθετα, το υπόλοιπο της χρηματοδότησης προς τον ιδιωτικό τομέα (νοικοκυριά και επιχειρήσεις) από τα ελληνικά χρηματοπιστωτικά ιδρύματα ακολουθεί πτωτική τάση τους τελευταίους τέσσερις μήνες</w:t>
      </w:r>
      <w:r w:rsidR="00F97FC4">
        <w:rPr>
          <w:color w:val="auto"/>
        </w:rPr>
        <w:t>. Δ</w:t>
      </w:r>
      <w:r w:rsidRPr="00372FD1">
        <w:rPr>
          <w:color w:val="auto"/>
        </w:rPr>
        <w:t>ιαμορφώθηκε τον Μάρτιο του 2021 στα 140 δισ. ευρώ, μετά από μία περίοδο σταθεροποίησης πέριξ των 146 δισ. ευρώ</w:t>
      </w:r>
    </w:p>
    <w:p w14:paraId="29973E5E" w14:textId="76664588" w:rsidR="00372FD1" w:rsidRPr="00854B21" w:rsidRDefault="00372FD1" w:rsidP="00854B21">
      <w:pPr>
        <w:spacing w:after="0" w:line="259" w:lineRule="auto"/>
        <w:rPr>
          <w:color w:val="auto"/>
          <w:sz w:val="20"/>
          <w:szCs w:val="20"/>
        </w:rPr>
      </w:pPr>
      <w:bookmarkStart w:id="101" w:name="_Toc73435810"/>
      <w:r w:rsidRPr="00854B21">
        <w:rPr>
          <w:sz w:val="20"/>
          <w:szCs w:val="20"/>
        </w:rPr>
        <w:t xml:space="preserve">Διάγραμμα </w:t>
      </w:r>
      <w:r w:rsidRPr="00854B21">
        <w:rPr>
          <w:i/>
          <w:sz w:val="20"/>
          <w:szCs w:val="20"/>
        </w:rPr>
        <w:fldChar w:fldCharType="begin"/>
      </w:r>
      <w:r w:rsidRPr="00854B21">
        <w:rPr>
          <w:sz w:val="20"/>
          <w:szCs w:val="20"/>
        </w:rPr>
        <w:instrText xml:space="preserve"> SEQ Διάγραμμα \* ARABIC </w:instrText>
      </w:r>
      <w:r w:rsidRPr="00854B21">
        <w:rPr>
          <w:i/>
          <w:sz w:val="20"/>
          <w:szCs w:val="20"/>
        </w:rPr>
        <w:fldChar w:fldCharType="separate"/>
      </w:r>
      <w:r w:rsidR="00CC05A7">
        <w:rPr>
          <w:noProof/>
          <w:sz w:val="20"/>
          <w:szCs w:val="20"/>
        </w:rPr>
        <w:t>24</w:t>
      </w:r>
      <w:r w:rsidRPr="00854B21">
        <w:rPr>
          <w:i/>
          <w:sz w:val="20"/>
          <w:szCs w:val="20"/>
        </w:rPr>
        <w:fldChar w:fldCharType="end"/>
      </w:r>
      <w:r w:rsidRPr="00854B21">
        <w:rPr>
          <w:sz w:val="20"/>
          <w:szCs w:val="20"/>
        </w:rPr>
        <w:t xml:space="preserve">: </w:t>
      </w:r>
      <w:r w:rsidRPr="00854B21">
        <w:rPr>
          <w:color w:val="00B0F0"/>
          <w:sz w:val="20"/>
          <w:szCs w:val="20"/>
        </w:rPr>
        <w:t>Υπόλοιπο συνολικής χρηματοδότησης και χρηματοδότησης εγχώριου ιδιωτικού τομέα από τα ελληνικά χρηματοπιστωτικά ιδρύματα (δισ. ευρώ)</w:t>
      </w:r>
      <w:bookmarkEnd w:id="101"/>
    </w:p>
    <w:p w14:paraId="2A4064FB" w14:textId="77777777" w:rsidR="00372FD1" w:rsidRPr="00372FD1" w:rsidRDefault="00372FD1" w:rsidP="00854B21">
      <w:pPr>
        <w:spacing w:after="0" w:line="259" w:lineRule="auto"/>
        <w:rPr>
          <w:color w:val="auto"/>
        </w:rPr>
      </w:pPr>
      <w:r w:rsidRPr="00372FD1">
        <w:rPr>
          <w:rFonts w:asciiTheme="minorHAnsi" w:hAnsiTheme="minorHAnsi"/>
          <w:noProof/>
          <w:color w:val="auto"/>
          <w:lang w:eastAsia="el-GR"/>
        </w:rPr>
        <mc:AlternateContent>
          <mc:Choice Requires="wps">
            <w:drawing>
              <wp:anchor distT="0" distB="0" distL="114300" distR="114300" simplePos="0" relativeHeight="251670528" behindDoc="0" locked="0" layoutInCell="1" allowOverlap="1" wp14:anchorId="2A56A867" wp14:editId="5987359B">
                <wp:simplePos x="0" y="0"/>
                <wp:positionH relativeFrom="column">
                  <wp:posOffset>4046974</wp:posOffset>
                </wp:positionH>
                <wp:positionV relativeFrom="paragraph">
                  <wp:posOffset>-10048</wp:posOffset>
                </wp:positionV>
                <wp:extent cx="0" cy="2577402"/>
                <wp:effectExtent l="0" t="0" r="38100" b="13970"/>
                <wp:wrapNone/>
                <wp:docPr id="28" name="Straight Connector 5"/>
                <wp:cNvGraphicFramePr/>
                <a:graphic xmlns:a="http://schemas.openxmlformats.org/drawingml/2006/main">
                  <a:graphicData uri="http://schemas.microsoft.com/office/word/2010/wordprocessingShape">
                    <wps:wsp>
                      <wps:cNvCnPr/>
                      <wps:spPr>
                        <a:xfrm flipV="1">
                          <a:off x="0" y="0"/>
                          <a:ext cx="0" cy="2577402"/>
                        </a:xfrm>
                        <a:prstGeom prst="line">
                          <a:avLst/>
                        </a:prstGeom>
                        <a:noFill/>
                        <a:ln w="9525" cap="flat" cmpd="sng" algn="ctr">
                          <a:solidFill>
                            <a:sysClr val="windowText" lastClr="000000"/>
                          </a:solidFill>
                          <a:prstDash val="dash"/>
                          <a:round/>
                          <a:headEnd type="none" w="med" len="med"/>
                          <a:tailEnd type="none" w="med" len="med"/>
                        </a:ln>
                        <a:effectLst/>
                      </wps:spPr>
                      <wps:bodyPr/>
                    </wps:wsp>
                  </a:graphicData>
                </a:graphic>
              </wp:anchor>
            </w:drawing>
          </mc:Choice>
          <mc:Fallback>
            <w:pict>
              <v:line w14:anchorId="0F201A5B" id="Straight Connector 5" o:spid="_x0000_s1026" style="position:absolute;flip:y;z-index:251670528;visibility:visible;mso-wrap-style:square;mso-wrap-distance-left:9pt;mso-wrap-distance-top:0;mso-wrap-distance-right:9pt;mso-wrap-distance-bottom:0;mso-position-horizontal:absolute;mso-position-horizontal-relative:text;mso-position-vertical:absolute;mso-position-vertical-relative:text" from="318.65pt,-.8pt" to="318.65pt,20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NDd8gEAANkDAAAOAAAAZHJzL2Uyb0RvYy54bWysU02P0zAQvSPxHyzfabIRZSFquoeW5YKg&#10;0i7cZ/2RWPKXPN6m/feMnVItcEGIHKyZ8czzzJuXzd3JWXZUCU3wA79ZtZwpL4I0fhz4t8f7N+85&#10;wwxegg1eDfyskN9tX7/azLFXXZiClSoxAvHYz3HgU86xbxoUk3KAqxCVp0sdkoNMbhobmWAmdGeb&#10;rm3fNXNIMqYgFCJF98sl31Z8rZXIX7VGlZkdOPWW65nq+VTOZruBfkwQJyMubcA/dOHAeHr0CrWH&#10;DOw5mT+gnBEpYNB5JYJrgtZGqDoDTXPT/jbNwwRR1VmIHIxXmvD/wYovx0NiRg68o015cLSjh5zA&#10;jFNmu+A9MRgSWxei5og95e/8IV08jIdUpj7p5Ji2Jn4nDVQeaDJ2qjSfrzSrU2ZiCQqKduvb27dt&#10;V5CbBaJAxYT5kwqOFWPg1vjCAPRw/Ix5Sf2ZUsI+3BtrKQ699Wwe+Id1t+ZMAGlJW8hkukjToR85&#10;AzuSSEVOFRGDNbJUl2I8484mdgTSCclLhvmR2uXMAma6oBnqd2n2l9LSzh5wWoolWSUL+hSevazW&#10;pEB+9JLlcyR6Pf0IvLTqlKQHFLVUrJqZwdi/ySTCrC+PqKrxCzVlQctKivUU5Lluqike6afyfNF6&#10;EehLn+yXf+T2BwAAAP//AwBQSwMEFAAGAAgAAAAhAPpfW+LbAAAACgEAAA8AAABkcnMvZG93bnJl&#10;di54bWxMj8tOwzAQRfdI/IM1SOxap6RKUcikggr29PEBTmzsqPE4sl03/XuMWMByZo7unNtsZzuy&#10;pHwYHCGslgUwRb2TA2mE0/Fj8QwsREFSjI4Uwk0F2Lb3d42opbvSXqVD1CyHUKgFgolxqjkPvVFW&#10;hKWbFOXbl/NWxDx6zaUX1xxuR/5UFBW3YqD8wYhJ7Yzqz4eLRZh9NDql/edb/97tzunYWX3bID4+&#10;zK8vwKKa4x8MP/pZHdrs1LkLycBGhKrclBlFWKwqYBn4XXQI62JdAm8b/r9C+w0AAP//AwBQSwEC&#10;LQAUAAYACAAAACEAtoM4kv4AAADhAQAAEwAAAAAAAAAAAAAAAAAAAAAAW0NvbnRlbnRfVHlwZXNd&#10;LnhtbFBLAQItABQABgAIAAAAIQA4/SH/1gAAAJQBAAALAAAAAAAAAAAAAAAAAC8BAABfcmVscy8u&#10;cmVsc1BLAQItABQABgAIAAAAIQC0gNDd8gEAANkDAAAOAAAAAAAAAAAAAAAAAC4CAABkcnMvZTJv&#10;RG9jLnhtbFBLAQItABQABgAIAAAAIQD6X1vi2wAAAAoBAAAPAAAAAAAAAAAAAAAAAEwEAABkcnMv&#10;ZG93bnJldi54bWxQSwUGAAAAAAQABADzAAAAVAUAAAAA&#10;" strokecolor="windowText">
                <v:stroke dashstyle="dash"/>
              </v:line>
            </w:pict>
          </mc:Fallback>
        </mc:AlternateContent>
      </w:r>
      <w:r w:rsidRPr="00372FD1">
        <w:rPr>
          <w:rFonts w:asciiTheme="minorHAnsi" w:hAnsiTheme="minorHAnsi"/>
          <w:noProof/>
          <w:color w:val="auto"/>
          <w:lang w:eastAsia="el-GR"/>
        </w:rPr>
        <w:drawing>
          <wp:inline distT="0" distB="0" distL="0" distR="0" wp14:anchorId="3320725F" wp14:editId="63A0C9E9">
            <wp:extent cx="5274310" cy="3238500"/>
            <wp:effectExtent l="0" t="0" r="2540" b="0"/>
            <wp:docPr id="32" name="Γράφημα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Pr="00372FD1">
        <w:rPr>
          <w:color w:val="auto"/>
        </w:rPr>
        <w:t xml:space="preserve"> </w:t>
      </w:r>
    </w:p>
    <w:p w14:paraId="031B4503" w14:textId="77777777" w:rsidR="00854B21" w:rsidRPr="004D1F57" w:rsidRDefault="00854B21" w:rsidP="00854B21">
      <w:pPr>
        <w:rPr>
          <w:color w:val="auto"/>
          <w:sz w:val="18"/>
          <w:szCs w:val="18"/>
        </w:rPr>
      </w:pPr>
      <w:r w:rsidRPr="004D1F57">
        <w:rPr>
          <w:b/>
          <w:color w:val="auto"/>
          <w:sz w:val="16"/>
          <w:szCs w:val="16"/>
        </w:rPr>
        <w:t>Πηγή:</w:t>
      </w:r>
      <w:r w:rsidRPr="004D1F57">
        <w:rPr>
          <w:color w:val="auto"/>
          <w:sz w:val="16"/>
          <w:szCs w:val="16"/>
        </w:rPr>
        <w:t xml:space="preserve"> </w:t>
      </w:r>
      <w:r w:rsidRPr="004D1F57">
        <w:rPr>
          <w:iCs/>
          <w:noProof/>
          <w:color w:val="00A3E0"/>
          <w:sz w:val="16"/>
          <w:szCs w:val="16"/>
        </w:rPr>
        <w:t>Τράπεζα της Ελλάδος.</w:t>
      </w:r>
    </w:p>
    <w:p w14:paraId="49E01456" w14:textId="3500C52D" w:rsidR="00372FD1" w:rsidRPr="00372FD1" w:rsidRDefault="00372FD1" w:rsidP="001D1BA7">
      <w:pPr>
        <w:spacing w:after="0"/>
        <w:rPr>
          <w:color w:val="auto"/>
        </w:rPr>
      </w:pPr>
      <w:r w:rsidRPr="00372FD1">
        <w:rPr>
          <w:color w:val="auto"/>
        </w:rPr>
        <w:t>Καθ</w:t>
      </w:r>
      <w:r w:rsidR="00F97FC4">
        <w:rPr>
          <w:color w:val="auto"/>
        </w:rPr>
        <w:t xml:space="preserve">’ </w:t>
      </w:r>
      <w:r w:rsidRPr="00372FD1">
        <w:rPr>
          <w:color w:val="auto"/>
        </w:rPr>
        <w:t>όλη τη διάρκεια των τελευτ</w:t>
      </w:r>
      <w:r w:rsidR="001D1BA7">
        <w:rPr>
          <w:color w:val="auto"/>
        </w:rPr>
        <w:t>αίων, τουλάχιστον,</w:t>
      </w:r>
      <w:r w:rsidRPr="00372FD1">
        <w:rPr>
          <w:color w:val="auto"/>
        </w:rPr>
        <w:t xml:space="preserve"> 16 μηνών, ο ρυθμός μεταβολής </w:t>
      </w:r>
      <w:r w:rsidR="00F97FC4">
        <w:rPr>
          <w:color w:val="auto"/>
        </w:rPr>
        <w:t>των πιστώσεων</w:t>
      </w:r>
      <w:r w:rsidRPr="00372FD1">
        <w:rPr>
          <w:color w:val="auto"/>
        </w:rPr>
        <w:t xml:space="preserve"> από τις τράπεζες προς τις μη χρηματοπιστωτικές επιχειρήσεις ήταν θετικός</w:t>
      </w:r>
      <w:r w:rsidR="001D1BA7">
        <w:rPr>
          <w:color w:val="auto"/>
        </w:rPr>
        <w:t>,</w:t>
      </w:r>
      <w:r w:rsidRPr="00372FD1">
        <w:rPr>
          <w:color w:val="auto"/>
        </w:rPr>
        <w:t xml:space="preserve"> ενώ αντίθετα, η χρηματοδότηση προς τα νοικοκυριά (στεγαστική και καταναλωτική πίστη) παρέμεινε σε αρνητικό πεδίο. Ειδικά</w:t>
      </w:r>
      <w:r w:rsidR="00E118BF">
        <w:rPr>
          <w:color w:val="auto"/>
        </w:rPr>
        <w:t>,</w:t>
      </w:r>
      <w:r w:rsidRPr="00372FD1">
        <w:rPr>
          <w:color w:val="auto"/>
        </w:rPr>
        <w:t xml:space="preserve"> το πρώτο τρίμηνο του 2021</w:t>
      </w:r>
      <w:r w:rsidR="00E118BF">
        <w:rPr>
          <w:color w:val="auto"/>
        </w:rPr>
        <w:t>,</w:t>
      </w:r>
      <w:r w:rsidRPr="00372FD1">
        <w:rPr>
          <w:color w:val="auto"/>
        </w:rPr>
        <w:t xml:space="preserve"> τα επιχειρηματικά δάνεια αυξήθηκαν μ</w:t>
      </w:r>
      <w:r w:rsidR="007F4FF2">
        <w:rPr>
          <w:color w:val="auto"/>
        </w:rPr>
        <w:t>ε υψηλούς ρυθμούς παρά τη</w:t>
      </w:r>
      <w:r w:rsidRPr="00372FD1">
        <w:rPr>
          <w:color w:val="auto"/>
        </w:rPr>
        <w:t xml:space="preserve"> μικρή πτώση του ρυθμού αύξησης τον Μάρτιο</w:t>
      </w:r>
      <w:r w:rsidR="001D1BA7">
        <w:rPr>
          <w:color w:val="auto"/>
        </w:rPr>
        <w:t>,</w:t>
      </w:r>
      <w:r w:rsidRPr="00372FD1">
        <w:rPr>
          <w:color w:val="auto"/>
        </w:rPr>
        <w:t xml:space="preserve"> ο οποίος παρόλα αυτά διαμορφώθηκε στο υψηλό 8,4%. Όπως προαναφέρθηκε, η καταναλωτική και στεγαστική πίστη συνεχίζει και κατά τη διάρκεια του α’ τριμήνου του 2021 να συρρικνώνεται με έναν μέσο μηνιαίο ρυθμό της τάξης του 2,6%.</w:t>
      </w:r>
    </w:p>
    <w:p w14:paraId="34791384" w14:textId="77777777" w:rsidR="00372FD1" w:rsidRPr="00372FD1" w:rsidRDefault="00372FD1" w:rsidP="00372FD1">
      <w:pPr>
        <w:spacing w:after="160" w:line="259" w:lineRule="auto"/>
        <w:rPr>
          <w:color w:val="auto"/>
        </w:rPr>
      </w:pPr>
    </w:p>
    <w:p w14:paraId="23EE747D" w14:textId="7649F690" w:rsidR="00372FD1" w:rsidRPr="001D1BA7" w:rsidRDefault="00372FD1" w:rsidP="00372FD1">
      <w:pPr>
        <w:spacing w:after="160" w:line="259" w:lineRule="auto"/>
        <w:rPr>
          <w:color w:val="00B0F0"/>
          <w:sz w:val="20"/>
          <w:szCs w:val="20"/>
        </w:rPr>
      </w:pPr>
      <w:bookmarkStart w:id="102" w:name="_Toc73435811"/>
      <w:r w:rsidRPr="001D1BA7">
        <w:rPr>
          <w:sz w:val="20"/>
          <w:szCs w:val="20"/>
        </w:rPr>
        <w:t xml:space="preserve">Διάγραμμα </w:t>
      </w:r>
      <w:r w:rsidRPr="001D1BA7">
        <w:rPr>
          <w:i/>
          <w:sz w:val="20"/>
          <w:szCs w:val="20"/>
        </w:rPr>
        <w:fldChar w:fldCharType="begin"/>
      </w:r>
      <w:r w:rsidRPr="001D1BA7">
        <w:rPr>
          <w:sz w:val="20"/>
          <w:szCs w:val="20"/>
        </w:rPr>
        <w:instrText xml:space="preserve"> SEQ Διάγραμμα \* ARABIC </w:instrText>
      </w:r>
      <w:r w:rsidRPr="001D1BA7">
        <w:rPr>
          <w:i/>
          <w:sz w:val="20"/>
          <w:szCs w:val="20"/>
        </w:rPr>
        <w:fldChar w:fldCharType="separate"/>
      </w:r>
      <w:r w:rsidR="00CC05A7">
        <w:rPr>
          <w:noProof/>
          <w:sz w:val="20"/>
          <w:szCs w:val="20"/>
        </w:rPr>
        <w:t>25</w:t>
      </w:r>
      <w:r w:rsidRPr="001D1BA7">
        <w:rPr>
          <w:i/>
          <w:sz w:val="20"/>
          <w:szCs w:val="20"/>
        </w:rPr>
        <w:fldChar w:fldCharType="end"/>
      </w:r>
      <w:r w:rsidRPr="001D1BA7">
        <w:rPr>
          <w:sz w:val="20"/>
          <w:szCs w:val="20"/>
        </w:rPr>
        <w:t xml:space="preserve">: </w:t>
      </w:r>
      <w:r w:rsidRPr="001D1BA7">
        <w:rPr>
          <w:color w:val="00B0F0"/>
          <w:sz w:val="20"/>
          <w:szCs w:val="20"/>
        </w:rPr>
        <w:t>Ρυθμός μεταβολής, σε ετήσια βάση, των υπολοίπων χρηματοδότησης προς τον εγχώριο ιδιωτικό τομέα</w:t>
      </w:r>
      <w:bookmarkEnd w:id="102"/>
    </w:p>
    <w:p w14:paraId="0DF7A878" w14:textId="77777777" w:rsidR="00372FD1" w:rsidRPr="00372FD1" w:rsidRDefault="00372FD1" w:rsidP="00372FD1">
      <w:pPr>
        <w:spacing w:after="160" w:line="259" w:lineRule="auto"/>
        <w:rPr>
          <w:color w:val="auto"/>
        </w:rPr>
      </w:pPr>
      <w:r w:rsidRPr="00372FD1">
        <w:rPr>
          <w:rFonts w:asciiTheme="minorHAnsi" w:hAnsiTheme="minorHAnsi"/>
          <w:noProof/>
          <w:color w:val="auto"/>
          <w:lang w:eastAsia="el-GR"/>
        </w:rPr>
        <mc:AlternateContent>
          <mc:Choice Requires="wps">
            <w:drawing>
              <wp:anchor distT="0" distB="0" distL="114300" distR="114300" simplePos="0" relativeHeight="251669504" behindDoc="0" locked="0" layoutInCell="1" allowOverlap="1" wp14:anchorId="1DB3C712" wp14:editId="14E8C480">
                <wp:simplePos x="0" y="0"/>
                <wp:positionH relativeFrom="column">
                  <wp:posOffset>4021853</wp:posOffset>
                </wp:positionH>
                <wp:positionV relativeFrom="paragraph">
                  <wp:posOffset>15073</wp:posOffset>
                </wp:positionV>
                <wp:extent cx="0" cy="1848896"/>
                <wp:effectExtent l="0" t="0" r="38100" b="18415"/>
                <wp:wrapNone/>
                <wp:docPr id="29" name="Straight Connector 3"/>
                <wp:cNvGraphicFramePr/>
                <a:graphic xmlns:a="http://schemas.openxmlformats.org/drawingml/2006/main">
                  <a:graphicData uri="http://schemas.microsoft.com/office/word/2010/wordprocessingShape">
                    <wps:wsp>
                      <wps:cNvCnPr/>
                      <wps:spPr>
                        <a:xfrm>
                          <a:off x="0" y="0"/>
                          <a:ext cx="0" cy="1848896"/>
                        </a:xfrm>
                        <a:prstGeom prst="line">
                          <a:avLst/>
                        </a:prstGeom>
                        <a:noFill/>
                        <a:ln w="9525" cap="flat" cmpd="sng" algn="ctr">
                          <a:solidFill>
                            <a:sysClr val="windowText" lastClr="000000"/>
                          </a:solidFill>
                          <a:prstDash val="dash"/>
                          <a:round/>
                          <a:headEnd type="none" w="med" len="med"/>
                          <a:tailEnd type="none" w="med" len="med"/>
                        </a:ln>
                        <a:effectLst/>
                      </wps:spPr>
                      <wps:bodyPr/>
                    </wps:wsp>
                  </a:graphicData>
                </a:graphic>
              </wp:anchor>
            </w:drawing>
          </mc:Choice>
          <mc:Fallback>
            <w:pict>
              <v:line w14:anchorId="713B1040" id="Straight Connector 3"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316.7pt,1.2pt" to="316.7pt,1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W2s6wEAAM8DAAAOAAAAZHJzL2Uyb0RvYy54bWysU8GOEzEMvSPxD1HudNrCrtpRp3toWS4I&#10;Ku3yAd4kMxMpiaM422n/HictywIXhOghtR3b8Xt+s7k7eSeOJpHF0MnFbC6FCQq1DUMnvz3ev1tJ&#10;QRmCBofBdPJsSN5t377ZTLE1SxzRaZMENwnUTrGTY86xbRpSo/FAM4wm8GWPyUNmNw2NTjBxd++a&#10;5Xx+20yYdEyoDBFH95dLua39+96o/LXvyWThOsmz5Xqmej6Vs9luoB0SxNGq6xjwD1N4sIEffWm1&#10;hwziOdk/WnmrEhL2eabQN9j3VpmKgdEs5r+heRghmoqFyaH4QhP9v7bqy/GQhNWdXK6lCOB5Rw85&#10;gR3GLHYYAjOISbwvRE2RWs7fhUO6ehQPqaA+9cmXf8YjTpXc8wu55pSFugQVRxerD6vV+rb0a34W&#10;xkT5k0EvitFJZ0PBDS0cP1O+pP5IKeGA99Y5jkPrgpg6ub5Z3kihgBXUO8hs+siYKAxSgBtYmiqn&#10;2pHQWV2qSzGdaeeSOAKrg0WlcXrkcaVwQJkvGEP9XYf9pbSMswcaL8WarZIFbcLnoKs1GtAfgxb5&#10;HJnUwPKXZVRvND9geKRi1cwM1v1NJhPmQnnEVGVfqSlruSyiWE+oz3U/TfFYNZXnq8KLLF/7bL/+&#10;DrffAQAA//8DAFBLAwQUAAYACAAAACEAMjcofd0AAAAJAQAADwAAAGRycy9kb3ducmV2LnhtbEyP&#10;QUvDQBCF74L/YRnBm93YSLUxmyIFPYlg9aC3aXZMUrOzIbtJY369Ix70NHy8x5v38s3kWjVSHxrP&#10;Bi4XCSji0tuGKwOvL/cXN6BCRLbYeiYDXxRgU5ye5JhZf+RnGnexUhLCIUMDdYxdpnUoa3IYFr4j&#10;Fu3D9w6jYF9p2+NRwl2rl0my0g4blg81drStqfzcDc7Am90O+Hj93s38cKhGXs9Pc3kw5vxsursF&#10;FWmKf2b4qS/VoZBOez+wDao1sErTK7EaWMoR/Zf3wut0BbrI9f8FxTcAAAD//wMAUEsBAi0AFAAG&#10;AAgAAAAhALaDOJL+AAAA4QEAABMAAAAAAAAAAAAAAAAAAAAAAFtDb250ZW50X1R5cGVzXS54bWxQ&#10;SwECLQAUAAYACAAAACEAOP0h/9YAAACUAQAACwAAAAAAAAAAAAAAAAAvAQAAX3JlbHMvLnJlbHNQ&#10;SwECLQAUAAYACAAAACEA7dltrOsBAADPAwAADgAAAAAAAAAAAAAAAAAuAgAAZHJzL2Uyb0RvYy54&#10;bWxQSwECLQAUAAYACAAAACEAMjcofd0AAAAJAQAADwAAAAAAAAAAAAAAAABFBAAAZHJzL2Rvd25y&#10;ZXYueG1sUEsFBgAAAAAEAAQA8wAAAE8FAAAAAA==&#10;" strokecolor="windowText">
                <v:stroke dashstyle="dash"/>
              </v:line>
            </w:pict>
          </mc:Fallback>
        </mc:AlternateContent>
      </w:r>
      <w:r w:rsidRPr="00372FD1">
        <w:rPr>
          <w:rFonts w:asciiTheme="minorHAnsi" w:hAnsiTheme="minorHAnsi"/>
          <w:noProof/>
          <w:color w:val="auto"/>
          <w:lang w:eastAsia="el-GR"/>
        </w:rPr>
        <w:drawing>
          <wp:inline distT="0" distB="0" distL="0" distR="0" wp14:anchorId="40C71680" wp14:editId="76BCFFBD">
            <wp:extent cx="5267325" cy="3074179"/>
            <wp:effectExtent l="0" t="0" r="9525" b="12065"/>
            <wp:docPr id="33" name="Γράφημα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98A8F8F" w14:textId="4FCEE4E7" w:rsidR="002E7539" w:rsidRPr="004D1F57" w:rsidRDefault="002E7539" w:rsidP="002E7539">
      <w:pPr>
        <w:spacing w:after="0"/>
        <w:rPr>
          <w:color w:val="auto"/>
          <w:sz w:val="18"/>
          <w:szCs w:val="18"/>
        </w:rPr>
      </w:pPr>
      <w:r w:rsidRPr="004D1F57">
        <w:rPr>
          <w:b/>
          <w:color w:val="auto"/>
          <w:sz w:val="16"/>
          <w:szCs w:val="16"/>
        </w:rPr>
        <w:t>Πηγή:</w:t>
      </w:r>
      <w:r w:rsidRPr="004D1F57">
        <w:rPr>
          <w:color w:val="auto"/>
          <w:sz w:val="16"/>
          <w:szCs w:val="16"/>
        </w:rPr>
        <w:t xml:space="preserve"> </w:t>
      </w:r>
      <w:r>
        <w:rPr>
          <w:iCs/>
          <w:noProof/>
          <w:color w:val="00A3E0"/>
          <w:sz w:val="16"/>
          <w:szCs w:val="16"/>
        </w:rPr>
        <w:t>Τράπεζα της Ελλάδος</w:t>
      </w:r>
    </w:p>
    <w:p w14:paraId="2A3C989E" w14:textId="0CBA2129" w:rsidR="00372FD1" w:rsidRPr="00372FD1" w:rsidRDefault="00372FD1" w:rsidP="00372FD1">
      <w:pPr>
        <w:spacing w:after="160" w:line="259" w:lineRule="auto"/>
        <w:rPr>
          <w:color w:val="auto"/>
          <w:sz w:val="16"/>
          <w:szCs w:val="16"/>
        </w:rPr>
      </w:pPr>
      <w:r w:rsidRPr="00372FD1">
        <w:rPr>
          <w:color w:val="auto"/>
          <w:sz w:val="16"/>
          <w:szCs w:val="16"/>
        </w:rPr>
        <w:t xml:space="preserve">Σημείωση: Οι ρυθμοί μεταβολής υπολογίζονται με βάση τις καθαρές ροές τραπεζικής χρηματοδότησης οι οποίες με τη σειρά τους προκύπτουν από τις μεταβολές των υπολοίπων «διορθωμένες» </w:t>
      </w:r>
      <w:r w:rsidR="00F97FC4">
        <w:rPr>
          <w:color w:val="auto"/>
          <w:sz w:val="16"/>
          <w:szCs w:val="16"/>
        </w:rPr>
        <w:t xml:space="preserve">ως προς τις </w:t>
      </w:r>
      <w:r w:rsidRPr="00372FD1">
        <w:rPr>
          <w:color w:val="auto"/>
          <w:sz w:val="16"/>
          <w:szCs w:val="16"/>
        </w:rPr>
        <w:t>διαγραφές δανείων, απομειώσεις αξίας χρεογράφων, συναλλαγματικές διαφορές και αναταξινομήσεις.</w:t>
      </w:r>
    </w:p>
    <w:p w14:paraId="668970A5" w14:textId="77777777" w:rsidR="00372FD1" w:rsidRDefault="00372FD1" w:rsidP="008866AA">
      <w:pPr>
        <w:spacing w:after="120"/>
        <w:rPr>
          <w:rFonts w:eastAsia="Calibri" w:cs="Times New Roman"/>
          <w:iCs/>
          <w:color w:val="auto"/>
        </w:rPr>
      </w:pPr>
    </w:p>
    <w:p w14:paraId="2B9A8987" w14:textId="5DBAF60E" w:rsidR="002E7539" w:rsidRDefault="002E7539">
      <w:pPr>
        <w:spacing w:after="160" w:line="0" w:lineRule="auto"/>
        <w:jc w:val="left"/>
      </w:pPr>
      <w:r>
        <w:br w:type="page"/>
      </w:r>
    </w:p>
    <w:p w14:paraId="162268BC" w14:textId="123120BE" w:rsidR="00DD3CC6" w:rsidRPr="005A45C7" w:rsidRDefault="00EA37BD" w:rsidP="00EA37BD">
      <w:pPr>
        <w:pStyle w:val="a0"/>
        <w:ind w:left="0"/>
        <w:rPr>
          <w:sz w:val="32"/>
          <w:szCs w:val="32"/>
        </w:rPr>
      </w:pPr>
      <w:bookmarkStart w:id="103" w:name="_Toc73435741"/>
      <w:r w:rsidRPr="00EA37BD">
        <w:rPr>
          <w:sz w:val="32"/>
          <w:szCs w:val="32"/>
        </w:rPr>
        <w:t>Οι μακροοικονομικές προβλέψεις 2021: Μια πρώτη αξιολόγηση</w:t>
      </w:r>
      <w:bookmarkEnd w:id="103"/>
    </w:p>
    <w:p w14:paraId="6F142178" w14:textId="77777777" w:rsidR="00E118BF" w:rsidRPr="00AD774A" w:rsidRDefault="00F83A3F" w:rsidP="00E13E88">
      <w:pPr>
        <w:numPr>
          <w:ilvl w:val="0"/>
          <w:numId w:val="21"/>
        </w:numPr>
        <w:spacing w:after="160"/>
        <w:ind w:left="714" w:hanging="357"/>
        <w:rPr>
          <w:rFonts w:eastAsia="Calibri" w:cs="Times New Roman"/>
          <w:b/>
          <w:i/>
          <w:color w:val="595959" w:themeColor="text1" w:themeTint="A6"/>
          <w:sz w:val="24"/>
          <w:szCs w:val="24"/>
        </w:rPr>
      </w:pPr>
      <w:r w:rsidRPr="00AD774A">
        <w:rPr>
          <w:rFonts w:eastAsia="Calibri" w:cs="Times New Roman"/>
          <w:b/>
          <w:i/>
          <w:color w:val="595959" w:themeColor="text1" w:themeTint="A6"/>
          <w:sz w:val="24"/>
          <w:szCs w:val="24"/>
        </w:rPr>
        <w:t xml:space="preserve">Ο </w:t>
      </w:r>
      <w:r w:rsidR="00E118BF" w:rsidRPr="00AD774A">
        <w:rPr>
          <w:rFonts w:eastAsia="Calibri" w:cs="Times New Roman"/>
          <w:b/>
          <w:i/>
          <w:color w:val="595959" w:themeColor="text1" w:themeTint="A6"/>
          <w:sz w:val="24"/>
          <w:szCs w:val="24"/>
        </w:rPr>
        <w:t xml:space="preserve">έλεγχος της πανδημίας, η άρση των περιοριστικών μέτρων και οι πόροι του ταμείου ανάκαμψης και ανθεκτικότητας αποτελούν τους κρίσιμους παράγοντες για υψηλή </w:t>
      </w:r>
      <w:r w:rsidR="00E118BF">
        <w:rPr>
          <w:rFonts w:eastAsia="Calibri" w:cs="Times New Roman"/>
          <w:b/>
          <w:i/>
          <w:color w:val="595959" w:themeColor="text1" w:themeTint="A6"/>
          <w:sz w:val="24"/>
          <w:szCs w:val="24"/>
        </w:rPr>
        <w:t>μεγέθυνση</w:t>
      </w:r>
      <w:r w:rsidR="00E118BF" w:rsidRPr="00AD774A">
        <w:rPr>
          <w:rFonts w:eastAsia="Calibri" w:cs="Times New Roman"/>
          <w:b/>
          <w:i/>
          <w:color w:val="595959" w:themeColor="text1" w:themeTint="A6"/>
          <w:sz w:val="24"/>
          <w:szCs w:val="24"/>
        </w:rPr>
        <w:t xml:space="preserve"> το 2021</w:t>
      </w:r>
    </w:p>
    <w:p w14:paraId="7254EB3B" w14:textId="77777777" w:rsidR="00E118BF" w:rsidRDefault="00E118BF" w:rsidP="00E13E88">
      <w:pPr>
        <w:numPr>
          <w:ilvl w:val="0"/>
          <w:numId w:val="21"/>
        </w:numPr>
        <w:spacing w:after="160"/>
        <w:ind w:left="714" w:hanging="357"/>
        <w:rPr>
          <w:rFonts w:eastAsia="Calibri" w:cs="Times New Roman"/>
          <w:b/>
          <w:i/>
          <w:color w:val="595959" w:themeColor="text1" w:themeTint="A6"/>
          <w:sz w:val="24"/>
          <w:szCs w:val="24"/>
        </w:rPr>
      </w:pPr>
      <w:r>
        <w:rPr>
          <w:rFonts w:eastAsia="Calibri" w:cs="Times New Roman"/>
          <w:b/>
          <w:i/>
          <w:color w:val="595959" w:themeColor="text1" w:themeTint="A6"/>
          <w:sz w:val="24"/>
          <w:szCs w:val="24"/>
        </w:rPr>
        <w:t xml:space="preserve">Συγκλίνουν οι προβλέψεις Υπουργείου Οικονομικών, διεθνών οργανισμών </w:t>
      </w:r>
      <w:r w:rsidRPr="00AD774A">
        <w:rPr>
          <w:rFonts w:eastAsia="Calibri" w:cs="Times New Roman"/>
          <w:b/>
          <w:i/>
          <w:color w:val="595959" w:themeColor="text1" w:themeTint="A6"/>
          <w:sz w:val="24"/>
          <w:szCs w:val="24"/>
        </w:rPr>
        <w:t xml:space="preserve">(Ευρωπαϊκή Επιτροπή, Διεθνές Νομισματικό Ταμείο κα) </w:t>
      </w:r>
      <w:r>
        <w:rPr>
          <w:rFonts w:eastAsia="Calibri" w:cs="Times New Roman"/>
          <w:b/>
          <w:i/>
          <w:color w:val="595959" w:themeColor="text1" w:themeTint="A6"/>
          <w:sz w:val="24"/>
          <w:szCs w:val="24"/>
        </w:rPr>
        <w:t xml:space="preserve">και ΤτΕ σε </w:t>
      </w:r>
      <w:r w:rsidRPr="00AD774A">
        <w:rPr>
          <w:rFonts w:eastAsia="Calibri" w:cs="Times New Roman"/>
          <w:b/>
          <w:i/>
          <w:color w:val="595959" w:themeColor="text1" w:themeTint="A6"/>
          <w:sz w:val="24"/>
          <w:szCs w:val="24"/>
        </w:rPr>
        <w:t>ρυθμό μεγέθυνσης 3,6%.</w:t>
      </w:r>
    </w:p>
    <w:p w14:paraId="3ED13357" w14:textId="77777777" w:rsidR="00E118BF" w:rsidRPr="00AD774A" w:rsidRDefault="00E118BF" w:rsidP="00E13E88">
      <w:pPr>
        <w:numPr>
          <w:ilvl w:val="0"/>
          <w:numId w:val="21"/>
        </w:numPr>
        <w:spacing w:after="160"/>
        <w:ind w:left="714" w:hanging="357"/>
        <w:rPr>
          <w:rFonts w:eastAsia="Calibri" w:cs="Times New Roman"/>
          <w:b/>
          <w:i/>
          <w:color w:val="595959" w:themeColor="text1" w:themeTint="A6"/>
          <w:sz w:val="24"/>
          <w:szCs w:val="24"/>
        </w:rPr>
      </w:pPr>
      <w:r>
        <w:rPr>
          <w:rFonts w:eastAsia="Calibri" w:cs="Times New Roman"/>
          <w:b/>
          <w:i/>
          <w:color w:val="595959" w:themeColor="text1" w:themeTint="A6"/>
          <w:sz w:val="24"/>
          <w:szCs w:val="24"/>
        </w:rPr>
        <w:t xml:space="preserve">Ανάλογη είναι η σύγκλιση των προβλέψεων αναφορικά με τις </w:t>
      </w:r>
      <w:r w:rsidRPr="00AD774A">
        <w:rPr>
          <w:rFonts w:eastAsia="Calibri" w:cs="Times New Roman"/>
          <w:b/>
          <w:i/>
          <w:color w:val="595959" w:themeColor="text1" w:themeTint="A6"/>
          <w:sz w:val="24"/>
          <w:szCs w:val="24"/>
        </w:rPr>
        <w:t>συνιστ</w:t>
      </w:r>
      <w:r>
        <w:rPr>
          <w:rFonts w:eastAsia="Calibri" w:cs="Times New Roman"/>
          <w:b/>
          <w:i/>
          <w:color w:val="595959" w:themeColor="text1" w:themeTint="A6"/>
          <w:sz w:val="24"/>
          <w:szCs w:val="24"/>
        </w:rPr>
        <w:t>ώ</w:t>
      </w:r>
      <w:r w:rsidRPr="00AD774A">
        <w:rPr>
          <w:rFonts w:eastAsia="Calibri" w:cs="Times New Roman"/>
          <w:b/>
          <w:i/>
          <w:color w:val="595959" w:themeColor="text1" w:themeTint="A6"/>
          <w:sz w:val="24"/>
          <w:szCs w:val="24"/>
        </w:rPr>
        <w:t>σ</w:t>
      </w:r>
      <w:r>
        <w:rPr>
          <w:rFonts w:eastAsia="Calibri" w:cs="Times New Roman"/>
          <w:b/>
          <w:i/>
          <w:color w:val="595959" w:themeColor="text1" w:themeTint="A6"/>
          <w:sz w:val="24"/>
          <w:szCs w:val="24"/>
        </w:rPr>
        <w:t>ες</w:t>
      </w:r>
      <w:r w:rsidRPr="00AD774A">
        <w:rPr>
          <w:rFonts w:eastAsia="Calibri" w:cs="Times New Roman"/>
          <w:b/>
          <w:i/>
          <w:color w:val="595959" w:themeColor="text1" w:themeTint="A6"/>
          <w:sz w:val="24"/>
          <w:szCs w:val="24"/>
        </w:rPr>
        <w:t xml:space="preserve"> του ΑΕΠ αλλά και άλλ</w:t>
      </w:r>
      <w:r>
        <w:rPr>
          <w:rFonts w:eastAsia="Calibri" w:cs="Times New Roman"/>
          <w:b/>
          <w:i/>
          <w:color w:val="595959" w:themeColor="text1" w:themeTint="A6"/>
          <w:sz w:val="24"/>
          <w:szCs w:val="24"/>
        </w:rPr>
        <w:t>ες</w:t>
      </w:r>
      <w:r w:rsidRPr="00AD774A">
        <w:rPr>
          <w:rFonts w:eastAsia="Calibri" w:cs="Times New Roman"/>
          <w:b/>
          <w:i/>
          <w:color w:val="595959" w:themeColor="text1" w:themeTint="A6"/>
          <w:sz w:val="24"/>
          <w:szCs w:val="24"/>
        </w:rPr>
        <w:t xml:space="preserve"> σημαντικ</w:t>
      </w:r>
      <w:r>
        <w:rPr>
          <w:rFonts w:eastAsia="Calibri" w:cs="Times New Roman"/>
          <w:b/>
          <w:i/>
          <w:color w:val="595959" w:themeColor="text1" w:themeTint="A6"/>
          <w:sz w:val="24"/>
          <w:szCs w:val="24"/>
        </w:rPr>
        <w:t>ές</w:t>
      </w:r>
      <w:r w:rsidRPr="00AD774A">
        <w:rPr>
          <w:rFonts w:eastAsia="Calibri" w:cs="Times New Roman"/>
          <w:b/>
          <w:i/>
          <w:color w:val="595959" w:themeColor="text1" w:themeTint="A6"/>
          <w:sz w:val="24"/>
          <w:szCs w:val="24"/>
        </w:rPr>
        <w:t xml:space="preserve"> μακροοικονομικ</w:t>
      </w:r>
      <w:r>
        <w:rPr>
          <w:rFonts w:eastAsia="Calibri" w:cs="Times New Roman"/>
          <w:b/>
          <w:i/>
          <w:color w:val="595959" w:themeColor="text1" w:themeTint="A6"/>
          <w:sz w:val="24"/>
          <w:szCs w:val="24"/>
        </w:rPr>
        <w:t>ές</w:t>
      </w:r>
      <w:r w:rsidRPr="00AD774A">
        <w:rPr>
          <w:rFonts w:eastAsia="Calibri" w:cs="Times New Roman"/>
          <w:b/>
          <w:i/>
          <w:color w:val="595959" w:themeColor="text1" w:themeTint="A6"/>
          <w:sz w:val="24"/>
          <w:szCs w:val="24"/>
        </w:rPr>
        <w:t xml:space="preserve"> μεταβλητ</w:t>
      </w:r>
      <w:r>
        <w:rPr>
          <w:rFonts w:eastAsia="Calibri" w:cs="Times New Roman"/>
          <w:b/>
          <w:i/>
          <w:color w:val="595959" w:themeColor="text1" w:themeTint="A6"/>
          <w:sz w:val="24"/>
          <w:szCs w:val="24"/>
        </w:rPr>
        <w:t>ές (</w:t>
      </w:r>
      <w:r w:rsidRPr="00AD774A">
        <w:rPr>
          <w:rFonts w:eastAsia="Calibri" w:cs="Times New Roman"/>
          <w:b/>
          <w:i/>
          <w:color w:val="595959" w:themeColor="text1" w:themeTint="A6"/>
          <w:sz w:val="24"/>
          <w:szCs w:val="24"/>
        </w:rPr>
        <w:t>ποσοστό ανεργίας, ρυθμός πληθωρισμού κα</w:t>
      </w:r>
      <w:r>
        <w:rPr>
          <w:rFonts w:eastAsia="Calibri" w:cs="Times New Roman"/>
          <w:b/>
          <w:i/>
          <w:color w:val="595959" w:themeColor="text1" w:themeTint="A6"/>
          <w:sz w:val="24"/>
          <w:szCs w:val="24"/>
        </w:rPr>
        <w:t>)</w:t>
      </w:r>
    </w:p>
    <w:p w14:paraId="7AAB62A6" w14:textId="165341EC" w:rsidR="00E118BF" w:rsidRPr="00AD774A" w:rsidRDefault="0032260A" w:rsidP="00E13E88">
      <w:pPr>
        <w:numPr>
          <w:ilvl w:val="0"/>
          <w:numId w:val="21"/>
        </w:numPr>
        <w:spacing w:after="160"/>
        <w:ind w:left="714" w:hanging="357"/>
        <w:rPr>
          <w:rFonts w:eastAsia="Calibri" w:cs="Times New Roman"/>
          <w:b/>
          <w:i/>
          <w:color w:val="595959" w:themeColor="text1" w:themeTint="A6"/>
          <w:sz w:val="24"/>
          <w:szCs w:val="24"/>
        </w:rPr>
      </w:pPr>
      <w:r>
        <w:rPr>
          <w:rFonts w:eastAsia="Calibri" w:cs="Times New Roman"/>
          <w:b/>
          <w:i/>
          <w:color w:val="595959" w:themeColor="text1" w:themeTint="A6"/>
          <w:sz w:val="24"/>
          <w:szCs w:val="24"/>
        </w:rPr>
        <w:t>Βασικοί ενισχυτικοί παράγοντες</w:t>
      </w:r>
      <w:r w:rsidR="00E118BF" w:rsidRPr="00AD774A">
        <w:rPr>
          <w:rFonts w:eastAsia="Calibri" w:cs="Times New Roman"/>
          <w:b/>
          <w:i/>
          <w:color w:val="595959" w:themeColor="text1" w:themeTint="A6"/>
          <w:sz w:val="24"/>
          <w:szCs w:val="24"/>
        </w:rPr>
        <w:t xml:space="preserve"> της αύξησης του ΑΕΠ εκτιμάται ότι θα είναι η ιδιωτική κατανάλωση (+3,2 δισ. ευρώ) και οι εξαγωγές αγαθών και υπηρεσιών (+6,3 δισ. ευρώ).</w:t>
      </w:r>
    </w:p>
    <w:p w14:paraId="1BF4768A" w14:textId="1FE35471" w:rsidR="00E118BF" w:rsidRPr="00AD774A" w:rsidRDefault="00E118BF" w:rsidP="00E13E88">
      <w:pPr>
        <w:numPr>
          <w:ilvl w:val="0"/>
          <w:numId w:val="21"/>
        </w:numPr>
        <w:spacing w:after="160"/>
        <w:ind w:left="714" w:hanging="357"/>
        <w:rPr>
          <w:rFonts w:eastAsia="Calibri" w:cs="Times New Roman"/>
          <w:b/>
          <w:i/>
          <w:color w:val="595959" w:themeColor="text1" w:themeTint="A6"/>
          <w:sz w:val="24"/>
          <w:szCs w:val="24"/>
        </w:rPr>
      </w:pPr>
      <w:r w:rsidRPr="00AD774A">
        <w:rPr>
          <w:rFonts w:eastAsia="Calibri" w:cs="Times New Roman"/>
          <w:b/>
          <w:i/>
          <w:color w:val="595959" w:themeColor="text1" w:themeTint="A6"/>
          <w:sz w:val="24"/>
          <w:szCs w:val="24"/>
        </w:rPr>
        <w:t>Μεγάλη</w:t>
      </w:r>
      <w:r>
        <w:rPr>
          <w:rFonts w:eastAsia="Calibri" w:cs="Times New Roman"/>
          <w:b/>
          <w:i/>
          <w:color w:val="595959" w:themeColor="text1" w:themeTint="A6"/>
          <w:sz w:val="24"/>
          <w:szCs w:val="24"/>
        </w:rPr>
        <w:t>,</w:t>
      </w:r>
      <w:r w:rsidRPr="00AD774A">
        <w:rPr>
          <w:rFonts w:eastAsia="Calibri" w:cs="Times New Roman"/>
          <w:b/>
          <w:i/>
          <w:color w:val="595959" w:themeColor="text1" w:themeTint="A6"/>
          <w:sz w:val="24"/>
          <w:szCs w:val="24"/>
        </w:rPr>
        <w:t xml:space="preserve"> εκτιμάται ότι θα είναι η ποσοστιαία αύξηση του ακαθάριστου σχηματισμού παγίου κεφαλαίου (+7%).</w:t>
      </w:r>
    </w:p>
    <w:p w14:paraId="0C7445E8" w14:textId="3497491C" w:rsidR="00E118BF" w:rsidRPr="007F4FF2" w:rsidRDefault="00E118BF" w:rsidP="007F4FF2">
      <w:pPr>
        <w:numPr>
          <w:ilvl w:val="0"/>
          <w:numId w:val="21"/>
        </w:numPr>
        <w:spacing w:after="160"/>
        <w:ind w:left="714" w:hanging="357"/>
        <w:rPr>
          <w:rFonts w:eastAsia="Calibri" w:cs="Times New Roman"/>
          <w:b/>
          <w:i/>
          <w:color w:val="595959" w:themeColor="text1" w:themeTint="A6"/>
          <w:sz w:val="24"/>
          <w:szCs w:val="24"/>
        </w:rPr>
      </w:pPr>
      <w:r>
        <w:rPr>
          <w:rFonts w:eastAsia="Calibri" w:cs="Times New Roman"/>
          <w:b/>
          <w:i/>
          <w:color w:val="595959" w:themeColor="text1" w:themeTint="A6"/>
          <w:sz w:val="24"/>
          <w:szCs w:val="24"/>
        </w:rPr>
        <w:t>Β</w:t>
      </w:r>
      <w:r w:rsidR="007F4FF2">
        <w:rPr>
          <w:rFonts w:eastAsia="Calibri" w:cs="Times New Roman"/>
          <w:b/>
          <w:i/>
          <w:color w:val="595959" w:themeColor="text1" w:themeTint="A6"/>
          <w:sz w:val="24"/>
          <w:szCs w:val="24"/>
        </w:rPr>
        <w:t xml:space="preserve">ασικές πηγές αβεβαιότητας </w:t>
      </w:r>
      <w:r w:rsidRPr="007F4FF2">
        <w:rPr>
          <w:rFonts w:eastAsia="Calibri" w:cs="Times New Roman"/>
          <w:b/>
          <w:i/>
          <w:color w:val="595959" w:themeColor="text1" w:themeTint="A6"/>
          <w:sz w:val="24"/>
          <w:szCs w:val="24"/>
        </w:rPr>
        <w:t>των μακροοικονομικών προβλέψεων αποτελούν:</w:t>
      </w:r>
    </w:p>
    <w:p w14:paraId="63AA8A7A" w14:textId="27384A2F" w:rsidR="00E118BF" w:rsidRDefault="00E118BF" w:rsidP="00E13E88">
      <w:pPr>
        <w:numPr>
          <w:ilvl w:val="1"/>
          <w:numId w:val="21"/>
        </w:numPr>
        <w:spacing w:after="160"/>
        <w:ind w:hanging="357"/>
        <w:rPr>
          <w:rFonts w:eastAsia="Calibri" w:cs="Times New Roman"/>
          <w:b/>
          <w:i/>
          <w:color w:val="595959" w:themeColor="text1" w:themeTint="A6"/>
          <w:sz w:val="24"/>
          <w:szCs w:val="24"/>
        </w:rPr>
      </w:pPr>
      <w:r w:rsidRPr="00AD774A">
        <w:rPr>
          <w:rFonts w:eastAsia="Calibri" w:cs="Times New Roman"/>
          <w:b/>
          <w:i/>
          <w:color w:val="595959" w:themeColor="text1" w:themeTint="A6"/>
          <w:sz w:val="24"/>
          <w:szCs w:val="24"/>
        </w:rPr>
        <w:t xml:space="preserve">η πρόοδος των εμβολιασμών και το μέγεθος της αποκτώμενης ανοσίας του πληθυσμού, καθώς και η άρρηκτα με αυτά συνδεδεμένη πορεία της πανδημικής κρίσης </w:t>
      </w:r>
    </w:p>
    <w:p w14:paraId="208F692D" w14:textId="1DF325A7" w:rsidR="00E118BF" w:rsidRDefault="00E118BF" w:rsidP="00E13E88">
      <w:pPr>
        <w:numPr>
          <w:ilvl w:val="1"/>
          <w:numId w:val="21"/>
        </w:numPr>
        <w:spacing w:after="160"/>
        <w:rPr>
          <w:rFonts w:eastAsia="Calibri" w:cs="Times New Roman"/>
          <w:b/>
          <w:i/>
          <w:color w:val="595959" w:themeColor="text1" w:themeTint="A6"/>
          <w:sz w:val="24"/>
          <w:szCs w:val="24"/>
        </w:rPr>
      </w:pPr>
      <w:r>
        <w:rPr>
          <w:rFonts w:eastAsia="Calibri" w:cs="Times New Roman"/>
          <w:b/>
          <w:i/>
          <w:color w:val="595959" w:themeColor="text1" w:themeTint="A6"/>
          <w:sz w:val="24"/>
          <w:szCs w:val="24"/>
        </w:rPr>
        <w:t>η</w:t>
      </w:r>
      <w:r w:rsidRPr="00AD774A">
        <w:rPr>
          <w:rFonts w:eastAsia="Calibri" w:cs="Times New Roman"/>
          <w:b/>
          <w:i/>
          <w:color w:val="595959" w:themeColor="text1" w:themeTint="A6"/>
          <w:sz w:val="24"/>
          <w:szCs w:val="24"/>
        </w:rPr>
        <w:t xml:space="preserve"> έγκαιρη και ομαλή απορρόφηση των ευρωπαϊκών κονδυλίων στήριξης της εθνικής οικονομ</w:t>
      </w:r>
      <w:r w:rsidR="003D6EFA">
        <w:rPr>
          <w:rFonts w:eastAsia="Calibri" w:cs="Times New Roman"/>
          <w:b/>
          <w:i/>
          <w:color w:val="595959" w:themeColor="text1" w:themeTint="A6"/>
          <w:sz w:val="24"/>
          <w:szCs w:val="24"/>
        </w:rPr>
        <w:t xml:space="preserve">ίας </w:t>
      </w:r>
      <w:r>
        <w:rPr>
          <w:rFonts w:eastAsia="Calibri" w:cs="Times New Roman"/>
          <w:b/>
          <w:i/>
          <w:color w:val="595959" w:themeColor="text1" w:themeTint="A6"/>
          <w:sz w:val="24"/>
          <w:szCs w:val="24"/>
        </w:rPr>
        <w:t>(Ταμείο Ανάκαμψης κ.ά.)</w:t>
      </w:r>
    </w:p>
    <w:p w14:paraId="38C2AAAE" w14:textId="77777777" w:rsidR="00E118BF" w:rsidRDefault="00E118BF" w:rsidP="00E13E88">
      <w:pPr>
        <w:numPr>
          <w:ilvl w:val="1"/>
          <w:numId w:val="21"/>
        </w:numPr>
        <w:spacing w:after="160"/>
        <w:rPr>
          <w:rFonts w:eastAsia="Calibri" w:cs="Times New Roman"/>
          <w:b/>
          <w:i/>
          <w:color w:val="595959" w:themeColor="text1" w:themeTint="A6"/>
          <w:sz w:val="24"/>
          <w:szCs w:val="24"/>
        </w:rPr>
      </w:pPr>
      <w:r>
        <w:rPr>
          <w:rFonts w:eastAsia="Calibri" w:cs="Times New Roman"/>
          <w:b/>
          <w:i/>
          <w:color w:val="595959" w:themeColor="text1" w:themeTint="A6"/>
          <w:sz w:val="24"/>
          <w:szCs w:val="24"/>
        </w:rPr>
        <w:t xml:space="preserve">η διασφάλιση ευνοϊκών συνθηκών χρηματοδότησης στην οικονομία </w:t>
      </w:r>
      <w:r w:rsidRPr="00AD774A">
        <w:rPr>
          <w:rFonts w:eastAsia="Calibri" w:cs="Times New Roman"/>
          <w:b/>
          <w:i/>
          <w:color w:val="595959" w:themeColor="text1" w:themeTint="A6"/>
          <w:sz w:val="24"/>
          <w:szCs w:val="24"/>
        </w:rPr>
        <w:t xml:space="preserve">μέσω του </w:t>
      </w:r>
      <w:r>
        <w:rPr>
          <w:rFonts w:eastAsia="Calibri" w:cs="Times New Roman"/>
          <w:b/>
          <w:i/>
          <w:color w:val="595959" w:themeColor="text1" w:themeTint="A6"/>
          <w:sz w:val="24"/>
          <w:szCs w:val="24"/>
        </w:rPr>
        <w:t>εγχώριου</w:t>
      </w:r>
      <w:r w:rsidRPr="00AD774A">
        <w:rPr>
          <w:rFonts w:eastAsia="Calibri" w:cs="Times New Roman"/>
          <w:b/>
          <w:i/>
          <w:color w:val="595959" w:themeColor="text1" w:themeTint="A6"/>
          <w:sz w:val="24"/>
          <w:szCs w:val="24"/>
        </w:rPr>
        <w:t xml:space="preserve"> τραπεζικού συστήματος</w:t>
      </w:r>
    </w:p>
    <w:p w14:paraId="3583E9FD" w14:textId="77777777" w:rsidR="00E13E88" w:rsidRDefault="00E118BF" w:rsidP="00E13E88">
      <w:pPr>
        <w:numPr>
          <w:ilvl w:val="1"/>
          <w:numId w:val="21"/>
        </w:numPr>
        <w:spacing w:after="160"/>
        <w:rPr>
          <w:rFonts w:eastAsia="Calibri" w:cs="Times New Roman"/>
          <w:b/>
          <w:i/>
          <w:color w:val="595959" w:themeColor="text1" w:themeTint="A6"/>
          <w:sz w:val="24"/>
          <w:szCs w:val="24"/>
        </w:rPr>
      </w:pPr>
      <w:r w:rsidRPr="00E13E88">
        <w:rPr>
          <w:rFonts w:eastAsia="Calibri" w:cs="Times New Roman"/>
          <w:b/>
          <w:i/>
          <w:color w:val="595959" w:themeColor="text1" w:themeTint="A6"/>
          <w:sz w:val="24"/>
          <w:szCs w:val="24"/>
        </w:rPr>
        <w:t>ο βαθμός ανάκαμψης της τουριστικής δαπάνης</w:t>
      </w:r>
    </w:p>
    <w:p w14:paraId="4D4A000A" w14:textId="6B726873" w:rsidR="00AD774A" w:rsidRDefault="00E13E88" w:rsidP="00E13E88">
      <w:pPr>
        <w:numPr>
          <w:ilvl w:val="1"/>
          <w:numId w:val="21"/>
        </w:numPr>
        <w:spacing w:after="160"/>
        <w:rPr>
          <w:rFonts w:eastAsia="Calibri" w:cs="Times New Roman"/>
          <w:b/>
          <w:i/>
          <w:color w:val="595959" w:themeColor="text1" w:themeTint="A6"/>
          <w:sz w:val="24"/>
          <w:szCs w:val="24"/>
        </w:rPr>
      </w:pPr>
      <w:r>
        <w:rPr>
          <w:rFonts w:eastAsia="Calibri" w:cs="Times New Roman"/>
          <w:b/>
          <w:i/>
          <w:color w:val="595959" w:themeColor="text1" w:themeTint="A6"/>
          <w:sz w:val="24"/>
          <w:szCs w:val="24"/>
        </w:rPr>
        <w:t>η</w:t>
      </w:r>
      <w:r w:rsidR="00E118BF" w:rsidRPr="00E13E88">
        <w:rPr>
          <w:rFonts w:eastAsia="Calibri" w:cs="Times New Roman"/>
          <w:b/>
          <w:i/>
          <w:color w:val="595959" w:themeColor="text1" w:themeTint="A6"/>
          <w:sz w:val="24"/>
          <w:szCs w:val="24"/>
        </w:rPr>
        <w:t xml:space="preserve"> αντίδραση επιχειρήσεων και νοικοκυριών στη σταδιακή επαναφορά στις κανονικές συ</w:t>
      </w:r>
      <w:r w:rsidR="003D6EFA">
        <w:rPr>
          <w:rFonts w:eastAsia="Calibri" w:cs="Times New Roman"/>
          <w:b/>
          <w:i/>
          <w:color w:val="595959" w:themeColor="text1" w:themeTint="A6"/>
          <w:sz w:val="24"/>
          <w:szCs w:val="24"/>
        </w:rPr>
        <w:t>νθήκες και στην άρση των έκτακτω</w:t>
      </w:r>
      <w:r w:rsidR="00E118BF" w:rsidRPr="00E13E88">
        <w:rPr>
          <w:rFonts w:eastAsia="Calibri" w:cs="Times New Roman"/>
          <w:b/>
          <w:i/>
          <w:color w:val="595959" w:themeColor="text1" w:themeTint="A6"/>
          <w:sz w:val="24"/>
          <w:szCs w:val="24"/>
        </w:rPr>
        <w:t>ν μέτρων στήριξης, η οποία ενδεχομένως να επιφέρει αυξημένα κύματα πιστωτικών γεγονότων και πτωχεύσεων</w:t>
      </w:r>
    </w:p>
    <w:p w14:paraId="6E9B2392" w14:textId="4B3CDFEE" w:rsidR="00E13E88" w:rsidRPr="00E13E88" w:rsidRDefault="00E13E88" w:rsidP="00E13E88">
      <w:pPr>
        <w:numPr>
          <w:ilvl w:val="1"/>
          <w:numId w:val="21"/>
        </w:numPr>
        <w:spacing w:after="160"/>
        <w:rPr>
          <w:rFonts w:eastAsia="Calibri" w:cs="Times New Roman"/>
          <w:b/>
          <w:i/>
          <w:color w:val="595959" w:themeColor="text1" w:themeTint="A6"/>
          <w:sz w:val="24"/>
          <w:szCs w:val="24"/>
        </w:rPr>
      </w:pPr>
      <w:r>
        <w:rPr>
          <w:rFonts w:eastAsia="Calibri" w:cs="Times New Roman"/>
          <w:b/>
          <w:i/>
          <w:color w:val="595959" w:themeColor="text1" w:themeTint="A6"/>
          <w:sz w:val="24"/>
          <w:szCs w:val="24"/>
        </w:rPr>
        <w:t xml:space="preserve">οι </w:t>
      </w:r>
      <w:r w:rsidRPr="00E13E88">
        <w:rPr>
          <w:rFonts w:eastAsia="Calibri" w:cs="Times New Roman"/>
          <w:b/>
          <w:i/>
          <w:color w:val="595959" w:themeColor="text1" w:themeTint="A6"/>
          <w:sz w:val="24"/>
          <w:szCs w:val="24"/>
        </w:rPr>
        <w:t>γεωπολιτικές συνθήκες στην ευρύτερη περιοχή</w:t>
      </w:r>
    </w:p>
    <w:p w14:paraId="2011E53D" w14:textId="2C0F55A0" w:rsidR="009C3CE1" w:rsidRDefault="009C3CE1">
      <w:pPr>
        <w:spacing w:after="160" w:line="0" w:lineRule="auto"/>
        <w:jc w:val="left"/>
        <w:rPr>
          <w:rFonts w:eastAsia="Calibri" w:cs="Times New Roman"/>
          <w:b/>
          <w:iCs/>
          <w:color w:val="808080" w:themeColor="background1" w:themeShade="80"/>
        </w:rPr>
      </w:pPr>
      <w:r>
        <w:rPr>
          <w:rFonts w:eastAsia="Calibri" w:cs="Times New Roman"/>
          <w:b/>
          <w:iCs/>
          <w:color w:val="808080" w:themeColor="background1" w:themeShade="80"/>
        </w:rPr>
        <w:br w:type="page"/>
      </w:r>
    </w:p>
    <w:p w14:paraId="4118B0C4" w14:textId="2FDBD9FE" w:rsidR="00DD3CC6" w:rsidRPr="00D5549E" w:rsidRDefault="00EA37BD" w:rsidP="00EA37BD">
      <w:pPr>
        <w:pStyle w:val="a1"/>
        <w:ind w:left="0"/>
        <w:rPr>
          <w:sz w:val="28"/>
          <w:szCs w:val="28"/>
        </w:rPr>
      </w:pPr>
      <w:bookmarkStart w:id="104" w:name="_Toc73435742"/>
      <w:r w:rsidRPr="00EA37BD">
        <w:rPr>
          <w:sz w:val="28"/>
          <w:szCs w:val="28"/>
        </w:rPr>
        <w:t>Προβλέψεις για το ελληνικό ΑΕΠ</w:t>
      </w:r>
      <w:r w:rsidR="009C3CE1">
        <w:rPr>
          <w:sz w:val="28"/>
          <w:szCs w:val="28"/>
        </w:rPr>
        <w:t xml:space="preserve"> 2021</w:t>
      </w:r>
      <w:r w:rsidRPr="00EA37BD">
        <w:rPr>
          <w:sz w:val="28"/>
          <w:szCs w:val="28"/>
        </w:rPr>
        <w:t>: Εγχώριοι και διεθνείς φορείς</w:t>
      </w:r>
      <w:bookmarkEnd w:id="104"/>
    </w:p>
    <w:p w14:paraId="4B9E165C" w14:textId="7CEDACA1" w:rsidR="009C3CE1" w:rsidRPr="00705B21" w:rsidRDefault="009C3CE1" w:rsidP="009C3CE1">
      <w:pPr>
        <w:shd w:val="clear" w:color="auto" w:fill="FFFFFF"/>
        <w:spacing w:after="120"/>
        <w:rPr>
          <w:rFonts w:eastAsia="Calibri" w:cs="Times New Roman"/>
          <w:color w:val="auto"/>
          <w:shd w:val="clear" w:color="auto" w:fill="FFFFFF"/>
        </w:rPr>
      </w:pPr>
      <w:r>
        <w:rPr>
          <w:rFonts w:eastAsia="Calibri" w:cs="Times New Roman"/>
          <w:color w:val="auto"/>
          <w:shd w:val="clear" w:color="auto" w:fill="FFFFFF"/>
        </w:rPr>
        <w:t xml:space="preserve">Ο έλεγχος της πανδημίας και η άρση των περιοριστικών μέτρων, η οποία έχει σταδιακά ξεκινήσει, </w:t>
      </w:r>
      <w:r w:rsidR="001B4F9C">
        <w:rPr>
          <w:rFonts w:eastAsia="Calibri" w:cs="Times New Roman"/>
          <w:color w:val="auto"/>
          <w:shd w:val="clear" w:color="auto" w:fill="FFFFFF"/>
        </w:rPr>
        <w:t>αναμένεται</w:t>
      </w:r>
      <w:r>
        <w:rPr>
          <w:rFonts w:eastAsia="Calibri" w:cs="Times New Roman"/>
          <w:color w:val="auto"/>
          <w:shd w:val="clear" w:color="auto" w:fill="FFFFFF"/>
        </w:rPr>
        <w:t xml:space="preserve"> να επαναφέρουν την ελληνική οικονομία σε τροχιά ανάκαμψης το 2021. </w:t>
      </w:r>
      <w:r w:rsidR="00E13E88" w:rsidRPr="00E13E88">
        <w:rPr>
          <w:rFonts w:eastAsia="Calibri" w:cs="Times New Roman"/>
          <w:color w:val="auto"/>
          <w:shd w:val="clear" w:color="auto" w:fill="FFFFFF"/>
        </w:rPr>
        <w:t xml:space="preserve">Στην εκτίμηση αυτή συγκλίνουν οι προβλέψεις </w:t>
      </w:r>
      <w:r>
        <w:rPr>
          <w:rFonts w:eastAsia="Calibri" w:cs="Times New Roman"/>
          <w:color w:val="auto"/>
          <w:shd w:val="clear" w:color="auto" w:fill="FFFFFF"/>
        </w:rPr>
        <w:t>διεθνών κ</w:t>
      </w:r>
      <w:r w:rsidR="001B4F9C">
        <w:rPr>
          <w:rFonts w:eastAsia="Calibri" w:cs="Times New Roman"/>
          <w:color w:val="auto"/>
          <w:shd w:val="clear" w:color="auto" w:fill="FFFFFF"/>
        </w:rPr>
        <w:t>.ά.</w:t>
      </w:r>
      <w:r>
        <w:rPr>
          <w:rFonts w:eastAsia="Calibri" w:cs="Times New Roman"/>
          <w:color w:val="auto"/>
          <w:shd w:val="clear" w:color="auto" w:fill="FFFFFF"/>
        </w:rPr>
        <w:t xml:space="preserve"> εγχώριων φορέων οι οποίες,</w:t>
      </w:r>
      <w:r w:rsidDel="006143EC">
        <w:rPr>
          <w:rFonts w:eastAsia="Calibri" w:cs="Times New Roman"/>
          <w:color w:val="auto"/>
          <w:shd w:val="clear" w:color="auto" w:fill="FFFFFF"/>
        </w:rPr>
        <w:t xml:space="preserve"> </w:t>
      </w:r>
      <w:r>
        <w:rPr>
          <w:rFonts w:eastAsia="Calibri" w:cs="Times New Roman"/>
          <w:color w:val="auto"/>
          <w:shd w:val="clear" w:color="auto" w:fill="FFFFFF"/>
        </w:rPr>
        <w:t xml:space="preserve">προβλέπουν για την ελληνική οικονομία μεγέθυνση πάνω από 3,5% για </w:t>
      </w:r>
      <w:r w:rsidRPr="009C3CE1">
        <w:rPr>
          <w:rFonts w:eastAsia="Calibri" w:cs="Times New Roman"/>
          <w:color w:val="auto"/>
        </w:rPr>
        <w:t>το  2021 (</w:t>
      </w:r>
      <w:r w:rsidRPr="009C3CE1">
        <w:rPr>
          <w:rFonts w:eastAsia="Calibri" w:cs="Times New Roman"/>
          <w:i/>
          <w:color w:val="auto"/>
        </w:rPr>
        <w:fldChar w:fldCharType="begin"/>
      </w:r>
      <w:r w:rsidRPr="009C3CE1">
        <w:rPr>
          <w:rFonts w:eastAsia="Calibri" w:cs="Times New Roman"/>
          <w:i/>
          <w:color w:val="auto"/>
        </w:rPr>
        <w:instrText xml:space="preserve"> REF _Ref72167047 \h  \* MERGEFORMAT </w:instrText>
      </w:r>
      <w:r w:rsidRPr="009C3CE1">
        <w:rPr>
          <w:rFonts w:eastAsia="Calibri" w:cs="Times New Roman"/>
          <w:i/>
          <w:color w:val="auto"/>
        </w:rPr>
      </w:r>
      <w:r w:rsidRPr="009C3CE1">
        <w:rPr>
          <w:rFonts w:eastAsia="Calibri" w:cs="Times New Roman"/>
          <w:i/>
          <w:color w:val="auto"/>
        </w:rPr>
        <w:fldChar w:fldCharType="separate"/>
      </w:r>
      <w:r w:rsidR="00CC05A7" w:rsidRPr="00CC05A7">
        <w:rPr>
          <w:rFonts w:eastAsia="Calibri" w:cs="Times New Roman"/>
          <w:i/>
          <w:iCs/>
          <w:color w:val="auto"/>
        </w:rPr>
        <w:t xml:space="preserve">Πίνακας </w:t>
      </w:r>
      <w:r w:rsidR="00CC05A7" w:rsidRPr="00CC05A7">
        <w:rPr>
          <w:rFonts w:eastAsia="Calibri" w:cs="Times New Roman"/>
          <w:i/>
          <w:iCs/>
          <w:noProof/>
          <w:color w:val="auto"/>
        </w:rPr>
        <w:t>6</w:t>
      </w:r>
      <w:r w:rsidRPr="009C3CE1">
        <w:rPr>
          <w:rFonts w:eastAsia="Calibri" w:cs="Times New Roman"/>
          <w:i/>
          <w:color w:val="auto"/>
        </w:rPr>
        <w:fldChar w:fldCharType="end"/>
      </w:r>
      <w:r w:rsidRPr="009C3CE1">
        <w:rPr>
          <w:rFonts w:eastAsia="Calibri" w:cs="Times New Roman"/>
          <w:color w:val="auto"/>
        </w:rPr>
        <w:t>). Οι</w:t>
      </w:r>
      <w:r>
        <w:rPr>
          <w:rFonts w:eastAsia="Calibri" w:cs="Times New Roman"/>
          <w:color w:val="auto"/>
          <w:shd w:val="clear" w:color="auto" w:fill="FFFFFF"/>
        </w:rPr>
        <w:t xml:space="preserve"> θετικές εκτιμήσεις των</w:t>
      </w:r>
      <w:r w:rsidRPr="00705B21">
        <w:rPr>
          <w:rFonts w:eastAsia="Calibri" w:cs="Times New Roman"/>
          <w:color w:val="auto"/>
          <w:shd w:val="clear" w:color="auto" w:fill="FFFFFF"/>
        </w:rPr>
        <w:t xml:space="preserve"> περισσότερων </w:t>
      </w:r>
      <w:r>
        <w:rPr>
          <w:rFonts w:eastAsia="Calibri" w:cs="Times New Roman"/>
          <w:color w:val="auto"/>
          <w:shd w:val="clear" w:color="auto" w:fill="FFFFFF"/>
        </w:rPr>
        <w:t>φορέων</w:t>
      </w:r>
      <w:r w:rsidRPr="00705B21">
        <w:rPr>
          <w:rFonts w:eastAsia="Calibri" w:cs="Times New Roman"/>
          <w:color w:val="auto"/>
          <w:shd w:val="clear" w:color="auto" w:fill="FFFFFF"/>
        </w:rPr>
        <w:t xml:space="preserve"> οφείλονται</w:t>
      </w:r>
      <w:r w:rsidR="00184620">
        <w:rPr>
          <w:rFonts w:eastAsia="Calibri" w:cs="Times New Roman"/>
          <w:color w:val="auto"/>
          <w:shd w:val="clear" w:color="auto" w:fill="FFFFFF"/>
        </w:rPr>
        <w:t>,</w:t>
      </w:r>
      <w:r w:rsidRPr="00705B21">
        <w:rPr>
          <w:rFonts w:eastAsia="Calibri" w:cs="Times New Roman"/>
          <w:color w:val="auto"/>
          <w:shd w:val="clear" w:color="auto" w:fill="FFFFFF"/>
        </w:rPr>
        <w:t xml:space="preserve"> σε μεγάλο βαθμό</w:t>
      </w:r>
      <w:r w:rsidR="00184620">
        <w:rPr>
          <w:rFonts w:eastAsia="Calibri" w:cs="Times New Roman"/>
          <w:color w:val="auto"/>
          <w:shd w:val="clear" w:color="auto" w:fill="FFFFFF"/>
        </w:rPr>
        <w:t>,</w:t>
      </w:r>
      <w:r w:rsidRPr="00705B21">
        <w:rPr>
          <w:rFonts w:eastAsia="Calibri" w:cs="Times New Roman"/>
          <w:color w:val="auto"/>
          <w:shd w:val="clear" w:color="auto" w:fill="FFFFFF"/>
        </w:rPr>
        <w:t xml:space="preserve"> </w:t>
      </w:r>
      <w:r>
        <w:rPr>
          <w:rFonts w:eastAsia="Calibri" w:cs="Times New Roman"/>
          <w:color w:val="auto"/>
          <w:shd w:val="clear" w:color="auto" w:fill="FFFFFF"/>
        </w:rPr>
        <w:t>στην</w:t>
      </w:r>
      <w:r w:rsidRPr="00705B21">
        <w:rPr>
          <w:rFonts w:eastAsia="Calibri" w:cs="Times New Roman"/>
          <w:color w:val="auto"/>
          <w:shd w:val="clear" w:color="auto" w:fill="FFFFFF"/>
        </w:rPr>
        <w:t xml:space="preserve"> </w:t>
      </w:r>
      <w:r>
        <w:rPr>
          <w:rFonts w:eastAsia="Calibri" w:cs="Times New Roman"/>
          <w:color w:val="auto"/>
          <w:shd w:val="clear" w:color="auto" w:fill="FFFFFF"/>
        </w:rPr>
        <w:t>υπόθεση</w:t>
      </w:r>
      <w:r w:rsidRPr="00705B21">
        <w:rPr>
          <w:rFonts w:eastAsia="Calibri" w:cs="Times New Roman"/>
          <w:color w:val="auto"/>
          <w:shd w:val="clear" w:color="auto" w:fill="FFFFFF"/>
        </w:rPr>
        <w:t xml:space="preserve"> ότι το εμβολιαστικό πρόγραμμα θα εκτελεστεί με </w:t>
      </w:r>
      <w:r>
        <w:rPr>
          <w:rFonts w:eastAsia="Calibri" w:cs="Times New Roman"/>
          <w:color w:val="auto"/>
          <w:shd w:val="clear" w:color="auto" w:fill="FFFFFF"/>
        </w:rPr>
        <w:t>γρήγορους</w:t>
      </w:r>
      <w:r w:rsidRPr="00705B21">
        <w:rPr>
          <w:rFonts w:eastAsia="Calibri" w:cs="Times New Roman"/>
          <w:color w:val="auto"/>
          <w:shd w:val="clear" w:color="auto" w:fill="FFFFFF"/>
        </w:rPr>
        <w:t xml:space="preserve"> ρυθμούς</w:t>
      </w:r>
      <w:r>
        <w:rPr>
          <w:rFonts w:eastAsia="Calibri" w:cs="Times New Roman"/>
          <w:color w:val="auto"/>
          <w:shd w:val="clear" w:color="auto" w:fill="FFFFFF"/>
        </w:rPr>
        <w:t>,</w:t>
      </w:r>
      <w:r w:rsidRPr="00705B21">
        <w:rPr>
          <w:rFonts w:eastAsia="Calibri" w:cs="Times New Roman"/>
          <w:color w:val="auto"/>
          <w:shd w:val="clear" w:color="auto" w:fill="FFFFFF"/>
        </w:rPr>
        <w:t xml:space="preserve"> ώστε να </w:t>
      </w:r>
      <w:r>
        <w:rPr>
          <w:rFonts w:eastAsia="Calibri" w:cs="Times New Roman"/>
          <w:color w:val="auto"/>
          <w:shd w:val="clear" w:color="auto" w:fill="FFFFFF"/>
        </w:rPr>
        <w:t xml:space="preserve">περιοριστούν οι υγειονομικές συνέπειες της πανδημίας, να μειωθεί η ανάγκη για νέα περιοριστικά μέτρα και να αρθεί σε μεγάλο βαθμό </w:t>
      </w:r>
      <w:r w:rsidR="001B4F9C" w:rsidRPr="001B4F9C">
        <w:rPr>
          <w:rFonts w:eastAsia="Calibri" w:cs="Times New Roman"/>
          <w:color w:val="auto"/>
          <w:shd w:val="clear" w:color="auto" w:fill="FFFFFF"/>
        </w:rPr>
        <w:t xml:space="preserve">το </w:t>
      </w:r>
      <w:r w:rsidR="003D6EFA">
        <w:rPr>
          <w:rFonts w:eastAsia="Calibri" w:cs="Times New Roman"/>
          <w:color w:val="auto"/>
          <w:shd w:val="clear" w:color="auto" w:fill="FFFFFF"/>
        </w:rPr>
        <w:t xml:space="preserve">αίσθημα ανασφάλειας που </w:t>
      </w:r>
      <w:r w:rsidR="001B4F9C" w:rsidRPr="001B4F9C">
        <w:rPr>
          <w:rFonts w:eastAsia="Calibri" w:cs="Times New Roman"/>
          <w:color w:val="auto"/>
          <w:shd w:val="clear" w:color="auto" w:fill="FFFFFF"/>
        </w:rPr>
        <w:t>κυριαρχεί στις συναλλαγές</w:t>
      </w:r>
      <w:r w:rsidR="003D6EFA">
        <w:rPr>
          <w:rFonts w:eastAsia="Calibri" w:cs="Times New Roman"/>
          <w:color w:val="auto"/>
          <w:shd w:val="clear" w:color="auto" w:fill="FFFFFF"/>
        </w:rPr>
        <w:t xml:space="preserve">. Αποφασιστικής </w:t>
      </w:r>
      <w:r>
        <w:rPr>
          <w:rFonts w:eastAsia="Calibri" w:cs="Times New Roman"/>
          <w:color w:val="auto"/>
          <w:shd w:val="clear" w:color="auto" w:fill="FFFFFF"/>
        </w:rPr>
        <w:t xml:space="preserve">σημασίας </w:t>
      </w:r>
      <w:r w:rsidR="001B4F9C">
        <w:rPr>
          <w:rFonts w:eastAsia="Calibri" w:cs="Times New Roman"/>
          <w:color w:val="auto"/>
          <w:shd w:val="clear" w:color="auto" w:fill="FFFFFF"/>
        </w:rPr>
        <w:t>θα</w:t>
      </w:r>
      <w:r>
        <w:rPr>
          <w:rFonts w:eastAsia="Calibri" w:cs="Times New Roman"/>
          <w:color w:val="auto"/>
          <w:shd w:val="clear" w:color="auto" w:fill="FFFFFF"/>
        </w:rPr>
        <w:t xml:space="preserve"> είναι ο βαθμός </w:t>
      </w:r>
      <w:r w:rsidRPr="00705B21">
        <w:rPr>
          <w:rFonts w:eastAsia="Calibri" w:cs="Times New Roman"/>
          <w:color w:val="auto"/>
          <w:shd w:val="clear" w:color="auto" w:fill="FFFFFF"/>
        </w:rPr>
        <w:t>απορροφητικότητα</w:t>
      </w:r>
      <w:r>
        <w:rPr>
          <w:rFonts w:eastAsia="Calibri" w:cs="Times New Roman"/>
          <w:color w:val="auto"/>
          <w:shd w:val="clear" w:color="auto" w:fill="FFFFFF"/>
        </w:rPr>
        <w:t>ς</w:t>
      </w:r>
      <w:r w:rsidRPr="00705B21">
        <w:rPr>
          <w:rFonts w:eastAsia="Calibri" w:cs="Times New Roman"/>
          <w:color w:val="auto"/>
          <w:shd w:val="clear" w:color="auto" w:fill="FFFFFF"/>
        </w:rPr>
        <w:t xml:space="preserve"> </w:t>
      </w:r>
      <w:r>
        <w:rPr>
          <w:rFonts w:eastAsia="Calibri" w:cs="Times New Roman"/>
          <w:color w:val="auto"/>
          <w:shd w:val="clear" w:color="auto" w:fill="FFFFFF"/>
        </w:rPr>
        <w:t xml:space="preserve">και οι πολλαπλασιαστικές επιδράσεις </w:t>
      </w:r>
      <w:r w:rsidRPr="00705B21">
        <w:rPr>
          <w:rFonts w:eastAsia="Calibri" w:cs="Times New Roman"/>
          <w:color w:val="auto"/>
          <w:shd w:val="clear" w:color="auto" w:fill="FFFFFF"/>
        </w:rPr>
        <w:t>των κονδυλίων του Ταμείου Ανθεκτικότητας και Ανάπτυξης</w:t>
      </w:r>
      <w:r w:rsidR="0029676C">
        <w:rPr>
          <w:rFonts w:eastAsia="Calibri" w:cs="Times New Roman"/>
          <w:color w:val="auto"/>
          <w:shd w:val="clear" w:color="auto" w:fill="FFFFFF"/>
        </w:rPr>
        <w:t xml:space="preserve"> </w:t>
      </w:r>
      <w:r w:rsidR="0029676C" w:rsidRPr="0029676C">
        <w:rPr>
          <w:rFonts w:eastAsia="Calibri" w:cs="Times New Roman"/>
          <w:i/>
          <w:color w:val="auto"/>
          <w:shd w:val="clear" w:color="auto" w:fill="FFFFFF"/>
        </w:rPr>
        <w:t>(βλ. Παράρτημα Ι)</w:t>
      </w:r>
      <w:r w:rsidRPr="00705B21">
        <w:rPr>
          <w:rFonts w:eastAsia="Calibri" w:cs="Times New Roman"/>
          <w:color w:val="auto"/>
          <w:shd w:val="clear" w:color="auto" w:fill="FFFFFF"/>
        </w:rPr>
        <w:t>.</w:t>
      </w:r>
    </w:p>
    <w:p w14:paraId="0ACC9666" w14:textId="7F9BE95B" w:rsidR="009C3CE1" w:rsidRDefault="009C3CE1" w:rsidP="009C3CE1">
      <w:pPr>
        <w:shd w:val="clear" w:color="auto" w:fill="FFFFFF"/>
        <w:spacing w:after="120"/>
        <w:rPr>
          <w:rFonts w:eastAsia="Calibri" w:cs="Times New Roman"/>
          <w:color w:val="auto"/>
          <w:shd w:val="clear" w:color="auto" w:fill="FFFFFF"/>
        </w:rPr>
      </w:pPr>
      <w:r>
        <w:rPr>
          <w:rFonts w:eastAsia="Calibri" w:cs="Times New Roman"/>
          <w:color w:val="auto"/>
          <w:shd w:val="clear" w:color="auto" w:fill="FFFFFF"/>
        </w:rPr>
        <w:t xml:space="preserve">Το Υπουργείο Οικονομικών </w:t>
      </w:r>
      <w:r w:rsidRPr="002F5A77">
        <w:rPr>
          <w:rFonts w:eastAsia="Calibri" w:cs="Times New Roman"/>
          <w:color w:val="auto"/>
          <w:shd w:val="clear" w:color="auto" w:fill="FFFFFF"/>
        </w:rPr>
        <w:t xml:space="preserve">αναθεώρησε την πρόβλεψή του για </w:t>
      </w:r>
      <w:r>
        <w:rPr>
          <w:rFonts w:eastAsia="Calibri" w:cs="Times New Roman"/>
          <w:color w:val="auto"/>
          <w:shd w:val="clear" w:color="auto" w:fill="FFFFFF"/>
        </w:rPr>
        <w:t>την πορεία του ΑΕΠ το 2021 προς τα κάτω</w:t>
      </w:r>
      <w:r w:rsidRPr="000A616F">
        <w:rPr>
          <w:rFonts w:eastAsia="Calibri" w:cs="Times New Roman"/>
          <w:color w:val="auto"/>
          <w:shd w:val="clear" w:color="auto" w:fill="FFFFFF"/>
        </w:rPr>
        <w:t>,</w:t>
      </w:r>
      <w:r w:rsidRPr="002F5A77">
        <w:rPr>
          <w:rFonts w:eastAsia="Calibri" w:cs="Times New Roman"/>
          <w:color w:val="auto"/>
          <w:shd w:val="clear" w:color="auto" w:fill="FFFFFF"/>
        </w:rPr>
        <w:t xml:space="preserve"> </w:t>
      </w:r>
      <w:r w:rsidRPr="005B4A9C">
        <w:rPr>
          <w:rFonts w:eastAsia="Calibri" w:cs="Times New Roman"/>
          <w:color w:val="auto"/>
          <w:shd w:val="clear" w:color="auto" w:fill="FFFFFF"/>
        </w:rPr>
        <w:t xml:space="preserve">αναμένοντας </w:t>
      </w:r>
      <w:r>
        <w:rPr>
          <w:rFonts w:eastAsia="Calibri" w:cs="Times New Roman"/>
          <w:color w:val="auto"/>
          <w:shd w:val="clear" w:color="auto" w:fill="FFFFFF"/>
        </w:rPr>
        <w:t>μεγέθυνση 3,6</w:t>
      </w:r>
      <w:r w:rsidRPr="005B4A9C">
        <w:rPr>
          <w:rFonts w:eastAsia="Calibri" w:cs="Times New Roman"/>
          <w:color w:val="auto"/>
          <w:shd w:val="clear" w:color="auto" w:fill="FFFFFF"/>
        </w:rPr>
        <w:t>%</w:t>
      </w:r>
      <w:r>
        <w:rPr>
          <w:rFonts w:eastAsia="Calibri" w:cs="Times New Roman"/>
          <w:color w:val="auto"/>
          <w:shd w:val="clear" w:color="auto" w:fill="FFFFFF"/>
        </w:rPr>
        <w:t>, σε σχέση με την πρόβλεψη για 4,8% που είχε συμπεριληφθεί στην Εισηγητική Έκθεση του Κρατικού προϋπολογισμού 2021, τον Δεκέμβριο</w:t>
      </w:r>
      <w:r w:rsidR="00E13E88">
        <w:rPr>
          <w:rFonts w:eastAsia="Calibri" w:cs="Times New Roman"/>
          <w:color w:val="auto"/>
          <w:shd w:val="clear" w:color="auto" w:fill="FFFFFF"/>
        </w:rPr>
        <w:t xml:space="preserve"> του 2020</w:t>
      </w:r>
      <w:r>
        <w:rPr>
          <w:rFonts w:eastAsia="Calibri" w:cs="Times New Roman"/>
          <w:color w:val="auto"/>
          <w:shd w:val="clear" w:color="auto" w:fill="FFFFFF"/>
        </w:rPr>
        <w:t>.</w:t>
      </w:r>
      <w:r w:rsidR="00184620">
        <w:rPr>
          <w:rFonts w:eastAsia="Calibri" w:cs="Times New Roman"/>
          <w:color w:val="auto"/>
          <w:shd w:val="clear" w:color="auto" w:fill="FFFFFF"/>
        </w:rPr>
        <w:t xml:space="preserve"> Η αναθεώρηση αυτή θεωρείται ρεαλιστική μετά την παράταση των περιοριστικών μέτρων για περισσότερο από τους τέσσερις πρώτους μήνες του έτους.</w:t>
      </w:r>
      <w:r w:rsidRPr="005B4A9C">
        <w:rPr>
          <w:rFonts w:eastAsia="Calibri" w:cs="Times New Roman"/>
          <w:color w:val="auto"/>
          <w:shd w:val="clear" w:color="auto" w:fill="FFFFFF"/>
        </w:rPr>
        <w:t xml:space="preserve"> </w:t>
      </w:r>
      <w:r>
        <w:rPr>
          <w:rFonts w:eastAsia="Calibri" w:cs="Times New Roman"/>
          <w:color w:val="auto"/>
          <w:shd w:val="clear" w:color="auto" w:fill="FFFFFF"/>
        </w:rPr>
        <w:t xml:space="preserve">Η Τράπεζα της Ελλάδας εκτιμά ότι για το 2021 η μεγέθυνση θα είναι 4,2%, ενώ το ΙΟΒΕ προβλέπει ότι ο ρυθμός μεγέθυνσης θα κυμανθεί ανάμεσα στο 3,5% και στο 4,0%. Τα στοιχεία αυτά δείχνουν μία σύγκλιση των προβλέψεων των εγχώριων φορέων για επίτευξη υψηλού ρυθμού αύξησης του ΑΕΠ, </w:t>
      </w:r>
      <w:r w:rsidR="001B4F9C">
        <w:rPr>
          <w:rFonts w:eastAsia="Calibri" w:cs="Times New Roman"/>
          <w:color w:val="auto"/>
          <w:shd w:val="clear" w:color="auto" w:fill="FFFFFF"/>
        </w:rPr>
        <w:t>άνω του</w:t>
      </w:r>
      <w:r>
        <w:rPr>
          <w:rFonts w:eastAsia="Calibri" w:cs="Times New Roman"/>
          <w:color w:val="auto"/>
          <w:shd w:val="clear" w:color="auto" w:fill="FFFFFF"/>
        </w:rPr>
        <w:t xml:space="preserve"> 3,5%</w:t>
      </w:r>
      <w:r w:rsidR="00E13E88">
        <w:rPr>
          <w:rStyle w:val="FootnoteReference"/>
          <w:rFonts w:eastAsia="Calibri" w:cs="Times New Roman"/>
          <w:color w:val="auto"/>
          <w:shd w:val="clear" w:color="auto" w:fill="FFFFFF"/>
        </w:rPr>
        <w:footnoteReference w:id="8"/>
      </w:r>
      <w:r>
        <w:rPr>
          <w:rFonts w:eastAsia="Calibri" w:cs="Times New Roman"/>
          <w:color w:val="auto"/>
          <w:shd w:val="clear" w:color="auto" w:fill="FFFFFF"/>
        </w:rPr>
        <w:t xml:space="preserve">.  </w:t>
      </w:r>
    </w:p>
    <w:p w14:paraId="65B28BC3" w14:textId="77777777" w:rsidR="009C3CE1" w:rsidRDefault="009C3CE1" w:rsidP="009C3CE1">
      <w:pPr>
        <w:shd w:val="clear" w:color="auto" w:fill="FFFFFF"/>
        <w:spacing w:after="0" w:line="240" w:lineRule="auto"/>
        <w:ind w:left="1134" w:hanging="1134"/>
        <w:rPr>
          <w:rFonts w:eastAsia="Calibri" w:cs="Times New Roman"/>
          <w:b/>
          <w:iCs/>
          <w:sz w:val="20"/>
          <w:szCs w:val="20"/>
        </w:rPr>
      </w:pPr>
      <w:bookmarkStart w:id="105" w:name="_Ref40699294"/>
      <w:bookmarkStart w:id="106" w:name="_Ref513806162"/>
      <w:bookmarkStart w:id="107" w:name="_Toc514585705"/>
      <w:bookmarkStart w:id="108" w:name="_Toc515538905"/>
      <w:bookmarkStart w:id="109" w:name="_Toc25065294"/>
      <w:bookmarkStart w:id="110" w:name="_Toc43376977"/>
    </w:p>
    <w:p w14:paraId="0DA8A756" w14:textId="7C35E031" w:rsidR="009C3CE1" w:rsidRDefault="009C3CE1" w:rsidP="009C3CE1">
      <w:pPr>
        <w:shd w:val="clear" w:color="auto" w:fill="FFFFFF"/>
        <w:spacing w:after="0" w:line="240" w:lineRule="auto"/>
        <w:ind w:left="1134" w:hanging="1134"/>
        <w:rPr>
          <w:rFonts w:eastAsia="Calibri" w:cs="Times New Roman"/>
          <w:i/>
          <w:color w:val="00A3E0"/>
          <w:sz w:val="20"/>
          <w:szCs w:val="20"/>
        </w:rPr>
      </w:pPr>
      <w:bookmarkStart w:id="111" w:name="_Ref72167047"/>
      <w:bookmarkStart w:id="112" w:name="_Toc73435767"/>
      <w:r w:rsidRPr="007D6510">
        <w:rPr>
          <w:rFonts w:eastAsia="Calibri" w:cs="Times New Roman"/>
          <w:iCs/>
          <w:sz w:val="20"/>
          <w:szCs w:val="20"/>
        </w:rPr>
        <w:t xml:space="preserve">Πίνακας </w:t>
      </w:r>
      <w:r w:rsidRPr="007D6510">
        <w:rPr>
          <w:rFonts w:eastAsia="Calibri" w:cs="Times New Roman"/>
          <w:iCs/>
          <w:sz w:val="20"/>
          <w:szCs w:val="20"/>
        </w:rPr>
        <w:fldChar w:fldCharType="begin"/>
      </w:r>
      <w:r w:rsidRPr="007D6510">
        <w:rPr>
          <w:rFonts w:eastAsia="Calibri" w:cs="Times New Roman"/>
          <w:iCs/>
          <w:sz w:val="20"/>
          <w:szCs w:val="20"/>
        </w:rPr>
        <w:instrText xml:space="preserve"> SEQ Πίνακας \* ARABIC </w:instrText>
      </w:r>
      <w:r w:rsidRPr="007D6510">
        <w:rPr>
          <w:rFonts w:eastAsia="Calibri" w:cs="Times New Roman"/>
          <w:iCs/>
          <w:sz w:val="20"/>
          <w:szCs w:val="20"/>
        </w:rPr>
        <w:fldChar w:fldCharType="separate"/>
      </w:r>
      <w:r w:rsidR="00CC05A7">
        <w:rPr>
          <w:rFonts w:eastAsia="Calibri" w:cs="Times New Roman"/>
          <w:iCs/>
          <w:noProof/>
          <w:sz w:val="20"/>
          <w:szCs w:val="20"/>
        </w:rPr>
        <w:t>6</w:t>
      </w:r>
      <w:r w:rsidRPr="007D6510">
        <w:rPr>
          <w:rFonts w:eastAsia="Calibri" w:cs="Times New Roman"/>
          <w:iCs/>
          <w:sz w:val="20"/>
          <w:szCs w:val="20"/>
        </w:rPr>
        <w:fldChar w:fldCharType="end"/>
      </w:r>
      <w:bookmarkEnd w:id="105"/>
      <w:bookmarkEnd w:id="111"/>
      <w:r w:rsidRPr="007D6510">
        <w:rPr>
          <w:rFonts w:eastAsia="Calibri" w:cs="Times New Roman"/>
          <w:iCs/>
          <w:sz w:val="20"/>
          <w:szCs w:val="20"/>
        </w:rPr>
        <w:t>:</w:t>
      </w:r>
      <w:r w:rsidRPr="00AE003B">
        <w:rPr>
          <w:rFonts w:asciiTheme="minorHAnsi" w:hAnsiTheme="minorHAnsi" w:cstheme="minorHAnsi"/>
          <w:b/>
          <w:sz w:val="20"/>
          <w:szCs w:val="20"/>
        </w:rPr>
        <w:t xml:space="preserve"> </w:t>
      </w:r>
      <w:r w:rsidRPr="00AE003B">
        <w:rPr>
          <w:rFonts w:eastAsia="Calibri"/>
          <w:iCs/>
          <w:sz w:val="20"/>
          <w:szCs w:val="20"/>
        </w:rPr>
        <w:t xml:space="preserve"> </w:t>
      </w:r>
      <w:bookmarkEnd w:id="106"/>
      <w:r w:rsidRPr="009E221B">
        <w:rPr>
          <w:rFonts w:eastAsia="Calibri" w:cs="Times New Roman"/>
          <w:color w:val="00A3E0"/>
          <w:sz w:val="20"/>
          <w:szCs w:val="20"/>
        </w:rPr>
        <w:t xml:space="preserve">Προβλέψεις για τη </w:t>
      </w:r>
      <w:r>
        <w:rPr>
          <w:rFonts w:eastAsia="Calibri" w:cs="Times New Roman"/>
          <w:color w:val="00A3E0"/>
          <w:sz w:val="20"/>
          <w:szCs w:val="20"/>
        </w:rPr>
        <w:t xml:space="preserve">μεταβολή </w:t>
      </w:r>
      <w:r w:rsidRPr="009E221B">
        <w:rPr>
          <w:rFonts w:eastAsia="Calibri" w:cs="Times New Roman"/>
          <w:color w:val="00A3E0"/>
          <w:sz w:val="20"/>
          <w:szCs w:val="20"/>
        </w:rPr>
        <w:t>του ΑΕΠ, σύμφωνα με εγχώριους και διεθ</w:t>
      </w:r>
      <w:r>
        <w:rPr>
          <w:rFonts w:eastAsia="Calibri" w:cs="Times New Roman"/>
          <w:color w:val="00A3E0"/>
          <w:sz w:val="20"/>
          <w:szCs w:val="20"/>
        </w:rPr>
        <w:t>νείς φορείς (σταθερές τιμές 2015</w:t>
      </w:r>
      <w:r w:rsidRPr="009E221B">
        <w:rPr>
          <w:rFonts w:eastAsia="Calibri" w:cs="Times New Roman"/>
          <w:color w:val="00A3E0"/>
          <w:sz w:val="20"/>
          <w:szCs w:val="20"/>
        </w:rPr>
        <w:t>)</w:t>
      </w:r>
      <w:bookmarkEnd w:id="107"/>
      <w:bookmarkEnd w:id="108"/>
      <w:bookmarkEnd w:id="109"/>
      <w:bookmarkEnd w:id="110"/>
      <w:bookmarkEnd w:id="112"/>
    </w:p>
    <w:tbl>
      <w:tblPr>
        <w:tblW w:w="823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1"/>
        <w:gridCol w:w="2339"/>
        <w:gridCol w:w="2434"/>
      </w:tblGrid>
      <w:tr w:rsidR="009C3CE1" w:rsidRPr="00CB7E7C" w14:paraId="71E36164" w14:textId="77777777" w:rsidTr="001D53FA">
        <w:trPr>
          <w:trHeight w:val="297"/>
        </w:trPr>
        <w:tc>
          <w:tcPr>
            <w:tcW w:w="3461" w:type="dxa"/>
            <w:vMerge w:val="restart"/>
            <w:shd w:val="clear" w:color="000000" w:fill="BDD6EE"/>
            <w:vAlign w:val="center"/>
            <w:hideMark/>
          </w:tcPr>
          <w:p w14:paraId="1A284C83" w14:textId="77777777" w:rsidR="009C3CE1" w:rsidRPr="00CB7E7C" w:rsidRDefault="009C3CE1" w:rsidP="001D53FA">
            <w:pPr>
              <w:spacing w:after="0" w:line="240" w:lineRule="auto"/>
              <w:jc w:val="left"/>
              <w:rPr>
                <w:rFonts w:eastAsia="Times New Roman" w:cs="Calibri"/>
                <w:b/>
                <w:bCs/>
                <w:color w:val="auto"/>
                <w:sz w:val="20"/>
                <w:szCs w:val="20"/>
                <w:lang w:eastAsia="el-GR"/>
              </w:rPr>
            </w:pPr>
            <w:r w:rsidRPr="00CB7E7C">
              <w:rPr>
                <w:rFonts w:eastAsia="Times New Roman" w:cs="Calibri"/>
                <w:b/>
                <w:bCs/>
                <w:color w:val="auto"/>
                <w:sz w:val="20"/>
                <w:szCs w:val="20"/>
                <w:lang w:eastAsia="el-GR"/>
              </w:rPr>
              <w:t>Εγχώριοι Φορείς</w:t>
            </w:r>
          </w:p>
        </w:tc>
        <w:tc>
          <w:tcPr>
            <w:tcW w:w="2339" w:type="dxa"/>
            <w:tcBorders>
              <w:bottom w:val="nil"/>
            </w:tcBorders>
            <w:shd w:val="clear" w:color="000000" w:fill="BDD6EE"/>
            <w:vAlign w:val="center"/>
            <w:hideMark/>
          </w:tcPr>
          <w:p w14:paraId="170BEEE5" w14:textId="77777777" w:rsidR="009C3CE1" w:rsidRPr="00CB7E7C" w:rsidRDefault="009C3CE1" w:rsidP="001D53FA">
            <w:pPr>
              <w:spacing w:after="0" w:line="240" w:lineRule="auto"/>
              <w:jc w:val="center"/>
              <w:rPr>
                <w:rFonts w:eastAsia="Times New Roman" w:cs="Calibri"/>
                <w:b/>
                <w:bCs/>
                <w:color w:val="auto"/>
                <w:sz w:val="20"/>
                <w:szCs w:val="20"/>
                <w:lang w:eastAsia="el-GR"/>
              </w:rPr>
            </w:pPr>
            <w:r w:rsidRPr="00CB7E7C">
              <w:rPr>
                <w:rFonts w:eastAsia="Times New Roman" w:cs="Calibri"/>
                <w:b/>
                <w:bCs/>
                <w:color w:val="auto"/>
                <w:sz w:val="20"/>
                <w:szCs w:val="20"/>
                <w:lang w:eastAsia="el-GR"/>
              </w:rPr>
              <w:t>Ημερομηνία</w:t>
            </w:r>
          </w:p>
        </w:tc>
        <w:tc>
          <w:tcPr>
            <w:tcW w:w="2434" w:type="dxa"/>
            <w:tcBorders>
              <w:bottom w:val="nil"/>
            </w:tcBorders>
            <w:shd w:val="clear" w:color="000000" w:fill="BDD6EE"/>
            <w:vAlign w:val="center"/>
            <w:hideMark/>
          </w:tcPr>
          <w:p w14:paraId="3FD88E99" w14:textId="77777777" w:rsidR="009C3CE1" w:rsidRPr="00CB7E7C" w:rsidRDefault="009C3CE1" w:rsidP="001D53FA">
            <w:pPr>
              <w:spacing w:after="0" w:line="240" w:lineRule="auto"/>
              <w:jc w:val="center"/>
              <w:rPr>
                <w:rFonts w:eastAsia="Times New Roman" w:cs="Calibri"/>
                <w:b/>
                <w:bCs/>
                <w:color w:val="auto"/>
                <w:sz w:val="20"/>
                <w:szCs w:val="20"/>
                <w:lang w:eastAsia="el-GR"/>
              </w:rPr>
            </w:pPr>
            <w:r w:rsidRPr="00CB7E7C">
              <w:rPr>
                <w:rFonts w:eastAsia="Times New Roman" w:cs="Calibri"/>
                <w:b/>
                <w:bCs/>
                <w:color w:val="auto"/>
                <w:sz w:val="20"/>
                <w:szCs w:val="20"/>
                <w:lang w:eastAsia="el-GR"/>
              </w:rPr>
              <w:t>2021</w:t>
            </w:r>
          </w:p>
        </w:tc>
      </w:tr>
      <w:tr w:rsidR="009C3CE1" w:rsidRPr="00CB7E7C" w14:paraId="669D0851" w14:textId="77777777" w:rsidTr="001D53FA">
        <w:trPr>
          <w:trHeight w:val="312"/>
        </w:trPr>
        <w:tc>
          <w:tcPr>
            <w:tcW w:w="3461" w:type="dxa"/>
            <w:vMerge/>
            <w:vAlign w:val="center"/>
            <w:hideMark/>
          </w:tcPr>
          <w:p w14:paraId="3B1C230D" w14:textId="77777777" w:rsidR="009C3CE1" w:rsidRPr="00CB7E7C" w:rsidRDefault="009C3CE1" w:rsidP="001D53FA">
            <w:pPr>
              <w:spacing w:after="0" w:line="240" w:lineRule="auto"/>
              <w:jc w:val="left"/>
              <w:rPr>
                <w:rFonts w:eastAsia="Times New Roman" w:cs="Calibri"/>
                <w:b/>
                <w:bCs/>
                <w:color w:val="auto"/>
                <w:sz w:val="20"/>
                <w:szCs w:val="20"/>
                <w:lang w:eastAsia="el-GR"/>
              </w:rPr>
            </w:pPr>
          </w:p>
        </w:tc>
        <w:tc>
          <w:tcPr>
            <w:tcW w:w="2339" w:type="dxa"/>
            <w:tcBorders>
              <w:top w:val="nil"/>
            </w:tcBorders>
            <w:shd w:val="clear" w:color="000000" w:fill="BDD6EE"/>
            <w:vAlign w:val="center"/>
            <w:hideMark/>
          </w:tcPr>
          <w:p w14:paraId="41798EF3" w14:textId="77777777" w:rsidR="009C3CE1" w:rsidRPr="00CB7E7C" w:rsidRDefault="009C3CE1" w:rsidP="001D53FA">
            <w:pPr>
              <w:spacing w:after="0" w:line="240" w:lineRule="auto"/>
              <w:jc w:val="center"/>
              <w:rPr>
                <w:rFonts w:eastAsia="Times New Roman" w:cs="Calibri"/>
                <w:b/>
                <w:bCs/>
                <w:color w:val="auto"/>
                <w:sz w:val="20"/>
                <w:szCs w:val="20"/>
                <w:lang w:eastAsia="el-GR"/>
              </w:rPr>
            </w:pPr>
            <w:r w:rsidRPr="00CB7E7C">
              <w:rPr>
                <w:rFonts w:eastAsia="Times New Roman" w:cs="Calibri"/>
                <w:b/>
                <w:bCs/>
                <w:color w:val="auto"/>
                <w:sz w:val="20"/>
                <w:szCs w:val="20"/>
                <w:lang w:eastAsia="el-GR"/>
              </w:rPr>
              <w:t>δημοσίευσης</w:t>
            </w:r>
          </w:p>
        </w:tc>
        <w:tc>
          <w:tcPr>
            <w:tcW w:w="2434" w:type="dxa"/>
            <w:tcBorders>
              <w:top w:val="nil"/>
            </w:tcBorders>
            <w:shd w:val="clear" w:color="000000" w:fill="BDD6EE"/>
            <w:vAlign w:val="center"/>
            <w:hideMark/>
          </w:tcPr>
          <w:p w14:paraId="6F6DE953" w14:textId="77777777" w:rsidR="009C3CE1" w:rsidRPr="00CB7E7C" w:rsidRDefault="009C3CE1" w:rsidP="001D53FA">
            <w:pPr>
              <w:spacing w:after="0" w:line="240" w:lineRule="auto"/>
              <w:jc w:val="center"/>
              <w:rPr>
                <w:rFonts w:eastAsia="Times New Roman" w:cs="Calibri"/>
                <w:b/>
                <w:bCs/>
                <w:color w:val="auto"/>
                <w:sz w:val="20"/>
                <w:szCs w:val="20"/>
                <w:lang w:eastAsia="el-GR"/>
              </w:rPr>
            </w:pPr>
            <w:r w:rsidRPr="00CB7E7C">
              <w:rPr>
                <w:rFonts w:eastAsia="Times New Roman" w:cs="Calibri"/>
                <w:b/>
                <w:bCs/>
                <w:color w:val="auto"/>
                <w:sz w:val="20"/>
                <w:szCs w:val="20"/>
                <w:lang w:eastAsia="el-GR"/>
              </w:rPr>
              <w:t>(εκτιμήσεις)</w:t>
            </w:r>
          </w:p>
        </w:tc>
      </w:tr>
      <w:tr w:rsidR="009C3CE1" w:rsidRPr="00CB7E7C" w14:paraId="7D0448FC" w14:textId="77777777" w:rsidTr="001D53FA">
        <w:trPr>
          <w:trHeight w:val="356"/>
        </w:trPr>
        <w:tc>
          <w:tcPr>
            <w:tcW w:w="3461" w:type="dxa"/>
            <w:shd w:val="clear" w:color="auto" w:fill="auto"/>
            <w:vAlign w:val="center"/>
            <w:hideMark/>
          </w:tcPr>
          <w:p w14:paraId="3154EC4F" w14:textId="77777777" w:rsidR="009C3CE1" w:rsidRPr="00CB7E7C" w:rsidRDefault="009C3CE1" w:rsidP="001D53FA">
            <w:pPr>
              <w:spacing w:after="0" w:line="240" w:lineRule="auto"/>
              <w:jc w:val="left"/>
              <w:rPr>
                <w:rFonts w:eastAsia="Times New Roman" w:cs="Calibri"/>
                <w:color w:val="auto"/>
                <w:sz w:val="20"/>
                <w:szCs w:val="20"/>
                <w:lang w:eastAsia="el-GR"/>
              </w:rPr>
            </w:pPr>
            <w:r w:rsidRPr="00CB7E7C">
              <w:rPr>
                <w:rFonts w:eastAsia="Times New Roman" w:cs="Calibri"/>
                <w:color w:val="auto"/>
                <w:sz w:val="20"/>
                <w:szCs w:val="20"/>
                <w:lang w:eastAsia="el-GR"/>
              </w:rPr>
              <w:t xml:space="preserve">             Υπ. Οικονομικών</w:t>
            </w:r>
            <w:r w:rsidRPr="00CB7E7C">
              <w:rPr>
                <w:rFonts w:eastAsia="Times New Roman" w:cs="Calibri"/>
                <w:b/>
                <w:bCs/>
                <w:color w:val="auto"/>
                <w:sz w:val="20"/>
                <w:szCs w:val="20"/>
                <w:vertAlign w:val="superscript"/>
                <w:lang w:eastAsia="el-GR"/>
              </w:rPr>
              <w:t>1</w:t>
            </w:r>
          </w:p>
        </w:tc>
        <w:tc>
          <w:tcPr>
            <w:tcW w:w="2339" w:type="dxa"/>
            <w:shd w:val="clear" w:color="auto" w:fill="auto"/>
            <w:vAlign w:val="center"/>
            <w:hideMark/>
          </w:tcPr>
          <w:p w14:paraId="21FA6738" w14:textId="77777777" w:rsidR="009C3CE1" w:rsidRPr="00CB7E7C" w:rsidRDefault="009C3CE1" w:rsidP="001D53FA">
            <w:pPr>
              <w:spacing w:after="0" w:line="240" w:lineRule="auto"/>
              <w:jc w:val="left"/>
              <w:rPr>
                <w:rFonts w:eastAsia="Times New Roman" w:cs="Calibri"/>
                <w:color w:val="auto"/>
                <w:sz w:val="20"/>
                <w:szCs w:val="20"/>
                <w:lang w:eastAsia="el-GR"/>
              </w:rPr>
            </w:pPr>
            <w:r w:rsidRPr="00CB7E7C">
              <w:rPr>
                <w:rFonts w:eastAsia="Times New Roman" w:cs="Calibri"/>
                <w:color w:val="auto"/>
                <w:sz w:val="20"/>
                <w:szCs w:val="20"/>
                <w:lang w:eastAsia="el-GR"/>
              </w:rPr>
              <w:t>Απρίλιος 2021</w:t>
            </w:r>
          </w:p>
        </w:tc>
        <w:tc>
          <w:tcPr>
            <w:tcW w:w="2434" w:type="dxa"/>
            <w:shd w:val="clear" w:color="auto" w:fill="auto"/>
            <w:vAlign w:val="center"/>
            <w:hideMark/>
          </w:tcPr>
          <w:p w14:paraId="1E56A4FD" w14:textId="77777777" w:rsidR="009C3CE1" w:rsidRPr="00EC34AD" w:rsidRDefault="009C3CE1" w:rsidP="001D53FA">
            <w:pPr>
              <w:spacing w:after="0" w:line="240" w:lineRule="auto"/>
              <w:jc w:val="center"/>
              <w:rPr>
                <w:rFonts w:eastAsia="Times New Roman" w:cs="Calibri"/>
                <w:color w:val="auto"/>
                <w:lang w:eastAsia="el-GR"/>
              </w:rPr>
            </w:pPr>
            <w:r w:rsidRPr="00EC34AD">
              <w:rPr>
                <w:rFonts w:eastAsia="Times New Roman" w:cs="Calibri"/>
                <w:color w:val="auto"/>
                <w:lang w:eastAsia="el-GR"/>
              </w:rPr>
              <w:t>3,6%</w:t>
            </w:r>
          </w:p>
        </w:tc>
      </w:tr>
      <w:tr w:rsidR="009C3CE1" w:rsidRPr="00CB7E7C" w14:paraId="1CAEE0A6" w14:textId="77777777" w:rsidTr="001D53FA">
        <w:trPr>
          <w:trHeight w:val="356"/>
        </w:trPr>
        <w:tc>
          <w:tcPr>
            <w:tcW w:w="3461" w:type="dxa"/>
            <w:shd w:val="clear" w:color="auto" w:fill="auto"/>
            <w:vAlign w:val="center"/>
            <w:hideMark/>
          </w:tcPr>
          <w:p w14:paraId="2870EBE7" w14:textId="77777777" w:rsidR="009C3CE1" w:rsidRPr="00CB7E7C" w:rsidRDefault="009C3CE1" w:rsidP="001D53FA">
            <w:pPr>
              <w:spacing w:after="0" w:line="240" w:lineRule="auto"/>
              <w:jc w:val="left"/>
              <w:rPr>
                <w:rFonts w:eastAsia="Times New Roman" w:cs="Calibri"/>
                <w:color w:val="auto"/>
                <w:sz w:val="20"/>
                <w:szCs w:val="20"/>
                <w:lang w:eastAsia="el-GR"/>
              </w:rPr>
            </w:pPr>
            <w:r w:rsidRPr="00CB7E7C">
              <w:rPr>
                <w:rFonts w:eastAsia="Times New Roman" w:cs="Calibri"/>
                <w:color w:val="auto"/>
                <w:sz w:val="20"/>
                <w:szCs w:val="20"/>
                <w:lang w:eastAsia="el-GR"/>
              </w:rPr>
              <w:t xml:space="preserve">             ΙΟΒΕ</w:t>
            </w:r>
            <w:r w:rsidRPr="00CB7E7C">
              <w:rPr>
                <w:rFonts w:eastAsia="Times New Roman" w:cs="Calibri"/>
                <w:b/>
                <w:bCs/>
                <w:color w:val="auto"/>
                <w:sz w:val="20"/>
                <w:szCs w:val="20"/>
                <w:vertAlign w:val="superscript"/>
                <w:lang w:eastAsia="el-GR"/>
              </w:rPr>
              <w:t>2</w:t>
            </w:r>
          </w:p>
        </w:tc>
        <w:tc>
          <w:tcPr>
            <w:tcW w:w="2339" w:type="dxa"/>
            <w:shd w:val="clear" w:color="auto" w:fill="auto"/>
            <w:vAlign w:val="center"/>
            <w:hideMark/>
          </w:tcPr>
          <w:p w14:paraId="0F16B63E" w14:textId="77777777" w:rsidR="009C3CE1" w:rsidRPr="00CB7E7C" w:rsidRDefault="009C3CE1" w:rsidP="001D53FA">
            <w:pPr>
              <w:spacing w:after="0" w:line="240" w:lineRule="auto"/>
              <w:jc w:val="left"/>
              <w:rPr>
                <w:rFonts w:eastAsia="Times New Roman" w:cs="Calibri"/>
                <w:color w:val="auto"/>
                <w:sz w:val="20"/>
                <w:szCs w:val="20"/>
                <w:lang w:eastAsia="el-GR"/>
              </w:rPr>
            </w:pPr>
            <w:r w:rsidRPr="00CB7E7C">
              <w:rPr>
                <w:rFonts w:eastAsia="Times New Roman" w:cs="Calibri"/>
                <w:color w:val="auto"/>
                <w:sz w:val="20"/>
                <w:szCs w:val="20"/>
                <w:lang w:eastAsia="el-GR"/>
              </w:rPr>
              <w:t>Απρίλιος 2021</w:t>
            </w:r>
          </w:p>
        </w:tc>
        <w:tc>
          <w:tcPr>
            <w:tcW w:w="2434" w:type="dxa"/>
            <w:shd w:val="clear" w:color="auto" w:fill="auto"/>
            <w:vAlign w:val="center"/>
            <w:hideMark/>
          </w:tcPr>
          <w:p w14:paraId="755A1A46" w14:textId="77777777" w:rsidR="009C3CE1" w:rsidRPr="00EC34AD" w:rsidRDefault="009C3CE1" w:rsidP="001D53FA">
            <w:pPr>
              <w:spacing w:after="0" w:line="240" w:lineRule="auto"/>
              <w:jc w:val="center"/>
              <w:rPr>
                <w:rFonts w:eastAsia="Times New Roman" w:cs="Calibri"/>
                <w:color w:val="auto"/>
                <w:lang w:eastAsia="el-GR"/>
              </w:rPr>
            </w:pPr>
            <w:r w:rsidRPr="00EC34AD">
              <w:rPr>
                <w:rFonts w:eastAsia="Times New Roman" w:cs="Calibri"/>
                <w:color w:val="auto"/>
                <w:lang w:eastAsia="el-GR"/>
              </w:rPr>
              <w:t>3,5% έως 4,0%</w:t>
            </w:r>
          </w:p>
        </w:tc>
      </w:tr>
      <w:tr w:rsidR="009C3CE1" w:rsidRPr="00CB7E7C" w14:paraId="3879EE1A" w14:textId="77777777" w:rsidTr="001D53FA">
        <w:trPr>
          <w:trHeight w:val="477"/>
        </w:trPr>
        <w:tc>
          <w:tcPr>
            <w:tcW w:w="3461" w:type="dxa"/>
            <w:shd w:val="clear" w:color="auto" w:fill="auto"/>
            <w:vAlign w:val="center"/>
            <w:hideMark/>
          </w:tcPr>
          <w:p w14:paraId="7BED0576" w14:textId="77777777" w:rsidR="009C3CE1" w:rsidRPr="00CB7E7C" w:rsidRDefault="009C3CE1" w:rsidP="001D53FA">
            <w:pPr>
              <w:spacing w:after="0" w:line="240" w:lineRule="auto"/>
              <w:jc w:val="left"/>
              <w:rPr>
                <w:rFonts w:eastAsia="Times New Roman" w:cs="Calibri"/>
                <w:color w:val="auto"/>
                <w:sz w:val="20"/>
                <w:szCs w:val="20"/>
                <w:lang w:eastAsia="el-GR"/>
              </w:rPr>
            </w:pPr>
            <w:r w:rsidRPr="00CB7E7C">
              <w:rPr>
                <w:rFonts w:eastAsia="Times New Roman" w:cs="Calibri"/>
                <w:color w:val="auto"/>
                <w:sz w:val="20"/>
                <w:szCs w:val="20"/>
                <w:lang w:eastAsia="el-GR"/>
              </w:rPr>
              <w:t xml:space="preserve">             Τράπεζα της Ελλάδος</w:t>
            </w:r>
            <w:r w:rsidRPr="00CB7E7C">
              <w:rPr>
                <w:rFonts w:eastAsia="Times New Roman" w:cs="Calibri"/>
                <w:color w:val="auto"/>
                <w:sz w:val="20"/>
                <w:szCs w:val="20"/>
                <w:vertAlign w:val="superscript"/>
                <w:lang w:eastAsia="el-GR"/>
              </w:rPr>
              <w:t>3</w:t>
            </w:r>
          </w:p>
        </w:tc>
        <w:tc>
          <w:tcPr>
            <w:tcW w:w="2339" w:type="dxa"/>
            <w:shd w:val="clear" w:color="auto" w:fill="auto"/>
            <w:vAlign w:val="center"/>
            <w:hideMark/>
          </w:tcPr>
          <w:p w14:paraId="4EF772CE" w14:textId="77777777" w:rsidR="009C3CE1" w:rsidRPr="00CB7E7C" w:rsidRDefault="009C3CE1" w:rsidP="001D53FA">
            <w:pPr>
              <w:spacing w:after="0" w:line="240" w:lineRule="auto"/>
              <w:jc w:val="left"/>
              <w:rPr>
                <w:rFonts w:eastAsia="Times New Roman" w:cs="Calibri"/>
                <w:color w:val="auto"/>
                <w:sz w:val="20"/>
                <w:szCs w:val="20"/>
                <w:lang w:eastAsia="el-GR"/>
              </w:rPr>
            </w:pPr>
            <w:r w:rsidRPr="00CB7E7C">
              <w:rPr>
                <w:rFonts w:eastAsia="Times New Roman" w:cs="Calibri"/>
                <w:color w:val="auto"/>
                <w:sz w:val="20"/>
                <w:szCs w:val="20"/>
                <w:lang w:eastAsia="el-GR"/>
              </w:rPr>
              <w:t>Απρίλιος 2021</w:t>
            </w:r>
          </w:p>
        </w:tc>
        <w:tc>
          <w:tcPr>
            <w:tcW w:w="2434" w:type="dxa"/>
            <w:shd w:val="clear" w:color="auto" w:fill="auto"/>
            <w:vAlign w:val="center"/>
            <w:hideMark/>
          </w:tcPr>
          <w:p w14:paraId="05FC3B41" w14:textId="77777777" w:rsidR="009C3CE1" w:rsidRPr="00EC34AD" w:rsidRDefault="009C3CE1" w:rsidP="001D53FA">
            <w:pPr>
              <w:spacing w:after="0" w:line="240" w:lineRule="auto"/>
              <w:jc w:val="center"/>
              <w:rPr>
                <w:rFonts w:eastAsia="Times New Roman" w:cs="Calibri"/>
                <w:color w:val="auto"/>
                <w:lang w:eastAsia="el-GR"/>
              </w:rPr>
            </w:pPr>
            <w:r w:rsidRPr="00EC34AD">
              <w:rPr>
                <w:rFonts w:eastAsia="Times New Roman" w:cs="Calibri"/>
                <w:color w:val="auto"/>
                <w:lang w:eastAsia="el-GR"/>
              </w:rPr>
              <w:t>4,2%</w:t>
            </w:r>
          </w:p>
        </w:tc>
      </w:tr>
      <w:tr w:rsidR="009C3CE1" w:rsidRPr="00CB7E7C" w14:paraId="52DAD47A" w14:textId="77777777" w:rsidTr="001D53FA">
        <w:trPr>
          <w:trHeight w:val="312"/>
        </w:trPr>
        <w:tc>
          <w:tcPr>
            <w:tcW w:w="3461" w:type="dxa"/>
            <w:shd w:val="clear" w:color="000000" w:fill="BDD6EE"/>
            <w:vAlign w:val="center"/>
            <w:hideMark/>
          </w:tcPr>
          <w:p w14:paraId="38B02BD8" w14:textId="77777777" w:rsidR="009C3CE1" w:rsidRPr="00CB7E7C" w:rsidRDefault="009C3CE1" w:rsidP="001D53FA">
            <w:pPr>
              <w:spacing w:after="0" w:line="240" w:lineRule="auto"/>
              <w:jc w:val="left"/>
              <w:rPr>
                <w:rFonts w:eastAsia="Times New Roman" w:cs="Calibri"/>
                <w:b/>
                <w:bCs/>
                <w:color w:val="auto"/>
                <w:sz w:val="20"/>
                <w:szCs w:val="20"/>
                <w:lang w:eastAsia="el-GR"/>
              </w:rPr>
            </w:pPr>
            <w:r w:rsidRPr="00CB7E7C">
              <w:rPr>
                <w:rFonts w:eastAsia="Times New Roman" w:cs="Calibri"/>
                <w:b/>
                <w:bCs/>
                <w:color w:val="auto"/>
                <w:sz w:val="20"/>
                <w:szCs w:val="20"/>
                <w:lang w:eastAsia="el-GR"/>
              </w:rPr>
              <w:t>Διεθνείς φορείς</w:t>
            </w:r>
          </w:p>
        </w:tc>
        <w:tc>
          <w:tcPr>
            <w:tcW w:w="2339" w:type="dxa"/>
            <w:shd w:val="clear" w:color="000000" w:fill="BDD6EE"/>
            <w:vAlign w:val="center"/>
            <w:hideMark/>
          </w:tcPr>
          <w:p w14:paraId="598ED37C" w14:textId="77777777" w:rsidR="009C3CE1" w:rsidRPr="00CB7E7C" w:rsidRDefault="009C3CE1" w:rsidP="001D53FA">
            <w:pPr>
              <w:spacing w:after="0" w:line="240" w:lineRule="auto"/>
              <w:jc w:val="left"/>
              <w:rPr>
                <w:rFonts w:eastAsia="Times New Roman" w:cs="Calibri"/>
                <w:color w:val="auto"/>
                <w:sz w:val="20"/>
                <w:szCs w:val="20"/>
                <w:lang w:eastAsia="el-GR"/>
              </w:rPr>
            </w:pPr>
            <w:r w:rsidRPr="00CB7E7C">
              <w:rPr>
                <w:rFonts w:eastAsia="Times New Roman" w:cs="Calibri"/>
                <w:color w:val="auto"/>
                <w:sz w:val="20"/>
                <w:szCs w:val="20"/>
                <w:lang w:eastAsia="el-GR"/>
              </w:rPr>
              <w:t> </w:t>
            </w:r>
          </w:p>
        </w:tc>
        <w:tc>
          <w:tcPr>
            <w:tcW w:w="2434" w:type="dxa"/>
            <w:shd w:val="clear" w:color="000000" w:fill="BDD6EE"/>
            <w:vAlign w:val="center"/>
            <w:hideMark/>
          </w:tcPr>
          <w:p w14:paraId="575429F7" w14:textId="77777777" w:rsidR="009C3CE1" w:rsidRPr="00EC34AD" w:rsidRDefault="009C3CE1" w:rsidP="001D53FA">
            <w:pPr>
              <w:spacing w:after="0" w:line="240" w:lineRule="auto"/>
              <w:jc w:val="center"/>
              <w:rPr>
                <w:rFonts w:eastAsia="Times New Roman" w:cs="Calibri"/>
                <w:color w:val="auto"/>
                <w:lang w:eastAsia="el-GR"/>
              </w:rPr>
            </w:pPr>
            <w:r w:rsidRPr="00EC34AD">
              <w:rPr>
                <w:rFonts w:eastAsia="Times New Roman" w:cs="Calibri"/>
                <w:color w:val="auto"/>
                <w:lang w:eastAsia="el-GR"/>
              </w:rPr>
              <w:t> </w:t>
            </w:r>
          </w:p>
        </w:tc>
      </w:tr>
      <w:tr w:rsidR="009C3CE1" w:rsidRPr="00CB7E7C" w14:paraId="449EF715" w14:textId="77777777" w:rsidTr="001D53FA">
        <w:trPr>
          <w:trHeight w:val="356"/>
        </w:trPr>
        <w:tc>
          <w:tcPr>
            <w:tcW w:w="3461" w:type="dxa"/>
            <w:shd w:val="clear" w:color="auto" w:fill="auto"/>
            <w:vAlign w:val="center"/>
            <w:hideMark/>
          </w:tcPr>
          <w:p w14:paraId="30162DCE" w14:textId="77777777" w:rsidR="009C3CE1" w:rsidRPr="00CB7E7C" w:rsidRDefault="009C3CE1" w:rsidP="001D53FA">
            <w:pPr>
              <w:spacing w:after="0" w:line="240" w:lineRule="auto"/>
              <w:jc w:val="left"/>
              <w:rPr>
                <w:rFonts w:eastAsia="Times New Roman" w:cs="Calibri"/>
                <w:color w:val="auto"/>
                <w:sz w:val="20"/>
                <w:szCs w:val="20"/>
                <w:lang w:eastAsia="el-GR"/>
              </w:rPr>
            </w:pPr>
            <w:r w:rsidRPr="00CB7E7C">
              <w:rPr>
                <w:rFonts w:eastAsia="Times New Roman" w:cs="Calibri"/>
                <w:color w:val="auto"/>
                <w:sz w:val="20"/>
                <w:szCs w:val="20"/>
                <w:lang w:eastAsia="el-GR"/>
              </w:rPr>
              <w:t xml:space="preserve">             Ευρωπαϊκή Επιτροπή</w:t>
            </w:r>
            <w:r w:rsidRPr="00CB7E7C">
              <w:rPr>
                <w:rFonts w:eastAsia="Times New Roman" w:cs="Calibri"/>
                <w:color w:val="auto"/>
                <w:sz w:val="20"/>
                <w:szCs w:val="20"/>
                <w:vertAlign w:val="superscript"/>
                <w:lang w:eastAsia="el-GR"/>
              </w:rPr>
              <w:t>4</w:t>
            </w:r>
          </w:p>
        </w:tc>
        <w:tc>
          <w:tcPr>
            <w:tcW w:w="2339" w:type="dxa"/>
            <w:shd w:val="clear" w:color="auto" w:fill="auto"/>
            <w:vAlign w:val="center"/>
            <w:hideMark/>
          </w:tcPr>
          <w:p w14:paraId="5DE7F760" w14:textId="77777777" w:rsidR="009C3CE1" w:rsidRPr="00CB7E7C" w:rsidRDefault="009C3CE1" w:rsidP="001D53FA">
            <w:pPr>
              <w:spacing w:after="0" w:line="240" w:lineRule="auto"/>
              <w:jc w:val="left"/>
              <w:rPr>
                <w:rFonts w:eastAsia="Times New Roman" w:cs="Calibri"/>
                <w:color w:val="auto"/>
                <w:sz w:val="20"/>
                <w:szCs w:val="20"/>
                <w:lang w:eastAsia="el-GR"/>
              </w:rPr>
            </w:pPr>
            <w:r w:rsidRPr="00CB7E7C">
              <w:rPr>
                <w:rFonts w:eastAsia="Times New Roman" w:cs="Calibri"/>
                <w:color w:val="auto"/>
                <w:sz w:val="20"/>
                <w:szCs w:val="20"/>
                <w:lang w:eastAsia="el-GR"/>
              </w:rPr>
              <w:t>Μάϊος 2021</w:t>
            </w:r>
          </w:p>
        </w:tc>
        <w:tc>
          <w:tcPr>
            <w:tcW w:w="2434" w:type="dxa"/>
            <w:shd w:val="clear" w:color="auto" w:fill="auto"/>
            <w:vAlign w:val="center"/>
            <w:hideMark/>
          </w:tcPr>
          <w:p w14:paraId="2709F8EA" w14:textId="77777777" w:rsidR="009C3CE1" w:rsidRPr="00EC34AD" w:rsidRDefault="009C3CE1" w:rsidP="001D53FA">
            <w:pPr>
              <w:spacing w:after="0" w:line="240" w:lineRule="auto"/>
              <w:jc w:val="center"/>
              <w:rPr>
                <w:rFonts w:eastAsia="Times New Roman" w:cs="Calibri"/>
                <w:color w:val="auto"/>
                <w:lang w:eastAsia="el-GR"/>
              </w:rPr>
            </w:pPr>
            <w:r w:rsidRPr="00EC34AD">
              <w:rPr>
                <w:rFonts w:eastAsia="Times New Roman" w:cs="Calibri"/>
                <w:color w:val="auto"/>
                <w:lang w:eastAsia="el-GR"/>
              </w:rPr>
              <w:t>4,1%</w:t>
            </w:r>
          </w:p>
        </w:tc>
      </w:tr>
      <w:tr w:rsidR="009C3CE1" w:rsidRPr="00CB7E7C" w14:paraId="2F46DBED" w14:textId="77777777" w:rsidTr="001D53FA">
        <w:trPr>
          <w:trHeight w:val="356"/>
        </w:trPr>
        <w:tc>
          <w:tcPr>
            <w:tcW w:w="3461" w:type="dxa"/>
            <w:shd w:val="clear" w:color="auto" w:fill="auto"/>
            <w:vAlign w:val="center"/>
            <w:hideMark/>
          </w:tcPr>
          <w:p w14:paraId="2179C4CF" w14:textId="77777777" w:rsidR="009C3CE1" w:rsidRPr="00CB7E7C" w:rsidRDefault="009C3CE1" w:rsidP="001D53FA">
            <w:pPr>
              <w:spacing w:after="0" w:line="240" w:lineRule="auto"/>
              <w:jc w:val="left"/>
              <w:rPr>
                <w:rFonts w:eastAsia="Times New Roman" w:cs="Calibri"/>
                <w:color w:val="auto"/>
                <w:sz w:val="20"/>
                <w:szCs w:val="20"/>
                <w:lang w:eastAsia="el-GR"/>
              </w:rPr>
            </w:pPr>
            <w:r w:rsidRPr="00CB7E7C">
              <w:rPr>
                <w:rFonts w:eastAsia="Times New Roman" w:cs="Calibri"/>
                <w:color w:val="auto"/>
                <w:sz w:val="20"/>
                <w:szCs w:val="20"/>
                <w:lang w:eastAsia="el-GR"/>
              </w:rPr>
              <w:t xml:space="preserve">             ΔΝΤ</w:t>
            </w:r>
            <w:r w:rsidRPr="00CB7E7C">
              <w:rPr>
                <w:rFonts w:eastAsia="Times New Roman" w:cs="Calibri"/>
                <w:color w:val="auto"/>
                <w:sz w:val="20"/>
                <w:szCs w:val="20"/>
                <w:vertAlign w:val="superscript"/>
                <w:lang w:eastAsia="el-GR"/>
              </w:rPr>
              <w:t>5</w:t>
            </w:r>
          </w:p>
        </w:tc>
        <w:tc>
          <w:tcPr>
            <w:tcW w:w="2339" w:type="dxa"/>
            <w:shd w:val="clear" w:color="auto" w:fill="auto"/>
            <w:vAlign w:val="center"/>
            <w:hideMark/>
          </w:tcPr>
          <w:p w14:paraId="57800D6B" w14:textId="77777777" w:rsidR="009C3CE1" w:rsidRPr="00CB7E7C" w:rsidRDefault="009C3CE1" w:rsidP="001D53FA">
            <w:pPr>
              <w:spacing w:after="0" w:line="240" w:lineRule="auto"/>
              <w:jc w:val="left"/>
              <w:rPr>
                <w:rFonts w:eastAsia="Times New Roman" w:cs="Calibri"/>
                <w:color w:val="auto"/>
                <w:sz w:val="20"/>
                <w:szCs w:val="20"/>
                <w:lang w:eastAsia="el-GR"/>
              </w:rPr>
            </w:pPr>
            <w:r w:rsidRPr="00CB7E7C">
              <w:rPr>
                <w:rFonts w:eastAsia="Times New Roman" w:cs="Calibri"/>
                <w:color w:val="auto"/>
                <w:sz w:val="20"/>
                <w:szCs w:val="20"/>
                <w:lang w:eastAsia="el-GR"/>
              </w:rPr>
              <w:t>Απρίλιος 2021</w:t>
            </w:r>
          </w:p>
        </w:tc>
        <w:tc>
          <w:tcPr>
            <w:tcW w:w="2434" w:type="dxa"/>
            <w:shd w:val="clear" w:color="auto" w:fill="auto"/>
            <w:vAlign w:val="center"/>
            <w:hideMark/>
          </w:tcPr>
          <w:p w14:paraId="668FA201" w14:textId="77777777" w:rsidR="009C3CE1" w:rsidRPr="00EC34AD" w:rsidRDefault="009C3CE1" w:rsidP="001D53FA">
            <w:pPr>
              <w:spacing w:after="0" w:line="240" w:lineRule="auto"/>
              <w:jc w:val="center"/>
              <w:rPr>
                <w:rFonts w:eastAsia="Times New Roman" w:cs="Calibri"/>
                <w:color w:val="auto"/>
                <w:lang w:eastAsia="el-GR"/>
              </w:rPr>
            </w:pPr>
            <w:r w:rsidRPr="00EC34AD">
              <w:rPr>
                <w:rFonts w:eastAsia="Times New Roman" w:cs="Calibri"/>
                <w:color w:val="auto"/>
                <w:lang w:eastAsia="el-GR"/>
              </w:rPr>
              <w:t>3,8%</w:t>
            </w:r>
          </w:p>
        </w:tc>
      </w:tr>
      <w:tr w:rsidR="009C3CE1" w:rsidRPr="00CB7E7C" w14:paraId="50C35BD9" w14:textId="77777777" w:rsidTr="001D53FA">
        <w:trPr>
          <w:trHeight w:val="312"/>
        </w:trPr>
        <w:tc>
          <w:tcPr>
            <w:tcW w:w="3461" w:type="dxa"/>
            <w:shd w:val="clear" w:color="auto" w:fill="auto"/>
            <w:vAlign w:val="center"/>
          </w:tcPr>
          <w:p w14:paraId="2EBD09DE" w14:textId="62C36D0D" w:rsidR="009C3CE1" w:rsidRPr="00CB7E7C" w:rsidRDefault="009C3CE1" w:rsidP="001D53FA">
            <w:pPr>
              <w:spacing w:after="0" w:line="240" w:lineRule="auto"/>
              <w:jc w:val="left"/>
              <w:rPr>
                <w:rFonts w:eastAsia="Times New Roman" w:cs="Calibri"/>
                <w:b/>
                <w:bCs/>
                <w:color w:val="auto"/>
                <w:sz w:val="20"/>
                <w:szCs w:val="20"/>
                <w:lang w:eastAsia="el-GR"/>
              </w:rPr>
            </w:pPr>
            <w:r w:rsidRPr="00CB7E7C">
              <w:rPr>
                <w:rFonts w:eastAsia="Times New Roman" w:cs="Calibri"/>
                <w:color w:val="auto"/>
                <w:sz w:val="20"/>
                <w:szCs w:val="20"/>
                <w:lang w:val="en-US" w:eastAsia="el-GR"/>
              </w:rPr>
              <w:t xml:space="preserve">             EBRD</w:t>
            </w:r>
            <w:r w:rsidR="009434FF">
              <w:rPr>
                <w:rFonts w:eastAsia="Times New Roman" w:cs="Calibri"/>
                <w:color w:val="auto"/>
                <w:sz w:val="20"/>
                <w:szCs w:val="20"/>
                <w:vertAlign w:val="superscript"/>
                <w:lang w:val="en-US" w:eastAsia="el-GR"/>
              </w:rPr>
              <w:t>6</w:t>
            </w:r>
          </w:p>
        </w:tc>
        <w:tc>
          <w:tcPr>
            <w:tcW w:w="2339" w:type="dxa"/>
            <w:shd w:val="clear" w:color="auto" w:fill="auto"/>
            <w:vAlign w:val="center"/>
          </w:tcPr>
          <w:p w14:paraId="253044C5" w14:textId="77777777" w:rsidR="009C3CE1" w:rsidRPr="00CB7E7C" w:rsidRDefault="009C3CE1" w:rsidP="001D53FA">
            <w:pPr>
              <w:spacing w:after="0" w:line="240" w:lineRule="auto"/>
              <w:jc w:val="left"/>
              <w:rPr>
                <w:rFonts w:eastAsia="Times New Roman" w:cs="Calibri"/>
                <w:b/>
                <w:bCs/>
                <w:color w:val="auto"/>
                <w:sz w:val="20"/>
                <w:szCs w:val="20"/>
                <w:lang w:eastAsia="el-GR"/>
              </w:rPr>
            </w:pPr>
            <w:r w:rsidRPr="00CB7E7C">
              <w:rPr>
                <w:rFonts w:eastAsia="Times New Roman" w:cs="Calibri"/>
                <w:color w:val="auto"/>
                <w:sz w:val="20"/>
                <w:szCs w:val="20"/>
                <w:lang w:eastAsia="el-GR"/>
              </w:rPr>
              <w:t>Σεπτέμβριος 2020</w:t>
            </w:r>
          </w:p>
        </w:tc>
        <w:tc>
          <w:tcPr>
            <w:tcW w:w="2434" w:type="dxa"/>
            <w:shd w:val="clear" w:color="auto" w:fill="auto"/>
            <w:vAlign w:val="center"/>
          </w:tcPr>
          <w:p w14:paraId="47CAF91B" w14:textId="77777777" w:rsidR="009C3CE1" w:rsidRPr="00EC34AD" w:rsidRDefault="009C3CE1" w:rsidP="001D53FA">
            <w:pPr>
              <w:spacing w:after="0" w:line="240" w:lineRule="auto"/>
              <w:jc w:val="center"/>
              <w:rPr>
                <w:rFonts w:eastAsia="Times New Roman" w:cs="Calibri"/>
                <w:b/>
                <w:bCs/>
                <w:color w:val="auto"/>
                <w:lang w:eastAsia="el-GR"/>
              </w:rPr>
            </w:pPr>
            <w:r w:rsidRPr="00EC34AD">
              <w:rPr>
                <w:rFonts w:eastAsia="Times New Roman" w:cs="Calibri"/>
                <w:color w:val="auto"/>
                <w:lang w:eastAsia="el-GR"/>
              </w:rPr>
              <w:t>4,0%</w:t>
            </w:r>
          </w:p>
        </w:tc>
      </w:tr>
    </w:tbl>
    <w:p w14:paraId="71A761E8" w14:textId="2F8908D2" w:rsidR="009C3CE1" w:rsidRDefault="009C3CE1" w:rsidP="009C3CE1">
      <w:pPr>
        <w:autoSpaceDE w:val="0"/>
        <w:autoSpaceDN w:val="0"/>
        <w:adjustRightInd w:val="0"/>
        <w:spacing w:after="0" w:line="240" w:lineRule="auto"/>
        <w:rPr>
          <w:rFonts w:eastAsia="Calibri" w:cs="Calibri"/>
          <w:color w:val="00A3E0"/>
          <w:sz w:val="16"/>
          <w:szCs w:val="16"/>
        </w:rPr>
      </w:pPr>
      <w:r w:rsidRPr="002F5A77">
        <w:rPr>
          <w:rFonts w:eastAsia="Calibri" w:cs="Times New Roman"/>
          <w:b/>
          <w:color w:val="808080"/>
          <w:sz w:val="16"/>
          <w:szCs w:val="16"/>
        </w:rPr>
        <w:t>Πηγές</w:t>
      </w:r>
      <w:r w:rsidRPr="00FB0A91">
        <w:rPr>
          <w:rFonts w:eastAsia="Calibri" w:cs="Times New Roman"/>
          <w:b/>
          <w:color w:val="808080"/>
          <w:sz w:val="16"/>
          <w:szCs w:val="16"/>
          <w:lang w:val="en-US"/>
        </w:rPr>
        <w:t xml:space="preserve">:  </w:t>
      </w:r>
      <w:r w:rsidRPr="00FB0A91">
        <w:rPr>
          <w:rFonts w:eastAsia="Calibri" w:cs="Calibri"/>
          <w:b/>
          <w:bCs/>
          <w:color w:val="00A3E0"/>
          <w:sz w:val="16"/>
          <w:szCs w:val="16"/>
          <w:lang w:val="en-US"/>
        </w:rPr>
        <w:t xml:space="preserve">1) </w:t>
      </w:r>
      <w:r w:rsidRPr="00FB0A91">
        <w:rPr>
          <w:rFonts w:eastAsia="Calibri" w:cs="Calibri"/>
          <w:color w:val="00A3E0"/>
          <w:sz w:val="16"/>
          <w:szCs w:val="16"/>
        </w:rPr>
        <w:t>ΥΠΟΙΚ</w:t>
      </w:r>
      <w:r w:rsidRPr="00FB0A91">
        <w:rPr>
          <w:rFonts w:eastAsia="Calibri" w:cs="Calibri"/>
          <w:color w:val="00A3E0"/>
          <w:sz w:val="16"/>
          <w:szCs w:val="16"/>
          <w:lang w:val="en-US"/>
        </w:rPr>
        <w:t>,</w:t>
      </w:r>
      <w:r w:rsidRPr="00FB0A91">
        <w:rPr>
          <w:rFonts w:eastAsia="Calibri" w:cs="Calibri"/>
          <w:b/>
          <w:bCs/>
          <w:color w:val="00A3E0"/>
          <w:sz w:val="16"/>
          <w:szCs w:val="16"/>
          <w:lang w:val="en-US"/>
        </w:rPr>
        <w:t xml:space="preserve"> </w:t>
      </w:r>
      <w:r>
        <w:rPr>
          <w:rFonts w:eastAsia="Calibri" w:cs="Calibri"/>
          <w:color w:val="00A3E0"/>
          <w:sz w:val="16"/>
          <w:szCs w:val="16"/>
          <w:lang w:val="en-US"/>
        </w:rPr>
        <w:t>Stability Programme 2021</w:t>
      </w:r>
      <w:r w:rsidRPr="00FB0A91">
        <w:rPr>
          <w:rFonts w:eastAsia="Calibri" w:cs="Calibri"/>
          <w:color w:val="00A3E0"/>
          <w:sz w:val="16"/>
          <w:szCs w:val="16"/>
          <w:lang w:val="en-US"/>
        </w:rPr>
        <w:t xml:space="preserve">, </w:t>
      </w:r>
      <w:r w:rsidRPr="003B41B2">
        <w:rPr>
          <w:rFonts w:eastAsia="Calibri" w:cs="Calibri"/>
          <w:color w:val="00A3E0"/>
          <w:sz w:val="16"/>
          <w:szCs w:val="16"/>
        </w:rPr>
        <w:t>Απρίλιος</w:t>
      </w:r>
      <w:r>
        <w:rPr>
          <w:rFonts w:eastAsia="Calibri" w:cs="Calibri"/>
          <w:color w:val="00A3E0"/>
          <w:sz w:val="16"/>
          <w:szCs w:val="16"/>
          <w:lang w:val="en-US"/>
        </w:rPr>
        <w:t>, 2021</w:t>
      </w:r>
      <w:r w:rsidRPr="00FB0A91">
        <w:rPr>
          <w:rFonts w:eastAsia="Calibri" w:cs="Calibri"/>
          <w:color w:val="00A3E0"/>
          <w:sz w:val="16"/>
          <w:szCs w:val="16"/>
          <w:lang w:val="en-US"/>
        </w:rPr>
        <w:t xml:space="preserve">. </w:t>
      </w:r>
      <w:r w:rsidRPr="003B41B2">
        <w:rPr>
          <w:rFonts w:eastAsia="Calibri" w:cs="Calibri"/>
          <w:b/>
          <w:bCs/>
          <w:color w:val="00A3E0"/>
          <w:sz w:val="16"/>
          <w:szCs w:val="16"/>
        </w:rPr>
        <w:t xml:space="preserve">2) </w:t>
      </w:r>
      <w:r w:rsidRPr="003B41B2">
        <w:rPr>
          <w:rFonts w:eastAsia="Calibri" w:cs="Calibri"/>
          <w:bCs/>
          <w:color w:val="00A3E0"/>
          <w:sz w:val="16"/>
          <w:szCs w:val="16"/>
        </w:rPr>
        <w:t>ΙΟΒΕ, «Η ελληνική οικονομία», Τριμηνιαία Έκθεση, Τεύχος 1/202</w:t>
      </w:r>
      <w:r>
        <w:rPr>
          <w:rFonts w:eastAsia="Calibri" w:cs="Calibri"/>
          <w:bCs/>
          <w:color w:val="00A3E0"/>
          <w:sz w:val="16"/>
          <w:szCs w:val="16"/>
        </w:rPr>
        <w:t>1, Απρίλιος 2021</w:t>
      </w:r>
      <w:r w:rsidRPr="003B41B2">
        <w:rPr>
          <w:rFonts w:eastAsia="Calibri" w:cs="Calibri"/>
          <w:bCs/>
          <w:color w:val="00A3E0"/>
          <w:sz w:val="16"/>
          <w:szCs w:val="16"/>
        </w:rPr>
        <w:t xml:space="preserve">. </w:t>
      </w:r>
      <w:r w:rsidRPr="007B5A6E">
        <w:rPr>
          <w:rFonts w:eastAsia="Calibri" w:cs="Calibri"/>
          <w:b/>
          <w:color w:val="00A3E0"/>
          <w:sz w:val="16"/>
          <w:szCs w:val="16"/>
        </w:rPr>
        <w:t>3)</w:t>
      </w:r>
      <w:r w:rsidRPr="007B5A6E">
        <w:rPr>
          <w:rFonts w:eastAsia="Calibri" w:cs="Calibri"/>
          <w:color w:val="00A3E0"/>
          <w:sz w:val="16"/>
          <w:szCs w:val="16"/>
        </w:rPr>
        <w:t xml:space="preserve"> </w:t>
      </w:r>
      <w:r w:rsidRPr="008348B1">
        <w:rPr>
          <w:rFonts w:eastAsia="Calibri" w:cs="Calibri"/>
          <w:color w:val="00A3E0"/>
          <w:sz w:val="16"/>
          <w:szCs w:val="16"/>
        </w:rPr>
        <w:t>Τράπεζα</w:t>
      </w:r>
      <w:r w:rsidRPr="007B5A6E">
        <w:rPr>
          <w:rFonts w:eastAsia="Calibri" w:cs="Calibri"/>
          <w:color w:val="00A3E0"/>
          <w:sz w:val="16"/>
          <w:szCs w:val="16"/>
        </w:rPr>
        <w:t xml:space="preserve"> </w:t>
      </w:r>
      <w:r w:rsidRPr="008348B1">
        <w:rPr>
          <w:rFonts w:eastAsia="Calibri" w:cs="Calibri"/>
          <w:color w:val="00A3E0"/>
          <w:sz w:val="16"/>
          <w:szCs w:val="16"/>
        </w:rPr>
        <w:t>της</w:t>
      </w:r>
      <w:r w:rsidRPr="007B5A6E">
        <w:rPr>
          <w:rFonts w:eastAsia="Calibri" w:cs="Calibri"/>
          <w:color w:val="00A3E0"/>
          <w:sz w:val="16"/>
          <w:szCs w:val="16"/>
        </w:rPr>
        <w:t xml:space="preserve"> </w:t>
      </w:r>
      <w:r w:rsidRPr="008348B1">
        <w:rPr>
          <w:rFonts w:eastAsia="Calibri" w:cs="Calibri"/>
          <w:color w:val="00A3E0"/>
          <w:sz w:val="16"/>
          <w:szCs w:val="16"/>
        </w:rPr>
        <w:t>Ελλάδος</w:t>
      </w:r>
      <w:r w:rsidRPr="007B5A6E">
        <w:rPr>
          <w:rFonts w:eastAsia="Calibri" w:cs="Calibri"/>
          <w:color w:val="00A3E0"/>
          <w:sz w:val="16"/>
          <w:szCs w:val="16"/>
        </w:rPr>
        <w:t xml:space="preserve"> (</w:t>
      </w:r>
      <w:r w:rsidRPr="008348B1">
        <w:rPr>
          <w:rFonts w:eastAsia="Calibri" w:cs="Calibri"/>
          <w:color w:val="00A3E0"/>
          <w:sz w:val="16"/>
          <w:szCs w:val="16"/>
        </w:rPr>
        <w:t>ΤτΕ</w:t>
      </w:r>
      <w:r w:rsidRPr="007B5A6E">
        <w:rPr>
          <w:rFonts w:eastAsia="Calibri" w:cs="Calibri"/>
          <w:color w:val="00A3E0"/>
          <w:sz w:val="16"/>
          <w:szCs w:val="16"/>
        </w:rPr>
        <w:t xml:space="preserve">): </w:t>
      </w:r>
      <w:r w:rsidRPr="008348B1">
        <w:rPr>
          <w:rFonts w:eastAsia="Calibri" w:cs="Calibri"/>
          <w:color w:val="00A3E0"/>
          <w:sz w:val="16"/>
          <w:szCs w:val="16"/>
        </w:rPr>
        <w:t>Έκθεση</w:t>
      </w:r>
      <w:r w:rsidRPr="007B5A6E">
        <w:rPr>
          <w:rFonts w:eastAsia="Calibri" w:cs="Calibri"/>
          <w:color w:val="00A3E0"/>
          <w:sz w:val="16"/>
          <w:szCs w:val="16"/>
        </w:rPr>
        <w:t xml:space="preserve"> </w:t>
      </w:r>
      <w:r w:rsidRPr="008348B1">
        <w:rPr>
          <w:rFonts w:eastAsia="Calibri" w:cs="Calibri"/>
          <w:color w:val="00A3E0"/>
          <w:sz w:val="16"/>
          <w:szCs w:val="16"/>
        </w:rPr>
        <w:t>του</w:t>
      </w:r>
      <w:r w:rsidRPr="007B5A6E">
        <w:rPr>
          <w:rFonts w:eastAsia="Calibri" w:cs="Calibri"/>
          <w:color w:val="00A3E0"/>
          <w:sz w:val="16"/>
          <w:szCs w:val="16"/>
        </w:rPr>
        <w:t xml:space="preserve"> </w:t>
      </w:r>
      <w:r w:rsidRPr="008348B1">
        <w:rPr>
          <w:rFonts w:eastAsia="Calibri" w:cs="Calibri"/>
          <w:color w:val="00A3E0"/>
          <w:sz w:val="16"/>
          <w:szCs w:val="16"/>
        </w:rPr>
        <w:t>Διοικητή</w:t>
      </w:r>
      <w:r w:rsidRPr="007B5A6E">
        <w:rPr>
          <w:rFonts w:eastAsia="Calibri" w:cs="Calibri"/>
          <w:color w:val="00A3E0"/>
          <w:sz w:val="16"/>
          <w:szCs w:val="16"/>
        </w:rPr>
        <w:t xml:space="preserve">, </w:t>
      </w:r>
      <w:r w:rsidRPr="008348B1">
        <w:rPr>
          <w:rFonts w:eastAsia="Calibri" w:cs="Calibri"/>
          <w:color w:val="00A3E0"/>
          <w:sz w:val="16"/>
          <w:szCs w:val="16"/>
        </w:rPr>
        <w:t>Απρ</w:t>
      </w:r>
      <w:r w:rsidRPr="007B5A6E">
        <w:rPr>
          <w:rFonts w:eastAsia="Calibri" w:cs="Calibri"/>
          <w:color w:val="00A3E0"/>
          <w:sz w:val="16"/>
          <w:szCs w:val="16"/>
        </w:rPr>
        <w:t xml:space="preserve">. 2021. </w:t>
      </w:r>
      <w:r w:rsidRPr="00810B98">
        <w:rPr>
          <w:rFonts w:eastAsia="Calibri" w:cs="Calibri"/>
          <w:b/>
          <w:color w:val="00A3E0"/>
          <w:sz w:val="16"/>
          <w:szCs w:val="16"/>
        </w:rPr>
        <w:t>4)</w:t>
      </w:r>
      <w:r w:rsidRPr="00810B98">
        <w:rPr>
          <w:rFonts w:eastAsia="Calibri" w:cs="Calibri"/>
          <w:color w:val="00A3E0"/>
          <w:sz w:val="16"/>
          <w:szCs w:val="16"/>
        </w:rPr>
        <w:t xml:space="preserve"> </w:t>
      </w:r>
      <w:r w:rsidRPr="003B41B2">
        <w:rPr>
          <w:rFonts w:eastAsia="Calibri" w:cs="Calibri"/>
          <w:color w:val="00A3E0"/>
          <w:sz w:val="16"/>
          <w:szCs w:val="16"/>
          <w:lang w:val="en-US"/>
        </w:rPr>
        <w:t>European</w:t>
      </w:r>
      <w:r w:rsidRPr="00810B98">
        <w:rPr>
          <w:rFonts w:eastAsia="Calibri" w:cs="Calibri"/>
          <w:color w:val="00A3E0"/>
          <w:sz w:val="16"/>
          <w:szCs w:val="16"/>
        </w:rPr>
        <w:t xml:space="preserve"> </w:t>
      </w:r>
      <w:r w:rsidRPr="003B41B2">
        <w:rPr>
          <w:rFonts w:eastAsia="Calibri" w:cs="Calibri"/>
          <w:color w:val="00A3E0"/>
          <w:sz w:val="16"/>
          <w:szCs w:val="16"/>
          <w:lang w:val="en-US"/>
        </w:rPr>
        <w:t>Commission</w:t>
      </w:r>
      <w:r w:rsidRPr="00810B98">
        <w:rPr>
          <w:rFonts w:eastAsia="Calibri" w:cs="Calibri"/>
          <w:color w:val="00A3E0"/>
          <w:sz w:val="16"/>
          <w:szCs w:val="16"/>
        </w:rPr>
        <w:t xml:space="preserve">, </w:t>
      </w:r>
      <w:r w:rsidRPr="003B41B2">
        <w:rPr>
          <w:rFonts w:eastAsia="Calibri" w:cs="Calibri"/>
          <w:color w:val="00A3E0"/>
          <w:sz w:val="16"/>
          <w:szCs w:val="16"/>
          <w:lang w:val="en-US"/>
        </w:rPr>
        <w:t>European</w:t>
      </w:r>
      <w:r w:rsidRPr="00810B98">
        <w:rPr>
          <w:rFonts w:eastAsia="Calibri" w:cs="Calibri"/>
          <w:color w:val="00A3E0"/>
          <w:sz w:val="16"/>
          <w:szCs w:val="16"/>
        </w:rPr>
        <w:t xml:space="preserve"> </w:t>
      </w:r>
      <w:r w:rsidRPr="003B41B2">
        <w:rPr>
          <w:rFonts w:eastAsia="Calibri" w:cs="Calibri"/>
          <w:color w:val="00A3E0"/>
          <w:sz w:val="16"/>
          <w:szCs w:val="16"/>
          <w:lang w:val="en-US"/>
        </w:rPr>
        <w:t>Economic</w:t>
      </w:r>
      <w:r w:rsidRPr="00810B98">
        <w:rPr>
          <w:rFonts w:eastAsia="Calibri" w:cs="Calibri"/>
          <w:color w:val="00A3E0"/>
          <w:sz w:val="16"/>
          <w:szCs w:val="16"/>
        </w:rPr>
        <w:t xml:space="preserve"> </w:t>
      </w:r>
      <w:r w:rsidRPr="003B41B2">
        <w:rPr>
          <w:rFonts w:eastAsia="Calibri" w:cs="Calibri"/>
          <w:color w:val="00A3E0"/>
          <w:sz w:val="16"/>
          <w:szCs w:val="16"/>
          <w:lang w:val="en-US"/>
        </w:rPr>
        <w:t>Forecast</w:t>
      </w:r>
      <w:r w:rsidRPr="00810B98">
        <w:rPr>
          <w:rFonts w:eastAsia="Calibri" w:cs="Calibri"/>
          <w:color w:val="00A3E0"/>
          <w:sz w:val="16"/>
          <w:szCs w:val="16"/>
        </w:rPr>
        <w:t xml:space="preserve">, </w:t>
      </w:r>
      <w:r w:rsidRPr="003B41B2">
        <w:rPr>
          <w:rFonts w:eastAsia="Calibri" w:cs="Calibri"/>
          <w:color w:val="00A3E0"/>
          <w:sz w:val="16"/>
          <w:szCs w:val="16"/>
        </w:rPr>
        <w:t>Μάϊος</w:t>
      </w:r>
      <w:r w:rsidRPr="00810B98">
        <w:rPr>
          <w:rFonts w:eastAsia="Calibri" w:cs="Calibri"/>
          <w:color w:val="00A3E0"/>
          <w:sz w:val="16"/>
          <w:szCs w:val="16"/>
        </w:rPr>
        <w:t xml:space="preserve"> 2021 </w:t>
      </w:r>
      <w:r w:rsidRPr="00810B98">
        <w:rPr>
          <w:rFonts w:eastAsia="Calibri" w:cs="Calibri"/>
          <w:b/>
          <w:bCs/>
          <w:color w:val="00A3E0"/>
          <w:sz w:val="16"/>
          <w:szCs w:val="16"/>
        </w:rPr>
        <w:t>5)</w:t>
      </w:r>
      <w:r w:rsidRPr="00810B98">
        <w:rPr>
          <w:rFonts w:eastAsia="Calibri" w:cs="Calibri"/>
          <w:color w:val="00A3E0"/>
          <w:sz w:val="16"/>
          <w:szCs w:val="16"/>
        </w:rPr>
        <w:t xml:space="preserve"> Διεθνές Νομισματικό Ταμείο (ΔΝΤ): </w:t>
      </w:r>
      <w:r w:rsidRPr="008348B1">
        <w:rPr>
          <w:rFonts w:eastAsia="Calibri" w:cs="Calibri"/>
          <w:color w:val="00A3E0"/>
          <w:sz w:val="16"/>
          <w:szCs w:val="16"/>
          <w:lang w:val="en-US"/>
        </w:rPr>
        <w:t>World</w:t>
      </w:r>
      <w:r w:rsidRPr="00810B98">
        <w:rPr>
          <w:rFonts w:eastAsia="Calibri" w:cs="Calibri"/>
          <w:color w:val="00A3E0"/>
          <w:sz w:val="16"/>
          <w:szCs w:val="16"/>
        </w:rPr>
        <w:t xml:space="preserve"> </w:t>
      </w:r>
      <w:r w:rsidRPr="008348B1">
        <w:rPr>
          <w:rFonts w:eastAsia="Calibri" w:cs="Calibri"/>
          <w:color w:val="00A3E0"/>
          <w:sz w:val="16"/>
          <w:szCs w:val="16"/>
          <w:lang w:val="en-US"/>
        </w:rPr>
        <w:t>Economic</w:t>
      </w:r>
      <w:r w:rsidRPr="00810B98">
        <w:rPr>
          <w:rFonts w:eastAsia="Calibri" w:cs="Calibri"/>
          <w:color w:val="00A3E0"/>
          <w:sz w:val="16"/>
          <w:szCs w:val="16"/>
        </w:rPr>
        <w:t xml:space="preserve"> </w:t>
      </w:r>
      <w:r w:rsidRPr="008348B1">
        <w:rPr>
          <w:rFonts w:eastAsia="Calibri" w:cs="Calibri"/>
          <w:color w:val="00A3E0"/>
          <w:sz w:val="16"/>
          <w:szCs w:val="16"/>
          <w:lang w:val="en-US"/>
        </w:rPr>
        <w:t>Outlook</w:t>
      </w:r>
      <w:r w:rsidRPr="00810B98">
        <w:rPr>
          <w:rFonts w:eastAsia="Calibri" w:cs="Calibri"/>
          <w:color w:val="00A3E0"/>
          <w:sz w:val="16"/>
          <w:szCs w:val="16"/>
        </w:rPr>
        <w:t xml:space="preserve"> </w:t>
      </w:r>
      <w:r w:rsidRPr="008348B1">
        <w:rPr>
          <w:rFonts w:eastAsia="Calibri" w:cs="Calibri"/>
          <w:color w:val="00A3E0"/>
          <w:sz w:val="16"/>
          <w:szCs w:val="16"/>
          <w:lang w:val="en-US"/>
        </w:rPr>
        <w:t>Database</w:t>
      </w:r>
      <w:r w:rsidRPr="00810B98">
        <w:rPr>
          <w:rFonts w:eastAsia="Calibri" w:cs="Calibri"/>
          <w:color w:val="00A3E0"/>
          <w:sz w:val="16"/>
          <w:szCs w:val="16"/>
        </w:rPr>
        <w:t xml:space="preserve">, 6 </w:t>
      </w:r>
      <w:r w:rsidRPr="008348B1">
        <w:rPr>
          <w:rFonts w:eastAsia="Calibri" w:cs="Calibri"/>
          <w:color w:val="00A3E0"/>
          <w:sz w:val="16"/>
          <w:szCs w:val="16"/>
          <w:lang w:val="en-US"/>
        </w:rPr>
        <w:t>April</w:t>
      </w:r>
      <w:r w:rsidRPr="00810B98">
        <w:rPr>
          <w:rFonts w:eastAsia="Calibri" w:cs="Calibri"/>
          <w:color w:val="00A3E0"/>
          <w:sz w:val="16"/>
          <w:szCs w:val="16"/>
        </w:rPr>
        <w:t xml:space="preserve"> 2021. </w:t>
      </w:r>
      <w:r w:rsidR="009434FF">
        <w:rPr>
          <w:rFonts w:eastAsia="Calibri" w:cs="Calibri"/>
          <w:color w:val="00A3E0"/>
          <w:sz w:val="16"/>
          <w:szCs w:val="16"/>
        </w:rPr>
        <w:t>6</w:t>
      </w:r>
      <w:r w:rsidRPr="009434FF">
        <w:rPr>
          <w:rFonts w:eastAsia="Calibri" w:cs="Calibri"/>
          <w:b/>
          <w:color w:val="00A3E0"/>
          <w:sz w:val="16"/>
          <w:szCs w:val="16"/>
        </w:rPr>
        <w:t>)</w:t>
      </w:r>
      <w:r w:rsidRPr="009434FF">
        <w:t xml:space="preserve"> </w:t>
      </w:r>
      <w:r w:rsidRPr="007B5A6E">
        <w:rPr>
          <w:rFonts w:eastAsia="Calibri" w:cs="Calibri"/>
          <w:color w:val="00A3E0"/>
          <w:sz w:val="16"/>
          <w:szCs w:val="16"/>
        </w:rPr>
        <w:t>Ευρωπαϊκή</w:t>
      </w:r>
      <w:r w:rsidRPr="009434FF">
        <w:rPr>
          <w:rFonts w:eastAsia="Calibri" w:cs="Calibri"/>
          <w:color w:val="00A3E0"/>
          <w:sz w:val="16"/>
          <w:szCs w:val="16"/>
        </w:rPr>
        <w:t xml:space="preserve"> </w:t>
      </w:r>
      <w:r w:rsidRPr="007B5A6E">
        <w:rPr>
          <w:rFonts w:eastAsia="Calibri" w:cs="Calibri"/>
          <w:color w:val="00A3E0"/>
          <w:sz w:val="16"/>
          <w:szCs w:val="16"/>
        </w:rPr>
        <w:t>Τράπεζα</w:t>
      </w:r>
      <w:r w:rsidRPr="009434FF">
        <w:rPr>
          <w:rFonts w:eastAsia="Calibri" w:cs="Calibri"/>
          <w:color w:val="00A3E0"/>
          <w:sz w:val="16"/>
          <w:szCs w:val="16"/>
        </w:rPr>
        <w:t xml:space="preserve"> </w:t>
      </w:r>
      <w:r w:rsidRPr="007B5A6E">
        <w:rPr>
          <w:rFonts w:eastAsia="Calibri" w:cs="Calibri"/>
          <w:color w:val="00A3E0"/>
          <w:sz w:val="16"/>
          <w:szCs w:val="16"/>
        </w:rPr>
        <w:t>Ανασυγκρότησης</w:t>
      </w:r>
      <w:r w:rsidRPr="009434FF">
        <w:rPr>
          <w:rFonts w:eastAsia="Calibri" w:cs="Calibri"/>
          <w:color w:val="00A3E0"/>
          <w:sz w:val="16"/>
          <w:szCs w:val="16"/>
        </w:rPr>
        <w:t xml:space="preserve"> </w:t>
      </w:r>
      <w:r w:rsidRPr="007B5A6E">
        <w:rPr>
          <w:rFonts w:eastAsia="Calibri" w:cs="Calibri"/>
          <w:color w:val="00A3E0"/>
          <w:sz w:val="16"/>
          <w:szCs w:val="16"/>
        </w:rPr>
        <w:t>και</w:t>
      </w:r>
      <w:r w:rsidRPr="009434FF">
        <w:rPr>
          <w:rFonts w:eastAsia="Calibri" w:cs="Calibri"/>
          <w:color w:val="00A3E0"/>
          <w:sz w:val="16"/>
          <w:szCs w:val="16"/>
        </w:rPr>
        <w:t xml:space="preserve"> </w:t>
      </w:r>
      <w:r w:rsidRPr="007B5A6E">
        <w:rPr>
          <w:rFonts w:eastAsia="Calibri" w:cs="Calibri"/>
          <w:color w:val="00A3E0"/>
          <w:sz w:val="16"/>
          <w:szCs w:val="16"/>
        </w:rPr>
        <w:t>Ανάπτυξης</w:t>
      </w:r>
      <w:r w:rsidRPr="009434FF">
        <w:rPr>
          <w:rFonts w:eastAsia="Calibri" w:cs="Calibri"/>
          <w:color w:val="00A3E0"/>
          <w:sz w:val="16"/>
          <w:szCs w:val="16"/>
        </w:rPr>
        <w:t xml:space="preserve"> (</w:t>
      </w:r>
      <w:r w:rsidRPr="007B5A6E">
        <w:rPr>
          <w:rFonts w:eastAsia="Calibri" w:cs="Calibri"/>
          <w:color w:val="00A3E0"/>
          <w:sz w:val="16"/>
          <w:szCs w:val="16"/>
        </w:rPr>
        <w:t>ΕΤΑΑ</w:t>
      </w:r>
      <w:r w:rsidRPr="009434FF">
        <w:rPr>
          <w:rFonts w:eastAsia="Calibri" w:cs="Calibri"/>
          <w:color w:val="00A3E0"/>
          <w:sz w:val="16"/>
          <w:szCs w:val="16"/>
        </w:rPr>
        <w:t xml:space="preserve">): </w:t>
      </w:r>
      <w:r w:rsidRPr="007B5A6E">
        <w:rPr>
          <w:rFonts w:eastAsia="Calibri" w:cs="Calibri"/>
          <w:color w:val="00A3E0"/>
          <w:sz w:val="16"/>
          <w:szCs w:val="16"/>
          <w:lang w:val="en-US"/>
        </w:rPr>
        <w:t>Regional</w:t>
      </w:r>
      <w:r w:rsidRPr="009434FF">
        <w:rPr>
          <w:rFonts w:eastAsia="Calibri" w:cs="Calibri"/>
          <w:color w:val="00A3E0"/>
          <w:sz w:val="16"/>
          <w:szCs w:val="16"/>
        </w:rPr>
        <w:t xml:space="preserve"> </w:t>
      </w:r>
      <w:r w:rsidRPr="007B5A6E">
        <w:rPr>
          <w:rFonts w:eastAsia="Calibri" w:cs="Calibri"/>
          <w:color w:val="00A3E0"/>
          <w:sz w:val="16"/>
          <w:szCs w:val="16"/>
          <w:lang w:val="en-US"/>
        </w:rPr>
        <w:t>Economic</w:t>
      </w:r>
      <w:r w:rsidRPr="009434FF">
        <w:rPr>
          <w:rFonts w:eastAsia="Calibri" w:cs="Calibri"/>
          <w:color w:val="00A3E0"/>
          <w:sz w:val="16"/>
          <w:szCs w:val="16"/>
        </w:rPr>
        <w:t xml:space="preserve"> </w:t>
      </w:r>
      <w:r w:rsidRPr="007B5A6E">
        <w:rPr>
          <w:rFonts w:eastAsia="Calibri" w:cs="Calibri"/>
          <w:color w:val="00A3E0"/>
          <w:sz w:val="16"/>
          <w:szCs w:val="16"/>
          <w:lang w:val="en-US"/>
        </w:rPr>
        <w:t>Prospects</w:t>
      </w:r>
      <w:r w:rsidRPr="009434FF">
        <w:rPr>
          <w:rFonts w:eastAsia="Calibri" w:cs="Calibri"/>
          <w:color w:val="00A3E0"/>
          <w:sz w:val="16"/>
          <w:szCs w:val="16"/>
        </w:rPr>
        <w:t xml:space="preserve">, </w:t>
      </w:r>
      <w:r w:rsidRPr="007B5A6E">
        <w:rPr>
          <w:rFonts w:eastAsia="Calibri" w:cs="Calibri"/>
          <w:color w:val="00A3E0"/>
          <w:sz w:val="16"/>
          <w:szCs w:val="16"/>
          <w:lang w:val="en-US"/>
        </w:rPr>
        <w:t>September</w:t>
      </w:r>
      <w:r w:rsidRPr="009434FF">
        <w:rPr>
          <w:rFonts w:eastAsia="Calibri" w:cs="Calibri"/>
          <w:color w:val="00A3E0"/>
          <w:sz w:val="16"/>
          <w:szCs w:val="16"/>
        </w:rPr>
        <w:t xml:space="preserve"> 2020.</w:t>
      </w:r>
    </w:p>
    <w:p w14:paraId="3724229A" w14:textId="77777777" w:rsidR="009434FF" w:rsidRPr="009434FF" w:rsidRDefault="009434FF" w:rsidP="009C3CE1">
      <w:pPr>
        <w:autoSpaceDE w:val="0"/>
        <w:autoSpaceDN w:val="0"/>
        <w:adjustRightInd w:val="0"/>
        <w:spacing w:after="0" w:line="240" w:lineRule="auto"/>
        <w:rPr>
          <w:rFonts w:eastAsia="Calibri" w:cs="Calibri"/>
          <w:color w:val="00A3E0"/>
          <w:sz w:val="16"/>
          <w:szCs w:val="16"/>
        </w:rPr>
      </w:pPr>
    </w:p>
    <w:p w14:paraId="5D641521" w14:textId="1189211F" w:rsidR="009C3CE1" w:rsidRDefault="009C3CE1" w:rsidP="009C3CE1">
      <w:pPr>
        <w:shd w:val="clear" w:color="auto" w:fill="FFFFFF"/>
        <w:spacing w:after="120"/>
        <w:rPr>
          <w:rFonts w:eastAsia="Calibri" w:cs="Times New Roman"/>
          <w:color w:val="auto"/>
          <w:shd w:val="clear" w:color="auto" w:fill="FFFFFF"/>
        </w:rPr>
      </w:pPr>
      <w:r>
        <w:rPr>
          <w:rFonts w:eastAsia="Calibri" w:cs="Times New Roman"/>
          <w:color w:val="auto"/>
          <w:shd w:val="clear" w:color="auto" w:fill="FFFFFF"/>
        </w:rPr>
        <w:t>Αντίστοιχα υψηλές είναι οι προβλέψεις του Δ</w:t>
      </w:r>
      <w:r w:rsidRPr="002F5A77">
        <w:rPr>
          <w:rFonts w:eastAsia="Calibri" w:cs="Times New Roman"/>
          <w:color w:val="auto"/>
          <w:shd w:val="clear" w:color="auto" w:fill="FFFFFF"/>
        </w:rPr>
        <w:t>ιεθν</w:t>
      </w:r>
      <w:r>
        <w:rPr>
          <w:rFonts w:eastAsia="Calibri" w:cs="Times New Roman"/>
          <w:color w:val="auto"/>
          <w:shd w:val="clear" w:color="auto" w:fill="FFFFFF"/>
        </w:rPr>
        <w:t>ούς</w:t>
      </w:r>
      <w:r w:rsidRPr="002F5A77">
        <w:rPr>
          <w:rFonts w:eastAsia="Calibri" w:cs="Times New Roman"/>
          <w:color w:val="auto"/>
          <w:shd w:val="clear" w:color="auto" w:fill="FFFFFF"/>
        </w:rPr>
        <w:t xml:space="preserve"> Νομισματικ</w:t>
      </w:r>
      <w:r>
        <w:rPr>
          <w:rFonts w:eastAsia="Calibri" w:cs="Times New Roman"/>
          <w:color w:val="auto"/>
          <w:shd w:val="clear" w:color="auto" w:fill="FFFFFF"/>
        </w:rPr>
        <w:t>ού</w:t>
      </w:r>
      <w:r w:rsidRPr="002F5A77">
        <w:rPr>
          <w:rFonts w:eastAsia="Calibri" w:cs="Times New Roman"/>
          <w:color w:val="auto"/>
          <w:shd w:val="clear" w:color="auto" w:fill="FFFFFF"/>
        </w:rPr>
        <w:t xml:space="preserve"> Ταμείο</w:t>
      </w:r>
      <w:r>
        <w:rPr>
          <w:rFonts w:eastAsia="Calibri" w:cs="Times New Roman"/>
          <w:color w:val="auto"/>
          <w:shd w:val="clear" w:color="auto" w:fill="FFFFFF"/>
        </w:rPr>
        <w:t xml:space="preserve">υ και της Ευρωπαϊκής Επιτροπής. Το Διεθνές Νομισματικό Ταμείο προβλέπει αύξηση του πραγματικού ΑΕΠ 3,8% και η Ευρωπαϊκή Επιτροπή 4,1%. </w:t>
      </w:r>
    </w:p>
    <w:p w14:paraId="08A286F1" w14:textId="1F3C1D3C" w:rsidR="00B02022" w:rsidRDefault="00B02022" w:rsidP="00340A39">
      <w:pPr>
        <w:rPr>
          <w:rFonts w:eastAsia="Calibri" w:cs="Times New Roman"/>
          <w:bCs/>
          <w:color w:val="auto"/>
        </w:rPr>
      </w:pPr>
    </w:p>
    <w:p w14:paraId="376D75E1" w14:textId="22FF9DED" w:rsidR="00E6372E" w:rsidRPr="00EA37BD" w:rsidRDefault="00EA37BD" w:rsidP="00EA37BD">
      <w:pPr>
        <w:pStyle w:val="a1"/>
        <w:ind w:left="0"/>
        <w:rPr>
          <w:sz w:val="28"/>
          <w:szCs w:val="28"/>
        </w:rPr>
      </w:pPr>
      <w:bookmarkStart w:id="113" w:name="_Toc73435743"/>
      <w:r w:rsidRPr="00EA37BD">
        <w:rPr>
          <w:sz w:val="28"/>
          <w:szCs w:val="28"/>
        </w:rPr>
        <w:t>Συνιστώσες του ΑΕΠ και μακροοικονομικοί δείκτες της ελληνικής οικονομίας</w:t>
      </w:r>
      <w:bookmarkEnd w:id="113"/>
    </w:p>
    <w:p w14:paraId="799A5843" w14:textId="3781177B" w:rsidR="00BC329B" w:rsidRDefault="009C3CE1" w:rsidP="00BC329B">
      <w:pPr>
        <w:shd w:val="clear" w:color="auto" w:fill="FFFFFF"/>
        <w:spacing w:after="160"/>
        <w:rPr>
          <w:rFonts w:eastAsia="Calibri" w:cs="Times New Roman"/>
          <w:color w:val="auto"/>
          <w:shd w:val="clear" w:color="auto" w:fill="FFFFFF"/>
        </w:rPr>
      </w:pPr>
      <w:r>
        <w:rPr>
          <w:rFonts w:eastAsia="Calibri" w:cs="Times New Roman"/>
          <w:color w:val="auto"/>
          <w:shd w:val="clear" w:color="auto" w:fill="FFFFFF"/>
        </w:rPr>
        <w:t xml:space="preserve">Όσον </w:t>
      </w:r>
      <w:r w:rsidR="00BC329B">
        <w:rPr>
          <w:rFonts w:eastAsia="Calibri" w:cs="Times New Roman"/>
          <w:color w:val="auto"/>
          <w:shd w:val="clear" w:color="auto" w:fill="FFFFFF"/>
        </w:rPr>
        <w:t xml:space="preserve">αφορά στις συνιστώσες του ΑΕΠ </w:t>
      </w:r>
      <w:r w:rsidR="00BC329B" w:rsidRPr="002F5A77">
        <w:rPr>
          <w:rFonts w:eastAsia="Calibri" w:cs="Times New Roman"/>
          <w:color w:val="auto"/>
          <w:shd w:val="clear" w:color="auto" w:fill="FFFFFF"/>
        </w:rPr>
        <w:t xml:space="preserve">το Υπουργείο Οικονομικών </w:t>
      </w:r>
      <w:r w:rsidR="00BC329B">
        <w:rPr>
          <w:rFonts w:eastAsia="Calibri" w:cs="Times New Roman"/>
          <w:color w:val="auto"/>
          <w:shd w:val="clear" w:color="auto" w:fill="FFFFFF"/>
        </w:rPr>
        <w:t xml:space="preserve">εκτιμά ότι </w:t>
      </w:r>
      <w:r w:rsidR="00BC329B" w:rsidRPr="002F5A77">
        <w:rPr>
          <w:rFonts w:eastAsia="Calibri" w:cs="Times New Roman"/>
          <w:color w:val="auto"/>
          <w:shd w:val="clear" w:color="auto" w:fill="FFFFFF"/>
        </w:rPr>
        <w:t>η ιδιωτική κατανάλωση</w:t>
      </w:r>
      <w:r w:rsidR="00BC329B">
        <w:rPr>
          <w:rFonts w:eastAsia="Calibri" w:cs="Times New Roman"/>
          <w:color w:val="auto"/>
          <w:shd w:val="clear" w:color="auto" w:fill="FFFFFF"/>
        </w:rPr>
        <w:t xml:space="preserve"> θα αυξηθεί το 2021</w:t>
      </w:r>
      <w:r w:rsidR="00350D4B">
        <w:rPr>
          <w:rFonts w:eastAsia="Calibri" w:cs="Times New Roman"/>
          <w:color w:val="auto"/>
          <w:shd w:val="clear" w:color="auto" w:fill="FFFFFF"/>
        </w:rPr>
        <w:t xml:space="preserve"> κατά 2,6%, σε ετήσια βάση ενώ </w:t>
      </w:r>
      <w:r w:rsidR="00BC329B">
        <w:rPr>
          <w:rFonts w:eastAsia="Calibri" w:cs="Times New Roman"/>
          <w:color w:val="auto"/>
          <w:shd w:val="clear" w:color="auto" w:fill="FFFFFF"/>
        </w:rPr>
        <w:t xml:space="preserve">αντίστοιχη είναι η πρόβλεψη της </w:t>
      </w:r>
      <w:r w:rsidR="00BC329B" w:rsidRPr="00311335">
        <w:rPr>
          <w:rFonts w:eastAsia="Calibri" w:cs="Times New Roman"/>
          <w:color w:val="auto"/>
          <w:shd w:val="clear" w:color="auto" w:fill="FFFFFF"/>
        </w:rPr>
        <w:t>Ευρωπαϊκή</w:t>
      </w:r>
      <w:r w:rsidR="00BC329B">
        <w:rPr>
          <w:rFonts w:eastAsia="Calibri" w:cs="Times New Roman"/>
          <w:color w:val="auto"/>
          <w:shd w:val="clear" w:color="auto" w:fill="FFFFFF"/>
        </w:rPr>
        <w:t>ς</w:t>
      </w:r>
      <w:r w:rsidR="00BC329B" w:rsidRPr="00311335">
        <w:rPr>
          <w:rFonts w:eastAsia="Calibri" w:cs="Times New Roman"/>
          <w:color w:val="auto"/>
          <w:shd w:val="clear" w:color="auto" w:fill="FFFFFF"/>
        </w:rPr>
        <w:t xml:space="preserve"> Επιτροπή</w:t>
      </w:r>
      <w:r w:rsidR="00BC329B">
        <w:rPr>
          <w:rFonts w:eastAsia="Calibri" w:cs="Times New Roman"/>
          <w:color w:val="auto"/>
          <w:shd w:val="clear" w:color="auto" w:fill="FFFFFF"/>
        </w:rPr>
        <w:t>ς (2,5%).</w:t>
      </w:r>
      <w:r w:rsidR="00BC329B" w:rsidRPr="00311335">
        <w:rPr>
          <w:rFonts w:eastAsia="Calibri" w:cs="Times New Roman"/>
          <w:color w:val="auto"/>
          <w:shd w:val="clear" w:color="auto" w:fill="FFFFFF"/>
        </w:rPr>
        <w:t xml:space="preserve"> </w:t>
      </w:r>
    </w:p>
    <w:p w14:paraId="61625C41" w14:textId="09003A6A" w:rsidR="009C3CE1" w:rsidRPr="002F5A77" w:rsidRDefault="009C3CE1" w:rsidP="00031448">
      <w:pPr>
        <w:shd w:val="clear" w:color="auto" w:fill="FFFFFF"/>
        <w:spacing w:after="160"/>
        <w:rPr>
          <w:rFonts w:eastAsia="Calibri" w:cs="Times New Roman"/>
          <w:color w:val="auto"/>
          <w:shd w:val="clear" w:color="auto" w:fill="FFFFFF"/>
        </w:rPr>
      </w:pPr>
      <w:r>
        <w:rPr>
          <w:rFonts w:eastAsia="Calibri" w:cs="Times New Roman"/>
          <w:color w:val="auto"/>
          <w:shd w:val="clear" w:color="auto" w:fill="FFFFFF"/>
        </w:rPr>
        <w:t>Η</w:t>
      </w:r>
      <w:r w:rsidRPr="009850DF">
        <w:rPr>
          <w:rFonts w:eastAsia="Calibri" w:cs="Times New Roman"/>
          <w:color w:val="auto"/>
          <w:shd w:val="clear" w:color="auto" w:fill="FFFFFF"/>
        </w:rPr>
        <w:t xml:space="preserve"> δημόσια κατανάλωση </w:t>
      </w:r>
      <w:r w:rsidR="00E13E88" w:rsidRPr="00E13E88">
        <w:rPr>
          <w:rFonts w:eastAsia="Calibri" w:cs="Times New Roman"/>
          <w:color w:val="auto"/>
          <w:shd w:val="clear" w:color="auto" w:fill="FFFFFF"/>
        </w:rPr>
        <w:t xml:space="preserve">προβλέπεται από το Υπουργείο Οικονομικών να αυξηθεί </w:t>
      </w:r>
      <w:r w:rsidRPr="009850DF">
        <w:rPr>
          <w:rFonts w:eastAsia="Calibri" w:cs="Times New Roman"/>
          <w:color w:val="auto"/>
          <w:shd w:val="clear" w:color="auto" w:fill="FFFFFF"/>
        </w:rPr>
        <w:t xml:space="preserve"> κατά 1</w:t>
      </w:r>
      <w:r>
        <w:rPr>
          <w:rFonts w:eastAsia="Calibri" w:cs="Times New Roman"/>
          <w:color w:val="auto"/>
          <w:shd w:val="clear" w:color="auto" w:fill="FFFFFF"/>
        </w:rPr>
        <w:t>,5</w:t>
      </w:r>
      <w:r w:rsidRPr="009850DF">
        <w:rPr>
          <w:rFonts w:eastAsia="Calibri" w:cs="Times New Roman"/>
          <w:color w:val="auto"/>
          <w:shd w:val="clear" w:color="auto" w:fill="FFFFFF"/>
        </w:rPr>
        <w:t>%</w:t>
      </w:r>
      <w:r>
        <w:rPr>
          <w:rFonts w:eastAsia="Calibri" w:cs="Times New Roman"/>
          <w:color w:val="auto"/>
          <w:shd w:val="clear" w:color="auto" w:fill="FFFFFF"/>
        </w:rPr>
        <w:t xml:space="preserve"> το 2021</w:t>
      </w:r>
      <w:r w:rsidRPr="009850DF">
        <w:rPr>
          <w:rFonts w:eastAsia="Calibri" w:cs="Times New Roman"/>
          <w:color w:val="auto"/>
          <w:shd w:val="clear" w:color="auto" w:fill="FFFFFF"/>
        </w:rPr>
        <w:t xml:space="preserve">, </w:t>
      </w:r>
      <w:r>
        <w:rPr>
          <w:rFonts w:eastAsia="Calibri" w:cs="Times New Roman"/>
          <w:color w:val="auto"/>
          <w:shd w:val="clear" w:color="auto" w:fill="FFFFFF"/>
        </w:rPr>
        <w:t xml:space="preserve">ενισχυμένη </w:t>
      </w:r>
      <w:r w:rsidRPr="009850DF">
        <w:rPr>
          <w:rFonts w:eastAsia="Calibri" w:cs="Times New Roman"/>
          <w:color w:val="auto"/>
          <w:shd w:val="clear" w:color="auto" w:fill="FFFFFF"/>
        </w:rPr>
        <w:t>λόγω τη</w:t>
      </w:r>
      <w:r>
        <w:rPr>
          <w:rFonts w:eastAsia="Calibri" w:cs="Times New Roman"/>
          <w:color w:val="auto"/>
          <w:shd w:val="clear" w:color="auto" w:fill="FFFFFF"/>
        </w:rPr>
        <w:t>ς αύξησης των κρατικών δαπανών για την αντιμετώπιση της</w:t>
      </w:r>
      <w:r w:rsidRPr="009850DF">
        <w:rPr>
          <w:rFonts w:eastAsia="Calibri" w:cs="Times New Roman"/>
          <w:color w:val="auto"/>
          <w:shd w:val="clear" w:color="auto" w:fill="FFFFFF"/>
        </w:rPr>
        <w:t xml:space="preserve"> </w:t>
      </w:r>
      <w:r>
        <w:rPr>
          <w:rFonts w:eastAsia="Calibri" w:cs="Times New Roman"/>
          <w:color w:val="auto"/>
          <w:shd w:val="clear" w:color="auto" w:fill="FFFFFF"/>
        </w:rPr>
        <w:t>πανδημίας</w:t>
      </w:r>
      <w:r w:rsidR="00BC329B">
        <w:rPr>
          <w:rFonts w:eastAsia="Calibri" w:cs="Times New Roman"/>
          <w:color w:val="auto"/>
          <w:shd w:val="clear" w:color="auto" w:fill="FFFFFF"/>
        </w:rPr>
        <w:t>. Η</w:t>
      </w:r>
      <w:r w:rsidRPr="00311335">
        <w:rPr>
          <w:rFonts w:eastAsia="Calibri" w:cs="Times New Roman"/>
          <w:color w:val="auto"/>
          <w:shd w:val="clear" w:color="auto" w:fill="FFFFFF"/>
        </w:rPr>
        <w:t xml:space="preserve"> Ευρωπαϊκή Επιτροπή ανεβάζει </w:t>
      </w:r>
      <w:r>
        <w:rPr>
          <w:rFonts w:eastAsia="Calibri" w:cs="Times New Roman"/>
          <w:color w:val="auto"/>
          <w:shd w:val="clear" w:color="auto" w:fill="FFFFFF"/>
        </w:rPr>
        <w:t xml:space="preserve">τον ρυθμό της αύξησης της δημόσιας κατανάλωσης στο </w:t>
      </w:r>
      <w:r w:rsidRPr="00311335">
        <w:rPr>
          <w:rFonts w:eastAsia="Calibri" w:cs="Times New Roman"/>
          <w:color w:val="auto"/>
          <w:shd w:val="clear" w:color="auto" w:fill="FFFFFF"/>
        </w:rPr>
        <w:t>2,2%.</w:t>
      </w:r>
      <w:r>
        <w:rPr>
          <w:rFonts w:eastAsia="Calibri" w:cs="Times New Roman"/>
          <w:color w:val="auto"/>
          <w:shd w:val="clear" w:color="auto" w:fill="FFFFFF"/>
        </w:rPr>
        <w:t xml:space="preserve">  </w:t>
      </w:r>
    </w:p>
    <w:p w14:paraId="7ED648A5" w14:textId="230FB929" w:rsidR="009C3CE1" w:rsidRDefault="009C3CE1" w:rsidP="009C3CE1">
      <w:pPr>
        <w:spacing w:after="0" w:line="240" w:lineRule="auto"/>
        <w:ind w:left="1276" w:hanging="1276"/>
        <w:rPr>
          <w:rFonts w:eastAsia="Calibri" w:cs="Times New Roman"/>
          <w:i/>
          <w:color w:val="00A3E0"/>
          <w:sz w:val="20"/>
          <w:szCs w:val="20"/>
        </w:rPr>
      </w:pPr>
      <w:bookmarkStart w:id="114" w:name="_Toc464740949"/>
      <w:bookmarkStart w:id="115" w:name="_Toc514585707"/>
      <w:bookmarkStart w:id="116" w:name="_Toc515538907"/>
      <w:bookmarkStart w:id="117" w:name="_Toc25065295"/>
      <w:bookmarkStart w:id="118" w:name="_Toc43376978"/>
      <w:bookmarkStart w:id="119" w:name="_Toc73435768"/>
      <w:r w:rsidRPr="007D6510">
        <w:rPr>
          <w:rFonts w:eastAsia="Calibri" w:cs="Times New Roman"/>
          <w:iCs/>
          <w:sz w:val="20"/>
          <w:szCs w:val="20"/>
        </w:rPr>
        <w:t xml:space="preserve">Πίνακας </w:t>
      </w:r>
      <w:r w:rsidRPr="007D6510">
        <w:rPr>
          <w:rFonts w:eastAsia="Calibri" w:cs="Times New Roman"/>
          <w:iCs/>
          <w:sz w:val="20"/>
          <w:szCs w:val="20"/>
        </w:rPr>
        <w:fldChar w:fldCharType="begin"/>
      </w:r>
      <w:r w:rsidRPr="007D6510">
        <w:rPr>
          <w:rFonts w:eastAsia="Calibri" w:cs="Times New Roman"/>
          <w:iCs/>
          <w:sz w:val="20"/>
          <w:szCs w:val="20"/>
        </w:rPr>
        <w:instrText xml:space="preserve"> SEQ Πίνακας \* ARABIC </w:instrText>
      </w:r>
      <w:r w:rsidRPr="007D6510">
        <w:rPr>
          <w:rFonts w:eastAsia="Calibri" w:cs="Times New Roman"/>
          <w:iCs/>
          <w:sz w:val="20"/>
          <w:szCs w:val="20"/>
        </w:rPr>
        <w:fldChar w:fldCharType="separate"/>
      </w:r>
      <w:r w:rsidR="00CC05A7">
        <w:rPr>
          <w:rFonts w:eastAsia="Calibri" w:cs="Times New Roman"/>
          <w:iCs/>
          <w:noProof/>
          <w:sz w:val="20"/>
          <w:szCs w:val="20"/>
        </w:rPr>
        <w:t>7</w:t>
      </w:r>
      <w:r w:rsidRPr="007D6510">
        <w:rPr>
          <w:rFonts w:eastAsia="Calibri" w:cs="Times New Roman"/>
          <w:iCs/>
          <w:sz w:val="20"/>
          <w:szCs w:val="20"/>
        </w:rPr>
        <w:fldChar w:fldCharType="end"/>
      </w:r>
      <w:r w:rsidRPr="007D6510">
        <w:rPr>
          <w:rFonts w:eastAsia="Calibri" w:cs="Times New Roman"/>
          <w:iCs/>
          <w:sz w:val="20"/>
          <w:szCs w:val="20"/>
        </w:rPr>
        <w:t>:</w:t>
      </w:r>
      <w:r w:rsidRPr="007D6510">
        <w:rPr>
          <w:rFonts w:asciiTheme="minorHAnsi" w:hAnsiTheme="minorHAnsi" w:cstheme="minorHAnsi"/>
          <w:sz w:val="20"/>
          <w:szCs w:val="20"/>
        </w:rPr>
        <w:t xml:space="preserve"> </w:t>
      </w:r>
      <w:r w:rsidRPr="007D6510">
        <w:rPr>
          <w:rFonts w:eastAsia="Calibri"/>
          <w:iCs/>
          <w:sz w:val="20"/>
          <w:szCs w:val="20"/>
        </w:rPr>
        <w:t xml:space="preserve"> </w:t>
      </w:r>
      <w:r w:rsidRPr="007D6510">
        <w:rPr>
          <w:rFonts w:eastAsia="Calibri" w:cs="Times New Roman"/>
          <w:iCs/>
          <w:color w:val="00A3E0"/>
          <w:sz w:val="20"/>
          <w:szCs w:val="20"/>
        </w:rPr>
        <w:t>Προβλέψεις</w:t>
      </w:r>
      <w:r>
        <w:rPr>
          <w:rFonts w:eastAsia="Calibri" w:cs="Times New Roman"/>
          <w:iCs/>
          <w:color w:val="00A3E0"/>
          <w:sz w:val="20"/>
          <w:szCs w:val="20"/>
        </w:rPr>
        <w:t xml:space="preserve"> (2021-2022)</w:t>
      </w:r>
      <w:r w:rsidRPr="009E221B">
        <w:rPr>
          <w:rFonts w:eastAsia="Calibri" w:cs="Times New Roman"/>
          <w:iCs/>
          <w:color w:val="00A3E0"/>
          <w:sz w:val="20"/>
          <w:szCs w:val="20"/>
        </w:rPr>
        <w:t xml:space="preserve"> για ετήσια μεταβολή των συνιστωσών του ΑΕΠ σε σταθερές τιμές 201</w:t>
      </w:r>
      <w:r>
        <w:rPr>
          <w:rFonts w:eastAsia="Calibri" w:cs="Times New Roman"/>
          <w:iCs/>
          <w:color w:val="00A3E0"/>
          <w:sz w:val="20"/>
          <w:szCs w:val="20"/>
        </w:rPr>
        <w:t>5</w:t>
      </w:r>
      <w:r w:rsidRPr="009E221B">
        <w:rPr>
          <w:rFonts w:eastAsia="Calibri" w:cs="Times New Roman"/>
          <w:iCs/>
          <w:color w:val="00A3E0"/>
          <w:sz w:val="20"/>
          <w:szCs w:val="20"/>
        </w:rPr>
        <w:t xml:space="preserve"> (</w:t>
      </w:r>
      <w:bookmarkEnd w:id="114"/>
      <w:bookmarkEnd w:id="115"/>
      <w:bookmarkEnd w:id="116"/>
      <w:r w:rsidRPr="009E221B">
        <w:rPr>
          <w:rFonts w:eastAsia="Calibri" w:cs="Times New Roman"/>
          <w:iCs/>
          <w:color w:val="00A3E0"/>
          <w:sz w:val="20"/>
          <w:szCs w:val="20"/>
        </w:rPr>
        <w:t>%)</w:t>
      </w:r>
      <w:bookmarkEnd w:id="117"/>
      <w:bookmarkEnd w:id="118"/>
      <w:bookmarkEnd w:id="119"/>
    </w:p>
    <w:tbl>
      <w:tblPr>
        <w:tblW w:w="827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4"/>
        <w:gridCol w:w="2744"/>
      </w:tblGrid>
      <w:tr w:rsidR="009C3CE1" w:rsidRPr="00157920" w14:paraId="582FA862" w14:textId="77777777" w:rsidTr="001D53FA">
        <w:trPr>
          <w:trHeight w:val="309"/>
        </w:trPr>
        <w:tc>
          <w:tcPr>
            <w:tcW w:w="5534" w:type="dxa"/>
            <w:shd w:val="clear" w:color="000000" w:fill="BDD6EE"/>
            <w:noWrap/>
            <w:vAlign w:val="center"/>
            <w:hideMark/>
          </w:tcPr>
          <w:p w14:paraId="7DADD63A" w14:textId="77777777" w:rsidR="009C3CE1" w:rsidRPr="00157920" w:rsidRDefault="009C3CE1" w:rsidP="001D53FA">
            <w:pPr>
              <w:spacing w:after="0" w:line="240" w:lineRule="auto"/>
              <w:rPr>
                <w:rFonts w:eastAsia="Times New Roman" w:cs="Calibri"/>
                <w:b/>
                <w:bCs/>
                <w:color w:val="auto"/>
                <w:sz w:val="20"/>
                <w:szCs w:val="20"/>
                <w:lang w:eastAsia="el-GR"/>
              </w:rPr>
            </w:pPr>
            <w:r w:rsidRPr="00157920">
              <w:rPr>
                <w:rFonts w:eastAsia="Times New Roman" w:cs="Calibri"/>
                <w:b/>
                <w:bCs/>
                <w:color w:val="auto"/>
                <w:sz w:val="20"/>
                <w:szCs w:val="20"/>
                <w:lang w:eastAsia="el-GR"/>
              </w:rPr>
              <w:t>Συνιστώσες ΑΕΠ</w:t>
            </w:r>
          </w:p>
        </w:tc>
        <w:tc>
          <w:tcPr>
            <w:tcW w:w="2744" w:type="dxa"/>
            <w:shd w:val="clear" w:color="000000" w:fill="BDD6EE"/>
            <w:noWrap/>
            <w:vAlign w:val="center"/>
            <w:hideMark/>
          </w:tcPr>
          <w:p w14:paraId="11006BAE" w14:textId="77777777" w:rsidR="009C3CE1" w:rsidRPr="00EC34AD" w:rsidRDefault="009C3CE1" w:rsidP="001D53FA">
            <w:pPr>
              <w:spacing w:after="0" w:line="240" w:lineRule="auto"/>
              <w:jc w:val="center"/>
              <w:rPr>
                <w:rFonts w:eastAsia="Times New Roman" w:cs="Calibri"/>
                <w:b/>
                <w:bCs/>
                <w:i/>
                <w:iCs/>
                <w:color w:val="auto"/>
                <w:lang w:eastAsia="el-GR"/>
              </w:rPr>
            </w:pPr>
            <w:r w:rsidRPr="00EC34AD">
              <w:rPr>
                <w:rFonts w:eastAsia="Times New Roman" w:cs="Calibri"/>
                <w:b/>
                <w:bCs/>
                <w:i/>
                <w:iCs/>
                <w:color w:val="auto"/>
                <w:lang w:eastAsia="el-GR"/>
              </w:rPr>
              <w:t>2021</w:t>
            </w:r>
          </w:p>
        </w:tc>
      </w:tr>
      <w:tr w:rsidR="009C3CE1" w:rsidRPr="00157920" w14:paraId="0F583F57" w14:textId="77777777" w:rsidTr="001D53FA">
        <w:trPr>
          <w:trHeight w:val="309"/>
        </w:trPr>
        <w:tc>
          <w:tcPr>
            <w:tcW w:w="5534" w:type="dxa"/>
            <w:shd w:val="clear" w:color="000000" w:fill="F2F2F2"/>
            <w:noWrap/>
            <w:vAlign w:val="center"/>
            <w:hideMark/>
          </w:tcPr>
          <w:p w14:paraId="375B9DF4" w14:textId="77777777" w:rsidR="009C3CE1" w:rsidRPr="00157920" w:rsidRDefault="009C3CE1" w:rsidP="001D53FA">
            <w:pPr>
              <w:spacing w:after="0" w:line="240" w:lineRule="auto"/>
              <w:jc w:val="center"/>
              <w:rPr>
                <w:rFonts w:eastAsia="Times New Roman" w:cs="Calibri"/>
                <w:b/>
                <w:bCs/>
                <w:color w:val="auto"/>
                <w:sz w:val="20"/>
                <w:szCs w:val="20"/>
                <w:lang w:eastAsia="el-GR"/>
              </w:rPr>
            </w:pPr>
            <w:r w:rsidRPr="00157920">
              <w:rPr>
                <w:rFonts w:eastAsia="Times New Roman" w:cs="Calibri"/>
                <w:b/>
                <w:bCs/>
                <w:color w:val="auto"/>
                <w:sz w:val="20"/>
                <w:szCs w:val="20"/>
                <w:lang w:eastAsia="el-GR"/>
              </w:rPr>
              <w:t>Ιδιωτική κατανάλωση</w:t>
            </w:r>
          </w:p>
        </w:tc>
        <w:tc>
          <w:tcPr>
            <w:tcW w:w="2744" w:type="dxa"/>
            <w:shd w:val="clear" w:color="000000" w:fill="F2F2F2"/>
            <w:noWrap/>
            <w:vAlign w:val="center"/>
            <w:hideMark/>
          </w:tcPr>
          <w:p w14:paraId="50C77820" w14:textId="77777777" w:rsidR="009C3CE1" w:rsidRPr="00EC34AD" w:rsidRDefault="009C3CE1" w:rsidP="001D53FA">
            <w:pPr>
              <w:spacing w:after="0" w:line="240" w:lineRule="auto"/>
              <w:jc w:val="center"/>
              <w:rPr>
                <w:rFonts w:eastAsia="Times New Roman" w:cs="Calibri"/>
                <w:i/>
                <w:iCs/>
                <w:color w:val="auto"/>
                <w:lang w:eastAsia="el-GR"/>
              </w:rPr>
            </w:pPr>
            <w:r w:rsidRPr="00EC34AD">
              <w:rPr>
                <w:rFonts w:eastAsia="Times New Roman" w:cs="Calibri"/>
                <w:i/>
                <w:iCs/>
                <w:color w:val="auto"/>
                <w:lang w:eastAsia="el-GR"/>
              </w:rPr>
              <w:t> </w:t>
            </w:r>
          </w:p>
        </w:tc>
      </w:tr>
      <w:tr w:rsidR="009C3CE1" w:rsidRPr="00157920" w14:paraId="22743BFF" w14:textId="77777777" w:rsidTr="001D53FA">
        <w:trPr>
          <w:trHeight w:val="353"/>
        </w:trPr>
        <w:tc>
          <w:tcPr>
            <w:tcW w:w="5534" w:type="dxa"/>
            <w:shd w:val="clear" w:color="auto" w:fill="auto"/>
            <w:noWrap/>
            <w:vAlign w:val="center"/>
            <w:hideMark/>
          </w:tcPr>
          <w:p w14:paraId="4782ACAB" w14:textId="77777777" w:rsidR="009C3CE1" w:rsidRPr="00157920" w:rsidRDefault="009C3CE1" w:rsidP="001D53FA">
            <w:pPr>
              <w:spacing w:after="0" w:line="240" w:lineRule="auto"/>
              <w:rPr>
                <w:rFonts w:eastAsia="Times New Roman" w:cs="Calibri"/>
                <w:color w:val="auto"/>
                <w:sz w:val="20"/>
                <w:szCs w:val="20"/>
                <w:lang w:eastAsia="el-GR"/>
              </w:rPr>
            </w:pPr>
            <w:r w:rsidRPr="00157920">
              <w:rPr>
                <w:rFonts w:eastAsia="Times New Roman" w:cs="Calibri"/>
                <w:color w:val="auto"/>
                <w:sz w:val="20"/>
                <w:szCs w:val="20"/>
                <w:lang w:eastAsia="el-GR"/>
              </w:rPr>
              <w:t>Υπ. Οικονομικών</w:t>
            </w:r>
            <w:r w:rsidRPr="00157920">
              <w:rPr>
                <w:rFonts w:eastAsia="Times New Roman" w:cs="Calibri"/>
                <w:color w:val="auto"/>
                <w:sz w:val="20"/>
                <w:szCs w:val="20"/>
                <w:vertAlign w:val="superscript"/>
                <w:lang w:eastAsia="el-GR"/>
              </w:rPr>
              <w:t>1</w:t>
            </w:r>
            <w:r w:rsidRPr="00157920">
              <w:rPr>
                <w:rFonts w:eastAsia="Times New Roman" w:cs="Calibri"/>
                <w:b/>
                <w:bCs/>
                <w:color w:val="auto"/>
                <w:sz w:val="20"/>
                <w:szCs w:val="20"/>
                <w:vertAlign w:val="superscript"/>
                <w:lang w:eastAsia="el-GR"/>
              </w:rPr>
              <w:t xml:space="preserve"> </w:t>
            </w:r>
            <w:r w:rsidRPr="00157920">
              <w:rPr>
                <w:rFonts w:eastAsia="Times New Roman" w:cs="Calibri"/>
                <w:color w:val="auto"/>
                <w:sz w:val="20"/>
                <w:szCs w:val="20"/>
                <w:lang w:eastAsia="el-GR"/>
              </w:rPr>
              <w:t>(Απρίλιος 2021)</w:t>
            </w:r>
          </w:p>
        </w:tc>
        <w:tc>
          <w:tcPr>
            <w:tcW w:w="2744" w:type="dxa"/>
            <w:shd w:val="clear" w:color="auto" w:fill="auto"/>
            <w:noWrap/>
            <w:vAlign w:val="center"/>
            <w:hideMark/>
          </w:tcPr>
          <w:p w14:paraId="7B270192" w14:textId="61B25C5A" w:rsidR="009C3CE1" w:rsidRPr="00EC34AD" w:rsidRDefault="00E220C1" w:rsidP="001D53FA">
            <w:pPr>
              <w:spacing w:after="0" w:line="240" w:lineRule="auto"/>
              <w:jc w:val="center"/>
              <w:rPr>
                <w:rFonts w:eastAsia="Times New Roman" w:cs="Calibri"/>
                <w:i/>
                <w:iCs/>
                <w:color w:val="auto"/>
                <w:lang w:eastAsia="el-GR"/>
              </w:rPr>
            </w:pPr>
            <w:r>
              <w:rPr>
                <w:rFonts w:eastAsia="Times New Roman" w:cs="Calibri"/>
                <w:i/>
                <w:iCs/>
                <w:color w:val="auto"/>
                <w:lang w:val="en-US" w:eastAsia="el-GR"/>
              </w:rPr>
              <w:t>2,6</w:t>
            </w:r>
            <w:r w:rsidR="009C3CE1" w:rsidRPr="00EC34AD">
              <w:rPr>
                <w:rFonts w:eastAsia="Times New Roman" w:cs="Calibri"/>
                <w:i/>
                <w:iCs/>
                <w:color w:val="auto"/>
                <w:lang w:val="en-US" w:eastAsia="el-GR"/>
              </w:rPr>
              <w:t>%</w:t>
            </w:r>
          </w:p>
        </w:tc>
      </w:tr>
      <w:tr w:rsidR="009C3CE1" w:rsidRPr="00157920" w14:paraId="1381E69F" w14:textId="77777777" w:rsidTr="001D53FA">
        <w:trPr>
          <w:trHeight w:val="353"/>
        </w:trPr>
        <w:tc>
          <w:tcPr>
            <w:tcW w:w="5534" w:type="dxa"/>
            <w:shd w:val="clear" w:color="auto" w:fill="auto"/>
            <w:noWrap/>
            <w:vAlign w:val="center"/>
            <w:hideMark/>
          </w:tcPr>
          <w:p w14:paraId="602E6626" w14:textId="77777777" w:rsidR="009C3CE1" w:rsidRPr="00157920" w:rsidRDefault="009C3CE1" w:rsidP="001D53FA">
            <w:pPr>
              <w:spacing w:after="0" w:line="240" w:lineRule="auto"/>
              <w:rPr>
                <w:rFonts w:eastAsia="Times New Roman" w:cs="Calibri"/>
                <w:color w:val="auto"/>
                <w:sz w:val="20"/>
                <w:szCs w:val="20"/>
                <w:lang w:eastAsia="el-GR"/>
              </w:rPr>
            </w:pPr>
            <w:r w:rsidRPr="00157920">
              <w:rPr>
                <w:rFonts w:eastAsia="Times New Roman" w:cs="Calibri"/>
                <w:color w:val="auto"/>
                <w:sz w:val="20"/>
                <w:szCs w:val="20"/>
                <w:lang w:eastAsia="el-GR"/>
              </w:rPr>
              <w:t>Ευρωπαϊκή Επιτροπή</w:t>
            </w:r>
            <w:r w:rsidRPr="00157920">
              <w:rPr>
                <w:rFonts w:eastAsia="Times New Roman" w:cs="Calibri"/>
                <w:color w:val="auto"/>
                <w:sz w:val="20"/>
                <w:szCs w:val="20"/>
                <w:vertAlign w:val="superscript"/>
                <w:lang w:eastAsia="el-GR"/>
              </w:rPr>
              <w:t>2</w:t>
            </w:r>
            <w:r w:rsidRPr="00157920">
              <w:rPr>
                <w:rFonts w:eastAsia="Times New Roman" w:cs="Calibri"/>
                <w:b/>
                <w:bCs/>
                <w:color w:val="auto"/>
                <w:sz w:val="20"/>
                <w:szCs w:val="20"/>
                <w:vertAlign w:val="superscript"/>
                <w:lang w:eastAsia="el-GR"/>
              </w:rPr>
              <w:t xml:space="preserve"> </w:t>
            </w:r>
            <w:r w:rsidRPr="00157920">
              <w:rPr>
                <w:rFonts w:eastAsia="Times New Roman" w:cs="Calibri"/>
                <w:color w:val="auto"/>
                <w:sz w:val="20"/>
                <w:szCs w:val="20"/>
                <w:lang w:eastAsia="el-GR"/>
              </w:rPr>
              <w:t>(Μάϊος 2021)</w:t>
            </w:r>
          </w:p>
        </w:tc>
        <w:tc>
          <w:tcPr>
            <w:tcW w:w="2744" w:type="dxa"/>
            <w:shd w:val="clear" w:color="auto" w:fill="auto"/>
            <w:noWrap/>
            <w:vAlign w:val="center"/>
            <w:hideMark/>
          </w:tcPr>
          <w:p w14:paraId="6F11A8B4" w14:textId="45CB068B" w:rsidR="009C3CE1" w:rsidRPr="00EC34AD" w:rsidRDefault="00E220C1" w:rsidP="001D53FA">
            <w:pPr>
              <w:spacing w:after="0" w:line="240" w:lineRule="auto"/>
              <w:jc w:val="center"/>
              <w:rPr>
                <w:rFonts w:eastAsia="Times New Roman" w:cs="Calibri"/>
                <w:i/>
                <w:iCs/>
                <w:color w:val="auto"/>
                <w:lang w:eastAsia="el-GR"/>
              </w:rPr>
            </w:pPr>
            <w:r>
              <w:rPr>
                <w:rFonts w:eastAsia="Times New Roman" w:cs="Calibri"/>
                <w:i/>
                <w:iCs/>
                <w:color w:val="auto"/>
                <w:lang w:eastAsia="el-GR"/>
              </w:rPr>
              <w:t>2,5</w:t>
            </w:r>
            <w:r w:rsidR="009C3CE1" w:rsidRPr="00EC34AD">
              <w:rPr>
                <w:rFonts w:eastAsia="Times New Roman" w:cs="Calibri"/>
                <w:i/>
                <w:iCs/>
                <w:color w:val="auto"/>
                <w:lang w:eastAsia="el-GR"/>
              </w:rPr>
              <w:t>%</w:t>
            </w:r>
          </w:p>
        </w:tc>
      </w:tr>
      <w:tr w:rsidR="009C3CE1" w:rsidRPr="00157920" w14:paraId="0433A49E" w14:textId="77777777" w:rsidTr="001D53FA">
        <w:trPr>
          <w:trHeight w:val="309"/>
        </w:trPr>
        <w:tc>
          <w:tcPr>
            <w:tcW w:w="5534" w:type="dxa"/>
            <w:shd w:val="clear" w:color="000000" w:fill="F2F2F2"/>
            <w:vAlign w:val="center"/>
            <w:hideMark/>
          </w:tcPr>
          <w:p w14:paraId="79792485" w14:textId="77777777" w:rsidR="009C3CE1" w:rsidRPr="00157920" w:rsidRDefault="009C3CE1" w:rsidP="001D53FA">
            <w:pPr>
              <w:spacing w:after="0" w:line="240" w:lineRule="auto"/>
              <w:jc w:val="center"/>
              <w:rPr>
                <w:rFonts w:eastAsia="Times New Roman" w:cs="Calibri"/>
                <w:b/>
                <w:bCs/>
                <w:color w:val="auto"/>
                <w:sz w:val="20"/>
                <w:szCs w:val="20"/>
                <w:lang w:eastAsia="el-GR"/>
              </w:rPr>
            </w:pPr>
            <w:r w:rsidRPr="00157920">
              <w:rPr>
                <w:rFonts w:eastAsia="Times New Roman" w:cs="Calibri"/>
                <w:b/>
                <w:bCs/>
                <w:color w:val="auto"/>
                <w:sz w:val="20"/>
                <w:szCs w:val="20"/>
                <w:lang w:eastAsia="el-GR"/>
              </w:rPr>
              <w:t>Δημόσια κατανάλωση</w:t>
            </w:r>
          </w:p>
        </w:tc>
        <w:tc>
          <w:tcPr>
            <w:tcW w:w="2744" w:type="dxa"/>
            <w:shd w:val="clear" w:color="000000" w:fill="F2F2F2"/>
            <w:vAlign w:val="center"/>
            <w:hideMark/>
          </w:tcPr>
          <w:p w14:paraId="377AFC73" w14:textId="77777777" w:rsidR="009C3CE1" w:rsidRPr="00EC34AD" w:rsidRDefault="009C3CE1" w:rsidP="001D53FA">
            <w:pPr>
              <w:spacing w:after="0" w:line="240" w:lineRule="auto"/>
              <w:rPr>
                <w:rFonts w:eastAsia="Times New Roman" w:cs="Calibri"/>
                <w:b/>
                <w:bCs/>
                <w:color w:val="auto"/>
                <w:lang w:eastAsia="el-GR"/>
              </w:rPr>
            </w:pPr>
            <w:r w:rsidRPr="00EC34AD">
              <w:rPr>
                <w:rFonts w:eastAsia="Times New Roman" w:cs="Calibri"/>
                <w:b/>
                <w:bCs/>
                <w:color w:val="auto"/>
                <w:lang w:eastAsia="el-GR"/>
              </w:rPr>
              <w:t> </w:t>
            </w:r>
          </w:p>
        </w:tc>
      </w:tr>
      <w:tr w:rsidR="009C3CE1" w:rsidRPr="00157920" w14:paraId="62995BCC" w14:textId="77777777" w:rsidTr="001D53FA">
        <w:trPr>
          <w:trHeight w:val="309"/>
        </w:trPr>
        <w:tc>
          <w:tcPr>
            <w:tcW w:w="5534" w:type="dxa"/>
            <w:shd w:val="clear" w:color="auto" w:fill="auto"/>
            <w:noWrap/>
            <w:vAlign w:val="center"/>
            <w:hideMark/>
          </w:tcPr>
          <w:p w14:paraId="4C3EF6E6" w14:textId="77777777" w:rsidR="009C3CE1" w:rsidRPr="00157920" w:rsidRDefault="009C3CE1" w:rsidP="001D53FA">
            <w:pPr>
              <w:spacing w:after="0" w:line="240" w:lineRule="auto"/>
              <w:rPr>
                <w:rFonts w:eastAsia="Times New Roman" w:cs="Calibri"/>
                <w:color w:val="auto"/>
                <w:sz w:val="20"/>
                <w:szCs w:val="20"/>
                <w:lang w:eastAsia="el-GR"/>
              </w:rPr>
            </w:pPr>
            <w:r w:rsidRPr="00157920">
              <w:rPr>
                <w:rFonts w:eastAsia="Times New Roman" w:cs="Calibri"/>
                <w:color w:val="auto"/>
                <w:sz w:val="20"/>
                <w:szCs w:val="20"/>
                <w:lang w:eastAsia="el-GR"/>
              </w:rPr>
              <w:t>Υπ. Οικονομικών</w:t>
            </w:r>
          </w:p>
        </w:tc>
        <w:tc>
          <w:tcPr>
            <w:tcW w:w="2744" w:type="dxa"/>
            <w:shd w:val="clear" w:color="auto" w:fill="auto"/>
            <w:noWrap/>
            <w:vAlign w:val="center"/>
            <w:hideMark/>
          </w:tcPr>
          <w:p w14:paraId="2692A38F" w14:textId="6D7E7A0C" w:rsidR="009C3CE1" w:rsidRPr="00EC34AD" w:rsidRDefault="009C3CE1" w:rsidP="00E220C1">
            <w:pPr>
              <w:spacing w:after="0" w:line="240" w:lineRule="auto"/>
              <w:jc w:val="center"/>
              <w:rPr>
                <w:rFonts w:eastAsia="Times New Roman" w:cs="Calibri"/>
                <w:i/>
                <w:iCs/>
                <w:color w:val="auto"/>
                <w:lang w:eastAsia="el-GR"/>
              </w:rPr>
            </w:pPr>
            <w:r w:rsidRPr="00EC34AD">
              <w:rPr>
                <w:rFonts w:eastAsia="Times New Roman" w:cs="Calibri"/>
                <w:i/>
                <w:iCs/>
                <w:color w:val="auto"/>
                <w:lang w:eastAsia="el-GR"/>
              </w:rPr>
              <w:t>1,5%</w:t>
            </w:r>
          </w:p>
        </w:tc>
      </w:tr>
      <w:tr w:rsidR="009C3CE1" w:rsidRPr="00157920" w14:paraId="228236DB" w14:textId="77777777" w:rsidTr="001D53FA">
        <w:trPr>
          <w:trHeight w:val="309"/>
        </w:trPr>
        <w:tc>
          <w:tcPr>
            <w:tcW w:w="5534" w:type="dxa"/>
            <w:shd w:val="clear" w:color="auto" w:fill="auto"/>
            <w:noWrap/>
            <w:vAlign w:val="center"/>
            <w:hideMark/>
          </w:tcPr>
          <w:p w14:paraId="30637973" w14:textId="77777777" w:rsidR="009C3CE1" w:rsidRPr="00157920" w:rsidRDefault="009C3CE1" w:rsidP="001D53FA">
            <w:pPr>
              <w:spacing w:after="0" w:line="240" w:lineRule="auto"/>
              <w:rPr>
                <w:rFonts w:eastAsia="Times New Roman" w:cs="Calibri"/>
                <w:color w:val="auto"/>
                <w:sz w:val="20"/>
                <w:szCs w:val="20"/>
                <w:lang w:eastAsia="el-GR"/>
              </w:rPr>
            </w:pPr>
            <w:r w:rsidRPr="00157920">
              <w:rPr>
                <w:rFonts w:eastAsia="Times New Roman" w:cs="Calibri"/>
                <w:color w:val="auto"/>
                <w:sz w:val="20"/>
                <w:szCs w:val="20"/>
                <w:lang w:eastAsia="el-GR"/>
              </w:rPr>
              <w:t>Ευρωπαϊκή Επιτροπή</w:t>
            </w:r>
          </w:p>
        </w:tc>
        <w:tc>
          <w:tcPr>
            <w:tcW w:w="2744" w:type="dxa"/>
            <w:shd w:val="clear" w:color="auto" w:fill="auto"/>
            <w:noWrap/>
            <w:vAlign w:val="center"/>
            <w:hideMark/>
          </w:tcPr>
          <w:p w14:paraId="73371088" w14:textId="74B72D1F" w:rsidR="009C3CE1" w:rsidRPr="00EC34AD" w:rsidRDefault="009C3CE1" w:rsidP="00E220C1">
            <w:pPr>
              <w:spacing w:after="0" w:line="240" w:lineRule="auto"/>
              <w:jc w:val="center"/>
              <w:rPr>
                <w:rFonts w:eastAsia="Times New Roman" w:cs="Calibri"/>
                <w:i/>
                <w:iCs/>
                <w:color w:val="auto"/>
                <w:lang w:eastAsia="el-GR"/>
              </w:rPr>
            </w:pPr>
            <w:r w:rsidRPr="00EC34AD">
              <w:rPr>
                <w:rFonts w:eastAsia="Times New Roman" w:cs="Calibri"/>
                <w:i/>
                <w:iCs/>
                <w:color w:val="auto"/>
                <w:lang w:eastAsia="el-GR"/>
              </w:rPr>
              <w:t>2,2%</w:t>
            </w:r>
          </w:p>
        </w:tc>
      </w:tr>
      <w:tr w:rsidR="009C3CE1" w:rsidRPr="00157920" w14:paraId="42326BBB" w14:textId="77777777" w:rsidTr="001D53FA">
        <w:trPr>
          <w:trHeight w:val="378"/>
        </w:trPr>
        <w:tc>
          <w:tcPr>
            <w:tcW w:w="5534" w:type="dxa"/>
            <w:shd w:val="clear" w:color="000000" w:fill="F2F2F2"/>
            <w:vAlign w:val="center"/>
            <w:hideMark/>
          </w:tcPr>
          <w:p w14:paraId="787F365D" w14:textId="77777777" w:rsidR="009C3CE1" w:rsidRPr="00157920" w:rsidRDefault="009C3CE1" w:rsidP="001D53FA">
            <w:pPr>
              <w:spacing w:after="0" w:line="240" w:lineRule="auto"/>
              <w:jc w:val="center"/>
              <w:rPr>
                <w:rFonts w:eastAsia="Times New Roman" w:cs="Calibri"/>
                <w:b/>
                <w:bCs/>
                <w:color w:val="auto"/>
                <w:sz w:val="20"/>
                <w:szCs w:val="20"/>
                <w:lang w:eastAsia="el-GR"/>
              </w:rPr>
            </w:pPr>
            <w:r w:rsidRPr="00157920">
              <w:rPr>
                <w:rFonts w:eastAsia="Times New Roman" w:cs="Calibri"/>
                <w:b/>
                <w:bCs/>
                <w:color w:val="auto"/>
                <w:sz w:val="20"/>
                <w:szCs w:val="20"/>
                <w:lang w:eastAsia="el-GR"/>
              </w:rPr>
              <w:t>Ακαθάριστος σχηματισμός παγίου κεφαλαίου</w:t>
            </w:r>
          </w:p>
        </w:tc>
        <w:tc>
          <w:tcPr>
            <w:tcW w:w="2744" w:type="dxa"/>
            <w:shd w:val="clear" w:color="000000" w:fill="F2F2F2"/>
            <w:vAlign w:val="center"/>
            <w:hideMark/>
          </w:tcPr>
          <w:p w14:paraId="43558093" w14:textId="77777777" w:rsidR="009C3CE1" w:rsidRPr="00EC34AD" w:rsidRDefault="009C3CE1" w:rsidP="001D53FA">
            <w:pPr>
              <w:spacing w:after="0" w:line="240" w:lineRule="auto"/>
              <w:jc w:val="left"/>
              <w:rPr>
                <w:rFonts w:eastAsia="Times New Roman" w:cs="Calibri"/>
                <w:color w:val="auto"/>
                <w:lang w:eastAsia="el-GR"/>
              </w:rPr>
            </w:pPr>
            <w:r w:rsidRPr="00EC34AD">
              <w:rPr>
                <w:rFonts w:eastAsia="Times New Roman" w:cs="Calibri"/>
                <w:color w:val="auto"/>
                <w:lang w:eastAsia="el-GR"/>
              </w:rPr>
              <w:t> </w:t>
            </w:r>
          </w:p>
        </w:tc>
      </w:tr>
      <w:tr w:rsidR="009C3CE1" w:rsidRPr="00157920" w14:paraId="58F76E32" w14:textId="77777777" w:rsidTr="001D53FA">
        <w:trPr>
          <w:trHeight w:val="309"/>
        </w:trPr>
        <w:tc>
          <w:tcPr>
            <w:tcW w:w="5534" w:type="dxa"/>
            <w:shd w:val="clear" w:color="auto" w:fill="auto"/>
            <w:noWrap/>
            <w:vAlign w:val="center"/>
            <w:hideMark/>
          </w:tcPr>
          <w:p w14:paraId="235BC717" w14:textId="77777777" w:rsidR="009C3CE1" w:rsidRPr="00157920" w:rsidRDefault="009C3CE1" w:rsidP="001D53FA">
            <w:pPr>
              <w:spacing w:after="0" w:line="240" w:lineRule="auto"/>
              <w:rPr>
                <w:rFonts w:eastAsia="Times New Roman" w:cs="Calibri"/>
                <w:color w:val="auto"/>
                <w:sz w:val="20"/>
                <w:szCs w:val="20"/>
                <w:lang w:eastAsia="el-GR"/>
              </w:rPr>
            </w:pPr>
            <w:r w:rsidRPr="00157920">
              <w:rPr>
                <w:rFonts w:eastAsia="Times New Roman" w:cs="Calibri"/>
                <w:color w:val="auto"/>
                <w:sz w:val="20"/>
                <w:szCs w:val="20"/>
                <w:lang w:eastAsia="el-GR"/>
              </w:rPr>
              <w:t>Υπ. Οικονομικών</w:t>
            </w:r>
          </w:p>
        </w:tc>
        <w:tc>
          <w:tcPr>
            <w:tcW w:w="2744" w:type="dxa"/>
            <w:shd w:val="clear" w:color="auto" w:fill="auto"/>
            <w:noWrap/>
            <w:vAlign w:val="center"/>
            <w:hideMark/>
          </w:tcPr>
          <w:p w14:paraId="12F19540" w14:textId="624B3270" w:rsidR="009C3CE1" w:rsidRPr="00EC34AD" w:rsidRDefault="009C3CE1" w:rsidP="00E220C1">
            <w:pPr>
              <w:spacing w:after="0" w:line="240" w:lineRule="auto"/>
              <w:jc w:val="center"/>
              <w:rPr>
                <w:rFonts w:eastAsia="Times New Roman" w:cs="Calibri"/>
                <w:i/>
                <w:iCs/>
                <w:color w:val="auto"/>
                <w:lang w:eastAsia="el-GR"/>
              </w:rPr>
            </w:pPr>
            <w:r w:rsidRPr="00EC34AD">
              <w:rPr>
                <w:rFonts w:eastAsia="Times New Roman" w:cs="Calibri"/>
                <w:i/>
                <w:iCs/>
                <w:color w:val="auto"/>
                <w:lang w:eastAsia="el-GR"/>
              </w:rPr>
              <w:t>7,0%</w:t>
            </w:r>
          </w:p>
        </w:tc>
      </w:tr>
      <w:tr w:rsidR="009C3CE1" w:rsidRPr="00157920" w14:paraId="4E4FFCEC" w14:textId="77777777" w:rsidTr="001D53FA">
        <w:trPr>
          <w:trHeight w:val="309"/>
        </w:trPr>
        <w:tc>
          <w:tcPr>
            <w:tcW w:w="5534" w:type="dxa"/>
            <w:shd w:val="clear" w:color="auto" w:fill="auto"/>
            <w:noWrap/>
            <w:vAlign w:val="center"/>
            <w:hideMark/>
          </w:tcPr>
          <w:p w14:paraId="274B6BFA" w14:textId="77777777" w:rsidR="009C3CE1" w:rsidRPr="00157920" w:rsidRDefault="009C3CE1" w:rsidP="001D53FA">
            <w:pPr>
              <w:spacing w:after="0" w:line="240" w:lineRule="auto"/>
              <w:rPr>
                <w:rFonts w:eastAsia="Times New Roman" w:cs="Calibri"/>
                <w:color w:val="auto"/>
                <w:sz w:val="20"/>
                <w:szCs w:val="20"/>
                <w:lang w:eastAsia="el-GR"/>
              </w:rPr>
            </w:pPr>
            <w:r w:rsidRPr="00157920">
              <w:rPr>
                <w:rFonts w:eastAsia="Times New Roman" w:cs="Calibri"/>
                <w:color w:val="auto"/>
                <w:sz w:val="20"/>
                <w:szCs w:val="20"/>
                <w:lang w:eastAsia="el-GR"/>
              </w:rPr>
              <w:t>Ευρωπαϊκή Επιτροπή</w:t>
            </w:r>
            <w:r w:rsidRPr="00157920">
              <w:rPr>
                <w:rFonts w:eastAsia="Times New Roman" w:cs="Calibri"/>
                <w:b/>
                <w:bCs/>
                <w:color w:val="auto"/>
                <w:sz w:val="20"/>
                <w:szCs w:val="20"/>
                <w:vertAlign w:val="superscript"/>
                <w:lang w:eastAsia="el-GR"/>
              </w:rPr>
              <w:t xml:space="preserve"> </w:t>
            </w:r>
          </w:p>
        </w:tc>
        <w:tc>
          <w:tcPr>
            <w:tcW w:w="2744" w:type="dxa"/>
            <w:shd w:val="clear" w:color="auto" w:fill="auto"/>
            <w:noWrap/>
            <w:vAlign w:val="center"/>
            <w:hideMark/>
          </w:tcPr>
          <w:p w14:paraId="137A1A4F" w14:textId="258FD6AF" w:rsidR="009C3CE1" w:rsidRPr="00EC34AD" w:rsidRDefault="009C3CE1" w:rsidP="00E220C1">
            <w:pPr>
              <w:spacing w:after="0" w:line="240" w:lineRule="auto"/>
              <w:jc w:val="center"/>
              <w:rPr>
                <w:rFonts w:eastAsia="Times New Roman" w:cs="Calibri"/>
                <w:i/>
                <w:iCs/>
                <w:color w:val="auto"/>
                <w:lang w:eastAsia="el-GR"/>
              </w:rPr>
            </w:pPr>
            <w:r w:rsidRPr="00EC34AD">
              <w:rPr>
                <w:rFonts w:eastAsia="Times New Roman" w:cs="Calibri"/>
                <w:i/>
                <w:iCs/>
                <w:color w:val="auto"/>
                <w:lang w:eastAsia="el-GR"/>
              </w:rPr>
              <w:t>12,9%</w:t>
            </w:r>
          </w:p>
        </w:tc>
      </w:tr>
      <w:tr w:rsidR="009C3CE1" w:rsidRPr="00157920" w14:paraId="70D27294" w14:textId="77777777" w:rsidTr="001D53FA">
        <w:trPr>
          <w:trHeight w:val="322"/>
        </w:trPr>
        <w:tc>
          <w:tcPr>
            <w:tcW w:w="5534" w:type="dxa"/>
            <w:shd w:val="clear" w:color="000000" w:fill="F2F2F2"/>
            <w:vAlign w:val="center"/>
            <w:hideMark/>
          </w:tcPr>
          <w:p w14:paraId="6DA6DAB9" w14:textId="77777777" w:rsidR="009C3CE1" w:rsidRPr="00157920" w:rsidRDefault="009C3CE1" w:rsidP="001D53FA">
            <w:pPr>
              <w:spacing w:after="0" w:line="240" w:lineRule="auto"/>
              <w:jc w:val="center"/>
              <w:rPr>
                <w:rFonts w:eastAsia="Times New Roman" w:cs="Calibri"/>
                <w:b/>
                <w:bCs/>
                <w:color w:val="auto"/>
                <w:sz w:val="20"/>
                <w:szCs w:val="20"/>
                <w:lang w:eastAsia="el-GR"/>
              </w:rPr>
            </w:pPr>
            <w:r w:rsidRPr="00157920">
              <w:rPr>
                <w:rFonts w:eastAsia="Times New Roman" w:cs="Calibri"/>
                <w:b/>
                <w:bCs/>
                <w:color w:val="auto"/>
                <w:sz w:val="20"/>
                <w:szCs w:val="20"/>
                <w:lang w:eastAsia="el-GR"/>
              </w:rPr>
              <w:t>Εξαγωγές (αγαθών &amp; υπηρεσιών)</w:t>
            </w:r>
          </w:p>
        </w:tc>
        <w:tc>
          <w:tcPr>
            <w:tcW w:w="2744" w:type="dxa"/>
            <w:shd w:val="clear" w:color="000000" w:fill="F2F2F2"/>
            <w:vAlign w:val="center"/>
            <w:hideMark/>
          </w:tcPr>
          <w:p w14:paraId="3521E81D" w14:textId="77777777" w:rsidR="009C3CE1" w:rsidRPr="00EC34AD" w:rsidRDefault="009C3CE1" w:rsidP="001D53FA">
            <w:pPr>
              <w:spacing w:after="0" w:line="240" w:lineRule="auto"/>
              <w:jc w:val="left"/>
              <w:rPr>
                <w:rFonts w:eastAsia="Times New Roman" w:cs="Calibri"/>
                <w:i/>
                <w:iCs/>
                <w:color w:val="auto"/>
                <w:lang w:eastAsia="el-GR"/>
              </w:rPr>
            </w:pPr>
            <w:r w:rsidRPr="00EC34AD">
              <w:rPr>
                <w:rFonts w:eastAsia="Times New Roman" w:cs="Calibri"/>
                <w:i/>
                <w:iCs/>
                <w:color w:val="auto"/>
                <w:lang w:eastAsia="el-GR"/>
              </w:rPr>
              <w:t> </w:t>
            </w:r>
          </w:p>
        </w:tc>
      </w:tr>
      <w:tr w:rsidR="009C3CE1" w:rsidRPr="00157920" w14:paraId="0009CA22" w14:textId="77777777" w:rsidTr="001D53FA">
        <w:trPr>
          <w:trHeight w:val="309"/>
        </w:trPr>
        <w:tc>
          <w:tcPr>
            <w:tcW w:w="5534" w:type="dxa"/>
            <w:shd w:val="clear" w:color="auto" w:fill="auto"/>
            <w:noWrap/>
            <w:vAlign w:val="center"/>
            <w:hideMark/>
          </w:tcPr>
          <w:p w14:paraId="548293FF" w14:textId="77777777" w:rsidR="009C3CE1" w:rsidRPr="00157920" w:rsidRDefault="009C3CE1" w:rsidP="001D53FA">
            <w:pPr>
              <w:spacing w:after="0" w:line="240" w:lineRule="auto"/>
              <w:rPr>
                <w:rFonts w:eastAsia="Times New Roman" w:cs="Calibri"/>
                <w:color w:val="auto"/>
                <w:sz w:val="20"/>
                <w:szCs w:val="20"/>
                <w:lang w:eastAsia="el-GR"/>
              </w:rPr>
            </w:pPr>
            <w:r w:rsidRPr="00157920">
              <w:rPr>
                <w:rFonts w:eastAsia="Times New Roman" w:cs="Calibri"/>
                <w:color w:val="auto"/>
                <w:sz w:val="20"/>
                <w:szCs w:val="20"/>
                <w:lang w:eastAsia="el-GR"/>
              </w:rPr>
              <w:t>Υπ. Οικονομικών</w:t>
            </w:r>
          </w:p>
        </w:tc>
        <w:tc>
          <w:tcPr>
            <w:tcW w:w="2744" w:type="dxa"/>
            <w:shd w:val="clear" w:color="auto" w:fill="auto"/>
            <w:noWrap/>
            <w:vAlign w:val="center"/>
            <w:hideMark/>
          </w:tcPr>
          <w:p w14:paraId="30747DC5" w14:textId="32A9A0D9" w:rsidR="009C3CE1" w:rsidRPr="00EC34AD" w:rsidRDefault="009C3CE1" w:rsidP="00E220C1">
            <w:pPr>
              <w:spacing w:after="0" w:line="240" w:lineRule="auto"/>
              <w:jc w:val="center"/>
              <w:rPr>
                <w:rFonts w:eastAsia="Times New Roman" w:cs="Calibri"/>
                <w:i/>
                <w:iCs/>
                <w:color w:val="auto"/>
                <w:lang w:eastAsia="el-GR"/>
              </w:rPr>
            </w:pPr>
            <w:r w:rsidRPr="00EC34AD">
              <w:rPr>
                <w:rFonts w:eastAsia="Times New Roman" w:cs="Calibri"/>
                <w:i/>
                <w:iCs/>
                <w:color w:val="auto"/>
                <w:lang w:eastAsia="el-GR"/>
              </w:rPr>
              <w:t>10,4%</w:t>
            </w:r>
          </w:p>
        </w:tc>
      </w:tr>
      <w:tr w:rsidR="009C3CE1" w:rsidRPr="00157920" w14:paraId="5482A7F3" w14:textId="77777777" w:rsidTr="001D53FA">
        <w:trPr>
          <w:trHeight w:val="309"/>
        </w:trPr>
        <w:tc>
          <w:tcPr>
            <w:tcW w:w="5534" w:type="dxa"/>
            <w:shd w:val="clear" w:color="auto" w:fill="auto"/>
            <w:noWrap/>
            <w:vAlign w:val="center"/>
            <w:hideMark/>
          </w:tcPr>
          <w:p w14:paraId="129C2C7B" w14:textId="77777777" w:rsidR="009C3CE1" w:rsidRPr="00157920" w:rsidRDefault="009C3CE1" w:rsidP="001D53FA">
            <w:pPr>
              <w:spacing w:after="0" w:line="240" w:lineRule="auto"/>
              <w:rPr>
                <w:rFonts w:eastAsia="Times New Roman" w:cs="Calibri"/>
                <w:color w:val="auto"/>
                <w:sz w:val="20"/>
                <w:szCs w:val="20"/>
                <w:lang w:eastAsia="el-GR"/>
              </w:rPr>
            </w:pPr>
            <w:r w:rsidRPr="00157920">
              <w:rPr>
                <w:rFonts w:eastAsia="Times New Roman" w:cs="Calibri"/>
                <w:color w:val="auto"/>
                <w:sz w:val="20"/>
                <w:szCs w:val="20"/>
                <w:lang w:eastAsia="el-GR"/>
              </w:rPr>
              <w:t>Ευρωπαϊκή Επιτροπή</w:t>
            </w:r>
            <w:r w:rsidRPr="00157920">
              <w:rPr>
                <w:rFonts w:eastAsia="Times New Roman" w:cs="Calibri"/>
                <w:b/>
                <w:bCs/>
                <w:color w:val="auto"/>
                <w:sz w:val="20"/>
                <w:szCs w:val="20"/>
                <w:vertAlign w:val="superscript"/>
                <w:lang w:eastAsia="el-GR"/>
              </w:rPr>
              <w:t xml:space="preserve"> </w:t>
            </w:r>
          </w:p>
        </w:tc>
        <w:tc>
          <w:tcPr>
            <w:tcW w:w="2744" w:type="dxa"/>
            <w:shd w:val="clear" w:color="auto" w:fill="auto"/>
            <w:noWrap/>
            <w:vAlign w:val="center"/>
            <w:hideMark/>
          </w:tcPr>
          <w:p w14:paraId="0C633205" w14:textId="74EDA1E9" w:rsidR="009C3CE1" w:rsidRPr="00EC34AD" w:rsidRDefault="009C3CE1" w:rsidP="00E220C1">
            <w:pPr>
              <w:spacing w:after="0" w:line="240" w:lineRule="auto"/>
              <w:jc w:val="center"/>
              <w:rPr>
                <w:rFonts w:eastAsia="Times New Roman" w:cs="Calibri"/>
                <w:i/>
                <w:iCs/>
                <w:color w:val="auto"/>
                <w:lang w:eastAsia="el-GR"/>
              </w:rPr>
            </w:pPr>
            <w:r w:rsidRPr="00EC34AD">
              <w:rPr>
                <w:rFonts w:eastAsia="Times New Roman" w:cs="Calibri"/>
                <w:i/>
                <w:iCs/>
                <w:color w:val="auto"/>
                <w:lang w:eastAsia="el-GR"/>
              </w:rPr>
              <w:t>9,1%</w:t>
            </w:r>
          </w:p>
        </w:tc>
      </w:tr>
      <w:tr w:rsidR="009C3CE1" w:rsidRPr="00157920" w14:paraId="2594BEF1" w14:textId="77777777" w:rsidTr="001D53FA">
        <w:trPr>
          <w:trHeight w:val="309"/>
        </w:trPr>
        <w:tc>
          <w:tcPr>
            <w:tcW w:w="5534" w:type="dxa"/>
            <w:shd w:val="clear" w:color="000000" w:fill="F2F2F2"/>
            <w:noWrap/>
            <w:vAlign w:val="center"/>
            <w:hideMark/>
          </w:tcPr>
          <w:p w14:paraId="3371FD86" w14:textId="77777777" w:rsidR="009C3CE1" w:rsidRPr="00157920" w:rsidRDefault="009C3CE1" w:rsidP="001D53FA">
            <w:pPr>
              <w:spacing w:after="0" w:line="240" w:lineRule="auto"/>
              <w:jc w:val="center"/>
              <w:rPr>
                <w:rFonts w:eastAsia="Times New Roman" w:cs="Calibri"/>
                <w:b/>
                <w:bCs/>
                <w:color w:val="auto"/>
                <w:sz w:val="20"/>
                <w:szCs w:val="20"/>
                <w:lang w:eastAsia="el-GR"/>
              </w:rPr>
            </w:pPr>
            <w:r w:rsidRPr="00157920">
              <w:rPr>
                <w:rFonts w:eastAsia="Times New Roman" w:cs="Calibri"/>
                <w:b/>
                <w:bCs/>
                <w:color w:val="auto"/>
                <w:sz w:val="20"/>
                <w:szCs w:val="20"/>
                <w:lang w:eastAsia="el-GR"/>
              </w:rPr>
              <w:t>Εισαγωγές (αγαθών &amp; υπηρεσιών)</w:t>
            </w:r>
          </w:p>
        </w:tc>
        <w:tc>
          <w:tcPr>
            <w:tcW w:w="2744" w:type="dxa"/>
            <w:shd w:val="clear" w:color="000000" w:fill="F2F2F2"/>
            <w:vAlign w:val="center"/>
            <w:hideMark/>
          </w:tcPr>
          <w:p w14:paraId="3717C2B1" w14:textId="77777777" w:rsidR="009C3CE1" w:rsidRPr="00EC34AD" w:rsidRDefault="009C3CE1" w:rsidP="001D53FA">
            <w:pPr>
              <w:spacing w:after="0" w:line="240" w:lineRule="auto"/>
              <w:jc w:val="left"/>
              <w:rPr>
                <w:rFonts w:eastAsia="Times New Roman" w:cs="Calibri"/>
                <w:i/>
                <w:iCs/>
                <w:color w:val="auto"/>
                <w:lang w:eastAsia="el-GR"/>
              </w:rPr>
            </w:pPr>
            <w:r w:rsidRPr="00EC34AD">
              <w:rPr>
                <w:rFonts w:eastAsia="Times New Roman" w:cs="Calibri"/>
                <w:i/>
                <w:iCs/>
                <w:color w:val="auto"/>
                <w:lang w:eastAsia="el-GR"/>
              </w:rPr>
              <w:t> </w:t>
            </w:r>
          </w:p>
        </w:tc>
      </w:tr>
      <w:tr w:rsidR="009C3CE1" w:rsidRPr="00157920" w14:paraId="2AF7E4B3" w14:textId="77777777" w:rsidTr="001D53FA">
        <w:trPr>
          <w:trHeight w:val="309"/>
        </w:trPr>
        <w:tc>
          <w:tcPr>
            <w:tcW w:w="5534" w:type="dxa"/>
            <w:shd w:val="clear" w:color="auto" w:fill="auto"/>
            <w:noWrap/>
            <w:vAlign w:val="center"/>
            <w:hideMark/>
          </w:tcPr>
          <w:p w14:paraId="566DF7B2" w14:textId="77777777" w:rsidR="009C3CE1" w:rsidRPr="00157920" w:rsidRDefault="009C3CE1" w:rsidP="001D53FA">
            <w:pPr>
              <w:spacing w:after="0" w:line="240" w:lineRule="auto"/>
              <w:rPr>
                <w:rFonts w:eastAsia="Times New Roman" w:cs="Calibri"/>
                <w:color w:val="auto"/>
                <w:sz w:val="20"/>
                <w:szCs w:val="20"/>
                <w:lang w:eastAsia="el-GR"/>
              </w:rPr>
            </w:pPr>
            <w:r w:rsidRPr="00157920">
              <w:rPr>
                <w:rFonts w:eastAsia="Times New Roman" w:cs="Calibri"/>
                <w:color w:val="auto"/>
                <w:sz w:val="20"/>
                <w:szCs w:val="20"/>
                <w:lang w:eastAsia="el-GR"/>
              </w:rPr>
              <w:t>Υπ. Οικονομικών</w:t>
            </w:r>
          </w:p>
        </w:tc>
        <w:tc>
          <w:tcPr>
            <w:tcW w:w="2744" w:type="dxa"/>
            <w:shd w:val="clear" w:color="auto" w:fill="auto"/>
            <w:noWrap/>
            <w:vAlign w:val="center"/>
            <w:hideMark/>
          </w:tcPr>
          <w:p w14:paraId="53C440D4" w14:textId="2434A4A4" w:rsidR="009C3CE1" w:rsidRPr="00EC34AD" w:rsidRDefault="009C3CE1" w:rsidP="00E220C1">
            <w:pPr>
              <w:spacing w:after="0" w:line="240" w:lineRule="auto"/>
              <w:jc w:val="center"/>
              <w:rPr>
                <w:rFonts w:eastAsia="Times New Roman" w:cs="Calibri"/>
                <w:i/>
                <w:iCs/>
                <w:color w:val="auto"/>
                <w:lang w:eastAsia="el-GR"/>
              </w:rPr>
            </w:pPr>
            <w:r w:rsidRPr="00EC34AD">
              <w:rPr>
                <w:rFonts w:eastAsia="Times New Roman" w:cs="Calibri"/>
                <w:i/>
                <w:iCs/>
                <w:color w:val="auto"/>
                <w:lang w:eastAsia="el-GR"/>
              </w:rPr>
              <w:t>6,9%</w:t>
            </w:r>
          </w:p>
        </w:tc>
      </w:tr>
      <w:tr w:rsidR="009C3CE1" w:rsidRPr="00157920" w14:paraId="46E11DB2" w14:textId="77777777" w:rsidTr="001D53FA">
        <w:trPr>
          <w:trHeight w:val="309"/>
        </w:trPr>
        <w:tc>
          <w:tcPr>
            <w:tcW w:w="5534" w:type="dxa"/>
            <w:shd w:val="clear" w:color="auto" w:fill="auto"/>
            <w:noWrap/>
            <w:vAlign w:val="center"/>
            <w:hideMark/>
          </w:tcPr>
          <w:p w14:paraId="030D7F26" w14:textId="77777777" w:rsidR="009C3CE1" w:rsidRPr="00157920" w:rsidRDefault="009C3CE1" w:rsidP="001D53FA">
            <w:pPr>
              <w:spacing w:after="0" w:line="240" w:lineRule="auto"/>
              <w:rPr>
                <w:rFonts w:eastAsia="Times New Roman" w:cs="Calibri"/>
                <w:color w:val="auto"/>
                <w:sz w:val="20"/>
                <w:szCs w:val="20"/>
                <w:lang w:eastAsia="el-GR"/>
              </w:rPr>
            </w:pPr>
            <w:r w:rsidRPr="00157920">
              <w:rPr>
                <w:rFonts w:eastAsia="Times New Roman" w:cs="Calibri"/>
                <w:color w:val="auto"/>
                <w:sz w:val="20"/>
                <w:szCs w:val="20"/>
                <w:lang w:eastAsia="el-GR"/>
              </w:rPr>
              <w:t>Ευρωπαϊκή Επιτροπή</w:t>
            </w:r>
            <w:r w:rsidRPr="00157920">
              <w:rPr>
                <w:rFonts w:eastAsia="Times New Roman" w:cs="Calibri"/>
                <w:b/>
                <w:bCs/>
                <w:color w:val="auto"/>
                <w:sz w:val="20"/>
                <w:szCs w:val="20"/>
                <w:vertAlign w:val="superscript"/>
                <w:lang w:eastAsia="el-GR"/>
              </w:rPr>
              <w:t xml:space="preserve"> </w:t>
            </w:r>
          </w:p>
        </w:tc>
        <w:tc>
          <w:tcPr>
            <w:tcW w:w="2744" w:type="dxa"/>
            <w:shd w:val="clear" w:color="auto" w:fill="auto"/>
            <w:noWrap/>
            <w:vAlign w:val="center"/>
            <w:hideMark/>
          </w:tcPr>
          <w:p w14:paraId="37D3794C" w14:textId="0D15BBE1" w:rsidR="009C3CE1" w:rsidRPr="00EC34AD" w:rsidRDefault="009C3CE1" w:rsidP="00E220C1">
            <w:pPr>
              <w:spacing w:after="0" w:line="240" w:lineRule="auto"/>
              <w:jc w:val="center"/>
              <w:rPr>
                <w:rFonts w:eastAsia="Times New Roman" w:cs="Calibri"/>
                <w:i/>
                <w:iCs/>
                <w:color w:val="auto"/>
                <w:lang w:eastAsia="el-GR"/>
              </w:rPr>
            </w:pPr>
            <w:r w:rsidRPr="00EC34AD">
              <w:rPr>
                <w:rFonts w:eastAsia="Times New Roman" w:cs="Calibri"/>
                <w:i/>
                <w:iCs/>
                <w:color w:val="auto"/>
                <w:lang w:eastAsia="el-GR"/>
              </w:rPr>
              <w:t>6,3%</w:t>
            </w:r>
          </w:p>
        </w:tc>
      </w:tr>
    </w:tbl>
    <w:p w14:paraId="453D1247" w14:textId="77777777" w:rsidR="009C3CE1" w:rsidRPr="00BE1E36" w:rsidRDefault="009C3CE1" w:rsidP="009C3CE1">
      <w:pPr>
        <w:tabs>
          <w:tab w:val="left" w:pos="1113"/>
        </w:tabs>
        <w:spacing w:after="0" w:line="240" w:lineRule="auto"/>
        <w:ind w:left="142" w:hanging="142"/>
        <w:rPr>
          <w:rFonts w:eastAsia="Calibri" w:cs="Times New Roman"/>
          <w:b/>
          <w:sz w:val="16"/>
          <w:szCs w:val="16"/>
          <w:lang w:val="en-US"/>
        </w:rPr>
      </w:pPr>
      <w:r w:rsidRPr="002F5A77">
        <w:rPr>
          <w:rFonts w:eastAsia="Calibri" w:cs="Times New Roman"/>
          <w:b/>
          <w:sz w:val="16"/>
          <w:szCs w:val="16"/>
        </w:rPr>
        <w:t>Πηγές</w:t>
      </w:r>
      <w:r w:rsidRPr="00BE1E36">
        <w:rPr>
          <w:rFonts w:eastAsia="Calibri" w:cs="Times New Roman"/>
          <w:b/>
          <w:sz w:val="16"/>
          <w:szCs w:val="16"/>
          <w:lang w:val="en-US"/>
        </w:rPr>
        <w:t>:</w:t>
      </w:r>
    </w:p>
    <w:p w14:paraId="52F2F4C0" w14:textId="77777777" w:rsidR="009C3CE1" w:rsidRDefault="009C3CE1" w:rsidP="009C3CE1">
      <w:pPr>
        <w:tabs>
          <w:tab w:val="left" w:pos="1113"/>
        </w:tabs>
        <w:spacing w:after="0" w:line="240" w:lineRule="auto"/>
        <w:ind w:left="142" w:hanging="142"/>
        <w:rPr>
          <w:rFonts w:eastAsia="Calibri" w:cs="Calibri"/>
          <w:color w:val="00A3E0"/>
          <w:sz w:val="16"/>
          <w:szCs w:val="16"/>
          <w:lang w:val="en-US"/>
        </w:rPr>
      </w:pPr>
      <w:r w:rsidRPr="002F5A77">
        <w:rPr>
          <w:rFonts w:eastAsia="Calibri" w:cs="Times New Roman"/>
          <w:b/>
          <w:color w:val="00A3E0"/>
          <w:sz w:val="16"/>
          <w:szCs w:val="16"/>
          <w:lang w:val="en-US"/>
        </w:rPr>
        <w:t>1</w:t>
      </w:r>
      <w:r w:rsidRPr="008B4F70">
        <w:rPr>
          <w:rFonts w:eastAsia="Calibri" w:cs="Calibri"/>
          <w:b/>
          <w:bCs/>
          <w:color w:val="00A3E0"/>
          <w:sz w:val="16"/>
          <w:szCs w:val="16"/>
          <w:lang w:val="en-US"/>
        </w:rPr>
        <w:t xml:space="preserve">) </w:t>
      </w:r>
      <w:r w:rsidRPr="00FB0A91">
        <w:rPr>
          <w:rFonts w:eastAsia="Calibri" w:cs="Calibri"/>
          <w:color w:val="00A3E0"/>
          <w:sz w:val="16"/>
          <w:szCs w:val="16"/>
        </w:rPr>
        <w:t>ΥΠΟΙΚ</w:t>
      </w:r>
      <w:r w:rsidRPr="00BE1E36">
        <w:rPr>
          <w:rFonts w:eastAsia="Calibri" w:cs="Calibri"/>
          <w:color w:val="00A3E0"/>
          <w:sz w:val="16"/>
          <w:szCs w:val="16"/>
          <w:lang w:val="en-US"/>
        </w:rPr>
        <w:t xml:space="preserve">, </w:t>
      </w:r>
      <w:r w:rsidRPr="008B4F70">
        <w:rPr>
          <w:rFonts w:eastAsia="Calibri" w:cs="Calibri"/>
          <w:color w:val="00A3E0"/>
          <w:sz w:val="16"/>
          <w:szCs w:val="16"/>
          <w:lang w:val="en-US"/>
        </w:rPr>
        <w:t>Stability Programme 202</w:t>
      </w:r>
      <w:r>
        <w:rPr>
          <w:rFonts w:eastAsia="Calibri" w:cs="Calibri"/>
          <w:color w:val="00A3E0"/>
          <w:sz w:val="16"/>
          <w:szCs w:val="16"/>
          <w:lang w:val="en-US"/>
        </w:rPr>
        <w:t>1</w:t>
      </w:r>
      <w:r w:rsidRPr="008B4F70">
        <w:rPr>
          <w:rFonts w:eastAsia="Calibri" w:cs="Calibri"/>
          <w:color w:val="00A3E0"/>
          <w:sz w:val="16"/>
          <w:szCs w:val="16"/>
          <w:lang w:val="en-US"/>
        </w:rPr>
        <w:t xml:space="preserve">, </w:t>
      </w:r>
      <w:r>
        <w:rPr>
          <w:rFonts w:eastAsia="Calibri" w:cs="Calibri"/>
          <w:color w:val="00A3E0"/>
          <w:sz w:val="16"/>
          <w:szCs w:val="16"/>
        </w:rPr>
        <w:t>Απρίλιος</w:t>
      </w:r>
      <w:r w:rsidRPr="008B4F70">
        <w:rPr>
          <w:rFonts w:eastAsia="Calibri" w:cs="Calibri"/>
          <w:color w:val="00A3E0"/>
          <w:sz w:val="16"/>
          <w:szCs w:val="16"/>
          <w:lang w:val="en-US"/>
        </w:rPr>
        <w:t>, 202</w:t>
      </w:r>
      <w:r>
        <w:rPr>
          <w:rFonts w:eastAsia="Calibri" w:cs="Calibri"/>
          <w:color w:val="00A3E0"/>
          <w:sz w:val="16"/>
          <w:szCs w:val="16"/>
          <w:lang w:val="en-US"/>
        </w:rPr>
        <w:t>1</w:t>
      </w:r>
      <w:r w:rsidRPr="008B4F70">
        <w:rPr>
          <w:rFonts w:eastAsia="Calibri" w:cs="Calibri"/>
          <w:color w:val="00A3E0"/>
          <w:sz w:val="16"/>
          <w:szCs w:val="16"/>
          <w:lang w:val="en-US"/>
        </w:rPr>
        <w:t>.</w:t>
      </w:r>
    </w:p>
    <w:p w14:paraId="4DA4441D" w14:textId="77777777" w:rsidR="009C3CE1" w:rsidRDefault="009C3CE1" w:rsidP="009C3CE1">
      <w:pPr>
        <w:tabs>
          <w:tab w:val="left" w:pos="1113"/>
        </w:tabs>
        <w:spacing w:after="0" w:line="240" w:lineRule="auto"/>
        <w:ind w:left="142" w:hanging="142"/>
        <w:rPr>
          <w:rFonts w:eastAsia="Calibri" w:cs="Calibri"/>
          <w:color w:val="00A3E0"/>
          <w:sz w:val="16"/>
          <w:szCs w:val="16"/>
          <w:lang w:val="en-US"/>
        </w:rPr>
      </w:pPr>
      <w:r w:rsidRPr="00F91E07">
        <w:rPr>
          <w:rFonts w:eastAsia="Calibri" w:cs="Calibri"/>
          <w:b/>
          <w:bCs/>
          <w:color w:val="00A3E0"/>
          <w:sz w:val="16"/>
          <w:szCs w:val="16"/>
          <w:lang w:val="en-US"/>
        </w:rPr>
        <w:t>2)</w:t>
      </w:r>
      <w:r w:rsidRPr="00714895">
        <w:rPr>
          <w:rFonts w:eastAsia="Calibri" w:cs="Calibri"/>
          <w:color w:val="00A3E0"/>
          <w:sz w:val="16"/>
          <w:szCs w:val="16"/>
          <w:lang w:val="en-US"/>
        </w:rPr>
        <w:t xml:space="preserve"> </w:t>
      </w:r>
      <w:r w:rsidRPr="002F5A77">
        <w:rPr>
          <w:rFonts w:eastAsia="Calibri" w:cs="Calibri"/>
          <w:color w:val="00A3E0"/>
          <w:sz w:val="16"/>
          <w:szCs w:val="16"/>
          <w:lang w:val="en-US"/>
        </w:rPr>
        <w:t>European</w:t>
      </w:r>
      <w:r w:rsidRPr="00714895">
        <w:rPr>
          <w:rFonts w:eastAsia="Calibri" w:cs="Calibri"/>
          <w:color w:val="00A3E0"/>
          <w:sz w:val="16"/>
          <w:szCs w:val="16"/>
          <w:lang w:val="en-US"/>
        </w:rPr>
        <w:t xml:space="preserve"> </w:t>
      </w:r>
      <w:r w:rsidRPr="002F5A77">
        <w:rPr>
          <w:rFonts w:eastAsia="Calibri" w:cs="Calibri"/>
          <w:color w:val="00A3E0"/>
          <w:sz w:val="16"/>
          <w:szCs w:val="16"/>
          <w:lang w:val="en-US"/>
        </w:rPr>
        <w:t>Commission</w:t>
      </w:r>
      <w:r w:rsidRPr="00714895">
        <w:rPr>
          <w:rFonts w:eastAsia="Calibri" w:cs="Calibri"/>
          <w:color w:val="00A3E0"/>
          <w:sz w:val="16"/>
          <w:szCs w:val="16"/>
          <w:lang w:val="en-US"/>
        </w:rPr>
        <w:t xml:space="preserve">, </w:t>
      </w:r>
      <w:r w:rsidRPr="002F5A77">
        <w:rPr>
          <w:rFonts w:eastAsia="Calibri" w:cs="Calibri"/>
          <w:color w:val="00A3E0"/>
          <w:sz w:val="16"/>
          <w:szCs w:val="16"/>
          <w:lang w:val="en-US"/>
        </w:rPr>
        <w:t>European</w:t>
      </w:r>
      <w:r w:rsidRPr="00714895">
        <w:rPr>
          <w:rFonts w:eastAsia="Calibri" w:cs="Calibri"/>
          <w:color w:val="00A3E0"/>
          <w:sz w:val="16"/>
          <w:szCs w:val="16"/>
          <w:lang w:val="en-US"/>
        </w:rPr>
        <w:t xml:space="preserve"> </w:t>
      </w:r>
      <w:r w:rsidRPr="002F5A77">
        <w:rPr>
          <w:rFonts w:eastAsia="Calibri" w:cs="Calibri"/>
          <w:color w:val="00A3E0"/>
          <w:sz w:val="16"/>
          <w:szCs w:val="16"/>
          <w:lang w:val="en-US"/>
        </w:rPr>
        <w:t>Economic</w:t>
      </w:r>
      <w:r w:rsidRPr="00714895">
        <w:rPr>
          <w:rFonts w:eastAsia="Calibri" w:cs="Calibri"/>
          <w:color w:val="00A3E0"/>
          <w:sz w:val="16"/>
          <w:szCs w:val="16"/>
          <w:lang w:val="en-US"/>
        </w:rPr>
        <w:t xml:space="preserve"> </w:t>
      </w:r>
      <w:r w:rsidRPr="002F5A77">
        <w:rPr>
          <w:rFonts w:eastAsia="Calibri" w:cs="Calibri"/>
          <w:color w:val="00A3E0"/>
          <w:sz w:val="16"/>
          <w:szCs w:val="16"/>
          <w:lang w:val="en-US"/>
        </w:rPr>
        <w:t>Forecast</w:t>
      </w:r>
      <w:r w:rsidRPr="00714895">
        <w:rPr>
          <w:rFonts w:eastAsia="Calibri" w:cs="Calibri"/>
          <w:color w:val="00A3E0"/>
          <w:sz w:val="16"/>
          <w:szCs w:val="16"/>
          <w:lang w:val="en-US"/>
        </w:rPr>
        <w:t xml:space="preserve">, </w:t>
      </w:r>
      <w:r>
        <w:rPr>
          <w:rFonts w:eastAsia="Calibri" w:cs="Calibri"/>
          <w:color w:val="00A3E0"/>
          <w:sz w:val="16"/>
          <w:szCs w:val="16"/>
        </w:rPr>
        <w:t>Μάϊος</w:t>
      </w:r>
      <w:r w:rsidRPr="00714895">
        <w:rPr>
          <w:rFonts w:eastAsia="Calibri" w:cs="Calibri"/>
          <w:color w:val="00A3E0"/>
          <w:sz w:val="16"/>
          <w:szCs w:val="16"/>
          <w:lang w:val="en-US"/>
        </w:rPr>
        <w:t xml:space="preserve"> 202</w:t>
      </w:r>
      <w:r>
        <w:rPr>
          <w:rFonts w:eastAsia="Calibri" w:cs="Calibri"/>
          <w:color w:val="00A3E0"/>
          <w:sz w:val="16"/>
          <w:szCs w:val="16"/>
          <w:lang w:val="en-US"/>
        </w:rPr>
        <w:t>1</w:t>
      </w:r>
      <w:r w:rsidRPr="00F91E07">
        <w:rPr>
          <w:rFonts w:eastAsia="Calibri" w:cs="Calibri"/>
          <w:color w:val="00A3E0"/>
          <w:sz w:val="16"/>
          <w:szCs w:val="16"/>
          <w:lang w:val="en-US"/>
        </w:rPr>
        <w:t>.</w:t>
      </w:r>
    </w:p>
    <w:p w14:paraId="31D5E8A0" w14:textId="77777777" w:rsidR="009C3CE1" w:rsidRPr="006902B0" w:rsidRDefault="009C3CE1" w:rsidP="009C3CE1">
      <w:pPr>
        <w:spacing w:after="0" w:line="259" w:lineRule="auto"/>
        <w:rPr>
          <w:rFonts w:eastAsia="Calibri" w:cs="Times New Roman"/>
          <w:bCs/>
          <w:color w:val="auto"/>
          <w:lang w:val="en-US"/>
        </w:rPr>
      </w:pPr>
    </w:p>
    <w:p w14:paraId="052FABDC" w14:textId="66FC9221" w:rsidR="00EF4140" w:rsidRDefault="00EF4140" w:rsidP="00EF4140">
      <w:pPr>
        <w:shd w:val="clear" w:color="auto" w:fill="FFFFFF"/>
        <w:spacing w:after="160"/>
        <w:rPr>
          <w:rFonts w:eastAsia="Calibri" w:cs="Times New Roman"/>
          <w:color w:val="auto"/>
          <w:shd w:val="clear" w:color="auto" w:fill="FFFFFF"/>
        </w:rPr>
      </w:pPr>
      <w:r w:rsidRPr="00715050">
        <w:rPr>
          <w:rFonts w:eastAsia="Calibri" w:cs="Times New Roman"/>
          <w:color w:val="auto"/>
          <w:shd w:val="clear" w:color="auto" w:fill="FFFFFF"/>
        </w:rPr>
        <w:t>Ο ακαθάριστος σχηματισμός παγίου κεφαλαίου, σύμφωνα με το Υπουργείο Οικονομι</w:t>
      </w:r>
      <w:r>
        <w:rPr>
          <w:rFonts w:eastAsia="Calibri" w:cs="Times New Roman"/>
          <w:color w:val="auto"/>
          <w:shd w:val="clear" w:color="auto" w:fill="FFFFFF"/>
        </w:rPr>
        <w:t>κ</w:t>
      </w:r>
      <w:r w:rsidRPr="00715050">
        <w:rPr>
          <w:rFonts w:eastAsia="Calibri" w:cs="Times New Roman"/>
          <w:color w:val="auto"/>
          <w:shd w:val="clear" w:color="auto" w:fill="FFFFFF"/>
        </w:rPr>
        <w:t xml:space="preserve">ών, αναμένεται να </w:t>
      </w:r>
      <w:r>
        <w:rPr>
          <w:rFonts w:eastAsia="Calibri" w:cs="Times New Roman"/>
          <w:color w:val="auto"/>
          <w:shd w:val="clear" w:color="auto" w:fill="FFFFFF"/>
        </w:rPr>
        <w:t>ενισχυθεί σημαντικά (</w:t>
      </w:r>
      <w:r w:rsidRPr="00715050">
        <w:rPr>
          <w:rFonts w:eastAsia="Calibri" w:cs="Times New Roman"/>
          <w:color w:val="auto"/>
          <w:shd w:val="clear" w:color="auto" w:fill="FFFFFF"/>
        </w:rPr>
        <w:t>7,0%</w:t>
      </w:r>
      <w:r>
        <w:rPr>
          <w:rFonts w:eastAsia="Calibri" w:cs="Times New Roman"/>
          <w:color w:val="auto"/>
          <w:shd w:val="clear" w:color="auto" w:fill="FFFFFF"/>
        </w:rPr>
        <w:t>), το 2021</w:t>
      </w:r>
      <w:r w:rsidRPr="00715050">
        <w:rPr>
          <w:rFonts w:eastAsia="Calibri" w:cs="Times New Roman"/>
          <w:color w:val="auto"/>
          <w:shd w:val="clear" w:color="auto" w:fill="FFFFFF"/>
        </w:rPr>
        <w:t>.</w:t>
      </w:r>
      <w:r>
        <w:rPr>
          <w:rFonts w:eastAsia="Calibri" w:cs="Times New Roman"/>
          <w:color w:val="auto"/>
          <w:shd w:val="clear" w:color="auto" w:fill="FFFFFF"/>
        </w:rPr>
        <w:t xml:space="preserve"> Οι προβλέψεις της </w:t>
      </w:r>
      <w:r w:rsidRPr="00715050">
        <w:rPr>
          <w:rFonts w:eastAsia="Calibri" w:cs="Times New Roman"/>
          <w:color w:val="auto"/>
          <w:shd w:val="clear" w:color="auto" w:fill="FFFFFF"/>
        </w:rPr>
        <w:t xml:space="preserve"> </w:t>
      </w:r>
      <w:r w:rsidRPr="00311335">
        <w:rPr>
          <w:rFonts w:eastAsia="Calibri" w:cs="Times New Roman"/>
          <w:color w:val="auto"/>
          <w:shd w:val="clear" w:color="auto" w:fill="FFFFFF"/>
        </w:rPr>
        <w:t xml:space="preserve">Ευρωπαϊκής Επιτροπής </w:t>
      </w:r>
      <w:r>
        <w:rPr>
          <w:rFonts w:eastAsia="Calibri" w:cs="Times New Roman"/>
          <w:color w:val="auto"/>
          <w:shd w:val="clear" w:color="auto" w:fill="FFFFFF"/>
        </w:rPr>
        <w:t xml:space="preserve">είναι πιο αισιόδοξες και ανεβάζουν </w:t>
      </w:r>
      <w:r w:rsidR="009434FF">
        <w:rPr>
          <w:rFonts w:eastAsia="Calibri" w:cs="Times New Roman"/>
          <w:color w:val="auto"/>
          <w:shd w:val="clear" w:color="auto" w:fill="FFFFFF"/>
        </w:rPr>
        <w:t>τον πήχη</w:t>
      </w:r>
      <w:r>
        <w:rPr>
          <w:rFonts w:eastAsia="Calibri" w:cs="Times New Roman"/>
          <w:color w:val="auto"/>
          <w:shd w:val="clear" w:color="auto" w:fill="FFFFFF"/>
        </w:rPr>
        <w:t xml:space="preserve"> στο </w:t>
      </w:r>
      <w:r w:rsidRPr="00311335">
        <w:rPr>
          <w:rFonts w:eastAsia="Calibri" w:cs="Times New Roman"/>
          <w:color w:val="auto"/>
          <w:shd w:val="clear" w:color="auto" w:fill="FFFFFF"/>
        </w:rPr>
        <w:t>12,9%</w:t>
      </w:r>
      <w:r>
        <w:rPr>
          <w:rFonts w:eastAsia="Calibri" w:cs="Times New Roman"/>
          <w:color w:val="auto"/>
          <w:shd w:val="clear" w:color="auto" w:fill="FFFFFF"/>
        </w:rPr>
        <w:t xml:space="preserve">. </w:t>
      </w:r>
      <w:r w:rsidR="009434FF" w:rsidRPr="009434FF">
        <w:rPr>
          <w:rFonts w:eastAsia="Calibri" w:cs="Times New Roman"/>
          <w:color w:val="auto"/>
          <w:shd w:val="clear" w:color="auto" w:fill="FFFFFF"/>
        </w:rPr>
        <w:t>Η απόκλιση αυτή στην πρόβλεψη για τη μεταβολή του ΑΣΠΚ μεταξύ Υπουργείου Οικονομικών και Ευρωπαϊκής Επιτροπής, οφείλεται στη διαφορετική εκτίμηση για την επίδραση που θα έχουν τα κεφάλαια του ταμείου ανάκαμψης στις ιδιωτικές επενδύσεις. Το Υπουργείο εκτιμά ότι την διετία 2021-2022 θα πραγματοποιηθεί μια οπισθοβαρής θετική επίδραση</w:t>
      </w:r>
      <w:r w:rsidR="009434FF">
        <w:rPr>
          <w:rFonts w:eastAsia="Calibri" w:cs="Times New Roman"/>
          <w:color w:val="auto"/>
          <w:shd w:val="clear" w:color="auto" w:fill="FFFFFF"/>
        </w:rPr>
        <w:t>,</w:t>
      </w:r>
      <w:r w:rsidR="009434FF" w:rsidRPr="009434FF">
        <w:rPr>
          <w:rFonts w:eastAsia="Calibri" w:cs="Times New Roman"/>
          <w:color w:val="auto"/>
          <w:shd w:val="clear" w:color="auto" w:fill="FFFFFF"/>
        </w:rPr>
        <w:t xml:space="preserve"> για αυτό</w:t>
      </w:r>
      <w:r w:rsidR="00350D4B">
        <w:rPr>
          <w:rFonts w:eastAsia="Calibri" w:cs="Times New Roman"/>
          <w:color w:val="auto"/>
          <w:shd w:val="clear" w:color="auto" w:fill="FFFFFF"/>
        </w:rPr>
        <w:t>ν</w:t>
      </w:r>
      <w:r w:rsidR="009434FF" w:rsidRPr="009434FF">
        <w:rPr>
          <w:rFonts w:eastAsia="Calibri" w:cs="Times New Roman"/>
          <w:color w:val="auto"/>
          <w:shd w:val="clear" w:color="auto" w:fill="FFFFFF"/>
        </w:rPr>
        <w:t xml:space="preserve"> το</w:t>
      </w:r>
      <w:r w:rsidR="00350D4B">
        <w:rPr>
          <w:rFonts w:eastAsia="Calibri" w:cs="Times New Roman"/>
          <w:color w:val="auto"/>
          <w:shd w:val="clear" w:color="auto" w:fill="FFFFFF"/>
        </w:rPr>
        <w:t>ν</w:t>
      </w:r>
      <w:r w:rsidR="009434FF" w:rsidRPr="009434FF">
        <w:rPr>
          <w:rFonts w:eastAsia="Calibri" w:cs="Times New Roman"/>
          <w:color w:val="auto"/>
          <w:shd w:val="clear" w:color="auto" w:fill="FFFFFF"/>
        </w:rPr>
        <w:t xml:space="preserve"> λόγο ανεβάζει τον πήχη για τον ρυθμό αύξησης του ΑΣΠΚ το 2022 στο 30,3% και διατηρεί συγκρατημένη εκτίμηση για το 2021 (+7,0%). Η Ευρωπαϊκή Επιτροπή επιμερίζει σχετικά αναλογικά την αύξηση και στα δύο έτη (2021: +12,9%, 2022:+15,1%)</w:t>
      </w:r>
    </w:p>
    <w:p w14:paraId="2F6721A2" w14:textId="29A7F740" w:rsidR="009C3CE1" w:rsidRDefault="00BC329B" w:rsidP="00EF4140">
      <w:pPr>
        <w:shd w:val="clear" w:color="auto" w:fill="FFFFFF"/>
        <w:spacing w:after="160"/>
        <w:rPr>
          <w:rFonts w:eastAsia="Calibri" w:cs="Times New Roman"/>
          <w:bCs/>
          <w:color w:val="auto"/>
        </w:rPr>
      </w:pPr>
      <w:r w:rsidRPr="00FA1B1D">
        <w:rPr>
          <w:rFonts w:eastAsia="Calibri" w:cs="Times New Roman"/>
          <w:color w:val="auto"/>
          <w:shd w:val="clear" w:color="auto" w:fill="FFFFFF"/>
        </w:rPr>
        <w:t xml:space="preserve">Ακόμη, το Υπουργείο Οικονομικών προβλέπει ότι οι εξαγωγές θα αυξηθούν περισσότερο σε σχέση με τις εισαγωγές (10,4% </w:t>
      </w:r>
      <w:r>
        <w:rPr>
          <w:rFonts w:eastAsia="Calibri" w:cs="Times New Roman"/>
          <w:color w:val="auto"/>
          <w:shd w:val="clear" w:color="auto" w:fill="FFFFFF"/>
        </w:rPr>
        <w:t>και</w:t>
      </w:r>
      <w:r w:rsidRPr="00FA1B1D">
        <w:rPr>
          <w:rFonts w:eastAsia="Calibri" w:cs="Times New Roman"/>
          <w:color w:val="auto"/>
          <w:shd w:val="clear" w:color="auto" w:fill="FFFFFF"/>
        </w:rPr>
        <w:t xml:space="preserve"> 6,9% αντίστοιχα) για το 2021, </w:t>
      </w:r>
      <w:r>
        <w:rPr>
          <w:rFonts w:eastAsia="Calibri" w:cs="Times New Roman"/>
          <w:color w:val="auto"/>
          <w:shd w:val="clear" w:color="auto" w:fill="FFFFFF"/>
        </w:rPr>
        <w:t>μειώνοντας το έλλειμμα στο ισοζύγιο αγαθών και υπηρεσιών</w:t>
      </w:r>
      <w:r w:rsidRPr="00FA1B1D">
        <w:rPr>
          <w:rFonts w:eastAsia="Calibri" w:cs="Times New Roman"/>
          <w:color w:val="auto"/>
          <w:shd w:val="clear" w:color="auto" w:fill="FFFFFF"/>
        </w:rPr>
        <w:t xml:space="preserve">. </w:t>
      </w:r>
      <w:r>
        <w:rPr>
          <w:rFonts w:eastAsia="Calibri" w:cs="Times New Roman"/>
          <w:color w:val="auto"/>
          <w:shd w:val="clear" w:color="auto" w:fill="FFFFFF"/>
        </w:rPr>
        <w:t>Το θετικό αυτό σ</w:t>
      </w:r>
      <w:r w:rsidR="00350D4B">
        <w:rPr>
          <w:rFonts w:eastAsia="Calibri" w:cs="Times New Roman"/>
          <w:color w:val="auto"/>
          <w:shd w:val="clear" w:color="auto" w:fill="FFFFFF"/>
        </w:rPr>
        <w:t xml:space="preserve">ενάριο στηρίζεται στην άρση των </w:t>
      </w:r>
      <w:r>
        <w:rPr>
          <w:rFonts w:eastAsia="Calibri" w:cs="Times New Roman"/>
          <w:color w:val="auto"/>
          <w:shd w:val="clear" w:color="auto" w:fill="FFFFFF"/>
        </w:rPr>
        <w:t xml:space="preserve">περιορισμών </w:t>
      </w:r>
      <w:r w:rsidRPr="00FA1B1D">
        <w:rPr>
          <w:rFonts w:eastAsia="Calibri" w:cs="Times New Roman"/>
          <w:color w:val="auto"/>
          <w:shd w:val="clear" w:color="auto" w:fill="FFFFFF"/>
        </w:rPr>
        <w:t xml:space="preserve">στις μετακινήσεις προσώπων και εμπορευμάτων, </w:t>
      </w:r>
      <w:r>
        <w:rPr>
          <w:rFonts w:eastAsia="Calibri" w:cs="Times New Roman"/>
          <w:color w:val="auto"/>
          <w:shd w:val="clear" w:color="auto" w:fill="FFFFFF"/>
        </w:rPr>
        <w:t xml:space="preserve">έτσι ώστε </w:t>
      </w:r>
      <w:r w:rsidRPr="00311335">
        <w:rPr>
          <w:rFonts w:eastAsia="Calibri" w:cs="Times New Roman"/>
          <w:color w:val="auto"/>
          <w:shd w:val="clear" w:color="auto" w:fill="FFFFFF"/>
        </w:rPr>
        <w:t>τουρισμό</w:t>
      </w:r>
      <w:r>
        <w:rPr>
          <w:rFonts w:eastAsia="Calibri" w:cs="Times New Roman"/>
          <w:color w:val="auto"/>
          <w:shd w:val="clear" w:color="auto" w:fill="FFFFFF"/>
        </w:rPr>
        <w:t>ς</w:t>
      </w:r>
      <w:r w:rsidRPr="00311335">
        <w:rPr>
          <w:rFonts w:eastAsia="Calibri" w:cs="Times New Roman"/>
          <w:color w:val="auto"/>
          <w:shd w:val="clear" w:color="auto" w:fill="FFFFFF"/>
        </w:rPr>
        <w:t>, ναυτιλία και μεταφορές να ε</w:t>
      </w:r>
      <w:r>
        <w:rPr>
          <w:rFonts w:eastAsia="Calibri" w:cs="Times New Roman"/>
          <w:color w:val="auto"/>
          <w:shd w:val="clear" w:color="auto" w:fill="FFFFFF"/>
        </w:rPr>
        <w:t>νισχυθούν</w:t>
      </w:r>
      <w:r w:rsidRPr="00311335">
        <w:rPr>
          <w:rFonts w:eastAsia="Calibri" w:cs="Times New Roman"/>
          <w:color w:val="auto"/>
          <w:shd w:val="clear" w:color="auto" w:fill="FFFFFF"/>
        </w:rPr>
        <w:t xml:space="preserve"> σε μεγαλύτερο βαθμό</w:t>
      </w:r>
      <w:r>
        <w:rPr>
          <w:rFonts w:eastAsia="Calibri" w:cs="Times New Roman"/>
          <w:color w:val="auto"/>
          <w:shd w:val="clear" w:color="auto" w:fill="FFFFFF"/>
        </w:rPr>
        <w:t>, με συνέπεια την αύξηση των εισπράξεων από εξαγωγές υπηρεσιών</w:t>
      </w:r>
      <w:r w:rsidRPr="00311335">
        <w:rPr>
          <w:rFonts w:eastAsia="Calibri" w:cs="Times New Roman"/>
          <w:color w:val="auto"/>
          <w:shd w:val="clear" w:color="auto" w:fill="FFFFFF"/>
        </w:rPr>
        <w:t xml:space="preserve">. Οι προβλέψεις της Ευρωπαϊκής Επιτροπής για τις εξαγωγές και εισαγωγές </w:t>
      </w:r>
      <w:r>
        <w:rPr>
          <w:rFonts w:eastAsia="Calibri" w:cs="Times New Roman"/>
          <w:color w:val="auto"/>
          <w:shd w:val="clear" w:color="auto" w:fill="FFFFFF"/>
        </w:rPr>
        <w:t xml:space="preserve">αγαθών και υπηρεσιών για </w:t>
      </w:r>
      <w:r w:rsidRPr="00311335">
        <w:rPr>
          <w:rFonts w:eastAsia="Calibri" w:cs="Times New Roman"/>
          <w:color w:val="auto"/>
          <w:shd w:val="clear" w:color="auto" w:fill="FFFFFF"/>
        </w:rPr>
        <w:t xml:space="preserve">το 2021 </w:t>
      </w:r>
      <w:r>
        <w:rPr>
          <w:rFonts w:eastAsia="Calibri" w:cs="Times New Roman"/>
          <w:color w:val="auto"/>
          <w:shd w:val="clear" w:color="auto" w:fill="FFFFFF"/>
        </w:rPr>
        <w:t>προσεγγίζουν πολύ αυτές του Υπουργείου Οικονομικών</w:t>
      </w:r>
      <w:r w:rsidRPr="00311335">
        <w:rPr>
          <w:rFonts w:eastAsia="Calibri" w:cs="Times New Roman"/>
          <w:color w:val="auto"/>
          <w:shd w:val="clear" w:color="auto" w:fill="FFFFFF"/>
        </w:rPr>
        <w:t>.</w:t>
      </w:r>
    </w:p>
    <w:p w14:paraId="22822004" w14:textId="77777777" w:rsidR="009C3CE1" w:rsidRPr="002F5A77" w:rsidRDefault="009C3CE1" w:rsidP="009C3CE1">
      <w:pPr>
        <w:spacing w:after="0" w:line="259" w:lineRule="auto"/>
        <w:rPr>
          <w:rFonts w:eastAsia="Calibri" w:cs="Times New Roman"/>
          <w:bCs/>
          <w:color w:val="auto"/>
        </w:rPr>
      </w:pPr>
    </w:p>
    <w:p w14:paraId="7512FCF6" w14:textId="16D8478C" w:rsidR="009C3CE1" w:rsidRDefault="009C3CE1" w:rsidP="009C3CE1">
      <w:pPr>
        <w:spacing w:after="0" w:line="240" w:lineRule="auto"/>
        <w:rPr>
          <w:rFonts w:eastAsia="Calibri" w:cs="Times New Roman"/>
          <w:iCs/>
          <w:color w:val="00B0F0"/>
          <w:sz w:val="20"/>
          <w:szCs w:val="20"/>
        </w:rPr>
      </w:pPr>
      <w:bookmarkStart w:id="120" w:name="_Ref515450596"/>
      <w:bookmarkStart w:id="121" w:name="_Toc25065296"/>
      <w:bookmarkStart w:id="122" w:name="_Toc43376979"/>
      <w:bookmarkStart w:id="123" w:name="_Toc73435769"/>
      <w:bookmarkStart w:id="124" w:name="_Toc514585708"/>
      <w:bookmarkStart w:id="125" w:name="_Toc515538908"/>
      <w:r w:rsidRPr="007D6510">
        <w:rPr>
          <w:rFonts w:eastAsia="Calibri" w:cs="Times New Roman"/>
          <w:iCs/>
          <w:sz w:val="20"/>
          <w:szCs w:val="20"/>
        </w:rPr>
        <w:t xml:space="preserve">Πίνακας </w:t>
      </w:r>
      <w:r w:rsidRPr="007D6510">
        <w:rPr>
          <w:rFonts w:eastAsia="Calibri" w:cs="Times New Roman"/>
          <w:iCs/>
          <w:sz w:val="20"/>
          <w:szCs w:val="20"/>
        </w:rPr>
        <w:fldChar w:fldCharType="begin"/>
      </w:r>
      <w:r w:rsidRPr="007D6510">
        <w:rPr>
          <w:rFonts w:eastAsia="Calibri" w:cs="Times New Roman"/>
          <w:iCs/>
          <w:sz w:val="20"/>
          <w:szCs w:val="20"/>
        </w:rPr>
        <w:instrText xml:space="preserve"> SEQ Πίνακας \* ARABIC </w:instrText>
      </w:r>
      <w:r w:rsidRPr="007D6510">
        <w:rPr>
          <w:rFonts w:eastAsia="Calibri" w:cs="Times New Roman"/>
          <w:iCs/>
          <w:sz w:val="20"/>
          <w:szCs w:val="20"/>
        </w:rPr>
        <w:fldChar w:fldCharType="separate"/>
      </w:r>
      <w:r w:rsidR="00CC05A7">
        <w:rPr>
          <w:rFonts w:eastAsia="Calibri" w:cs="Times New Roman"/>
          <w:iCs/>
          <w:noProof/>
          <w:sz w:val="20"/>
          <w:szCs w:val="20"/>
        </w:rPr>
        <w:t>8</w:t>
      </w:r>
      <w:r w:rsidRPr="007D6510">
        <w:rPr>
          <w:rFonts w:eastAsia="Calibri" w:cs="Times New Roman"/>
          <w:iCs/>
          <w:sz w:val="20"/>
          <w:szCs w:val="20"/>
        </w:rPr>
        <w:fldChar w:fldCharType="end"/>
      </w:r>
      <w:r w:rsidRPr="007D6510">
        <w:rPr>
          <w:rFonts w:eastAsia="Calibri" w:cs="Times New Roman"/>
          <w:iCs/>
          <w:sz w:val="20"/>
          <w:szCs w:val="20"/>
        </w:rPr>
        <w:t>:</w:t>
      </w:r>
      <w:r w:rsidRPr="007D6510">
        <w:rPr>
          <w:rFonts w:asciiTheme="minorHAnsi" w:hAnsiTheme="minorHAnsi" w:cstheme="minorHAnsi"/>
          <w:sz w:val="20"/>
          <w:szCs w:val="20"/>
        </w:rPr>
        <w:t xml:space="preserve"> </w:t>
      </w:r>
      <w:r w:rsidRPr="007D6510">
        <w:rPr>
          <w:rFonts w:eastAsia="Calibri"/>
          <w:iCs/>
          <w:sz w:val="20"/>
          <w:szCs w:val="20"/>
        </w:rPr>
        <w:t xml:space="preserve"> </w:t>
      </w:r>
      <w:bookmarkEnd w:id="120"/>
      <w:r w:rsidR="0032260A" w:rsidRPr="007D6510">
        <w:rPr>
          <w:color w:val="00B0F0"/>
          <w:sz w:val="20"/>
          <w:szCs w:val="20"/>
        </w:rPr>
        <w:t>Δ</w:t>
      </w:r>
      <w:r w:rsidRPr="007D6510">
        <w:rPr>
          <w:color w:val="00B0F0"/>
          <w:sz w:val="20"/>
          <w:szCs w:val="20"/>
        </w:rPr>
        <w:t>είκτες της ελληνικής οικ</w:t>
      </w:r>
      <w:r w:rsidRPr="009E221B">
        <w:rPr>
          <w:color w:val="00B0F0"/>
          <w:sz w:val="20"/>
          <w:szCs w:val="20"/>
        </w:rPr>
        <w:t>ονομίας</w:t>
      </w:r>
      <w:bookmarkEnd w:id="121"/>
      <w:bookmarkEnd w:id="122"/>
      <w:bookmarkEnd w:id="123"/>
      <w:r w:rsidRPr="009E221B">
        <w:rPr>
          <w:rFonts w:eastAsia="Calibri" w:cs="Times New Roman"/>
          <w:iCs/>
          <w:color w:val="00B0F0"/>
          <w:sz w:val="20"/>
          <w:szCs w:val="20"/>
        </w:rPr>
        <w:t xml:space="preserve"> </w:t>
      </w:r>
      <w:bookmarkEnd w:id="124"/>
      <w:bookmarkEnd w:id="125"/>
    </w:p>
    <w:tbl>
      <w:tblPr>
        <w:tblW w:w="839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4"/>
        <w:gridCol w:w="2862"/>
      </w:tblGrid>
      <w:tr w:rsidR="009C3CE1" w:rsidRPr="00157920" w14:paraId="1A9AD7B8" w14:textId="77777777" w:rsidTr="001D53FA">
        <w:trPr>
          <w:trHeight w:val="296"/>
        </w:trPr>
        <w:tc>
          <w:tcPr>
            <w:tcW w:w="5534" w:type="dxa"/>
            <w:shd w:val="clear" w:color="000000" w:fill="BDD6EE"/>
            <w:noWrap/>
            <w:vAlign w:val="center"/>
            <w:hideMark/>
          </w:tcPr>
          <w:p w14:paraId="747F5C74" w14:textId="77777777" w:rsidR="009C3CE1" w:rsidRPr="00157920" w:rsidRDefault="009C3CE1" w:rsidP="001D53FA">
            <w:pPr>
              <w:spacing w:after="0" w:line="240" w:lineRule="auto"/>
              <w:rPr>
                <w:rFonts w:eastAsia="Times New Roman" w:cs="Calibri"/>
                <w:b/>
                <w:bCs/>
                <w:color w:val="auto"/>
                <w:sz w:val="20"/>
                <w:szCs w:val="20"/>
                <w:lang w:eastAsia="el-GR"/>
              </w:rPr>
            </w:pPr>
            <w:r w:rsidRPr="00157920">
              <w:rPr>
                <w:rFonts w:eastAsia="Times New Roman" w:cs="Calibri"/>
                <w:b/>
                <w:bCs/>
                <w:color w:val="auto"/>
                <w:sz w:val="20"/>
                <w:szCs w:val="20"/>
                <w:lang w:eastAsia="el-GR"/>
              </w:rPr>
              <w:t> </w:t>
            </w:r>
          </w:p>
        </w:tc>
        <w:tc>
          <w:tcPr>
            <w:tcW w:w="2862" w:type="dxa"/>
            <w:shd w:val="clear" w:color="000000" w:fill="BDD6EE"/>
            <w:noWrap/>
            <w:vAlign w:val="center"/>
            <w:hideMark/>
          </w:tcPr>
          <w:p w14:paraId="550ACE58" w14:textId="77777777" w:rsidR="009C3CE1" w:rsidRPr="00EC34AD" w:rsidRDefault="009C3CE1" w:rsidP="001D53FA">
            <w:pPr>
              <w:spacing w:after="0" w:line="240" w:lineRule="auto"/>
              <w:jc w:val="center"/>
              <w:rPr>
                <w:rFonts w:eastAsia="Times New Roman" w:cs="Calibri"/>
                <w:b/>
                <w:bCs/>
                <w:i/>
                <w:iCs/>
                <w:color w:val="auto"/>
                <w:lang w:eastAsia="el-GR"/>
              </w:rPr>
            </w:pPr>
            <w:r w:rsidRPr="00EC34AD">
              <w:rPr>
                <w:rFonts w:eastAsia="Times New Roman" w:cs="Calibri"/>
                <w:b/>
                <w:bCs/>
                <w:i/>
                <w:iCs/>
                <w:color w:val="auto"/>
                <w:lang w:eastAsia="el-GR"/>
              </w:rPr>
              <w:t>2021</w:t>
            </w:r>
          </w:p>
        </w:tc>
      </w:tr>
      <w:tr w:rsidR="009C3CE1" w:rsidRPr="00157920" w14:paraId="21787CBF" w14:textId="77777777" w:rsidTr="001D53FA">
        <w:trPr>
          <w:trHeight w:val="296"/>
        </w:trPr>
        <w:tc>
          <w:tcPr>
            <w:tcW w:w="5534" w:type="dxa"/>
            <w:shd w:val="clear" w:color="000000" w:fill="F2F2F2"/>
            <w:noWrap/>
            <w:vAlign w:val="center"/>
            <w:hideMark/>
          </w:tcPr>
          <w:p w14:paraId="415267D7" w14:textId="77777777" w:rsidR="009C3CE1" w:rsidRPr="00157920" w:rsidRDefault="009C3CE1" w:rsidP="001D53FA">
            <w:pPr>
              <w:spacing w:after="0" w:line="240" w:lineRule="auto"/>
              <w:jc w:val="center"/>
              <w:rPr>
                <w:rFonts w:eastAsia="Times New Roman" w:cs="Calibri"/>
                <w:b/>
                <w:bCs/>
                <w:color w:val="auto"/>
                <w:sz w:val="20"/>
                <w:szCs w:val="20"/>
                <w:lang w:eastAsia="el-GR"/>
              </w:rPr>
            </w:pPr>
            <w:r w:rsidRPr="00157920">
              <w:rPr>
                <w:rFonts w:eastAsia="Times New Roman" w:cs="Calibri"/>
                <w:b/>
                <w:bCs/>
                <w:color w:val="auto"/>
                <w:sz w:val="20"/>
                <w:szCs w:val="20"/>
                <w:lang w:eastAsia="el-GR"/>
              </w:rPr>
              <w:t>Ποσοστό ανεργίας (</w:t>
            </w:r>
            <w:r w:rsidRPr="00157920">
              <w:rPr>
                <w:rFonts w:eastAsia="Times New Roman" w:cs="Calibri"/>
                <w:b/>
                <w:bCs/>
                <w:color w:val="auto"/>
                <w:sz w:val="18"/>
                <w:szCs w:val="18"/>
                <w:lang w:eastAsia="el-GR"/>
              </w:rPr>
              <w:t>ως % του εργατικού δυναμικού</w:t>
            </w:r>
            <w:r w:rsidRPr="00157920">
              <w:rPr>
                <w:rFonts w:eastAsia="Times New Roman" w:cs="Calibri"/>
                <w:b/>
                <w:bCs/>
                <w:color w:val="auto"/>
                <w:sz w:val="20"/>
                <w:szCs w:val="20"/>
                <w:lang w:eastAsia="el-GR"/>
              </w:rPr>
              <w:t>)</w:t>
            </w:r>
          </w:p>
        </w:tc>
        <w:tc>
          <w:tcPr>
            <w:tcW w:w="2862" w:type="dxa"/>
            <w:shd w:val="clear" w:color="000000" w:fill="F2F2F2"/>
            <w:noWrap/>
            <w:vAlign w:val="center"/>
            <w:hideMark/>
          </w:tcPr>
          <w:p w14:paraId="11666D36" w14:textId="77777777" w:rsidR="009C3CE1" w:rsidRPr="00EC34AD" w:rsidRDefault="009C3CE1" w:rsidP="001D53FA">
            <w:pPr>
              <w:spacing w:after="0" w:line="240" w:lineRule="auto"/>
              <w:jc w:val="left"/>
              <w:rPr>
                <w:rFonts w:eastAsia="Times New Roman" w:cs="Calibri"/>
                <w:i/>
                <w:iCs/>
                <w:color w:val="auto"/>
                <w:lang w:eastAsia="el-GR"/>
              </w:rPr>
            </w:pPr>
            <w:r w:rsidRPr="00EC34AD">
              <w:rPr>
                <w:rFonts w:eastAsia="Times New Roman" w:cs="Calibri"/>
                <w:i/>
                <w:iCs/>
                <w:color w:val="auto"/>
                <w:lang w:eastAsia="el-GR"/>
              </w:rPr>
              <w:t> </w:t>
            </w:r>
          </w:p>
        </w:tc>
      </w:tr>
      <w:tr w:rsidR="009C3CE1" w:rsidRPr="00157920" w14:paraId="689502C7" w14:textId="77777777" w:rsidTr="001D53FA">
        <w:trPr>
          <w:trHeight w:val="339"/>
        </w:trPr>
        <w:tc>
          <w:tcPr>
            <w:tcW w:w="5534" w:type="dxa"/>
            <w:shd w:val="clear" w:color="auto" w:fill="auto"/>
            <w:noWrap/>
            <w:vAlign w:val="center"/>
            <w:hideMark/>
          </w:tcPr>
          <w:p w14:paraId="265673D8" w14:textId="77777777" w:rsidR="009C3CE1" w:rsidRPr="00157920" w:rsidRDefault="009C3CE1" w:rsidP="001D53FA">
            <w:pPr>
              <w:spacing w:after="0" w:line="240" w:lineRule="auto"/>
              <w:rPr>
                <w:rFonts w:eastAsia="Times New Roman" w:cs="Calibri"/>
                <w:color w:val="auto"/>
                <w:sz w:val="20"/>
                <w:szCs w:val="20"/>
                <w:lang w:eastAsia="el-GR"/>
              </w:rPr>
            </w:pPr>
            <w:r w:rsidRPr="00157920">
              <w:rPr>
                <w:rFonts w:eastAsia="Times New Roman" w:cs="Calibri"/>
                <w:color w:val="auto"/>
                <w:sz w:val="20"/>
                <w:szCs w:val="20"/>
                <w:lang w:eastAsia="el-GR"/>
              </w:rPr>
              <w:t>Υπ. Οικονομικών</w:t>
            </w:r>
            <w:r w:rsidRPr="00157920">
              <w:rPr>
                <w:rFonts w:eastAsia="Times New Roman" w:cs="Calibri"/>
                <w:color w:val="auto"/>
                <w:sz w:val="20"/>
                <w:szCs w:val="20"/>
                <w:vertAlign w:val="superscript"/>
                <w:lang w:eastAsia="el-GR"/>
              </w:rPr>
              <w:t>1</w:t>
            </w:r>
            <w:r w:rsidRPr="00157920">
              <w:rPr>
                <w:rFonts w:eastAsia="Times New Roman" w:cs="Calibri"/>
                <w:color w:val="auto"/>
                <w:sz w:val="20"/>
                <w:szCs w:val="20"/>
                <w:lang w:eastAsia="el-GR"/>
              </w:rPr>
              <w:t xml:space="preserve">       (Απρίλιος 2021)</w:t>
            </w:r>
          </w:p>
        </w:tc>
        <w:tc>
          <w:tcPr>
            <w:tcW w:w="2862" w:type="dxa"/>
            <w:shd w:val="clear" w:color="auto" w:fill="auto"/>
            <w:noWrap/>
            <w:vAlign w:val="center"/>
            <w:hideMark/>
          </w:tcPr>
          <w:p w14:paraId="5DA6F1BF" w14:textId="77777777" w:rsidR="009C3CE1" w:rsidRPr="00EC34AD" w:rsidRDefault="009C3CE1" w:rsidP="001D53FA">
            <w:pPr>
              <w:spacing w:after="0" w:line="240" w:lineRule="auto"/>
              <w:jc w:val="center"/>
              <w:rPr>
                <w:rFonts w:eastAsia="Times New Roman" w:cs="Calibri"/>
                <w:i/>
                <w:iCs/>
                <w:color w:val="auto"/>
                <w:lang w:eastAsia="el-GR"/>
              </w:rPr>
            </w:pPr>
            <w:r>
              <w:rPr>
                <w:rFonts w:eastAsia="Times New Roman" w:cs="Calibri"/>
                <w:i/>
                <w:iCs/>
                <w:color w:val="auto"/>
                <w:lang w:eastAsia="el-GR"/>
              </w:rPr>
              <w:t>16,3</w:t>
            </w:r>
            <w:r w:rsidRPr="00EC34AD">
              <w:rPr>
                <w:rFonts w:eastAsia="Times New Roman" w:cs="Calibri"/>
                <w:i/>
                <w:iCs/>
                <w:color w:val="auto"/>
                <w:lang w:eastAsia="el-GR"/>
              </w:rPr>
              <w:t>%</w:t>
            </w:r>
          </w:p>
        </w:tc>
      </w:tr>
      <w:tr w:rsidR="009C3CE1" w:rsidRPr="00157920" w14:paraId="100B4169" w14:textId="77777777" w:rsidTr="001D53FA">
        <w:trPr>
          <w:trHeight w:val="339"/>
        </w:trPr>
        <w:tc>
          <w:tcPr>
            <w:tcW w:w="5534" w:type="dxa"/>
            <w:shd w:val="clear" w:color="auto" w:fill="auto"/>
            <w:noWrap/>
            <w:vAlign w:val="center"/>
            <w:hideMark/>
          </w:tcPr>
          <w:p w14:paraId="379876B1" w14:textId="77777777" w:rsidR="009C3CE1" w:rsidRPr="00157920" w:rsidRDefault="009C3CE1" w:rsidP="001D53FA">
            <w:pPr>
              <w:spacing w:after="0" w:line="240" w:lineRule="auto"/>
              <w:rPr>
                <w:rFonts w:eastAsia="Times New Roman" w:cs="Calibri"/>
                <w:color w:val="auto"/>
                <w:sz w:val="20"/>
                <w:szCs w:val="20"/>
                <w:lang w:eastAsia="el-GR"/>
              </w:rPr>
            </w:pPr>
            <w:r w:rsidRPr="00157920">
              <w:rPr>
                <w:rFonts w:eastAsia="Times New Roman" w:cs="Calibri"/>
                <w:color w:val="auto"/>
                <w:sz w:val="20"/>
                <w:szCs w:val="20"/>
                <w:lang w:eastAsia="el-GR"/>
              </w:rPr>
              <w:t>Ευρωπαϊκή Επιτροπή</w:t>
            </w:r>
            <w:r w:rsidRPr="00157920">
              <w:rPr>
                <w:rFonts w:eastAsia="Times New Roman" w:cs="Calibri"/>
                <w:color w:val="auto"/>
                <w:sz w:val="20"/>
                <w:szCs w:val="20"/>
                <w:vertAlign w:val="superscript"/>
                <w:lang w:eastAsia="el-GR"/>
              </w:rPr>
              <w:t>2</w:t>
            </w:r>
            <w:r w:rsidRPr="00157920">
              <w:rPr>
                <w:rFonts w:eastAsia="Times New Roman" w:cs="Calibri"/>
                <w:b/>
                <w:bCs/>
                <w:color w:val="auto"/>
                <w:sz w:val="20"/>
                <w:szCs w:val="20"/>
                <w:vertAlign w:val="superscript"/>
                <w:lang w:eastAsia="el-GR"/>
              </w:rPr>
              <w:t xml:space="preserve"> </w:t>
            </w:r>
            <w:r w:rsidRPr="00157920">
              <w:rPr>
                <w:rFonts w:eastAsia="Times New Roman" w:cs="Calibri"/>
                <w:color w:val="auto"/>
                <w:sz w:val="20"/>
                <w:szCs w:val="20"/>
                <w:lang w:eastAsia="el-GR"/>
              </w:rPr>
              <w:t>(Μάϊος 2021)</w:t>
            </w:r>
          </w:p>
        </w:tc>
        <w:tc>
          <w:tcPr>
            <w:tcW w:w="2862" w:type="dxa"/>
            <w:shd w:val="clear" w:color="auto" w:fill="auto"/>
            <w:noWrap/>
            <w:vAlign w:val="center"/>
            <w:hideMark/>
          </w:tcPr>
          <w:p w14:paraId="6F0E3B71" w14:textId="77777777" w:rsidR="009C3CE1" w:rsidRPr="00EC34AD" w:rsidRDefault="009C3CE1" w:rsidP="001D53FA">
            <w:pPr>
              <w:spacing w:after="0" w:line="240" w:lineRule="auto"/>
              <w:jc w:val="center"/>
              <w:rPr>
                <w:rFonts w:eastAsia="Times New Roman" w:cs="Calibri"/>
                <w:i/>
                <w:iCs/>
                <w:color w:val="auto"/>
                <w:lang w:eastAsia="el-GR"/>
              </w:rPr>
            </w:pPr>
            <w:r>
              <w:rPr>
                <w:rFonts w:eastAsia="Times New Roman" w:cs="Calibri"/>
                <w:i/>
                <w:iCs/>
                <w:color w:val="auto"/>
                <w:lang w:eastAsia="el-GR"/>
              </w:rPr>
              <w:t>16,3</w:t>
            </w:r>
            <w:r w:rsidRPr="00EC34AD">
              <w:rPr>
                <w:rFonts w:eastAsia="Times New Roman" w:cs="Calibri"/>
                <w:i/>
                <w:iCs/>
                <w:color w:val="auto"/>
                <w:lang w:eastAsia="el-GR"/>
              </w:rPr>
              <w:t>%</w:t>
            </w:r>
          </w:p>
        </w:tc>
      </w:tr>
      <w:tr w:rsidR="009C3CE1" w:rsidRPr="00157920" w14:paraId="2A641096" w14:textId="77777777" w:rsidTr="001D53FA">
        <w:trPr>
          <w:trHeight w:val="339"/>
        </w:trPr>
        <w:tc>
          <w:tcPr>
            <w:tcW w:w="5534" w:type="dxa"/>
            <w:shd w:val="clear" w:color="auto" w:fill="auto"/>
            <w:noWrap/>
            <w:vAlign w:val="center"/>
            <w:hideMark/>
          </w:tcPr>
          <w:p w14:paraId="1AD9073A" w14:textId="77777777" w:rsidR="009C3CE1" w:rsidRPr="00157920" w:rsidRDefault="009C3CE1" w:rsidP="001D53FA">
            <w:pPr>
              <w:spacing w:after="0" w:line="240" w:lineRule="auto"/>
              <w:rPr>
                <w:rFonts w:eastAsia="Times New Roman" w:cs="Calibri"/>
                <w:color w:val="auto"/>
                <w:sz w:val="20"/>
                <w:szCs w:val="20"/>
                <w:lang w:eastAsia="el-GR"/>
              </w:rPr>
            </w:pPr>
            <w:r w:rsidRPr="00157920">
              <w:rPr>
                <w:rFonts w:eastAsia="Times New Roman" w:cs="Calibri"/>
                <w:color w:val="auto"/>
                <w:sz w:val="20"/>
                <w:szCs w:val="20"/>
                <w:lang w:eastAsia="el-GR"/>
              </w:rPr>
              <w:t>ΔΝΤ</w:t>
            </w:r>
            <w:r w:rsidRPr="00157920">
              <w:rPr>
                <w:rFonts w:eastAsia="Times New Roman" w:cs="Calibri"/>
                <w:color w:val="auto"/>
                <w:sz w:val="20"/>
                <w:szCs w:val="20"/>
                <w:vertAlign w:val="superscript"/>
                <w:lang w:eastAsia="el-GR"/>
              </w:rPr>
              <w:t xml:space="preserve">3                                        </w:t>
            </w:r>
            <w:r w:rsidRPr="00157920">
              <w:rPr>
                <w:rFonts w:eastAsia="Times New Roman" w:cs="Calibri"/>
                <w:color w:val="auto"/>
                <w:sz w:val="20"/>
                <w:szCs w:val="20"/>
                <w:lang w:eastAsia="el-GR"/>
              </w:rPr>
              <w:t>(Απρίλιος 2021)</w:t>
            </w:r>
          </w:p>
        </w:tc>
        <w:tc>
          <w:tcPr>
            <w:tcW w:w="2862" w:type="dxa"/>
            <w:shd w:val="clear" w:color="auto" w:fill="auto"/>
            <w:noWrap/>
            <w:vAlign w:val="center"/>
            <w:hideMark/>
          </w:tcPr>
          <w:p w14:paraId="12F70AC0" w14:textId="77777777" w:rsidR="009C3CE1" w:rsidRPr="00EC34AD" w:rsidRDefault="009C3CE1" w:rsidP="001D53FA">
            <w:pPr>
              <w:spacing w:after="0" w:line="240" w:lineRule="auto"/>
              <w:jc w:val="center"/>
              <w:rPr>
                <w:rFonts w:eastAsia="Times New Roman" w:cs="Calibri"/>
                <w:i/>
                <w:iCs/>
                <w:color w:val="auto"/>
                <w:lang w:eastAsia="el-GR"/>
              </w:rPr>
            </w:pPr>
            <w:r>
              <w:rPr>
                <w:rFonts w:eastAsia="Times New Roman" w:cs="Calibri"/>
                <w:i/>
                <w:iCs/>
                <w:color w:val="auto"/>
                <w:lang w:eastAsia="el-GR"/>
              </w:rPr>
              <w:t>16,6</w:t>
            </w:r>
            <w:r w:rsidRPr="00EC34AD">
              <w:rPr>
                <w:rFonts w:eastAsia="Times New Roman" w:cs="Calibri"/>
                <w:i/>
                <w:iCs/>
                <w:color w:val="auto"/>
                <w:lang w:eastAsia="el-GR"/>
              </w:rPr>
              <w:t>%</w:t>
            </w:r>
          </w:p>
        </w:tc>
      </w:tr>
      <w:tr w:rsidR="009C3CE1" w:rsidRPr="00157920" w14:paraId="33E096F1" w14:textId="77777777" w:rsidTr="001D53FA">
        <w:trPr>
          <w:trHeight w:val="296"/>
        </w:trPr>
        <w:tc>
          <w:tcPr>
            <w:tcW w:w="5534" w:type="dxa"/>
            <w:shd w:val="clear" w:color="000000" w:fill="F2F2F2"/>
            <w:noWrap/>
            <w:vAlign w:val="center"/>
            <w:hideMark/>
          </w:tcPr>
          <w:p w14:paraId="5BDD241B" w14:textId="77777777" w:rsidR="009C3CE1" w:rsidRPr="00157920" w:rsidRDefault="009C3CE1" w:rsidP="001D53FA">
            <w:pPr>
              <w:spacing w:after="0" w:line="240" w:lineRule="auto"/>
              <w:jc w:val="center"/>
              <w:rPr>
                <w:rFonts w:eastAsia="Times New Roman" w:cs="Calibri"/>
                <w:b/>
                <w:bCs/>
                <w:color w:val="auto"/>
                <w:sz w:val="20"/>
                <w:szCs w:val="20"/>
                <w:lang w:eastAsia="el-GR"/>
              </w:rPr>
            </w:pPr>
            <w:r w:rsidRPr="00157920">
              <w:rPr>
                <w:rFonts w:eastAsia="Times New Roman" w:cs="Calibri"/>
                <w:b/>
                <w:bCs/>
                <w:color w:val="auto"/>
                <w:sz w:val="20"/>
                <w:szCs w:val="20"/>
                <w:lang w:eastAsia="el-GR"/>
              </w:rPr>
              <w:t>Ακαθ. χρέος της ΓΚ (% του ΑΕΠ)</w:t>
            </w:r>
          </w:p>
        </w:tc>
        <w:tc>
          <w:tcPr>
            <w:tcW w:w="2862" w:type="dxa"/>
            <w:shd w:val="clear" w:color="000000" w:fill="F2F2F2"/>
            <w:vAlign w:val="center"/>
            <w:hideMark/>
          </w:tcPr>
          <w:p w14:paraId="4DBF02F0" w14:textId="77777777" w:rsidR="009C3CE1" w:rsidRPr="00EC34AD" w:rsidRDefault="009C3CE1" w:rsidP="001D53FA">
            <w:pPr>
              <w:spacing w:after="0" w:line="240" w:lineRule="auto"/>
              <w:jc w:val="left"/>
              <w:rPr>
                <w:rFonts w:eastAsia="Times New Roman" w:cs="Calibri"/>
                <w:i/>
                <w:iCs/>
                <w:color w:val="auto"/>
                <w:lang w:eastAsia="el-GR"/>
              </w:rPr>
            </w:pPr>
            <w:r w:rsidRPr="00EC34AD">
              <w:rPr>
                <w:rFonts w:eastAsia="Times New Roman" w:cs="Calibri"/>
                <w:i/>
                <w:iCs/>
                <w:color w:val="auto"/>
                <w:lang w:eastAsia="el-GR"/>
              </w:rPr>
              <w:t> </w:t>
            </w:r>
          </w:p>
        </w:tc>
      </w:tr>
      <w:tr w:rsidR="009C3CE1" w:rsidRPr="00157920" w14:paraId="3D583AFA" w14:textId="77777777" w:rsidTr="001D53FA">
        <w:trPr>
          <w:trHeight w:val="296"/>
        </w:trPr>
        <w:tc>
          <w:tcPr>
            <w:tcW w:w="5534" w:type="dxa"/>
            <w:shd w:val="clear" w:color="auto" w:fill="auto"/>
            <w:noWrap/>
            <w:vAlign w:val="center"/>
            <w:hideMark/>
          </w:tcPr>
          <w:p w14:paraId="4A0B68A7" w14:textId="77777777" w:rsidR="009C3CE1" w:rsidRPr="00157920" w:rsidRDefault="009C3CE1" w:rsidP="001D53FA">
            <w:pPr>
              <w:spacing w:after="0" w:line="240" w:lineRule="auto"/>
              <w:rPr>
                <w:rFonts w:eastAsia="Times New Roman" w:cs="Calibri"/>
                <w:color w:val="auto"/>
                <w:sz w:val="20"/>
                <w:szCs w:val="20"/>
                <w:lang w:eastAsia="el-GR"/>
              </w:rPr>
            </w:pPr>
            <w:r w:rsidRPr="00157920">
              <w:rPr>
                <w:rFonts w:eastAsia="Times New Roman" w:cs="Calibri"/>
                <w:color w:val="auto"/>
                <w:sz w:val="20"/>
                <w:szCs w:val="20"/>
                <w:lang w:eastAsia="el-GR"/>
              </w:rPr>
              <w:t>Υπ. Οικονομικών</w:t>
            </w:r>
          </w:p>
        </w:tc>
        <w:tc>
          <w:tcPr>
            <w:tcW w:w="2862" w:type="dxa"/>
            <w:shd w:val="clear" w:color="auto" w:fill="auto"/>
            <w:noWrap/>
            <w:vAlign w:val="center"/>
            <w:hideMark/>
          </w:tcPr>
          <w:p w14:paraId="32BAA4FD" w14:textId="77777777" w:rsidR="009C3CE1" w:rsidRPr="00EC34AD" w:rsidRDefault="009C3CE1" w:rsidP="001D53FA">
            <w:pPr>
              <w:spacing w:after="0" w:line="240" w:lineRule="auto"/>
              <w:jc w:val="center"/>
              <w:rPr>
                <w:rFonts w:eastAsia="Times New Roman" w:cs="Calibri"/>
                <w:i/>
                <w:iCs/>
                <w:color w:val="auto"/>
                <w:lang w:eastAsia="el-GR"/>
              </w:rPr>
            </w:pPr>
            <w:r>
              <w:rPr>
                <w:rFonts w:eastAsia="Times New Roman" w:cs="Calibri"/>
                <w:i/>
                <w:iCs/>
                <w:color w:val="auto"/>
                <w:lang w:eastAsia="el-GR"/>
              </w:rPr>
              <w:t>204,8</w:t>
            </w:r>
            <w:r w:rsidRPr="00EC34AD">
              <w:rPr>
                <w:rFonts w:eastAsia="Times New Roman" w:cs="Calibri"/>
                <w:i/>
                <w:iCs/>
                <w:color w:val="auto"/>
                <w:lang w:eastAsia="el-GR"/>
              </w:rPr>
              <w:t>%</w:t>
            </w:r>
          </w:p>
        </w:tc>
      </w:tr>
      <w:tr w:rsidR="009C3CE1" w:rsidRPr="00157920" w14:paraId="6E3CA48F" w14:textId="77777777" w:rsidTr="001D53FA">
        <w:trPr>
          <w:trHeight w:val="296"/>
        </w:trPr>
        <w:tc>
          <w:tcPr>
            <w:tcW w:w="5534" w:type="dxa"/>
            <w:shd w:val="clear" w:color="auto" w:fill="auto"/>
            <w:noWrap/>
            <w:vAlign w:val="center"/>
            <w:hideMark/>
          </w:tcPr>
          <w:p w14:paraId="7CDB6414" w14:textId="77777777" w:rsidR="009C3CE1" w:rsidRPr="00157920" w:rsidRDefault="009C3CE1" w:rsidP="001D53FA">
            <w:pPr>
              <w:spacing w:after="0" w:line="240" w:lineRule="auto"/>
              <w:rPr>
                <w:rFonts w:eastAsia="Times New Roman" w:cs="Calibri"/>
                <w:color w:val="auto"/>
                <w:sz w:val="20"/>
                <w:szCs w:val="20"/>
                <w:lang w:eastAsia="el-GR"/>
              </w:rPr>
            </w:pPr>
            <w:r w:rsidRPr="00157920">
              <w:rPr>
                <w:rFonts w:eastAsia="Times New Roman" w:cs="Calibri"/>
                <w:color w:val="auto"/>
                <w:sz w:val="20"/>
                <w:szCs w:val="20"/>
                <w:lang w:eastAsia="el-GR"/>
              </w:rPr>
              <w:t>Ευρωπαϊκή Επιτροπή</w:t>
            </w:r>
            <w:r w:rsidRPr="00157920">
              <w:rPr>
                <w:rFonts w:eastAsia="Times New Roman" w:cs="Calibri"/>
                <w:b/>
                <w:bCs/>
                <w:color w:val="auto"/>
                <w:sz w:val="20"/>
                <w:szCs w:val="20"/>
                <w:vertAlign w:val="superscript"/>
                <w:lang w:eastAsia="el-GR"/>
              </w:rPr>
              <w:t xml:space="preserve"> </w:t>
            </w:r>
          </w:p>
        </w:tc>
        <w:tc>
          <w:tcPr>
            <w:tcW w:w="2862" w:type="dxa"/>
            <w:shd w:val="clear" w:color="auto" w:fill="auto"/>
            <w:noWrap/>
            <w:vAlign w:val="center"/>
            <w:hideMark/>
          </w:tcPr>
          <w:p w14:paraId="079B5C9D" w14:textId="77777777" w:rsidR="009C3CE1" w:rsidRPr="00EC34AD" w:rsidRDefault="009C3CE1" w:rsidP="001D53FA">
            <w:pPr>
              <w:spacing w:after="0" w:line="240" w:lineRule="auto"/>
              <w:jc w:val="center"/>
              <w:rPr>
                <w:rFonts w:eastAsia="Times New Roman" w:cs="Calibri"/>
                <w:i/>
                <w:iCs/>
                <w:color w:val="auto"/>
                <w:lang w:eastAsia="el-GR"/>
              </w:rPr>
            </w:pPr>
            <w:r>
              <w:rPr>
                <w:rFonts w:eastAsia="Times New Roman" w:cs="Calibri"/>
                <w:i/>
                <w:iCs/>
                <w:color w:val="auto"/>
                <w:lang w:eastAsia="el-GR"/>
              </w:rPr>
              <w:t>208,8</w:t>
            </w:r>
            <w:r w:rsidRPr="00EC34AD">
              <w:rPr>
                <w:rFonts w:eastAsia="Times New Roman" w:cs="Calibri"/>
                <w:i/>
                <w:iCs/>
                <w:color w:val="auto"/>
                <w:lang w:eastAsia="el-GR"/>
              </w:rPr>
              <w:t>%</w:t>
            </w:r>
          </w:p>
        </w:tc>
      </w:tr>
      <w:tr w:rsidR="009C3CE1" w:rsidRPr="00157920" w14:paraId="6BABAEE2" w14:textId="77777777" w:rsidTr="001D53FA">
        <w:trPr>
          <w:trHeight w:val="296"/>
        </w:trPr>
        <w:tc>
          <w:tcPr>
            <w:tcW w:w="5534" w:type="dxa"/>
            <w:shd w:val="clear" w:color="auto" w:fill="auto"/>
            <w:noWrap/>
            <w:vAlign w:val="center"/>
            <w:hideMark/>
          </w:tcPr>
          <w:p w14:paraId="278204A0" w14:textId="77777777" w:rsidR="009C3CE1" w:rsidRPr="00157920" w:rsidRDefault="009C3CE1" w:rsidP="001D53FA">
            <w:pPr>
              <w:spacing w:after="0" w:line="240" w:lineRule="auto"/>
              <w:rPr>
                <w:rFonts w:eastAsia="Times New Roman" w:cs="Calibri"/>
                <w:color w:val="auto"/>
                <w:sz w:val="20"/>
                <w:szCs w:val="20"/>
                <w:lang w:eastAsia="el-GR"/>
              </w:rPr>
            </w:pPr>
            <w:r w:rsidRPr="00157920">
              <w:rPr>
                <w:rFonts w:eastAsia="Times New Roman" w:cs="Calibri"/>
                <w:color w:val="auto"/>
                <w:sz w:val="20"/>
                <w:szCs w:val="20"/>
                <w:lang w:eastAsia="el-GR"/>
              </w:rPr>
              <w:t>ΔΝΤ</w:t>
            </w:r>
          </w:p>
        </w:tc>
        <w:tc>
          <w:tcPr>
            <w:tcW w:w="2862" w:type="dxa"/>
            <w:shd w:val="clear" w:color="auto" w:fill="auto"/>
            <w:noWrap/>
            <w:vAlign w:val="center"/>
            <w:hideMark/>
          </w:tcPr>
          <w:p w14:paraId="41F83F92" w14:textId="77777777" w:rsidR="009C3CE1" w:rsidRPr="00EC34AD" w:rsidRDefault="009C3CE1" w:rsidP="001D53FA">
            <w:pPr>
              <w:spacing w:after="0" w:line="240" w:lineRule="auto"/>
              <w:jc w:val="center"/>
              <w:rPr>
                <w:rFonts w:eastAsia="Times New Roman" w:cs="Calibri"/>
                <w:i/>
                <w:iCs/>
                <w:color w:val="auto"/>
                <w:lang w:eastAsia="el-GR"/>
              </w:rPr>
            </w:pPr>
            <w:r>
              <w:rPr>
                <w:rFonts w:eastAsia="Times New Roman" w:cs="Calibri"/>
                <w:i/>
                <w:iCs/>
                <w:color w:val="auto"/>
                <w:lang w:eastAsia="el-GR"/>
              </w:rPr>
              <w:t>210,1</w:t>
            </w:r>
            <w:r w:rsidRPr="00EC34AD">
              <w:rPr>
                <w:rFonts w:eastAsia="Times New Roman" w:cs="Calibri"/>
                <w:i/>
                <w:iCs/>
                <w:color w:val="auto"/>
                <w:lang w:eastAsia="el-GR"/>
              </w:rPr>
              <w:t>%</w:t>
            </w:r>
          </w:p>
        </w:tc>
      </w:tr>
      <w:tr w:rsidR="009C3CE1" w:rsidRPr="00157920" w14:paraId="1D0016E5" w14:textId="77777777" w:rsidTr="001D53FA">
        <w:trPr>
          <w:trHeight w:val="296"/>
        </w:trPr>
        <w:tc>
          <w:tcPr>
            <w:tcW w:w="5534" w:type="dxa"/>
            <w:shd w:val="clear" w:color="000000" w:fill="F2F2F2"/>
            <w:noWrap/>
            <w:vAlign w:val="center"/>
            <w:hideMark/>
          </w:tcPr>
          <w:p w14:paraId="3461150E" w14:textId="77777777" w:rsidR="009C3CE1" w:rsidRPr="00157920" w:rsidRDefault="009C3CE1" w:rsidP="001D53FA">
            <w:pPr>
              <w:spacing w:after="0" w:line="240" w:lineRule="auto"/>
              <w:jc w:val="center"/>
              <w:rPr>
                <w:rFonts w:eastAsia="Times New Roman" w:cs="Calibri"/>
                <w:b/>
                <w:bCs/>
                <w:color w:val="auto"/>
                <w:sz w:val="20"/>
                <w:szCs w:val="20"/>
                <w:lang w:eastAsia="el-GR"/>
              </w:rPr>
            </w:pPr>
            <w:r w:rsidRPr="00157920">
              <w:rPr>
                <w:rFonts w:eastAsia="Times New Roman" w:cs="Calibri"/>
                <w:b/>
                <w:bCs/>
                <w:color w:val="auto"/>
                <w:sz w:val="20"/>
                <w:szCs w:val="20"/>
                <w:lang w:eastAsia="el-GR"/>
              </w:rPr>
              <w:t>Αποπληθωριστής ΑΕΠ (ετ. % μεταβολή)</w:t>
            </w:r>
          </w:p>
        </w:tc>
        <w:tc>
          <w:tcPr>
            <w:tcW w:w="2862" w:type="dxa"/>
            <w:shd w:val="clear" w:color="000000" w:fill="F2F2F2"/>
            <w:noWrap/>
            <w:vAlign w:val="center"/>
            <w:hideMark/>
          </w:tcPr>
          <w:p w14:paraId="0B7184CB" w14:textId="77777777" w:rsidR="009C3CE1" w:rsidRPr="00EC34AD" w:rsidRDefault="009C3CE1" w:rsidP="001D53FA">
            <w:pPr>
              <w:spacing w:after="0" w:line="240" w:lineRule="auto"/>
              <w:jc w:val="left"/>
              <w:rPr>
                <w:rFonts w:eastAsia="Times New Roman" w:cs="Calibri"/>
                <w:i/>
                <w:iCs/>
                <w:color w:val="auto"/>
                <w:lang w:eastAsia="el-GR"/>
              </w:rPr>
            </w:pPr>
            <w:r w:rsidRPr="00EC34AD">
              <w:rPr>
                <w:rFonts w:eastAsia="Times New Roman" w:cs="Calibri"/>
                <w:i/>
                <w:iCs/>
                <w:color w:val="auto"/>
                <w:lang w:eastAsia="el-GR"/>
              </w:rPr>
              <w:t> </w:t>
            </w:r>
          </w:p>
        </w:tc>
      </w:tr>
      <w:tr w:rsidR="009C3CE1" w:rsidRPr="00157920" w14:paraId="1BC87DA7" w14:textId="77777777" w:rsidTr="001D53FA">
        <w:trPr>
          <w:trHeight w:val="296"/>
        </w:trPr>
        <w:tc>
          <w:tcPr>
            <w:tcW w:w="5534" w:type="dxa"/>
            <w:shd w:val="clear" w:color="auto" w:fill="auto"/>
            <w:noWrap/>
            <w:vAlign w:val="center"/>
            <w:hideMark/>
          </w:tcPr>
          <w:p w14:paraId="277B1D0B" w14:textId="77777777" w:rsidR="009C3CE1" w:rsidRPr="00157920" w:rsidRDefault="009C3CE1" w:rsidP="001D53FA">
            <w:pPr>
              <w:spacing w:after="0" w:line="240" w:lineRule="auto"/>
              <w:rPr>
                <w:rFonts w:eastAsia="Times New Roman" w:cs="Calibri"/>
                <w:color w:val="auto"/>
                <w:sz w:val="20"/>
                <w:szCs w:val="20"/>
                <w:lang w:eastAsia="el-GR"/>
              </w:rPr>
            </w:pPr>
            <w:r w:rsidRPr="00157920">
              <w:rPr>
                <w:rFonts w:eastAsia="Times New Roman" w:cs="Calibri"/>
                <w:color w:val="auto"/>
                <w:sz w:val="20"/>
                <w:szCs w:val="20"/>
                <w:lang w:eastAsia="el-GR"/>
              </w:rPr>
              <w:t>Υπ. Οικονομικών</w:t>
            </w:r>
          </w:p>
        </w:tc>
        <w:tc>
          <w:tcPr>
            <w:tcW w:w="2862" w:type="dxa"/>
            <w:shd w:val="clear" w:color="auto" w:fill="auto"/>
            <w:noWrap/>
            <w:vAlign w:val="center"/>
            <w:hideMark/>
          </w:tcPr>
          <w:p w14:paraId="3915FE45" w14:textId="77777777" w:rsidR="009C3CE1" w:rsidRPr="00EC34AD" w:rsidRDefault="009C3CE1" w:rsidP="001D53FA">
            <w:pPr>
              <w:spacing w:after="0" w:line="240" w:lineRule="auto"/>
              <w:jc w:val="center"/>
              <w:rPr>
                <w:rFonts w:eastAsia="Times New Roman" w:cs="Calibri"/>
                <w:i/>
                <w:iCs/>
                <w:color w:val="auto"/>
                <w:lang w:eastAsia="el-GR"/>
              </w:rPr>
            </w:pPr>
            <w:r w:rsidRPr="00EC34AD">
              <w:rPr>
                <w:rFonts w:eastAsia="Times New Roman" w:cs="Calibri"/>
                <w:i/>
                <w:iCs/>
                <w:color w:val="auto"/>
                <w:lang w:val="en-US" w:eastAsia="el-GR"/>
              </w:rPr>
              <w:t>0,20%</w:t>
            </w:r>
          </w:p>
        </w:tc>
      </w:tr>
      <w:tr w:rsidR="009C3CE1" w:rsidRPr="00157920" w14:paraId="08090076" w14:textId="77777777" w:rsidTr="001D53FA">
        <w:trPr>
          <w:trHeight w:val="296"/>
        </w:trPr>
        <w:tc>
          <w:tcPr>
            <w:tcW w:w="5534" w:type="dxa"/>
            <w:shd w:val="clear" w:color="auto" w:fill="auto"/>
            <w:noWrap/>
            <w:vAlign w:val="center"/>
            <w:hideMark/>
          </w:tcPr>
          <w:p w14:paraId="75892850" w14:textId="77777777" w:rsidR="009C3CE1" w:rsidRPr="00157920" w:rsidRDefault="009C3CE1" w:rsidP="001D53FA">
            <w:pPr>
              <w:spacing w:after="0" w:line="240" w:lineRule="auto"/>
              <w:rPr>
                <w:rFonts w:eastAsia="Times New Roman" w:cs="Calibri"/>
                <w:color w:val="auto"/>
                <w:sz w:val="20"/>
                <w:szCs w:val="20"/>
                <w:lang w:eastAsia="el-GR"/>
              </w:rPr>
            </w:pPr>
            <w:r w:rsidRPr="00157920">
              <w:rPr>
                <w:rFonts w:eastAsia="Times New Roman" w:cs="Calibri"/>
                <w:color w:val="auto"/>
                <w:sz w:val="20"/>
                <w:szCs w:val="20"/>
                <w:lang w:eastAsia="el-GR"/>
              </w:rPr>
              <w:t>Ευρωπαϊκή Επιτροπή</w:t>
            </w:r>
            <w:r w:rsidRPr="00157920">
              <w:rPr>
                <w:rFonts w:eastAsia="Times New Roman" w:cs="Calibri"/>
                <w:b/>
                <w:bCs/>
                <w:color w:val="auto"/>
                <w:sz w:val="20"/>
                <w:szCs w:val="20"/>
                <w:vertAlign w:val="superscript"/>
                <w:lang w:eastAsia="el-GR"/>
              </w:rPr>
              <w:t xml:space="preserve"> </w:t>
            </w:r>
          </w:p>
        </w:tc>
        <w:tc>
          <w:tcPr>
            <w:tcW w:w="2862" w:type="dxa"/>
            <w:shd w:val="clear" w:color="auto" w:fill="auto"/>
            <w:noWrap/>
            <w:vAlign w:val="center"/>
            <w:hideMark/>
          </w:tcPr>
          <w:p w14:paraId="29DC6B31" w14:textId="77777777" w:rsidR="009C3CE1" w:rsidRPr="00EC34AD" w:rsidRDefault="009C3CE1" w:rsidP="001D53FA">
            <w:pPr>
              <w:spacing w:after="0" w:line="240" w:lineRule="auto"/>
              <w:jc w:val="center"/>
              <w:rPr>
                <w:rFonts w:eastAsia="Times New Roman" w:cs="Calibri"/>
                <w:i/>
                <w:iCs/>
                <w:color w:val="auto"/>
                <w:lang w:eastAsia="el-GR"/>
              </w:rPr>
            </w:pPr>
            <w:r w:rsidRPr="00EC34AD">
              <w:rPr>
                <w:rFonts w:eastAsia="Times New Roman" w:cs="Calibri"/>
                <w:i/>
                <w:iCs/>
                <w:color w:val="auto"/>
                <w:lang w:eastAsia="el-GR"/>
              </w:rPr>
              <w:t>-0,30%</w:t>
            </w:r>
          </w:p>
        </w:tc>
      </w:tr>
      <w:tr w:rsidR="009C3CE1" w:rsidRPr="00157920" w14:paraId="32230302" w14:textId="77777777" w:rsidTr="001D53FA">
        <w:trPr>
          <w:trHeight w:val="296"/>
        </w:trPr>
        <w:tc>
          <w:tcPr>
            <w:tcW w:w="5534" w:type="dxa"/>
            <w:shd w:val="clear" w:color="000000" w:fill="F2F2F2"/>
            <w:noWrap/>
            <w:vAlign w:val="center"/>
            <w:hideMark/>
          </w:tcPr>
          <w:p w14:paraId="5C63512F" w14:textId="77777777" w:rsidR="009C3CE1" w:rsidRPr="00157920" w:rsidRDefault="009C3CE1" w:rsidP="001D53FA">
            <w:pPr>
              <w:spacing w:after="0" w:line="240" w:lineRule="auto"/>
              <w:jc w:val="center"/>
              <w:rPr>
                <w:rFonts w:eastAsia="Times New Roman" w:cs="Calibri"/>
                <w:b/>
                <w:bCs/>
                <w:color w:val="auto"/>
                <w:sz w:val="20"/>
                <w:szCs w:val="20"/>
                <w:lang w:eastAsia="el-GR"/>
              </w:rPr>
            </w:pPr>
            <w:r w:rsidRPr="00157920">
              <w:rPr>
                <w:rFonts w:eastAsia="Times New Roman" w:cs="Calibri"/>
                <w:b/>
                <w:bCs/>
                <w:color w:val="auto"/>
                <w:sz w:val="20"/>
                <w:szCs w:val="20"/>
                <w:lang w:eastAsia="el-GR"/>
              </w:rPr>
              <w:t>Εναρμονισμένος ΔΤΚ (ετ. % μεταβολή)</w:t>
            </w:r>
          </w:p>
        </w:tc>
        <w:tc>
          <w:tcPr>
            <w:tcW w:w="2862" w:type="dxa"/>
            <w:shd w:val="clear" w:color="000000" w:fill="F2F2F2"/>
            <w:vAlign w:val="center"/>
            <w:hideMark/>
          </w:tcPr>
          <w:p w14:paraId="692E5941" w14:textId="77777777" w:rsidR="009C3CE1" w:rsidRPr="00EC34AD" w:rsidRDefault="009C3CE1" w:rsidP="001D53FA">
            <w:pPr>
              <w:spacing w:after="0" w:line="240" w:lineRule="auto"/>
              <w:jc w:val="left"/>
              <w:rPr>
                <w:rFonts w:eastAsia="Times New Roman" w:cs="Calibri"/>
                <w:i/>
                <w:iCs/>
                <w:color w:val="auto"/>
                <w:lang w:eastAsia="el-GR"/>
              </w:rPr>
            </w:pPr>
            <w:r w:rsidRPr="00EC34AD">
              <w:rPr>
                <w:rFonts w:eastAsia="Times New Roman" w:cs="Calibri"/>
                <w:i/>
                <w:iCs/>
                <w:color w:val="auto"/>
                <w:lang w:eastAsia="el-GR"/>
              </w:rPr>
              <w:t> </w:t>
            </w:r>
          </w:p>
        </w:tc>
      </w:tr>
      <w:tr w:rsidR="009C3CE1" w:rsidRPr="00157920" w14:paraId="4DECC6E6" w14:textId="77777777" w:rsidTr="001D53FA">
        <w:trPr>
          <w:trHeight w:val="296"/>
        </w:trPr>
        <w:tc>
          <w:tcPr>
            <w:tcW w:w="5534" w:type="dxa"/>
            <w:shd w:val="clear" w:color="auto" w:fill="auto"/>
            <w:noWrap/>
            <w:vAlign w:val="center"/>
            <w:hideMark/>
          </w:tcPr>
          <w:p w14:paraId="043728E4" w14:textId="77777777" w:rsidR="009C3CE1" w:rsidRPr="00157920" w:rsidRDefault="009C3CE1" w:rsidP="001D53FA">
            <w:pPr>
              <w:spacing w:after="0" w:line="240" w:lineRule="auto"/>
              <w:rPr>
                <w:rFonts w:eastAsia="Times New Roman" w:cs="Calibri"/>
                <w:color w:val="auto"/>
                <w:sz w:val="20"/>
                <w:szCs w:val="20"/>
                <w:lang w:eastAsia="el-GR"/>
              </w:rPr>
            </w:pPr>
            <w:r w:rsidRPr="00157920">
              <w:rPr>
                <w:rFonts w:eastAsia="Times New Roman" w:cs="Calibri"/>
                <w:color w:val="auto"/>
                <w:sz w:val="20"/>
                <w:szCs w:val="20"/>
                <w:lang w:eastAsia="el-GR"/>
              </w:rPr>
              <w:t>Υπ. Οικονομικών</w:t>
            </w:r>
          </w:p>
        </w:tc>
        <w:tc>
          <w:tcPr>
            <w:tcW w:w="2862" w:type="dxa"/>
            <w:shd w:val="clear" w:color="auto" w:fill="auto"/>
            <w:noWrap/>
            <w:vAlign w:val="center"/>
            <w:hideMark/>
          </w:tcPr>
          <w:p w14:paraId="5328590A" w14:textId="77777777" w:rsidR="009C3CE1" w:rsidRPr="00EC34AD" w:rsidRDefault="009C3CE1" w:rsidP="001D53FA">
            <w:pPr>
              <w:spacing w:after="0" w:line="240" w:lineRule="auto"/>
              <w:jc w:val="center"/>
              <w:rPr>
                <w:rFonts w:eastAsia="Times New Roman" w:cs="Calibri"/>
                <w:i/>
                <w:iCs/>
                <w:color w:val="auto"/>
                <w:lang w:eastAsia="el-GR"/>
              </w:rPr>
            </w:pPr>
            <w:r w:rsidRPr="00EC34AD">
              <w:rPr>
                <w:rFonts w:eastAsia="Times New Roman" w:cs="Calibri"/>
                <w:i/>
                <w:iCs/>
                <w:color w:val="auto"/>
                <w:lang w:eastAsia="el-GR"/>
              </w:rPr>
              <w:t>0,00%</w:t>
            </w:r>
          </w:p>
        </w:tc>
      </w:tr>
      <w:tr w:rsidR="009C3CE1" w:rsidRPr="00157920" w14:paraId="71044E10" w14:textId="77777777" w:rsidTr="001D53FA">
        <w:trPr>
          <w:trHeight w:val="296"/>
        </w:trPr>
        <w:tc>
          <w:tcPr>
            <w:tcW w:w="5534" w:type="dxa"/>
            <w:shd w:val="clear" w:color="auto" w:fill="auto"/>
            <w:noWrap/>
            <w:vAlign w:val="center"/>
            <w:hideMark/>
          </w:tcPr>
          <w:p w14:paraId="0F973F79" w14:textId="77777777" w:rsidR="009C3CE1" w:rsidRPr="00157920" w:rsidRDefault="009C3CE1" w:rsidP="001D53FA">
            <w:pPr>
              <w:spacing w:after="0" w:line="240" w:lineRule="auto"/>
              <w:rPr>
                <w:rFonts w:eastAsia="Times New Roman" w:cs="Calibri"/>
                <w:color w:val="auto"/>
                <w:sz w:val="20"/>
                <w:szCs w:val="20"/>
                <w:lang w:eastAsia="el-GR"/>
              </w:rPr>
            </w:pPr>
            <w:r w:rsidRPr="00157920">
              <w:rPr>
                <w:rFonts w:eastAsia="Times New Roman" w:cs="Calibri"/>
                <w:color w:val="auto"/>
                <w:sz w:val="20"/>
                <w:szCs w:val="20"/>
                <w:lang w:eastAsia="el-GR"/>
              </w:rPr>
              <w:t>Ευρωπαϊκή Επιτροπή</w:t>
            </w:r>
            <w:r w:rsidRPr="00157920">
              <w:rPr>
                <w:rFonts w:eastAsia="Times New Roman" w:cs="Calibri"/>
                <w:b/>
                <w:bCs/>
                <w:color w:val="auto"/>
                <w:sz w:val="20"/>
                <w:szCs w:val="20"/>
                <w:vertAlign w:val="superscript"/>
                <w:lang w:eastAsia="el-GR"/>
              </w:rPr>
              <w:t xml:space="preserve"> </w:t>
            </w:r>
          </w:p>
        </w:tc>
        <w:tc>
          <w:tcPr>
            <w:tcW w:w="2862" w:type="dxa"/>
            <w:shd w:val="clear" w:color="auto" w:fill="auto"/>
            <w:noWrap/>
            <w:vAlign w:val="center"/>
            <w:hideMark/>
          </w:tcPr>
          <w:p w14:paraId="386AB73C" w14:textId="77777777" w:rsidR="009C3CE1" w:rsidRPr="00EC34AD" w:rsidRDefault="009C3CE1" w:rsidP="001D53FA">
            <w:pPr>
              <w:spacing w:after="0" w:line="240" w:lineRule="auto"/>
              <w:jc w:val="center"/>
              <w:rPr>
                <w:rFonts w:eastAsia="Times New Roman" w:cs="Calibri"/>
                <w:i/>
                <w:iCs/>
                <w:color w:val="auto"/>
                <w:lang w:eastAsia="el-GR"/>
              </w:rPr>
            </w:pPr>
            <w:r w:rsidRPr="00EC34AD">
              <w:rPr>
                <w:rFonts w:eastAsia="Times New Roman" w:cs="Calibri"/>
                <w:i/>
                <w:iCs/>
                <w:color w:val="auto"/>
                <w:lang w:eastAsia="el-GR"/>
              </w:rPr>
              <w:t>-0,20%</w:t>
            </w:r>
          </w:p>
        </w:tc>
      </w:tr>
      <w:tr w:rsidR="009C3CE1" w:rsidRPr="00157920" w14:paraId="62FEF449" w14:textId="77777777" w:rsidTr="001D53FA">
        <w:trPr>
          <w:trHeight w:val="296"/>
        </w:trPr>
        <w:tc>
          <w:tcPr>
            <w:tcW w:w="5534" w:type="dxa"/>
            <w:shd w:val="clear" w:color="auto" w:fill="auto"/>
            <w:noWrap/>
            <w:vAlign w:val="center"/>
            <w:hideMark/>
          </w:tcPr>
          <w:p w14:paraId="4D33B0C6" w14:textId="77777777" w:rsidR="009C3CE1" w:rsidRPr="00157920" w:rsidRDefault="009C3CE1" w:rsidP="001D53FA">
            <w:pPr>
              <w:spacing w:after="0" w:line="240" w:lineRule="auto"/>
              <w:rPr>
                <w:rFonts w:eastAsia="Times New Roman" w:cs="Calibri"/>
                <w:color w:val="auto"/>
                <w:sz w:val="20"/>
                <w:szCs w:val="20"/>
                <w:lang w:eastAsia="el-GR"/>
              </w:rPr>
            </w:pPr>
            <w:r w:rsidRPr="00157920">
              <w:rPr>
                <w:rFonts w:eastAsia="Times New Roman" w:cs="Calibri"/>
                <w:color w:val="auto"/>
                <w:sz w:val="20"/>
                <w:szCs w:val="20"/>
                <w:lang w:eastAsia="el-GR"/>
              </w:rPr>
              <w:t>ΔΝΤ</w:t>
            </w:r>
          </w:p>
        </w:tc>
        <w:tc>
          <w:tcPr>
            <w:tcW w:w="2862" w:type="dxa"/>
            <w:shd w:val="clear" w:color="auto" w:fill="auto"/>
            <w:noWrap/>
            <w:vAlign w:val="center"/>
            <w:hideMark/>
          </w:tcPr>
          <w:p w14:paraId="53118A99" w14:textId="77777777" w:rsidR="009C3CE1" w:rsidRPr="00EC34AD" w:rsidRDefault="009C3CE1" w:rsidP="001D53FA">
            <w:pPr>
              <w:spacing w:after="0" w:line="240" w:lineRule="auto"/>
              <w:jc w:val="center"/>
              <w:rPr>
                <w:rFonts w:eastAsia="Times New Roman" w:cs="Calibri"/>
                <w:i/>
                <w:iCs/>
                <w:color w:val="auto"/>
                <w:lang w:eastAsia="el-GR"/>
              </w:rPr>
            </w:pPr>
            <w:r w:rsidRPr="00EC34AD">
              <w:rPr>
                <w:rFonts w:eastAsia="Times New Roman" w:cs="Calibri"/>
                <w:i/>
                <w:iCs/>
                <w:color w:val="auto"/>
                <w:lang w:eastAsia="el-GR"/>
              </w:rPr>
              <w:t>0,20%</w:t>
            </w:r>
          </w:p>
        </w:tc>
      </w:tr>
    </w:tbl>
    <w:p w14:paraId="69EE7327" w14:textId="77777777" w:rsidR="009C3CE1" w:rsidRDefault="009C3CE1" w:rsidP="009C3CE1">
      <w:pPr>
        <w:tabs>
          <w:tab w:val="left" w:pos="1113"/>
        </w:tabs>
        <w:spacing w:after="0" w:line="240" w:lineRule="auto"/>
        <w:ind w:left="142" w:hanging="142"/>
        <w:rPr>
          <w:rFonts w:eastAsia="Calibri" w:cs="Times New Roman"/>
          <w:b/>
          <w:sz w:val="16"/>
          <w:szCs w:val="16"/>
          <w:lang w:val="en-US"/>
        </w:rPr>
      </w:pPr>
      <w:r w:rsidRPr="002F5A77">
        <w:rPr>
          <w:rFonts w:eastAsia="Calibri" w:cs="Times New Roman"/>
          <w:b/>
          <w:sz w:val="16"/>
          <w:szCs w:val="16"/>
        </w:rPr>
        <w:t>Πηγές</w:t>
      </w:r>
      <w:r w:rsidRPr="00F91E07">
        <w:rPr>
          <w:rFonts w:eastAsia="Calibri" w:cs="Times New Roman"/>
          <w:b/>
          <w:sz w:val="16"/>
          <w:szCs w:val="16"/>
          <w:lang w:val="en-US"/>
        </w:rPr>
        <w:t>:</w:t>
      </w:r>
    </w:p>
    <w:p w14:paraId="7BC488D0" w14:textId="77777777" w:rsidR="009C3CE1" w:rsidRDefault="009C3CE1" w:rsidP="009C3CE1">
      <w:pPr>
        <w:tabs>
          <w:tab w:val="left" w:pos="1113"/>
        </w:tabs>
        <w:spacing w:after="0" w:line="240" w:lineRule="auto"/>
        <w:ind w:left="142" w:hanging="142"/>
        <w:rPr>
          <w:rFonts w:eastAsia="Calibri" w:cs="Calibri"/>
          <w:color w:val="00A3E0"/>
          <w:sz w:val="16"/>
          <w:szCs w:val="16"/>
          <w:lang w:val="en-US"/>
        </w:rPr>
      </w:pPr>
      <w:r w:rsidRPr="002F5A77">
        <w:rPr>
          <w:rFonts w:eastAsia="Calibri" w:cs="Times New Roman"/>
          <w:b/>
          <w:color w:val="00A3E0"/>
          <w:sz w:val="16"/>
          <w:szCs w:val="16"/>
          <w:lang w:val="en-US"/>
        </w:rPr>
        <w:t>1</w:t>
      </w:r>
      <w:r w:rsidRPr="008B4F70">
        <w:rPr>
          <w:rFonts w:eastAsia="Calibri" w:cs="Calibri"/>
          <w:b/>
          <w:bCs/>
          <w:color w:val="00A3E0"/>
          <w:sz w:val="16"/>
          <w:szCs w:val="16"/>
          <w:lang w:val="en-US"/>
        </w:rPr>
        <w:t xml:space="preserve">) </w:t>
      </w:r>
      <w:r w:rsidRPr="00974410">
        <w:rPr>
          <w:rFonts w:eastAsia="Calibri" w:cs="Calibri"/>
          <w:color w:val="00A3E0"/>
          <w:sz w:val="16"/>
          <w:szCs w:val="16"/>
          <w:lang w:val="en-US"/>
        </w:rPr>
        <w:t>Y</w:t>
      </w:r>
      <w:r w:rsidRPr="00974410">
        <w:rPr>
          <w:rFonts w:eastAsia="Calibri" w:cs="Calibri"/>
          <w:color w:val="00A3E0"/>
          <w:sz w:val="16"/>
          <w:szCs w:val="16"/>
        </w:rPr>
        <w:t>Π</w:t>
      </w:r>
      <w:r w:rsidRPr="00974410">
        <w:rPr>
          <w:rFonts w:eastAsia="Calibri" w:cs="Calibri"/>
          <w:color w:val="00A3E0"/>
          <w:sz w:val="16"/>
          <w:szCs w:val="16"/>
          <w:lang w:val="en-US"/>
        </w:rPr>
        <w:t>OIK,</w:t>
      </w:r>
      <w:r>
        <w:rPr>
          <w:rFonts w:eastAsia="Calibri" w:cs="Calibri"/>
          <w:b/>
          <w:bCs/>
          <w:color w:val="00A3E0"/>
          <w:sz w:val="16"/>
          <w:szCs w:val="16"/>
          <w:lang w:val="en-US"/>
        </w:rPr>
        <w:t xml:space="preserve"> </w:t>
      </w:r>
      <w:r w:rsidRPr="008B4F70">
        <w:rPr>
          <w:rFonts w:eastAsia="Calibri" w:cs="Calibri"/>
          <w:color w:val="00A3E0"/>
          <w:sz w:val="16"/>
          <w:szCs w:val="16"/>
          <w:lang w:val="en-US"/>
        </w:rPr>
        <w:t>Stability Programme 202</w:t>
      </w:r>
      <w:r>
        <w:rPr>
          <w:rFonts w:eastAsia="Calibri" w:cs="Calibri"/>
          <w:color w:val="00A3E0"/>
          <w:sz w:val="16"/>
          <w:szCs w:val="16"/>
          <w:lang w:val="en-US"/>
        </w:rPr>
        <w:t>1</w:t>
      </w:r>
      <w:r w:rsidRPr="008B4F70">
        <w:rPr>
          <w:rFonts w:eastAsia="Calibri" w:cs="Calibri"/>
          <w:color w:val="00A3E0"/>
          <w:sz w:val="16"/>
          <w:szCs w:val="16"/>
          <w:lang w:val="en-US"/>
        </w:rPr>
        <w:t xml:space="preserve">, </w:t>
      </w:r>
      <w:r>
        <w:rPr>
          <w:rFonts w:eastAsia="Calibri" w:cs="Calibri"/>
          <w:color w:val="00A3E0"/>
          <w:sz w:val="16"/>
          <w:szCs w:val="16"/>
        </w:rPr>
        <w:t>Απρίλιος</w:t>
      </w:r>
      <w:r w:rsidRPr="008B4F70">
        <w:rPr>
          <w:rFonts w:eastAsia="Calibri" w:cs="Calibri"/>
          <w:color w:val="00A3E0"/>
          <w:sz w:val="16"/>
          <w:szCs w:val="16"/>
          <w:lang w:val="en-US"/>
        </w:rPr>
        <w:t>, 202</w:t>
      </w:r>
      <w:r>
        <w:rPr>
          <w:rFonts w:eastAsia="Calibri" w:cs="Calibri"/>
          <w:color w:val="00A3E0"/>
          <w:sz w:val="16"/>
          <w:szCs w:val="16"/>
          <w:lang w:val="en-US"/>
        </w:rPr>
        <w:t>1</w:t>
      </w:r>
      <w:r w:rsidRPr="008B4F70">
        <w:rPr>
          <w:rFonts w:eastAsia="Calibri" w:cs="Calibri"/>
          <w:color w:val="00A3E0"/>
          <w:sz w:val="16"/>
          <w:szCs w:val="16"/>
          <w:lang w:val="en-US"/>
        </w:rPr>
        <w:t xml:space="preserve">. </w:t>
      </w:r>
    </w:p>
    <w:p w14:paraId="3DC1981C" w14:textId="77777777" w:rsidR="009C3CE1" w:rsidRDefault="009C3CE1" w:rsidP="009C3CE1">
      <w:pPr>
        <w:tabs>
          <w:tab w:val="left" w:pos="1113"/>
        </w:tabs>
        <w:spacing w:after="0" w:line="240" w:lineRule="auto"/>
        <w:ind w:left="142" w:hanging="142"/>
        <w:rPr>
          <w:rFonts w:eastAsia="Calibri" w:cs="Calibri"/>
          <w:color w:val="00A3E0"/>
          <w:sz w:val="16"/>
          <w:szCs w:val="16"/>
          <w:lang w:val="en-US"/>
        </w:rPr>
      </w:pPr>
      <w:r w:rsidRPr="00F91E07">
        <w:rPr>
          <w:rFonts w:eastAsia="Calibri" w:cs="Calibri"/>
          <w:b/>
          <w:bCs/>
          <w:color w:val="00A3E0"/>
          <w:sz w:val="16"/>
          <w:szCs w:val="16"/>
          <w:lang w:val="en-US"/>
        </w:rPr>
        <w:t>2)</w:t>
      </w:r>
      <w:r w:rsidRPr="00714895">
        <w:rPr>
          <w:rFonts w:eastAsia="Calibri" w:cs="Calibri"/>
          <w:color w:val="00A3E0"/>
          <w:sz w:val="16"/>
          <w:szCs w:val="16"/>
          <w:lang w:val="en-US"/>
        </w:rPr>
        <w:t xml:space="preserve"> </w:t>
      </w:r>
      <w:r w:rsidRPr="002F5A77">
        <w:rPr>
          <w:rFonts w:eastAsia="Calibri" w:cs="Calibri"/>
          <w:color w:val="00A3E0"/>
          <w:sz w:val="16"/>
          <w:szCs w:val="16"/>
          <w:lang w:val="en-US"/>
        </w:rPr>
        <w:t>European</w:t>
      </w:r>
      <w:r w:rsidRPr="00714895">
        <w:rPr>
          <w:rFonts w:eastAsia="Calibri" w:cs="Calibri"/>
          <w:color w:val="00A3E0"/>
          <w:sz w:val="16"/>
          <w:szCs w:val="16"/>
          <w:lang w:val="en-US"/>
        </w:rPr>
        <w:t xml:space="preserve"> </w:t>
      </w:r>
      <w:r w:rsidRPr="002F5A77">
        <w:rPr>
          <w:rFonts w:eastAsia="Calibri" w:cs="Calibri"/>
          <w:color w:val="00A3E0"/>
          <w:sz w:val="16"/>
          <w:szCs w:val="16"/>
          <w:lang w:val="en-US"/>
        </w:rPr>
        <w:t>Commission</w:t>
      </w:r>
      <w:r w:rsidRPr="00714895">
        <w:rPr>
          <w:rFonts w:eastAsia="Calibri" w:cs="Calibri"/>
          <w:color w:val="00A3E0"/>
          <w:sz w:val="16"/>
          <w:szCs w:val="16"/>
          <w:lang w:val="en-US"/>
        </w:rPr>
        <w:t xml:space="preserve">, </w:t>
      </w:r>
      <w:r w:rsidRPr="002F5A77">
        <w:rPr>
          <w:rFonts w:eastAsia="Calibri" w:cs="Calibri"/>
          <w:color w:val="00A3E0"/>
          <w:sz w:val="16"/>
          <w:szCs w:val="16"/>
          <w:lang w:val="en-US"/>
        </w:rPr>
        <w:t>European</w:t>
      </w:r>
      <w:r w:rsidRPr="00714895">
        <w:rPr>
          <w:rFonts w:eastAsia="Calibri" w:cs="Calibri"/>
          <w:color w:val="00A3E0"/>
          <w:sz w:val="16"/>
          <w:szCs w:val="16"/>
          <w:lang w:val="en-US"/>
        </w:rPr>
        <w:t xml:space="preserve"> </w:t>
      </w:r>
      <w:r w:rsidRPr="002F5A77">
        <w:rPr>
          <w:rFonts w:eastAsia="Calibri" w:cs="Calibri"/>
          <w:color w:val="00A3E0"/>
          <w:sz w:val="16"/>
          <w:szCs w:val="16"/>
          <w:lang w:val="en-US"/>
        </w:rPr>
        <w:t>Economic</w:t>
      </w:r>
      <w:r w:rsidRPr="00714895">
        <w:rPr>
          <w:rFonts w:eastAsia="Calibri" w:cs="Calibri"/>
          <w:color w:val="00A3E0"/>
          <w:sz w:val="16"/>
          <w:szCs w:val="16"/>
          <w:lang w:val="en-US"/>
        </w:rPr>
        <w:t xml:space="preserve"> </w:t>
      </w:r>
      <w:r w:rsidRPr="002F5A77">
        <w:rPr>
          <w:rFonts w:eastAsia="Calibri" w:cs="Calibri"/>
          <w:color w:val="00A3E0"/>
          <w:sz w:val="16"/>
          <w:szCs w:val="16"/>
          <w:lang w:val="en-US"/>
        </w:rPr>
        <w:t>Forecast</w:t>
      </w:r>
      <w:r w:rsidRPr="00714895">
        <w:rPr>
          <w:rFonts w:eastAsia="Calibri" w:cs="Calibri"/>
          <w:color w:val="00A3E0"/>
          <w:sz w:val="16"/>
          <w:szCs w:val="16"/>
          <w:lang w:val="en-US"/>
        </w:rPr>
        <w:t xml:space="preserve">, </w:t>
      </w:r>
      <w:r>
        <w:rPr>
          <w:rFonts w:eastAsia="Calibri" w:cs="Calibri"/>
          <w:color w:val="00A3E0"/>
          <w:sz w:val="16"/>
          <w:szCs w:val="16"/>
        </w:rPr>
        <w:t>Μάϊος</w:t>
      </w:r>
      <w:r w:rsidRPr="00714895">
        <w:rPr>
          <w:rFonts w:eastAsia="Calibri" w:cs="Calibri"/>
          <w:color w:val="00A3E0"/>
          <w:sz w:val="16"/>
          <w:szCs w:val="16"/>
          <w:lang w:val="en-US"/>
        </w:rPr>
        <w:t xml:space="preserve"> 202</w:t>
      </w:r>
      <w:r>
        <w:rPr>
          <w:rFonts w:eastAsia="Calibri" w:cs="Calibri"/>
          <w:color w:val="00A3E0"/>
          <w:sz w:val="16"/>
          <w:szCs w:val="16"/>
          <w:lang w:val="en-US"/>
        </w:rPr>
        <w:t>1 &amp; AMECO</w:t>
      </w:r>
      <w:r w:rsidRPr="00F91E07">
        <w:rPr>
          <w:rFonts w:eastAsia="Calibri" w:cs="Calibri"/>
          <w:color w:val="00A3E0"/>
          <w:sz w:val="16"/>
          <w:szCs w:val="16"/>
          <w:lang w:val="en-US"/>
        </w:rPr>
        <w:t>.</w:t>
      </w:r>
    </w:p>
    <w:p w14:paraId="46F55073" w14:textId="77777777" w:rsidR="009C3CE1" w:rsidRPr="001101AF" w:rsidRDefault="009C3CE1" w:rsidP="009C3CE1">
      <w:pPr>
        <w:tabs>
          <w:tab w:val="left" w:pos="1113"/>
        </w:tabs>
        <w:spacing w:after="0" w:line="240" w:lineRule="auto"/>
        <w:ind w:left="142" w:hanging="142"/>
        <w:rPr>
          <w:lang w:val="en-US"/>
        </w:rPr>
      </w:pPr>
      <w:r w:rsidRPr="00F91E07">
        <w:rPr>
          <w:rFonts w:eastAsia="Calibri" w:cs="Calibri"/>
          <w:b/>
          <w:bCs/>
          <w:color w:val="00A3E0"/>
          <w:sz w:val="16"/>
          <w:szCs w:val="16"/>
          <w:lang w:val="en-US"/>
        </w:rPr>
        <w:t xml:space="preserve">3) </w:t>
      </w:r>
      <w:r w:rsidRPr="002F5A77">
        <w:rPr>
          <w:rFonts w:eastAsia="Calibri" w:cs="Calibri"/>
          <w:color w:val="00A3E0"/>
          <w:sz w:val="16"/>
          <w:szCs w:val="16"/>
          <w:lang w:val="en-US"/>
        </w:rPr>
        <w:t>IMF,</w:t>
      </w:r>
      <w:r w:rsidRPr="002F5A77">
        <w:rPr>
          <w:rFonts w:eastAsia="Calibri" w:cs="Calibri"/>
          <w:color w:val="00A3E0"/>
          <w:sz w:val="16"/>
          <w:szCs w:val="16"/>
          <w:lang w:val="en-GB"/>
        </w:rPr>
        <w:t xml:space="preserve"> </w:t>
      </w:r>
      <w:r w:rsidRPr="002F5A77">
        <w:rPr>
          <w:rFonts w:eastAsia="Calibri" w:cs="Calibri"/>
          <w:color w:val="00A3E0"/>
          <w:sz w:val="16"/>
          <w:szCs w:val="16"/>
          <w:lang w:val="en-US"/>
        </w:rPr>
        <w:t xml:space="preserve">World Economic Outlook: </w:t>
      </w:r>
      <w:r>
        <w:rPr>
          <w:rFonts w:eastAsia="Calibri" w:cs="Calibri"/>
          <w:color w:val="00A3E0"/>
          <w:sz w:val="16"/>
          <w:szCs w:val="16"/>
          <w:lang w:val="en-US"/>
        </w:rPr>
        <w:t>Managing Divergent Recoveries</w:t>
      </w:r>
      <w:r w:rsidRPr="002F5A77">
        <w:rPr>
          <w:rFonts w:eastAsia="Calibri" w:cs="Calibri"/>
          <w:color w:val="00A3E0"/>
          <w:sz w:val="16"/>
          <w:szCs w:val="16"/>
          <w:lang w:val="en-US"/>
        </w:rPr>
        <w:t xml:space="preserve">, </w:t>
      </w:r>
      <w:r>
        <w:rPr>
          <w:rFonts w:eastAsia="Calibri" w:cs="Calibri"/>
          <w:color w:val="00A3E0"/>
          <w:sz w:val="16"/>
          <w:szCs w:val="16"/>
        </w:rPr>
        <w:t>Απρίλιος</w:t>
      </w:r>
      <w:r w:rsidRPr="00714895">
        <w:rPr>
          <w:rFonts w:eastAsia="Calibri" w:cs="Calibri"/>
          <w:color w:val="00A3E0"/>
          <w:sz w:val="16"/>
          <w:szCs w:val="16"/>
          <w:lang w:val="en-US"/>
        </w:rPr>
        <w:t xml:space="preserve"> 202</w:t>
      </w:r>
      <w:r>
        <w:rPr>
          <w:rFonts w:eastAsia="Calibri" w:cs="Calibri"/>
          <w:color w:val="00A3E0"/>
          <w:sz w:val="16"/>
          <w:szCs w:val="16"/>
          <w:lang w:val="en-US"/>
        </w:rPr>
        <w:t>1</w:t>
      </w:r>
      <w:r w:rsidRPr="00F91E07">
        <w:rPr>
          <w:rFonts w:eastAsia="Calibri" w:cs="Calibri"/>
          <w:color w:val="00A3E0"/>
          <w:sz w:val="16"/>
          <w:szCs w:val="16"/>
          <w:lang w:val="en-US"/>
        </w:rPr>
        <w:t>.</w:t>
      </w:r>
    </w:p>
    <w:p w14:paraId="5F666BC0" w14:textId="6939DE01" w:rsidR="00EA37BD" w:rsidRDefault="00EA37BD" w:rsidP="003D3266">
      <w:pPr>
        <w:spacing w:after="160" w:line="259" w:lineRule="auto"/>
        <w:rPr>
          <w:color w:val="538135" w:themeColor="accent6" w:themeShade="BF"/>
          <w:lang w:val="en-US"/>
        </w:rPr>
      </w:pPr>
    </w:p>
    <w:p w14:paraId="281E573E" w14:textId="77777777" w:rsidR="00EF4140" w:rsidRDefault="00EF4140" w:rsidP="00EF4140">
      <w:pPr>
        <w:spacing w:after="160"/>
        <w:rPr>
          <w:rFonts w:eastAsia="Calibri" w:cs="Times New Roman"/>
          <w:bCs/>
          <w:color w:val="auto"/>
        </w:rPr>
      </w:pPr>
      <w:r w:rsidRPr="00EC34AD">
        <w:rPr>
          <w:rFonts w:eastAsia="Calibri" w:cs="Times New Roman"/>
          <w:bCs/>
          <w:color w:val="auto"/>
        </w:rPr>
        <w:t xml:space="preserve">Σύγκλιση προβλέψεων για το 2021 μεταξύ του Υπουργείου Οικονομικών και </w:t>
      </w:r>
      <w:r>
        <w:rPr>
          <w:rFonts w:eastAsia="Calibri" w:cs="Times New Roman"/>
          <w:bCs/>
          <w:color w:val="auto"/>
        </w:rPr>
        <w:t xml:space="preserve">των </w:t>
      </w:r>
      <w:r w:rsidRPr="00EC34AD">
        <w:rPr>
          <w:rFonts w:eastAsia="Calibri" w:cs="Times New Roman"/>
          <w:bCs/>
          <w:color w:val="auto"/>
        </w:rPr>
        <w:t xml:space="preserve">διεθνών οργανισμών υπάρχει και για άλλους σημαντικούς δείκτες της ελληνικής οικονομίας. </w:t>
      </w:r>
      <w:r w:rsidRPr="00157920">
        <w:rPr>
          <w:rFonts w:eastAsia="Calibri" w:cs="Times New Roman"/>
          <w:bCs/>
          <w:color w:val="auto"/>
        </w:rPr>
        <w:t>Συγκεκριμένα, οι εκτιμήσεις για την ανεργία το 2021 από το Υπουργείο Οικονομικών</w:t>
      </w:r>
      <w:r w:rsidRPr="00CB7DA9">
        <w:rPr>
          <w:rFonts w:eastAsia="Calibri" w:cs="Times New Roman"/>
          <w:bCs/>
          <w:color w:val="auto"/>
        </w:rPr>
        <w:t xml:space="preserve"> και την Επιτροπή ταυτίζονται</w:t>
      </w:r>
      <w:r>
        <w:rPr>
          <w:rFonts w:eastAsia="Calibri" w:cs="Times New Roman"/>
          <w:bCs/>
          <w:color w:val="auto"/>
        </w:rPr>
        <w:t xml:space="preserve"> απόλυτα, με το ποσοστό να προσδιορίζεται στο 16,3%. Οριακά μεγαλύτερο ποσοστό προβλέπει το Διεθνές Νομισματικό Ταμείο (16,6%). </w:t>
      </w:r>
      <w:r w:rsidRPr="00FD29A1">
        <w:rPr>
          <w:rFonts w:eastAsia="Calibri" w:cs="Times New Roman"/>
          <w:bCs/>
          <w:color w:val="auto"/>
        </w:rPr>
        <w:t xml:space="preserve">Ως προς το ακαθάριστο χρέος της Γενικής Κυβέρνησης, το Υπουργείο Οικονομικών στις προβλέψεις </w:t>
      </w:r>
      <w:r>
        <w:rPr>
          <w:rFonts w:eastAsia="Calibri" w:cs="Times New Roman"/>
          <w:bCs/>
          <w:color w:val="auto"/>
        </w:rPr>
        <w:t xml:space="preserve">για το 2021 </w:t>
      </w:r>
      <w:r w:rsidRPr="00FD29A1">
        <w:rPr>
          <w:rFonts w:eastAsia="Calibri" w:cs="Times New Roman"/>
          <w:bCs/>
          <w:color w:val="auto"/>
        </w:rPr>
        <w:t xml:space="preserve">του εκτιμά ότι </w:t>
      </w:r>
      <w:r>
        <w:rPr>
          <w:rFonts w:eastAsia="Calibri" w:cs="Times New Roman"/>
          <w:bCs/>
          <w:color w:val="auto"/>
        </w:rPr>
        <w:t>αυτό θα φθάσει στο επίπεδο του</w:t>
      </w:r>
      <w:r w:rsidRPr="00FD29A1">
        <w:rPr>
          <w:rFonts w:eastAsia="Calibri" w:cs="Times New Roman"/>
          <w:bCs/>
          <w:color w:val="auto"/>
        </w:rPr>
        <w:t xml:space="preserve"> 204,8% του ΑΕΠ</w:t>
      </w:r>
      <w:r>
        <w:rPr>
          <w:rFonts w:eastAsia="Calibri" w:cs="Times New Roman"/>
          <w:bCs/>
          <w:color w:val="auto"/>
        </w:rPr>
        <w:t xml:space="preserve">, ενώ οι προβλέψεις της Ευρωπαϊκής Επιτροπής και του Διεθνούς Νομισματικού ταμείου είναι ελαφρώς πιο απαισιόδοξες ανεβάζοντας το ύψος του στο </w:t>
      </w:r>
      <w:r w:rsidRPr="009B16E2">
        <w:rPr>
          <w:rFonts w:eastAsia="Calibri" w:cs="Times New Roman"/>
          <w:bCs/>
          <w:color w:val="auto"/>
        </w:rPr>
        <w:t>208,8%</w:t>
      </w:r>
      <w:r>
        <w:rPr>
          <w:rFonts w:eastAsia="Calibri" w:cs="Times New Roman"/>
          <w:bCs/>
          <w:color w:val="auto"/>
        </w:rPr>
        <w:t xml:space="preserve"> του ΑΕΠ και </w:t>
      </w:r>
      <w:r w:rsidRPr="009B16E2">
        <w:rPr>
          <w:rFonts w:eastAsia="Calibri" w:cs="Times New Roman"/>
          <w:bCs/>
          <w:color w:val="auto"/>
        </w:rPr>
        <w:t>210,1%</w:t>
      </w:r>
      <w:r>
        <w:rPr>
          <w:rFonts w:eastAsia="Calibri" w:cs="Times New Roman"/>
          <w:bCs/>
          <w:color w:val="auto"/>
        </w:rPr>
        <w:t xml:space="preserve"> του ΑΕΠ, αντίστοιχα</w:t>
      </w:r>
      <w:r>
        <w:rPr>
          <w:rStyle w:val="FootnoteReference"/>
          <w:rFonts w:eastAsia="Calibri" w:cs="Times New Roman"/>
          <w:bCs/>
          <w:color w:val="auto"/>
        </w:rPr>
        <w:footnoteReference w:id="9"/>
      </w:r>
      <w:r>
        <w:rPr>
          <w:rFonts w:eastAsia="Calibri" w:cs="Times New Roman"/>
          <w:bCs/>
          <w:color w:val="auto"/>
        </w:rPr>
        <w:t xml:space="preserve">. Τέλος, αναφορικά με </w:t>
      </w:r>
      <w:r w:rsidRPr="00593A31">
        <w:rPr>
          <w:rFonts w:eastAsia="Calibri" w:cs="Times New Roman"/>
          <w:bCs/>
          <w:color w:val="auto"/>
        </w:rPr>
        <w:t xml:space="preserve">τον αποπληθωριστή του ΑΕΠ και </w:t>
      </w:r>
      <w:r>
        <w:rPr>
          <w:rFonts w:eastAsia="Calibri" w:cs="Times New Roman"/>
          <w:bCs/>
          <w:color w:val="auto"/>
        </w:rPr>
        <w:t>τη μεταβολή του</w:t>
      </w:r>
      <w:r w:rsidRPr="00593A31">
        <w:rPr>
          <w:rFonts w:eastAsia="Calibri" w:cs="Times New Roman"/>
          <w:bCs/>
          <w:color w:val="auto"/>
        </w:rPr>
        <w:t xml:space="preserve"> εναρμονισμένο</w:t>
      </w:r>
      <w:r>
        <w:rPr>
          <w:rFonts w:eastAsia="Calibri" w:cs="Times New Roman"/>
          <w:bCs/>
          <w:color w:val="auto"/>
        </w:rPr>
        <w:t>υ</w:t>
      </w:r>
      <w:r w:rsidRPr="00593A31">
        <w:rPr>
          <w:rFonts w:eastAsia="Calibri" w:cs="Times New Roman"/>
          <w:bCs/>
          <w:color w:val="auto"/>
        </w:rPr>
        <w:t xml:space="preserve"> δείκτη τιμών καταναλωτή, οι εκτιμήσεις των φορέων είναι πολύ κοντά</w:t>
      </w:r>
      <w:r>
        <w:rPr>
          <w:rFonts w:eastAsia="Calibri" w:cs="Times New Roman"/>
          <w:bCs/>
          <w:color w:val="auto"/>
        </w:rPr>
        <w:t xml:space="preserve"> μεταξύ τους,</w:t>
      </w:r>
      <w:r w:rsidRPr="00593A31">
        <w:rPr>
          <w:rFonts w:eastAsia="Calibri" w:cs="Times New Roman"/>
          <w:bCs/>
          <w:color w:val="auto"/>
        </w:rPr>
        <w:t xml:space="preserve"> προβλέποντας </w:t>
      </w:r>
      <w:r>
        <w:rPr>
          <w:rFonts w:eastAsia="Calibri" w:cs="Times New Roman"/>
          <w:bCs/>
          <w:color w:val="auto"/>
        </w:rPr>
        <w:t xml:space="preserve">πολύ μικρές </w:t>
      </w:r>
      <w:r w:rsidRPr="00593A31">
        <w:rPr>
          <w:rFonts w:eastAsia="Calibri" w:cs="Times New Roman"/>
          <w:bCs/>
          <w:color w:val="auto"/>
        </w:rPr>
        <w:t xml:space="preserve">μεταβολές </w:t>
      </w:r>
      <w:r>
        <w:rPr>
          <w:rFonts w:eastAsia="Calibri" w:cs="Times New Roman"/>
          <w:bCs/>
          <w:color w:val="auto"/>
        </w:rPr>
        <w:t>γύρω από το μηδέν</w:t>
      </w:r>
      <w:r w:rsidRPr="00593A31">
        <w:rPr>
          <w:rFonts w:eastAsia="Calibri" w:cs="Times New Roman"/>
          <w:bCs/>
          <w:color w:val="auto"/>
        </w:rPr>
        <w:t xml:space="preserve">. </w:t>
      </w:r>
    </w:p>
    <w:p w14:paraId="25609F77" w14:textId="77777777" w:rsidR="0090083B" w:rsidRPr="00EF4140" w:rsidRDefault="0090083B" w:rsidP="003D3266">
      <w:pPr>
        <w:spacing w:after="160" w:line="259" w:lineRule="auto"/>
        <w:rPr>
          <w:color w:val="538135" w:themeColor="accent6" w:themeShade="BF"/>
        </w:rPr>
      </w:pPr>
    </w:p>
    <w:p w14:paraId="54631C99" w14:textId="57FE9628" w:rsidR="00EA37BD" w:rsidRPr="00EA37BD" w:rsidRDefault="00EA37BD" w:rsidP="00EA37BD">
      <w:pPr>
        <w:pStyle w:val="a1"/>
        <w:ind w:left="0"/>
        <w:rPr>
          <w:sz w:val="28"/>
          <w:szCs w:val="28"/>
        </w:rPr>
      </w:pPr>
      <w:bookmarkStart w:id="126" w:name="_Toc73435744"/>
      <w:r w:rsidRPr="00EA37BD">
        <w:rPr>
          <w:sz w:val="28"/>
          <w:szCs w:val="28"/>
        </w:rPr>
        <w:t>Μακροοικονομικές αβεβαιότητες για το 2021</w:t>
      </w:r>
      <w:bookmarkEnd w:id="126"/>
    </w:p>
    <w:p w14:paraId="2268B34D" w14:textId="6329608E" w:rsidR="006B1918" w:rsidRPr="001D53FA" w:rsidRDefault="001D53FA" w:rsidP="006B1918">
      <w:pPr>
        <w:rPr>
          <w:color w:val="auto"/>
        </w:rPr>
      </w:pPr>
      <w:r w:rsidRPr="001D53FA">
        <w:rPr>
          <w:color w:val="auto"/>
        </w:rPr>
        <w:t xml:space="preserve">Βασική </w:t>
      </w:r>
      <w:r w:rsidR="006B1918" w:rsidRPr="001D53FA">
        <w:rPr>
          <w:color w:val="auto"/>
        </w:rPr>
        <w:t xml:space="preserve">πηγή αβεβαιότητας για το 2021 αποτελεί η πρόοδος των εμβολιασμών και το μέγεθος της αποκτώμενης ανοσίας του πληθυσμού, καθώς και η άρρηκτα με αυτά συνδεδεμένη πορεία της πανδημικής κρίσης στην χώρα. Καθυστερήσεις ή/και η εμφάνιση ενός τέταρτου πανδημικού κύματος θα αποτελέσουν σημαντικές αιτίες δυσμενέστερων των αναμενόμενων σεναρίων. Από την άλλη πλευρά, πιο γρήγορη προσαρμογή σε συνθήκες υγειονομικής κανονικότητας και απουσία τέταρτου πανδημικού κύματος </w:t>
      </w:r>
      <w:r w:rsidR="006B1918">
        <w:rPr>
          <w:color w:val="auto"/>
        </w:rPr>
        <w:t xml:space="preserve">θα ευνοούσε την πραγματοποίηση πιο </w:t>
      </w:r>
      <w:r w:rsidR="006B1918" w:rsidRPr="001D53FA">
        <w:rPr>
          <w:color w:val="auto"/>
        </w:rPr>
        <w:t>αισιόδοξων σεναρίων.</w:t>
      </w:r>
    </w:p>
    <w:p w14:paraId="25B34653" w14:textId="56D3E8BC" w:rsidR="006B1918" w:rsidRPr="001D53FA" w:rsidRDefault="006B1918" w:rsidP="006B1918">
      <w:pPr>
        <w:rPr>
          <w:color w:val="auto"/>
        </w:rPr>
      </w:pPr>
      <w:r w:rsidRPr="001D53FA">
        <w:rPr>
          <w:color w:val="auto"/>
        </w:rPr>
        <w:t xml:space="preserve">Σημαντική πηγή κινδύνου αποτελεί η αποτελεσματικότητα και </w:t>
      </w:r>
      <w:r w:rsidR="00E13E88">
        <w:rPr>
          <w:color w:val="auto"/>
        </w:rPr>
        <w:t>έγκαιρη λήψη</w:t>
      </w:r>
      <w:r w:rsidRPr="001D53FA">
        <w:rPr>
          <w:color w:val="auto"/>
        </w:rPr>
        <w:t xml:space="preserve"> των μέτρων οικονομικής πολιτικής στην αντιμετώπιση της </w:t>
      </w:r>
      <w:r w:rsidR="0032260A">
        <w:rPr>
          <w:color w:val="auto"/>
        </w:rPr>
        <w:t>πανδημίας</w:t>
      </w:r>
      <w:r w:rsidRPr="001D53FA">
        <w:rPr>
          <w:color w:val="auto"/>
        </w:rPr>
        <w:t xml:space="preserve"> και την ανάκαμψη της οικονομίας. Κρίσιμος παράγοντας θεωρείται η διάρκεια διατήρησης των μέτρων στήριξης της οικονομίας και διασφάλισης ευνοϊκών συνθηκών ρευστότητας στην οικονομία, ιδίως μέσω του ρόλου του τραπεζικού συστήματος. Η έγκαιρη και ομαλή απορρόφηση των ευρωπαϊκών κονδυλίων στήριξης της εθνικής οικονομίας, όπως του Ταμείου Ανάκαμψης, αποτελ</w:t>
      </w:r>
      <w:r>
        <w:rPr>
          <w:color w:val="auto"/>
        </w:rPr>
        <w:t>εί</w:t>
      </w:r>
      <w:r w:rsidRPr="001D53FA">
        <w:rPr>
          <w:color w:val="auto"/>
        </w:rPr>
        <w:t xml:space="preserve"> βαρόμετρο για τη βελτίωση του επενδυτικού κλίματος</w:t>
      </w:r>
      <w:r>
        <w:rPr>
          <w:color w:val="auto"/>
        </w:rPr>
        <w:t>,</w:t>
      </w:r>
      <w:r w:rsidRPr="001D53FA">
        <w:rPr>
          <w:color w:val="auto"/>
        </w:rPr>
        <w:t xml:space="preserve"> με αναμενόμενο θετικό πολλαπλασιαστ</w:t>
      </w:r>
      <w:r w:rsidR="00E13E88">
        <w:rPr>
          <w:color w:val="auto"/>
        </w:rPr>
        <w:t xml:space="preserve">ικό αντίκτυπο για την οικονομία, αρχής γενομένης </w:t>
      </w:r>
      <w:r w:rsidRPr="001D53FA">
        <w:rPr>
          <w:color w:val="auto"/>
        </w:rPr>
        <w:t xml:space="preserve">από το τρέχον </w:t>
      </w:r>
      <w:r w:rsidR="00E13E88">
        <w:rPr>
          <w:color w:val="auto"/>
        </w:rPr>
        <w:t>οικονομικό έτος</w:t>
      </w:r>
      <w:r w:rsidRPr="001D53FA">
        <w:rPr>
          <w:color w:val="auto"/>
        </w:rPr>
        <w:t xml:space="preserve">. </w:t>
      </w:r>
    </w:p>
    <w:p w14:paraId="699D9E37" w14:textId="0E26CC78" w:rsidR="006B1918" w:rsidRPr="001D53FA" w:rsidRDefault="006B1918" w:rsidP="006B1918">
      <w:pPr>
        <w:rPr>
          <w:color w:val="auto"/>
        </w:rPr>
      </w:pPr>
      <w:r>
        <w:rPr>
          <w:color w:val="auto"/>
        </w:rPr>
        <w:t>Τ</w:t>
      </w:r>
      <w:r w:rsidRPr="001D53FA">
        <w:rPr>
          <w:color w:val="auto"/>
        </w:rPr>
        <w:t>ο σενάριο του Υπουργείου Οικονομικών για αύξηση του ΑΕΠ κατά 3,6% το 2021 έχε</w:t>
      </w:r>
      <w:r>
        <w:rPr>
          <w:color w:val="auto"/>
        </w:rPr>
        <w:t>ι</w:t>
      </w:r>
      <w:r w:rsidRPr="001D53FA">
        <w:rPr>
          <w:color w:val="auto"/>
        </w:rPr>
        <w:t xml:space="preserve"> στηριχθεί στη σημαντική ανάκαμψη των τουριστικών εισπράξεων. Ωστόσο ακόμα δεν είναι εμφανές σε τι ύψος θα κυμανθεί η ζήτηση από το εξωτερικό για το «ελληνικό τουριστικό προϊόν»</w:t>
      </w:r>
      <w:r w:rsidR="008156B8">
        <w:rPr>
          <w:color w:val="auto"/>
        </w:rPr>
        <w:t xml:space="preserve">, </w:t>
      </w:r>
      <w:r w:rsidRPr="001D53FA">
        <w:rPr>
          <w:color w:val="auto"/>
        </w:rPr>
        <w:t xml:space="preserve">φέτος. Η θετική πορεία του τουρισμού, υπόκειται στην αβεβαιότητα των </w:t>
      </w:r>
      <w:r>
        <w:rPr>
          <w:color w:val="auto"/>
        </w:rPr>
        <w:t xml:space="preserve">διεθνών υγειονομικών εξελίξεων </w:t>
      </w:r>
      <w:r w:rsidRPr="001D53FA">
        <w:rPr>
          <w:color w:val="auto"/>
        </w:rPr>
        <w:t>αφενός</w:t>
      </w:r>
      <w:r>
        <w:rPr>
          <w:color w:val="auto"/>
        </w:rPr>
        <w:t xml:space="preserve"> και, α</w:t>
      </w:r>
      <w:r w:rsidRPr="001D53FA">
        <w:rPr>
          <w:color w:val="auto"/>
        </w:rPr>
        <w:t>φετέρου</w:t>
      </w:r>
      <w:r>
        <w:rPr>
          <w:color w:val="auto"/>
        </w:rPr>
        <w:t>,</w:t>
      </w:r>
      <w:r w:rsidRPr="001D53FA">
        <w:rPr>
          <w:color w:val="auto"/>
        </w:rPr>
        <w:t xml:space="preserve"> υπάρχουν κάποια αρνητικά μηνύματα </w:t>
      </w:r>
      <w:r>
        <w:rPr>
          <w:color w:val="auto"/>
        </w:rPr>
        <w:t>που αφορούν ειδικά στην Ελλάδα και</w:t>
      </w:r>
      <w:r w:rsidRPr="001D53FA">
        <w:rPr>
          <w:color w:val="auto"/>
        </w:rPr>
        <w:t xml:space="preserve"> είναι πιθανό να επηρεάσουν τις αφίξεις τουριστών. Τέτοια παραδείγματα είναι η μη συμπερίληψη της Ελλάδας στην «πράσινη λίστα» του Ηνωμένου Βασιλείου</w:t>
      </w:r>
      <w:r>
        <w:rPr>
          <w:rStyle w:val="FootnoteReference"/>
          <w:color w:val="auto"/>
        </w:rPr>
        <w:footnoteReference w:id="10"/>
      </w:r>
      <w:r w:rsidRPr="001D53FA">
        <w:rPr>
          <w:color w:val="auto"/>
        </w:rPr>
        <w:t xml:space="preserve"> που περιλαμβάνει τουριστικούς προορισμούς ασφαλείς από επιδημιολογικής άποψης και  η ταξιδιωτική οδηγία της κυβέρνησης των ΗΠΑ</w:t>
      </w:r>
      <w:r>
        <w:rPr>
          <w:rStyle w:val="FootnoteReference"/>
          <w:color w:val="auto"/>
        </w:rPr>
        <w:footnoteReference w:id="11"/>
      </w:r>
      <w:r w:rsidRPr="001D53FA">
        <w:rPr>
          <w:color w:val="auto"/>
        </w:rPr>
        <w:t xml:space="preserve"> η οποία συμπεριέλαβε την Ελλάδα στη λίστα των χωρών «επιπέδου 4», τις οποίες </w:t>
      </w:r>
      <w:r>
        <w:rPr>
          <w:color w:val="auto"/>
        </w:rPr>
        <w:t xml:space="preserve">οι </w:t>
      </w:r>
      <w:r w:rsidRPr="001D53FA">
        <w:rPr>
          <w:color w:val="auto"/>
        </w:rPr>
        <w:t>Αμερικ</w:t>
      </w:r>
      <w:r>
        <w:rPr>
          <w:color w:val="auto"/>
        </w:rPr>
        <w:t>α</w:t>
      </w:r>
      <w:r w:rsidRPr="001D53FA">
        <w:rPr>
          <w:color w:val="auto"/>
        </w:rPr>
        <w:t>νο</w:t>
      </w:r>
      <w:r>
        <w:rPr>
          <w:color w:val="auto"/>
        </w:rPr>
        <w:t>ί</w:t>
      </w:r>
      <w:r w:rsidRPr="001D53FA">
        <w:rPr>
          <w:color w:val="auto"/>
        </w:rPr>
        <w:t xml:space="preserve"> πολίτες </w:t>
      </w:r>
      <w:r>
        <w:rPr>
          <w:color w:val="auto"/>
        </w:rPr>
        <w:t xml:space="preserve">συμβουλεύονται </w:t>
      </w:r>
      <w:r w:rsidRPr="001D53FA">
        <w:rPr>
          <w:color w:val="auto"/>
        </w:rPr>
        <w:t>να αποφεύγουν</w:t>
      </w:r>
      <w:r>
        <w:rPr>
          <w:color w:val="auto"/>
        </w:rPr>
        <w:t>,</w:t>
      </w:r>
      <w:r w:rsidRPr="001D53FA">
        <w:rPr>
          <w:color w:val="auto"/>
        </w:rPr>
        <w:t xml:space="preserve"> λόγω πανδημίας</w:t>
      </w:r>
      <w:r>
        <w:rPr>
          <w:color w:val="auto"/>
        </w:rPr>
        <w:t xml:space="preserve">, στα </w:t>
      </w:r>
      <w:r w:rsidRPr="001D53FA">
        <w:rPr>
          <w:color w:val="auto"/>
        </w:rPr>
        <w:t>ταξίδια</w:t>
      </w:r>
      <w:r w:rsidR="003150A4">
        <w:rPr>
          <w:color w:val="auto"/>
        </w:rPr>
        <w:t xml:space="preserve"> τους</w:t>
      </w:r>
      <w:r w:rsidRPr="001D53FA">
        <w:rPr>
          <w:color w:val="auto"/>
        </w:rPr>
        <w:t xml:space="preserve">. </w:t>
      </w:r>
      <w:r>
        <w:rPr>
          <w:color w:val="auto"/>
        </w:rPr>
        <w:t>Μ</w:t>
      </w:r>
      <w:r w:rsidRPr="001D53FA">
        <w:rPr>
          <w:color w:val="auto"/>
        </w:rPr>
        <w:t xml:space="preserve">ία ανάκαμψη των τουριστικών εισπράξεων μικρότερη του αναμενόμενου είναι επόμενο ότι θα συγκρατήσει την αύξηση του ΑΕΠ και </w:t>
      </w:r>
      <w:r>
        <w:rPr>
          <w:color w:val="auto"/>
        </w:rPr>
        <w:t xml:space="preserve">ως εκ τούτου </w:t>
      </w:r>
      <w:r w:rsidRPr="001D53FA">
        <w:rPr>
          <w:color w:val="auto"/>
        </w:rPr>
        <w:t xml:space="preserve">αποτελεί μία σημαντική αβεβαιότητα για την επίτευξη </w:t>
      </w:r>
      <w:r w:rsidR="00E13E88">
        <w:rPr>
          <w:color w:val="auto"/>
        </w:rPr>
        <w:t xml:space="preserve">του </w:t>
      </w:r>
      <w:r w:rsidRPr="001D53FA">
        <w:rPr>
          <w:color w:val="auto"/>
        </w:rPr>
        <w:t xml:space="preserve">στόχου που έχει τεθεί για τη μεγέθυνση το 2021. </w:t>
      </w:r>
    </w:p>
    <w:p w14:paraId="5ECB896F" w14:textId="2B9A6DC7" w:rsidR="006B1918" w:rsidRPr="001D53FA" w:rsidRDefault="006B1918" w:rsidP="006B1918">
      <w:pPr>
        <w:rPr>
          <w:color w:val="auto"/>
        </w:rPr>
      </w:pPr>
      <w:r w:rsidRPr="001D53FA">
        <w:rPr>
          <w:color w:val="auto"/>
        </w:rPr>
        <w:t xml:space="preserve">Κρίσιμα επιμέρους στοιχεία για την ταχύτητα ανάκαμψης της οικονομίας κατά το τρέχον έτος αποτελούν </w:t>
      </w:r>
      <w:r>
        <w:rPr>
          <w:color w:val="auto"/>
        </w:rPr>
        <w:t xml:space="preserve">επίσης: </w:t>
      </w:r>
      <w:r w:rsidRPr="001D53FA">
        <w:rPr>
          <w:color w:val="auto"/>
        </w:rPr>
        <w:t>(α) ο βαθμός αξιοπο</w:t>
      </w:r>
      <w:r w:rsidR="0032260A">
        <w:rPr>
          <w:color w:val="auto"/>
        </w:rPr>
        <w:t xml:space="preserve">ίησης των αυξημένων καταθέσεων </w:t>
      </w:r>
      <w:r w:rsidRPr="001D53FA">
        <w:rPr>
          <w:color w:val="auto"/>
        </w:rPr>
        <w:t xml:space="preserve">(β) η αντίδραση επιχειρήσεων και νοικοκυριών στη σταδιακή επαναφορά στις κανονικές συνθήκες και </w:t>
      </w:r>
      <w:r>
        <w:rPr>
          <w:color w:val="auto"/>
        </w:rPr>
        <w:t>στην</w:t>
      </w:r>
      <w:r w:rsidRPr="001D53FA">
        <w:rPr>
          <w:color w:val="auto"/>
        </w:rPr>
        <w:t xml:space="preserve"> άρση των έκτακτ</w:t>
      </w:r>
      <w:r>
        <w:rPr>
          <w:color w:val="auto"/>
        </w:rPr>
        <w:t>ω</w:t>
      </w:r>
      <w:r w:rsidRPr="001D53FA">
        <w:rPr>
          <w:color w:val="auto"/>
        </w:rPr>
        <w:t>ν μέτρων στήριξης, η οποία ενδεχομένως να επιφέρει αυξημένα κύματα πιστωτικών γεγονότων και πτωχεύσεων και (γ) ο βαθμός θετικής ανταπόκρισης της αγοράς εργασίας και της απασχόλησης στη σταδιακή επαναλειτουργία της αγοράς</w:t>
      </w:r>
      <w:r>
        <w:rPr>
          <w:color w:val="auto"/>
        </w:rPr>
        <w:t>.</w:t>
      </w:r>
      <w:r w:rsidRPr="001D53FA">
        <w:rPr>
          <w:color w:val="auto"/>
        </w:rPr>
        <w:t xml:space="preserve"> </w:t>
      </w:r>
    </w:p>
    <w:p w14:paraId="285F1A58" w14:textId="248EC507" w:rsidR="00DE464B" w:rsidRDefault="00DE464B">
      <w:pPr>
        <w:spacing w:after="160" w:line="0" w:lineRule="auto"/>
        <w:jc w:val="left"/>
        <w:rPr>
          <w:color w:val="538135" w:themeColor="accent6" w:themeShade="BF"/>
        </w:rPr>
      </w:pPr>
      <w:r>
        <w:rPr>
          <w:color w:val="538135" w:themeColor="accent6" w:themeShade="BF"/>
        </w:rPr>
        <w:br w:type="page"/>
      </w:r>
    </w:p>
    <w:p w14:paraId="1D9655B2" w14:textId="5515E92A" w:rsidR="00497057" w:rsidRDefault="00497057">
      <w:pPr>
        <w:spacing w:after="160" w:line="0" w:lineRule="auto"/>
        <w:jc w:val="left"/>
        <w:rPr>
          <w:color w:val="auto"/>
        </w:rPr>
      </w:pPr>
    </w:p>
    <w:p w14:paraId="50D5AA1D" w14:textId="277C8A0E" w:rsidR="008E5601" w:rsidRPr="009B3264" w:rsidRDefault="008E5601">
      <w:pPr>
        <w:spacing w:after="160" w:line="0" w:lineRule="auto"/>
        <w:jc w:val="left"/>
        <w:rPr>
          <w:b/>
          <w:color w:val="538135" w:themeColor="accent6" w:themeShade="BF"/>
          <w:sz w:val="40"/>
        </w:rPr>
      </w:pPr>
    </w:p>
    <w:p w14:paraId="2FEBF62C" w14:textId="513D6466" w:rsidR="00E272D5" w:rsidRPr="00EA545C" w:rsidRDefault="0034114C" w:rsidP="00EA37BD">
      <w:pPr>
        <w:pStyle w:val="a"/>
        <w:jc w:val="center"/>
        <w:rPr>
          <w:color w:val="00B0F0"/>
        </w:rPr>
      </w:pPr>
      <w:bookmarkStart w:id="127" w:name="_Toc73435745"/>
      <w:r w:rsidRPr="0034114C">
        <w:rPr>
          <w:color w:val="00B0F0"/>
        </w:rPr>
        <w:t>ΔΗΜΟΣΙΟΝΟΜΙΚΕΣ ΕΞΕΛΙΞΕΙΣ</w:t>
      </w:r>
      <w:r w:rsidR="00EA37BD">
        <w:rPr>
          <w:color w:val="00B0F0"/>
          <w:lang w:val="en-US"/>
        </w:rPr>
        <w:t xml:space="preserve"> 2020 &amp; 2021</w:t>
      </w:r>
      <w:bookmarkEnd w:id="127"/>
    </w:p>
    <w:p w14:paraId="6975658D" w14:textId="0EF739A7" w:rsidR="00451802" w:rsidRDefault="00451802">
      <w:pPr>
        <w:spacing w:after="160" w:line="0" w:lineRule="auto"/>
        <w:jc w:val="left"/>
        <w:rPr>
          <w:b/>
          <w:i/>
          <w:color w:val="2F5496" w:themeColor="accent5" w:themeShade="BF"/>
          <w:spacing w:val="20"/>
        </w:rPr>
      </w:pPr>
      <w:bookmarkStart w:id="128" w:name="_Toc495497475"/>
    </w:p>
    <w:p w14:paraId="33BC39A0" w14:textId="162CEB11" w:rsidR="00E272D5" w:rsidRPr="00AC76DA" w:rsidRDefault="00AC76DA" w:rsidP="00AC76DA">
      <w:pPr>
        <w:pStyle w:val="a0"/>
        <w:numPr>
          <w:ilvl w:val="0"/>
          <w:numId w:val="3"/>
        </w:numPr>
        <w:ind w:left="0"/>
        <w:rPr>
          <w:color w:val="00B0F0"/>
          <w:sz w:val="32"/>
          <w:szCs w:val="32"/>
        </w:rPr>
      </w:pPr>
      <w:bookmarkStart w:id="129" w:name="_Toc73435746"/>
      <w:bookmarkEnd w:id="128"/>
      <w:r w:rsidRPr="00AC76DA">
        <w:rPr>
          <w:color w:val="00B0F0"/>
          <w:sz w:val="32"/>
          <w:szCs w:val="32"/>
        </w:rPr>
        <w:t>Δημοσιονομικά αποτελέσματα</w:t>
      </w:r>
      <w:r w:rsidR="0034114C" w:rsidRPr="00AC76DA">
        <w:rPr>
          <w:color w:val="00B0F0"/>
          <w:sz w:val="32"/>
          <w:szCs w:val="32"/>
        </w:rPr>
        <w:t xml:space="preserve"> 2020</w:t>
      </w:r>
      <w:bookmarkEnd w:id="129"/>
    </w:p>
    <w:p w14:paraId="6ED05893" w14:textId="3A5D0274" w:rsidR="003459B2" w:rsidRDefault="003459B2" w:rsidP="003459B2">
      <w:pPr>
        <w:numPr>
          <w:ilvl w:val="0"/>
          <w:numId w:val="21"/>
        </w:numPr>
        <w:spacing w:after="160"/>
        <w:ind w:left="714" w:hanging="357"/>
        <w:rPr>
          <w:rFonts w:eastAsia="Calibri" w:cs="Times New Roman"/>
          <w:b/>
          <w:i/>
          <w:color w:val="595959" w:themeColor="text1" w:themeTint="A6"/>
          <w:sz w:val="24"/>
          <w:szCs w:val="24"/>
        </w:rPr>
      </w:pPr>
      <w:r w:rsidRPr="003459B2">
        <w:rPr>
          <w:rFonts w:eastAsia="Calibri" w:cs="Times New Roman"/>
          <w:b/>
          <w:i/>
          <w:color w:val="595959" w:themeColor="text1" w:themeTint="A6"/>
          <w:sz w:val="24"/>
          <w:szCs w:val="24"/>
        </w:rPr>
        <w:t xml:space="preserve">Σημαντική δημοσιονομική </w:t>
      </w:r>
      <w:r>
        <w:rPr>
          <w:rFonts w:eastAsia="Calibri" w:cs="Times New Roman"/>
          <w:b/>
          <w:i/>
          <w:color w:val="595959" w:themeColor="text1" w:themeTint="A6"/>
          <w:sz w:val="24"/>
          <w:szCs w:val="24"/>
        </w:rPr>
        <w:t>επιβάρυνση το 2020</w:t>
      </w:r>
      <w:r w:rsidRPr="003459B2">
        <w:rPr>
          <w:rFonts w:eastAsia="Calibri" w:cs="Times New Roman"/>
          <w:b/>
          <w:i/>
          <w:color w:val="595959" w:themeColor="text1" w:themeTint="A6"/>
          <w:sz w:val="24"/>
          <w:szCs w:val="24"/>
        </w:rPr>
        <w:t xml:space="preserve"> οφειλόμενη στις αρνητικές οικο</w:t>
      </w:r>
      <w:r>
        <w:rPr>
          <w:rFonts w:eastAsia="Calibri" w:cs="Times New Roman"/>
          <w:b/>
          <w:i/>
          <w:color w:val="595959" w:themeColor="text1" w:themeTint="A6"/>
          <w:sz w:val="24"/>
          <w:szCs w:val="24"/>
        </w:rPr>
        <w:t>νομικές συνέπειες της πανδημίας</w:t>
      </w:r>
      <w:r w:rsidRPr="003459B2">
        <w:rPr>
          <w:rFonts w:eastAsia="Calibri" w:cs="Times New Roman"/>
          <w:b/>
          <w:i/>
          <w:color w:val="595959" w:themeColor="text1" w:themeTint="A6"/>
          <w:sz w:val="24"/>
          <w:szCs w:val="24"/>
        </w:rPr>
        <w:t xml:space="preserve">. </w:t>
      </w:r>
    </w:p>
    <w:p w14:paraId="1D33E4E6" w14:textId="50AEA693" w:rsidR="003459B2" w:rsidRDefault="003459B2" w:rsidP="003459B2">
      <w:pPr>
        <w:numPr>
          <w:ilvl w:val="0"/>
          <w:numId w:val="21"/>
        </w:numPr>
        <w:spacing w:after="160"/>
        <w:ind w:left="714" w:hanging="357"/>
        <w:rPr>
          <w:rFonts w:eastAsia="Calibri" w:cs="Times New Roman"/>
          <w:b/>
          <w:i/>
          <w:color w:val="595959" w:themeColor="text1" w:themeTint="A6"/>
          <w:sz w:val="24"/>
          <w:szCs w:val="24"/>
        </w:rPr>
      </w:pPr>
      <w:r>
        <w:rPr>
          <w:rFonts w:eastAsia="Calibri" w:cs="Times New Roman"/>
          <w:b/>
          <w:i/>
          <w:color w:val="595959" w:themeColor="text1" w:themeTint="A6"/>
          <w:sz w:val="24"/>
          <w:szCs w:val="24"/>
        </w:rPr>
        <w:t>Στο 9,7% του ΑΕΠ διαμορφώθηκε το έλλειμμα της Γενικής Κυβέρνησης</w:t>
      </w:r>
      <w:r w:rsidR="00C81756">
        <w:rPr>
          <w:rFonts w:eastAsia="Calibri" w:cs="Times New Roman"/>
          <w:b/>
          <w:i/>
          <w:color w:val="595959" w:themeColor="text1" w:themeTint="A6"/>
          <w:sz w:val="24"/>
          <w:szCs w:val="24"/>
        </w:rPr>
        <w:t xml:space="preserve"> (ΓΚ)</w:t>
      </w:r>
      <w:r>
        <w:rPr>
          <w:rFonts w:eastAsia="Calibri" w:cs="Times New Roman"/>
          <w:b/>
          <w:i/>
          <w:color w:val="595959" w:themeColor="text1" w:themeTint="A6"/>
          <w:sz w:val="24"/>
          <w:szCs w:val="24"/>
        </w:rPr>
        <w:t xml:space="preserve"> και στο 6,7% του ΑΕΠ το πρωτογενές έλλειμμα.</w:t>
      </w:r>
    </w:p>
    <w:p w14:paraId="12A20FA4" w14:textId="239DFD70" w:rsidR="00C81756" w:rsidRDefault="00C81756" w:rsidP="00C81756">
      <w:pPr>
        <w:numPr>
          <w:ilvl w:val="0"/>
          <w:numId w:val="21"/>
        </w:numPr>
        <w:spacing w:after="160"/>
        <w:rPr>
          <w:rFonts w:eastAsia="Calibri" w:cs="Times New Roman"/>
          <w:b/>
          <w:i/>
          <w:color w:val="595959" w:themeColor="text1" w:themeTint="A6"/>
          <w:sz w:val="24"/>
          <w:szCs w:val="24"/>
        </w:rPr>
      </w:pPr>
      <w:r>
        <w:rPr>
          <w:rFonts w:eastAsia="Calibri" w:cs="Times New Roman"/>
          <w:b/>
          <w:i/>
          <w:color w:val="595959" w:themeColor="text1" w:themeTint="A6"/>
          <w:sz w:val="24"/>
          <w:szCs w:val="24"/>
        </w:rPr>
        <w:t>Στο 7,5% του ΑΕΠ το π</w:t>
      </w:r>
      <w:r w:rsidRPr="00C81756">
        <w:rPr>
          <w:rFonts w:eastAsia="Calibri" w:cs="Times New Roman"/>
          <w:b/>
          <w:i/>
          <w:color w:val="595959" w:themeColor="text1" w:themeTint="A6"/>
          <w:sz w:val="24"/>
          <w:szCs w:val="24"/>
        </w:rPr>
        <w:t xml:space="preserve">ρωτογενές </w:t>
      </w:r>
      <w:r>
        <w:rPr>
          <w:rFonts w:eastAsia="Calibri" w:cs="Times New Roman"/>
          <w:b/>
          <w:i/>
          <w:color w:val="595959" w:themeColor="text1" w:themeTint="A6"/>
          <w:sz w:val="24"/>
          <w:szCs w:val="24"/>
        </w:rPr>
        <w:t>έλλειμμα</w:t>
      </w:r>
      <w:r w:rsidRPr="00C81756">
        <w:rPr>
          <w:rFonts w:eastAsia="Calibri" w:cs="Times New Roman"/>
          <w:b/>
          <w:i/>
          <w:color w:val="595959" w:themeColor="text1" w:themeTint="A6"/>
          <w:sz w:val="24"/>
          <w:szCs w:val="24"/>
        </w:rPr>
        <w:t xml:space="preserve"> </w:t>
      </w:r>
      <w:r>
        <w:rPr>
          <w:rFonts w:eastAsia="Calibri" w:cs="Times New Roman"/>
          <w:b/>
          <w:i/>
          <w:color w:val="595959" w:themeColor="text1" w:themeTint="A6"/>
          <w:sz w:val="24"/>
          <w:szCs w:val="24"/>
        </w:rPr>
        <w:t xml:space="preserve">της </w:t>
      </w:r>
      <w:r w:rsidRPr="00C81756">
        <w:rPr>
          <w:rFonts w:eastAsia="Calibri" w:cs="Times New Roman"/>
          <w:b/>
          <w:i/>
          <w:color w:val="595959" w:themeColor="text1" w:themeTint="A6"/>
          <w:sz w:val="24"/>
          <w:szCs w:val="24"/>
        </w:rPr>
        <w:t>ΓΚ σύμφωνα με τους όρους Ενισχυμένης Εποπτείας</w:t>
      </w:r>
      <w:r>
        <w:rPr>
          <w:rFonts w:eastAsia="Calibri" w:cs="Times New Roman"/>
          <w:b/>
          <w:i/>
          <w:color w:val="595959" w:themeColor="text1" w:themeTint="A6"/>
          <w:sz w:val="24"/>
          <w:szCs w:val="24"/>
        </w:rPr>
        <w:t>.</w:t>
      </w:r>
    </w:p>
    <w:p w14:paraId="7F10859B" w14:textId="52B796FF" w:rsidR="00C81756" w:rsidRDefault="00C81756" w:rsidP="00114A26">
      <w:pPr>
        <w:numPr>
          <w:ilvl w:val="0"/>
          <w:numId w:val="21"/>
        </w:numPr>
        <w:spacing w:after="160"/>
        <w:rPr>
          <w:rFonts w:eastAsia="Calibri" w:cs="Times New Roman"/>
          <w:b/>
          <w:i/>
          <w:color w:val="595959" w:themeColor="text1" w:themeTint="A6"/>
          <w:sz w:val="24"/>
          <w:szCs w:val="24"/>
        </w:rPr>
      </w:pPr>
      <w:r>
        <w:rPr>
          <w:rFonts w:eastAsia="Calibri" w:cs="Times New Roman"/>
          <w:b/>
          <w:i/>
          <w:color w:val="595959" w:themeColor="text1" w:themeTint="A6"/>
          <w:sz w:val="24"/>
          <w:szCs w:val="24"/>
        </w:rPr>
        <w:t>Αύξηση των δαπανών της ΓΚ</w:t>
      </w:r>
      <w:r w:rsidR="00114A26">
        <w:rPr>
          <w:rFonts w:eastAsia="Calibri" w:cs="Times New Roman"/>
          <w:b/>
          <w:i/>
          <w:color w:val="595959" w:themeColor="text1" w:themeTint="A6"/>
          <w:sz w:val="24"/>
          <w:szCs w:val="24"/>
        </w:rPr>
        <w:t>,</w:t>
      </w:r>
      <w:r>
        <w:rPr>
          <w:rFonts w:eastAsia="Calibri" w:cs="Times New Roman"/>
          <w:b/>
          <w:i/>
          <w:color w:val="595959" w:themeColor="text1" w:themeTint="A6"/>
          <w:sz w:val="24"/>
          <w:szCs w:val="24"/>
        </w:rPr>
        <w:t xml:space="preserve"> σε ταμειακή βάση</w:t>
      </w:r>
      <w:r w:rsidR="00114A26">
        <w:rPr>
          <w:rFonts w:eastAsia="Calibri" w:cs="Times New Roman"/>
          <w:b/>
          <w:i/>
          <w:color w:val="595959" w:themeColor="text1" w:themeTint="A6"/>
          <w:sz w:val="24"/>
          <w:szCs w:val="24"/>
        </w:rPr>
        <w:t>,</w:t>
      </w:r>
      <w:r>
        <w:rPr>
          <w:rFonts w:eastAsia="Calibri" w:cs="Times New Roman"/>
          <w:b/>
          <w:i/>
          <w:color w:val="595959" w:themeColor="text1" w:themeTint="A6"/>
          <w:sz w:val="24"/>
          <w:szCs w:val="24"/>
        </w:rPr>
        <w:t xml:space="preserve"> κατά 11,2 δισ. ευρώ</w:t>
      </w:r>
      <w:r w:rsidR="00114A26">
        <w:rPr>
          <w:rFonts w:eastAsia="Calibri" w:cs="Times New Roman"/>
          <w:b/>
          <w:i/>
          <w:color w:val="595959" w:themeColor="text1" w:themeTint="A6"/>
          <w:sz w:val="24"/>
          <w:szCs w:val="24"/>
        </w:rPr>
        <w:t xml:space="preserve"> (+14,9%) σε σχέση με το 2019,</w:t>
      </w:r>
      <w:r w:rsidR="00114A26" w:rsidRPr="00114A26">
        <w:rPr>
          <w:rFonts w:eastAsia="Calibri" w:cs="Times New Roman"/>
          <w:b/>
          <w:i/>
          <w:color w:val="595959" w:themeColor="text1" w:themeTint="A6"/>
          <w:sz w:val="24"/>
          <w:szCs w:val="24"/>
        </w:rPr>
        <w:t xml:space="preserve"> αποκλειστικά </w:t>
      </w:r>
      <w:r w:rsidR="00114A26">
        <w:rPr>
          <w:rFonts w:eastAsia="Calibri" w:cs="Times New Roman"/>
          <w:b/>
          <w:i/>
          <w:color w:val="595959" w:themeColor="text1" w:themeTint="A6"/>
          <w:sz w:val="24"/>
          <w:szCs w:val="24"/>
        </w:rPr>
        <w:t>λόγω των μέτρων</w:t>
      </w:r>
      <w:r w:rsidR="00114A26" w:rsidRPr="00114A26">
        <w:rPr>
          <w:rFonts w:eastAsia="Calibri" w:cs="Times New Roman"/>
          <w:b/>
          <w:i/>
          <w:color w:val="595959" w:themeColor="text1" w:themeTint="A6"/>
          <w:sz w:val="24"/>
          <w:szCs w:val="24"/>
        </w:rPr>
        <w:t xml:space="preserve"> αντιμετώπιση</w:t>
      </w:r>
      <w:r w:rsidR="00114A26">
        <w:rPr>
          <w:rFonts w:eastAsia="Calibri" w:cs="Times New Roman"/>
          <w:b/>
          <w:i/>
          <w:color w:val="595959" w:themeColor="text1" w:themeTint="A6"/>
          <w:sz w:val="24"/>
          <w:szCs w:val="24"/>
        </w:rPr>
        <w:t>ς</w:t>
      </w:r>
      <w:r w:rsidR="00114A26" w:rsidRPr="00114A26">
        <w:rPr>
          <w:rFonts w:eastAsia="Calibri" w:cs="Times New Roman"/>
          <w:b/>
          <w:i/>
          <w:color w:val="595959" w:themeColor="text1" w:themeTint="A6"/>
          <w:sz w:val="24"/>
          <w:szCs w:val="24"/>
        </w:rPr>
        <w:t xml:space="preserve"> των συνεπειών της πανδημίας</w:t>
      </w:r>
      <w:r w:rsidR="00114A26">
        <w:rPr>
          <w:rFonts w:eastAsia="Calibri" w:cs="Times New Roman"/>
          <w:b/>
          <w:i/>
          <w:color w:val="595959" w:themeColor="text1" w:themeTint="A6"/>
          <w:sz w:val="24"/>
          <w:szCs w:val="24"/>
        </w:rPr>
        <w:t>.</w:t>
      </w:r>
    </w:p>
    <w:p w14:paraId="68288E40" w14:textId="1B9C6AA6" w:rsidR="00114A26" w:rsidRDefault="00114A26" w:rsidP="00114A26">
      <w:pPr>
        <w:numPr>
          <w:ilvl w:val="0"/>
          <w:numId w:val="21"/>
        </w:numPr>
        <w:spacing w:after="160"/>
        <w:rPr>
          <w:rFonts w:eastAsia="Calibri" w:cs="Times New Roman"/>
          <w:b/>
          <w:i/>
          <w:color w:val="595959" w:themeColor="text1" w:themeTint="A6"/>
          <w:sz w:val="24"/>
          <w:szCs w:val="24"/>
        </w:rPr>
      </w:pPr>
      <w:r>
        <w:rPr>
          <w:rFonts w:eastAsia="Calibri" w:cs="Times New Roman"/>
          <w:b/>
          <w:i/>
          <w:color w:val="595959" w:themeColor="text1" w:themeTint="A6"/>
          <w:sz w:val="24"/>
          <w:szCs w:val="24"/>
        </w:rPr>
        <w:t>Σημαντική κάμψη των εσόδων της ΓΚ, σε ταμειακή βάση κατά 9,6 δισ. ευρώ (11,3%), εκ των οποίων τα 8,9 δισ. ευρώ. αφορούν σε μείωση των εισπράξεων φορολογικών εσόδων.</w:t>
      </w:r>
    </w:p>
    <w:p w14:paraId="5AB417CD" w14:textId="541AE9A5" w:rsidR="00114A26" w:rsidRDefault="00114A26" w:rsidP="00114A26">
      <w:pPr>
        <w:numPr>
          <w:ilvl w:val="0"/>
          <w:numId w:val="21"/>
        </w:numPr>
        <w:spacing w:after="160"/>
        <w:rPr>
          <w:rFonts w:eastAsia="Calibri" w:cs="Times New Roman"/>
          <w:b/>
          <w:i/>
          <w:color w:val="595959" w:themeColor="text1" w:themeTint="A6"/>
          <w:sz w:val="24"/>
          <w:szCs w:val="24"/>
        </w:rPr>
      </w:pPr>
      <w:r>
        <w:rPr>
          <w:rFonts w:eastAsia="Calibri" w:cs="Times New Roman"/>
          <w:b/>
          <w:i/>
          <w:color w:val="595959" w:themeColor="text1" w:themeTint="A6"/>
          <w:sz w:val="24"/>
          <w:szCs w:val="24"/>
        </w:rPr>
        <w:t xml:space="preserve">Στις επιμέρους κατηγορίες φορολογικών εσόδων του κρατικού προϋπολογισμού </w:t>
      </w:r>
      <w:r w:rsidR="00173FEE">
        <w:rPr>
          <w:rFonts w:eastAsia="Calibri" w:cs="Times New Roman"/>
          <w:b/>
          <w:i/>
          <w:color w:val="595959" w:themeColor="text1" w:themeTint="A6"/>
          <w:sz w:val="24"/>
          <w:szCs w:val="24"/>
        </w:rPr>
        <w:t>οι μεγαλύτερες απώλειες αφορούσαν</w:t>
      </w:r>
      <w:r>
        <w:rPr>
          <w:rFonts w:eastAsia="Calibri" w:cs="Times New Roman"/>
          <w:b/>
          <w:i/>
          <w:color w:val="595959" w:themeColor="text1" w:themeTint="A6"/>
          <w:sz w:val="24"/>
          <w:szCs w:val="24"/>
        </w:rPr>
        <w:t>:</w:t>
      </w:r>
    </w:p>
    <w:p w14:paraId="5843E254" w14:textId="45D79250" w:rsidR="00114A26" w:rsidRDefault="00173FEE" w:rsidP="00114A26">
      <w:pPr>
        <w:numPr>
          <w:ilvl w:val="1"/>
          <w:numId w:val="21"/>
        </w:numPr>
        <w:spacing w:after="160"/>
        <w:rPr>
          <w:rFonts w:eastAsia="Calibri" w:cs="Times New Roman"/>
          <w:b/>
          <w:i/>
          <w:color w:val="595959" w:themeColor="text1" w:themeTint="A6"/>
          <w:sz w:val="24"/>
          <w:szCs w:val="24"/>
        </w:rPr>
      </w:pPr>
      <w:r>
        <w:rPr>
          <w:rFonts w:eastAsia="Calibri" w:cs="Times New Roman"/>
          <w:b/>
          <w:i/>
          <w:color w:val="595959" w:themeColor="text1" w:themeTint="A6"/>
          <w:sz w:val="24"/>
          <w:szCs w:val="24"/>
        </w:rPr>
        <w:t>Φ.Π.Α., 2,8 δισ. ευρώ</w:t>
      </w:r>
    </w:p>
    <w:p w14:paraId="6AD9AC63" w14:textId="0A82F7EA" w:rsidR="00173FEE" w:rsidRDefault="000056DF" w:rsidP="00173FEE">
      <w:pPr>
        <w:numPr>
          <w:ilvl w:val="1"/>
          <w:numId w:val="21"/>
        </w:numPr>
        <w:spacing w:after="160"/>
        <w:rPr>
          <w:rFonts w:eastAsia="Calibri" w:cs="Times New Roman"/>
          <w:b/>
          <w:i/>
          <w:color w:val="595959" w:themeColor="text1" w:themeTint="A6"/>
          <w:sz w:val="24"/>
          <w:szCs w:val="24"/>
        </w:rPr>
      </w:pPr>
      <w:r>
        <w:rPr>
          <w:rFonts w:eastAsia="Calibri" w:cs="Times New Roman"/>
          <w:b/>
          <w:i/>
          <w:color w:val="595959" w:themeColor="text1" w:themeTint="A6"/>
          <w:sz w:val="24"/>
          <w:szCs w:val="24"/>
        </w:rPr>
        <w:t>Ειδικ</w:t>
      </w:r>
      <w:r w:rsidRPr="000056DF">
        <w:rPr>
          <w:rFonts w:eastAsia="Calibri" w:cs="Times New Roman"/>
          <w:b/>
          <w:i/>
          <w:color w:val="595959" w:themeColor="text1" w:themeTint="A6"/>
          <w:sz w:val="24"/>
          <w:szCs w:val="24"/>
        </w:rPr>
        <w:t>ο</w:t>
      </w:r>
      <w:r>
        <w:rPr>
          <w:rFonts w:eastAsia="Calibri" w:cs="Times New Roman"/>
          <w:b/>
          <w:i/>
          <w:color w:val="595959" w:themeColor="text1" w:themeTint="A6"/>
          <w:sz w:val="24"/>
          <w:szCs w:val="24"/>
        </w:rPr>
        <w:t>ύς Φόρους</w:t>
      </w:r>
      <w:r w:rsidR="00173FEE" w:rsidRPr="00173FEE">
        <w:rPr>
          <w:rFonts w:eastAsia="Calibri" w:cs="Times New Roman"/>
          <w:b/>
          <w:i/>
          <w:color w:val="595959" w:themeColor="text1" w:themeTint="A6"/>
          <w:sz w:val="24"/>
          <w:szCs w:val="24"/>
        </w:rPr>
        <w:t xml:space="preserve"> Κατανάλωσης</w:t>
      </w:r>
      <w:r w:rsidR="00173FEE">
        <w:rPr>
          <w:rFonts w:eastAsia="Calibri" w:cs="Times New Roman"/>
          <w:b/>
          <w:i/>
          <w:color w:val="595959" w:themeColor="text1" w:themeTint="A6"/>
          <w:sz w:val="24"/>
          <w:szCs w:val="24"/>
        </w:rPr>
        <w:t>, 698 εκατ. ευρώ</w:t>
      </w:r>
    </w:p>
    <w:p w14:paraId="16E4B6A6" w14:textId="0A81A3F1" w:rsidR="00A77D80" w:rsidRDefault="00173FEE" w:rsidP="00173FEE">
      <w:pPr>
        <w:numPr>
          <w:ilvl w:val="1"/>
          <w:numId w:val="21"/>
        </w:numPr>
        <w:spacing w:after="160"/>
        <w:rPr>
          <w:rFonts w:eastAsia="Calibri" w:cs="Times New Roman"/>
          <w:b/>
          <w:i/>
          <w:color w:val="595959" w:themeColor="text1" w:themeTint="A6"/>
          <w:sz w:val="24"/>
          <w:szCs w:val="24"/>
        </w:rPr>
      </w:pPr>
      <w:r>
        <w:rPr>
          <w:rFonts w:eastAsia="Calibri" w:cs="Times New Roman"/>
          <w:b/>
          <w:i/>
          <w:color w:val="595959" w:themeColor="text1" w:themeTint="A6"/>
          <w:sz w:val="24"/>
          <w:szCs w:val="24"/>
        </w:rPr>
        <w:t>Φόρο εισοδήματος</w:t>
      </w:r>
      <w:r w:rsidRPr="00173FEE">
        <w:rPr>
          <w:rFonts w:eastAsia="Calibri" w:cs="Times New Roman"/>
          <w:b/>
          <w:i/>
          <w:color w:val="595959" w:themeColor="text1" w:themeTint="A6"/>
          <w:sz w:val="24"/>
          <w:szCs w:val="24"/>
        </w:rPr>
        <w:t xml:space="preserve"> νομικών προσώπων, 2,2 δισ. ευρώ</w:t>
      </w:r>
    </w:p>
    <w:p w14:paraId="3C846AC2" w14:textId="218098C1" w:rsidR="00173FEE" w:rsidRPr="00173FEE" w:rsidRDefault="00173FEE" w:rsidP="00173FEE">
      <w:pPr>
        <w:numPr>
          <w:ilvl w:val="1"/>
          <w:numId w:val="21"/>
        </w:numPr>
        <w:spacing w:after="160"/>
        <w:rPr>
          <w:rFonts w:eastAsia="Calibri" w:cs="Times New Roman"/>
          <w:b/>
          <w:i/>
          <w:color w:val="595959" w:themeColor="text1" w:themeTint="A6"/>
          <w:sz w:val="24"/>
          <w:szCs w:val="24"/>
        </w:rPr>
      </w:pPr>
      <w:r>
        <w:rPr>
          <w:rFonts w:eastAsia="Calibri" w:cs="Times New Roman"/>
          <w:b/>
          <w:i/>
          <w:color w:val="595959" w:themeColor="text1" w:themeTint="A6"/>
          <w:sz w:val="24"/>
          <w:szCs w:val="24"/>
        </w:rPr>
        <w:t>Φόρο</w:t>
      </w:r>
      <w:r w:rsidRPr="00173FEE">
        <w:rPr>
          <w:rFonts w:eastAsia="Calibri" w:cs="Times New Roman"/>
          <w:b/>
          <w:i/>
          <w:color w:val="595959" w:themeColor="text1" w:themeTint="A6"/>
          <w:sz w:val="24"/>
          <w:szCs w:val="24"/>
        </w:rPr>
        <w:t xml:space="preserve"> εισοδήματος φυσικών προσώπων</w:t>
      </w:r>
      <w:r>
        <w:rPr>
          <w:rFonts w:eastAsia="Calibri" w:cs="Times New Roman"/>
          <w:b/>
          <w:i/>
          <w:color w:val="595959" w:themeColor="text1" w:themeTint="A6"/>
          <w:sz w:val="24"/>
          <w:szCs w:val="24"/>
        </w:rPr>
        <w:t>, 874 εκατ. ευρώ</w:t>
      </w:r>
    </w:p>
    <w:p w14:paraId="3030CFB5" w14:textId="176F0954" w:rsidR="00F5434A" w:rsidRDefault="00F5434A" w:rsidP="00F5434A">
      <w:pPr>
        <w:numPr>
          <w:ilvl w:val="0"/>
          <w:numId w:val="21"/>
        </w:numPr>
        <w:spacing w:after="160"/>
        <w:rPr>
          <w:rFonts w:eastAsia="Calibri" w:cs="Times New Roman"/>
          <w:b/>
          <w:i/>
          <w:color w:val="595959" w:themeColor="text1" w:themeTint="A6"/>
          <w:sz w:val="24"/>
          <w:szCs w:val="24"/>
        </w:rPr>
      </w:pPr>
      <w:r w:rsidRPr="00F5434A">
        <w:rPr>
          <w:rFonts w:eastAsia="Calibri" w:cs="Times New Roman"/>
          <w:b/>
          <w:i/>
          <w:color w:val="595959" w:themeColor="text1" w:themeTint="A6"/>
          <w:sz w:val="24"/>
          <w:szCs w:val="24"/>
        </w:rPr>
        <w:t>Ως</w:t>
      </w:r>
      <w:r>
        <w:rPr>
          <w:rFonts w:eastAsia="Calibri" w:cs="Times New Roman"/>
          <w:b/>
          <w:i/>
          <w:color w:val="595959" w:themeColor="text1" w:themeTint="A6"/>
          <w:sz w:val="24"/>
          <w:szCs w:val="24"/>
        </w:rPr>
        <w:t xml:space="preserve"> προς την «κατεύθυνση» των δαπανών αντιμετώπισης της πανδημίας αυτές αφορούσαν:</w:t>
      </w:r>
    </w:p>
    <w:p w14:paraId="0667B78F" w14:textId="0D33A2A6" w:rsidR="00F5434A" w:rsidRPr="00F5434A" w:rsidRDefault="00F5434A" w:rsidP="00F5434A">
      <w:pPr>
        <w:numPr>
          <w:ilvl w:val="1"/>
          <w:numId w:val="21"/>
        </w:numPr>
        <w:spacing w:after="160"/>
        <w:rPr>
          <w:rFonts w:eastAsia="Calibri" w:cs="Times New Roman"/>
          <w:b/>
          <w:i/>
          <w:color w:val="595959" w:themeColor="text1" w:themeTint="A6"/>
          <w:sz w:val="24"/>
          <w:szCs w:val="24"/>
        </w:rPr>
      </w:pPr>
      <w:r w:rsidRPr="00F5434A">
        <w:rPr>
          <w:rFonts w:eastAsia="Calibri" w:cs="Times New Roman"/>
          <w:b/>
          <w:i/>
          <w:color w:val="595959" w:themeColor="text1" w:themeTint="A6"/>
          <w:sz w:val="24"/>
          <w:szCs w:val="24"/>
        </w:rPr>
        <w:t>Δαπάνες προς νοικοκυριά</w:t>
      </w:r>
      <w:r>
        <w:rPr>
          <w:rFonts w:eastAsia="Calibri" w:cs="Times New Roman"/>
          <w:b/>
          <w:i/>
          <w:color w:val="595959" w:themeColor="text1" w:themeTint="A6"/>
          <w:sz w:val="24"/>
          <w:szCs w:val="24"/>
        </w:rPr>
        <w:t xml:space="preserve">, </w:t>
      </w:r>
      <w:r w:rsidRPr="00F5434A">
        <w:rPr>
          <w:rFonts w:eastAsia="Calibri" w:cs="Times New Roman"/>
          <w:b/>
          <w:i/>
          <w:color w:val="595959" w:themeColor="text1" w:themeTint="A6"/>
          <w:sz w:val="24"/>
          <w:szCs w:val="24"/>
        </w:rPr>
        <w:t>2.853</w:t>
      </w:r>
      <w:r>
        <w:rPr>
          <w:rFonts w:eastAsia="Calibri" w:cs="Times New Roman"/>
          <w:b/>
          <w:i/>
          <w:color w:val="595959" w:themeColor="text1" w:themeTint="A6"/>
          <w:sz w:val="24"/>
          <w:szCs w:val="24"/>
        </w:rPr>
        <w:t xml:space="preserve"> εκατ. ευρώ</w:t>
      </w:r>
    </w:p>
    <w:p w14:paraId="53F99947" w14:textId="2E0944AE" w:rsidR="00F5434A" w:rsidRPr="00F5434A" w:rsidRDefault="00F5434A" w:rsidP="00F5434A">
      <w:pPr>
        <w:numPr>
          <w:ilvl w:val="1"/>
          <w:numId w:val="21"/>
        </w:numPr>
        <w:spacing w:after="160"/>
        <w:rPr>
          <w:rFonts w:eastAsia="Calibri" w:cs="Times New Roman"/>
          <w:b/>
          <w:i/>
          <w:color w:val="595959" w:themeColor="text1" w:themeTint="A6"/>
          <w:sz w:val="24"/>
          <w:szCs w:val="24"/>
        </w:rPr>
      </w:pPr>
      <w:r w:rsidRPr="00F5434A">
        <w:rPr>
          <w:rFonts w:eastAsia="Calibri" w:cs="Times New Roman"/>
          <w:b/>
          <w:i/>
          <w:color w:val="595959" w:themeColor="text1" w:themeTint="A6"/>
          <w:sz w:val="24"/>
          <w:szCs w:val="24"/>
        </w:rPr>
        <w:t>Δαπάνες προς επιχειρήσεις</w:t>
      </w:r>
      <w:r>
        <w:rPr>
          <w:rFonts w:eastAsia="Calibri" w:cs="Times New Roman"/>
          <w:b/>
          <w:i/>
          <w:color w:val="595959" w:themeColor="text1" w:themeTint="A6"/>
          <w:sz w:val="24"/>
          <w:szCs w:val="24"/>
        </w:rPr>
        <w:t xml:space="preserve">, </w:t>
      </w:r>
      <w:r w:rsidRPr="00F5434A">
        <w:rPr>
          <w:rFonts w:eastAsia="Calibri" w:cs="Times New Roman"/>
          <w:b/>
          <w:i/>
          <w:color w:val="595959" w:themeColor="text1" w:themeTint="A6"/>
          <w:sz w:val="24"/>
          <w:szCs w:val="24"/>
        </w:rPr>
        <w:t>5.726</w:t>
      </w:r>
      <w:r>
        <w:rPr>
          <w:rFonts w:eastAsia="Calibri" w:cs="Times New Roman"/>
          <w:b/>
          <w:i/>
          <w:color w:val="595959" w:themeColor="text1" w:themeTint="A6"/>
          <w:sz w:val="24"/>
          <w:szCs w:val="24"/>
        </w:rPr>
        <w:t xml:space="preserve"> εκατ. ευρώ</w:t>
      </w:r>
    </w:p>
    <w:p w14:paraId="297A18B4" w14:textId="2E63004A" w:rsidR="00F5434A" w:rsidRPr="00F5434A" w:rsidRDefault="00F5434A" w:rsidP="00F5434A">
      <w:pPr>
        <w:numPr>
          <w:ilvl w:val="1"/>
          <w:numId w:val="21"/>
        </w:numPr>
        <w:spacing w:after="160"/>
        <w:rPr>
          <w:rFonts w:eastAsia="Calibri" w:cs="Times New Roman"/>
          <w:b/>
          <w:i/>
          <w:color w:val="595959" w:themeColor="text1" w:themeTint="A6"/>
          <w:sz w:val="24"/>
          <w:szCs w:val="24"/>
        </w:rPr>
      </w:pPr>
      <w:r w:rsidRPr="00F5434A">
        <w:rPr>
          <w:rFonts w:eastAsia="Calibri" w:cs="Times New Roman"/>
          <w:b/>
          <w:i/>
          <w:color w:val="595959" w:themeColor="text1" w:themeTint="A6"/>
          <w:sz w:val="24"/>
          <w:szCs w:val="24"/>
        </w:rPr>
        <w:t>Δαπάνες ενίσχυσης ρευστότητας</w:t>
      </w:r>
      <w:r>
        <w:rPr>
          <w:rFonts w:eastAsia="Calibri" w:cs="Times New Roman"/>
          <w:b/>
          <w:i/>
          <w:color w:val="595959" w:themeColor="text1" w:themeTint="A6"/>
          <w:sz w:val="24"/>
          <w:szCs w:val="24"/>
        </w:rPr>
        <w:t xml:space="preserve">, </w:t>
      </w:r>
      <w:r w:rsidRPr="00F5434A">
        <w:rPr>
          <w:rFonts w:eastAsia="Calibri" w:cs="Times New Roman"/>
          <w:b/>
          <w:i/>
          <w:color w:val="595959" w:themeColor="text1" w:themeTint="A6"/>
          <w:sz w:val="24"/>
          <w:szCs w:val="24"/>
        </w:rPr>
        <w:t>2.548</w:t>
      </w:r>
      <w:r>
        <w:rPr>
          <w:rFonts w:eastAsia="Calibri" w:cs="Times New Roman"/>
          <w:b/>
          <w:i/>
          <w:color w:val="595959" w:themeColor="text1" w:themeTint="A6"/>
          <w:sz w:val="24"/>
          <w:szCs w:val="24"/>
        </w:rPr>
        <w:t xml:space="preserve"> εκατ. ευρώ</w:t>
      </w:r>
    </w:p>
    <w:p w14:paraId="4C12780C" w14:textId="087A70B3" w:rsidR="00F5434A" w:rsidRPr="00F5434A" w:rsidRDefault="00F5434A" w:rsidP="00F5434A">
      <w:pPr>
        <w:numPr>
          <w:ilvl w:val="1"/>
          <w:numId w:val="21"/>
        </w:numPr>
        <w:spacing w:after="160"/>
        <w:rPr>
          <w:rFonts w:eastAsia="Calibri" w:cs="Times New Roman"/>
          <w:b/>
          <w:i/>
          <w:color w:val="595959" w:themeColor="text1" w:themeTint="A6"/>
          <w:sz w:val="24"/>
          <w:szCs w:val="24"/>
        </w:rPr>
      </w:pPr>
      <w:r w:rsidRPr="00F5434A">
        <w:rPr>
          <w:rFonts w:eastAsia="Calibri" w:cs="Times New Roman"/>
          <w:b/>
          <w:i/>
          <w:color w:val="595959" w:themeColor="text1" w:themeTint="A6"/>
          <w:sz w:val="24"/>
          <w:szCs w:val="24"/>
        </w:rPr>
        <w:t>Δαπάνες προς σύστημα υγείας</w:t>
      </w:r>
      <w:r>
        <w:rPr>
          <w:rFonts w:eastAsia="Calibri" w:cs="Times New Roman"/>
          <w:b/>
          <w:i/>
          <w:color w:val="595959" w:themeColor="text1" w:themeTint="A6"/>
          <w:sz w:val="24"/>
          <w:szCs w:val="24"/>
        </w:rPr>
        <w:t xml:space="preserve">, </w:t>
      </w:r>
      <w:r w:rsidRPr="00F5434A">
        <w:rPr>
          <w:rFonts w:eastAsia="Calibri" w:cs="Times New Roman"/>
          <w:b/>
          <w:i/>
          <w:color w:val="595959" w:themeColor="text1" w:themeTint="A6"/>
          <w:sz w:val="24"/>
          <w:szCs w:val="24"/>
        </w:rPr>
        <w:t>843</w:t>
      </w:r>
      <w:r w:rsidR="00AB2DDA">
        <w:rPr>
          <w:rFonts w:eastAsia="Calibri" w:cs="Times New Roman"/>
          <w:b/>
          <w:i/>
          <w:color w:val="595959" w:themeColor="text1" w:themeTint="A6"/>
          <w:sz w:val="24"/>
          <w:szCs w:val="24"/>
        </w:rPr>
        <w:t xml:space="preserve"> εκατ. ευρώ</w:t>
      </w:r>
    </w:p>
    <w:p w14:paraId="19C5998F" w14:textId="04547E6C" w:rsidR="00F5434A" w:rsidRDefault="00F5434A" w:rsidP="00F5434A">
      <w:pPr>
        <w:numPr>
          <w:ilvl w:val="1"/>
          <w:numId w:val="21"/>
        </w:numPr>
        <w:spacing w:after="160"/>
        <w:rPr>
          <w:rFonts w:eastAsia="Calibri" w:cs="Times New Roman"/>
          <w:b/>
          <w:i/>
          <w:color w:val="595959" w:themeColor="text1" w:themeTint="A6"/>
          <w:sz w:val="24"/>
          <w:szCs w:val="24"/>
        </w:rPr>
      </w:pPr>
      <w:r w:rsidRPr="00F5434A">
        <w:rPr>
          <w:rFonts w:eastAsia="Calibri" w:cs="Times New Roman"/>
          <w:b/>
          <w:i/>
          <w:color w:val="595959" w:themeColor="text1" w:themeTint="A6"/>
          <w:sz w:val="24"/>
          <w:szCs w:val="24"/>
        </w:rPr>
        <w:t>Λοιπές δαπάνες</w:t>
      </w:r>
      <w:r>
        <w:rPr>
          <w:rFonts w:eastAsia="Calibri" w:cs="Times New Roman"/>
          <w:b/>
          <w:i/>
          <w:color w:val="595959" w:themeColor="text1" w:themeTint="A6"/>
          <w:sz w:val="24"/>
          <w:szCs w:val="24"/>
        </w:rPr>
        <w:t xml:space="preserve">, </w:t>
      </w:r>
      <w:r w:rsidRPr="00F5434A">
        <w:rPr>
          <w:rFonts w:eastAsia="Calibri" w:cs="Times New Roman"/>
          <w:b/>
          <w:i/>
          <w:color w:val="595959" w:themeColor="text1" w:themeTint="A6"/>
          <w:sz w:val="24"/>
          <w:szCs w:val="24"/>
        </w:rPr>
        <w:t>1.083</w:t>
      </w:r>
      <w:r>
        <w:rPr>
          <w:rFonts w:eastAsia="Calibri" w:cs="Times New Roman"/>
          <w:b/>
          <w:i/>
          <w:color w:val="595959" w:themeColor="text1" w:themeTint="A6"/>
          <w:sz w:val="24"/>
          <w:szCs w:val="24"/>
        </w:rPr>
        <w:t xml:space="preserve"> εκατ. ευρώ</w:t>
      </w:r>
    </w:p>
    <w:p w14:paraId="7C663DAC" w14:textId="37576E57" w:rsidR="00D17235" w:rsidRPr="00F5434A" w:rsidRDefault="00D17235" w:rsidP="00F5434A">
      <w:pPr>
        <w:numPr>
          <w:ilvl w:val="0"/>
          <w:numId w:val="21"/>
        </w:numPr>
        <w:spacing w:after="160"/>
        <w:rPr>
          <w:rFonts w:eastAsia="Calibri" w:cs="Times New Roman"/>
          <w:b/>
          <w:i/>
          <w:color w:val="595959" w:themeColor="text1" w:themeTint="A6"/>
          <w:sz w:val="24"/>
          <w:szCs w:val="24"/>
        </w:rPr>
      </w:pPr>
      <w:r w:rsidRPr="00F5434A">
        <w:rPr>
          <w:rFonts w:eastAsia="Calibri" w:cs="Times New Roman"/>
          <w:b/>
          <w:i/>
          <w:color w:val="595959" w:themeColor="text1" w:themeTint="A6"/>
          <w:sz w:val="24"/>
          <w:szCs w:val="24"/>
        </w:rPr>
        <w:br w:type="page"/>
      </w:r>
    </w:p>
    <w:p w14:paraId="30CC5C45" w14:textId="758B2E89" w:rsidR="00D85054" w:rsidRPr="00AC76DA" w:rsidRDefault="00AC76DA" w:rsidP="00AC76DA">
      <w:pPr>
        <w:pStyle w:val="a1"/>
        <w:numPr>
          <w:ilvl w:val="1"/>
          <w:numId w:val="3"/>
        </w:numPr>
        <w:ind w:left="0"/>
        <w:rPr>
          <w:sz w:val="28"/>
          <w:szCs w:val="28"/>
        </w:rPr>
      </w:pPr>
      <w:bookmarkStart w:id="130" w:name="_Toc73435747"/>
      <w:r w:rsidRPr="00AC76DA">
        <w:rPr>
          <w:sz w:val="28"/>
          <w:szCs w:val="28"/>
        </w:rPr>
        <w:t>Αποτελέσματα Γενικής Κυβέρνησης</w:t>
      </w:r>
      <w:r w:rsidR="00D07140">
        <w:rPr>
          <w:sz w:val="28"/>
          <w:szCs w:val="28"/>
        </w:rPr>
        <w:t xml:space="preserve"> (ΓΚ)</w:t>
      </w:r>
      <w:r w:rsidRPr="00AC76DA">
        <w:rPr>
          <w:sz w:val="28"/>
          <w:szCs w:val="28"/>
        </w:rPr>
        <w:t xml:space="preserve"> 2020 </w:t>
      </w:r>
      <w:r w:rsidR="00D17235">
        <w:rPr>
          <w:sz w:val="28"/>
          <w:szCs w:val="28"/>
        </w:rPr>
        <w:t xml:space="preserve">– ταμειακά και </w:t>
      </w:r>
      <w:r w:rsidRPr="00AC76DA">
        <w:rPr>
          <w:sz w:val="28"/>
          <w:szCs w:val="28"/>
        </w:rPr>
        <w:t>σύμφωνα με το Σύστημα ευρωπαϊκών Λογαριασμών (ESA)</w:t>
      </w:r>
      <w:bookmarkEnd w:id="130"/>
    </w:p>
    <w:p w14:paraId="7AFB70D9" w14:textId="5AB40676" w:rsidR="00D17235" w:rsidRPr="00D17235" w:rsidRDefault="00D17235" w:rsidP="00D17235">
      <w:pPr>
        <w:spacing w:after="160"/>
        <w:rPr>
          <w:rFonts w:eastAsia="Calibri" w:cs="Times New Roman"/>
          <w:color w:val="auto"/>
        </w:rPr>
      </w:pPr>
      <w:r w:rsidRPr="00D17235">
        <w:rPr>
          <w:rFonts w:eastAsia="Calibri" w:cs="Times New Roman"/>
          <w:color w:val="auto"/>
        </w:rPr>
        <w:t>Τα δημοσιονο</w:t>
      </w:r>
      <w:r w:rsidR="00691EED">
        <w:rPr>
          <w:rFonts w:eastAsia="Calibri" w:cs="Times New Roman"/>
          <w:color w:val="auto"/>
        </w:rPr>
        <w:t xml:space="preserve">μικά στοιχεία για την ταμειακή </w:t>
      </w:r>
      <w:r w:rsidRPr="00D17235">
        <w:rPr>
          <w:rFonts w:eastAsia="Calibri" w:cs="Times New Roman"/>
          <w:color w:val="auto"/>
        </w:rPr>
        <w:t>εκτέλεση του προϋπολογισμού σε επίπεδο Γενικής Κυβέρνησης (</w:t>
      </w:r>
      <w:r w:rsidRPr="00D17235">
        <w:rPr>
          <w:rFonts w:eastAsia="Calibri" w:cs="Times New Roman"/>
          <w:color w:val="auto"/>
        </w:rPr>
        <w:fldChar w:fldCharType="begin"/>
      </w:r>
      <w:r w:rsidRPr="00D17235">
        <w:rPr>
          <w:rFonts w:eastAsia="Calibri" w:cs="Times New Roman"/>
          <w:color w:val="auto"/>
        </w:rPr>
        <w:instrText xml:space="preserve"> REF _Ref56010036 \h  \* MERGEFORMAT </w:instrText>
      </w:r>
      <w:r w:rsidRPr="00D17235">
        <w:rPr>
          <w:rFonts w:eastAsia="Calibri" w:cs="Times New Roman"/>
          <w:color w:val="auto"/>
        </w:rPr>
      </w:r>
      <w:r w:rsidRPr="00D17235">
        <w:rPr>
          <w:rFonts w:eastAsia="Calibri" w:cs="Times New Roman"/>
          <w:color w:val="auto"/>
        </w:rPr>
        <w:fldChar w:fldCharType="separate"/>
      </w:r>
      <w:r w:rsidR="00CC05A7" w:rsidRPr="00CC05A7">
        <w:rPr>
          <w:color w:val="auto"/>
        </w:rPr>
        <w:t xml:space="preserve">Πίνακας </w:t>
      </w:r>
      <w:r w:rsidR="00CC05A7" w:rsidRPr="00CC05A7">
        <w:rPr>
          <w:noProof/>
          <w:color w:val="auto"/>
        </w:rPr>
        <w:t>9</w:t>
      </w:r>
      <w:r w:rsidRPr="00D17235">
        <w:rPr>
          <w:rFonts w:eastAsia="Calibri" w:cs="Times New Roman"/>
          <w:color w:val="auto"/>
        </w:rPr>
        <w:fldChar w:fldCharType="end"/>
      </w:r>
      <w:r w:rsidRPr="00D17235">
        <w:rPr>
          <w:rFonts w:eastAsia="Calibri" w:cs="Times New Roman"/>
          <w:color w:val="auto"/>
        </w:rPr>
        <w:t>) αποτυπώνουν με χαρακτηριστικό τρόπο τις επιπτώσεις στον προϋπολογισμό</w:t>
      </w:r>
      <w:r w:rsidR="007B1443">
        <w:rPr>
          <w:rFonts w:eastAsia="Calibri" w:cs="Times New Roman"/>
          <w:color w:val="auto"/>
        </w:rPr>
        <w:t>,</w:t>
      </w:r>
      <w:r w:rsidRPr="00D17235">
        <w:rPr>
          <w:rFonts w:eastAsia="Calibri" w:cs="Times New Roman"/>
          <w:color w:val="auto"/>
        </w:rPr>
        <w:t xml:space="preserve"> τόσο της ύφεσης που προκάλεσε η επιδημική κρίση, όσο και των έκτακτων μέτρων στήριξης που υιοθετήθηκαν από την κυβέρνηση με στόχο τον κατά το δυνατόν περιορισμό των αρνητικών οικονομικών συνεπειών της πανδημίας. Αντίστοιχα μέτρα στήριξης της οικονομίας έχουν λάβει όλες οι χώρες μέλη της Ε.Ε.</w:t>
      </w:r>
      <w:r w:rsidR="00416466">
        <w:rPr>
          <w:rFonts w:eastAsia="Calibri" w:cs="Times New Roman"/>
          <w:color w:val="auto"/>
        </w:rPr>
        <w:t>,</w:t>
      </w:r>
      <w:r w:rsidRPr="00D17235">
        <w:rPr>
          <w:rFonts w:eastAsia="Calibri" w:cs="Times New Roman"/>
          <w:color w:val="auto"/>
        </w:rPr>
        <w:t xml:space="preserve"> ενώ η δημοσιονομική επιτήρηση στο πλαίσιο του ευρωπαϊκού εξαμήνου αλλά και οι πιο εξειδικευμένοι δημοσιονομικοί στόχοι της χώρας που σχετίζονται με το ενισχυμένο πλαίσιο εποπτείας που ακολουθεί τη λήξη του προγράμματος οικονομικής προσαρμογής, έχουν ανασταλεί.</w:t>
      </w:r>
    </w:p>
    <w:p w14:paraId="1B25224E" w14:textId="0A648283" w:rsidR="00D17235" w:rsidRPr="00D17235" w:rsidRDefault="00D17235" w:rsidP="00D17235">
      <w:pPr>
        <w:spacing w:after="0" w:line="240" w:lineRule="auto"/>
        <w:rPr>
          <w:rFonts w:eastAsia="Calibri" w:cs="Times New Roman"/>
          <w:color w:val="00B0F0"/>
        </w:rPr>
      </w:pPr>
      <w:bookmarkStart w:id="131" w:name="_Ref56010036"/>
      <w:bookmarkStart w:id="132" w:name="_Toc56167268"/>
      <w:bookmarkStart w:id="133" w:name="_Toc73435770"/>
      <w:r w:rsidRPr="007D6510">
        <w:rPr>
          <w:sz w:val="20"/>
          <w:szCs w:val="20"/>
        </w:rPr>
        <w:t xml:space="preserve">Πίνακας </w:t>
      </w:r>
      <w:r w:rsidRPr="007D6510">
        <w:rPr>
          <w:i/>
          <w:sz w:val="20"/>
          <w:szCs w:val="20"/>
        </w:rPr>
        <w:fldChar w:fldCharType="begin"/>
      </w:r>
      <w:r w:rsidRPr="007D6510">
        <w:rPr>
          <w:sz w:val="20"/>
          <w:szCs w:val="20"/>
        </w:rPr>
        <w:instrText xml:space="preserve"> SEQ Πίνακας \* ARABIC </w:instrText>
      </w:r>
      <w:r w:rsidRPr="007D6510">
        <w:rPr>
          <w:i/>
          <w:sz w:val="20"/>
          <w:szCs w:val="20"/>
        </w:rPr>
        <w:fldChar w:fldCharType="separate"/>
      </w:r>
      <w:r w:rsidR="00CC05A7">
        <w:rPr>
          <w:noProof/>
          <w:sz w:val="20"/>
          <w:szCs w:val="20"/>
        </w:rPr>
        <w:t>9</w:t>
      </w:r>
      <w:r w:rsidRPr="007D6510">
        <w:rPr>
          <w:i/>
          <w:sz w:val="20"/>
          <w:szCs w:val="20"/>
        </w:rPr>
        <w:fldChar w:fldCharType="end"/>
      </w:r>
      <w:bookmarkEnd w:id="131"/>
      <w:r w:rsidRPr="007D6510">
        <w:rPr>
          <w:color w:val="00B0F0"/>
          <w:sz w:val="20"/>
          <w:szCs w:val="20"/>
        </w:rPr>
        <w:t>:</w:t>
      </w:r>
      <w:r w:rsidRPr="007D6510">
        <w:rPr>
          <w:iCs/>
          <w:color w:val="00B0F0"/>
        </w:rPr>
        <w:t xml:space="preserve"> </w:t>
      </w:r>
      <w:r w:rsidRPr="007D6510">
        <w:rPr>
          <w:color w:val="00B0F0"/>
          <w:sz w:val="20"/>
          <w:szCs w:val="20"/>
        </w:rPr>
        <w:t>Έσοδα, δαπάνες, καθαρή απόκτηση χρημ/κών περιουσιακών στοιχείων και</w:t>
      </w:r>
      <w:r w:rsidRPr="00D17235">
        <w:rPr>
          <w:color w:val="00B0F0"/>
          <w:sz w:val="20"/>
          <w:szCs w:val="20"/>
        </w:rPr>
        <w:t xml:space="preserve"> ισοζύγιο Γενικής Κυβέρνησης, 2020</w:t>
      </w:r>
      <w:r w:rsidR="00E1051D">
        <w:rPr>
          <w:color w:val="00B0F0"/>
          <w:sz w:val="20"/>
          <w:szCs w:val="20"/>
        </w:rPr>
        <w:t>, σε ταμειακή βάση</w:t>
      </w:r>
      <w:r w:rsidRPr="00D17235">
        <w:rPr>
          <w:color w:val="00B0F0"/>
          <w:sz w:val="20"/>
          <w:szCs w:val="20"/>
        </w:rPr>
        <w:t>.</w:t>
      </w:r>
      <w:bookmarkEnd w:id="132"/>
      <w:bookmarkEnd w:id="133"/>
    </w:p>
    <w:tbl>
      <w:tblPr>
        <w:tblW w:w="8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2"/>
        <w:gridCol w:w="1394"/>
        <w:gridCol w:w="1396"/>
        <w:gridCol w:w="1396"/>
      </w:tblGrid>
      <w:tr w:rsidR="00D17235" w:rsidRPr="00D17235" w14:paraId="79A22B18" w14:textId="77777777" w:rsidTr="00D07140">
        <w:trPr>
          <w:trHeight w:val="313"/>
        </w:trPr>
        <w:tc>
          <w:tcPr>
            <w:tcW w:w="4182" w:type="dxa"/>
            <w:shd w:val="clear" w:color="auto" w:fill="BDD6EE" w:themeFill="accent1" w:themeFillTint="66"/>
            <w:noWrap/>
            <w:vAlign w:val="bottom"/>
            <w:hideMark/>
          </w:tcPr>
          <w:p w14:paraId="7AA1CC58" w14:textId="77777777" w:rsidR="00D17235" w:rsidRPr="00D17235" w:rsidRDefault="00D17235" w:rsidP="00D17235">
            <w:pPr>
              <w:spacing w:after="0" w:line="240" w:lineRule="auto"/>
              <w:jc w:val="left"/>
              <w:rPr>
                <w:rFonts w:eastAsia="Times New Roman" w:cs="Times New Roman"/>
                <w:color w:val="auto"/>
                <w:sz w:val="20"/>
                <w:szCs w:val="20"/>
                <w:lang w:eastAsia="el-GR"/>
              </w:rPr>
            </w:pPr>
          </w:p>
        </w:tc>
        <w:tc>
          <w:tcPr>
            <w:tcW w:w="1394" w:type="dxa"/>
            <w:shd w:val="clear" w:color="auto" w:fill="BDD6EE" w:themeFill="accent1" w:themeFillTint="66"/>
            <w:noWrap/>
            <w:vAlign w:val="center"/>
            <w:hideMark/>
          </w:tcPr>
          <w:p w14:paraId="2C294D26" w14:textId="77777777" w:rsidR="00D17235" w:rsidRPr="00D17235" w:rsidRDefault="00D17235" w:rsidP="00D17235">
            <w:pPr>
              <w:spacing w:after="0" w:line="240" w:lineRule="auto"/>
              <w:jc w:val="center"/>
              <w:rPr>
                <w:rFonts w:eastAsia="Times New Roman" w:cs="Calibri"/>
                <w:b/>
                <w:color w:val="auto"/>
                <w:sz w:val="20"/>
                <w:szCs w:val="20"/>
                <w:lang w:eastAsia="el-GR"/>
              </w:rPr>
            </w:pPr>
            <w:r w:rsidRPr="00D17235">
              <w:rPr>
                <w:rFonts w:eastAsia="Times New Roman" w:cs="Calibri"/>
                <w:b/>
                <w:color w:val="auto"/>
                <w:sz w:val="20"/>
                <w:szCs w:val="20"/>
                <w:lang w:eastAsia="el-GR"/>
              </w:rPr>
              <w:t>201</w:t>
            </w:r>
            <w:r w:rsidRPr="00D17235">
              <w:rPr>
                <w:rFonts w:eastAsia="Times New Roman" w:cs="Calibri"/>
                <w:b/>
                <w:color w:val="auto"/>
                <w:sz w:val="20"/>
                <w:szCs w:val="20"/>
                <w:lang w:val="en-US" w:eastAsia="el-GR"/>
              </w:rPr>
              <w:t>9</w:t>
            </w:r>
          </w:p>
        </w:tc>
        <w:tc>
          <w:tcPr>
            <w:tcW w:w="1396" w:type="dxa"/>
            <w:shd w:val="clear" w:color="auto" w:fill="BDD6EE" w:themeFill="accent1" w:themeFillTint="66"/>
            <w:noWrap/>
            <w:vAlign w:val="center"/>
            <w:hideMark/>
          </w:tcPr>
          <w:p w14:paraId="478163FA" w14:textId="77777777" w:rsidR="00D17235" w:rsidRPr="00D17235" w:rsidRDefault="00D17235" w:rsidP="00D17235">
            <w:pPr>
              <w:spacing w:after="0" w:line="240" w:lineRule="auto"/>
              <w:jc w:val="center"/>
              <w:rPr>
                <w:rFonts w:eastAsia="Times New Roman" w:cs="Calibri"/>
                <w:b/>
                <w:color w:val="auto"/>
                <w:sz w:val="20"/>
                <w:szCs w:val="20"/>
                <w:lang w:eastAsia="el-GR"/>
              </w:rPr>
            </w:pPr>
            <w:r w:rsidRPr="00D17235">
              <w:rPr>
                <w:rFonts w:eastAsia="Times New Roman" w:cs="Calibri"/>
                <w:b/>
                <w:color w:val="auto"/>
                <w:sz w:val="20"/>
                <w:szCs w:val="20"/>
                <w:lang w:eastAsia="el-GR"/>
              </w:rPr>
              <w:t>2020</w:t>
            </w:r>
          </w:p>
        </w:tc>
        <w:tc>
          <w:tcPr>
            <w:tcW w:w="1396" w:type="dxa"/>
            <w:shd w:val="clear" w:color="auto" w:fill="BDD6EE" w:themeFill="accent1" w:themeFillTint="66"/>
            <w:noWrap/>
            <w:vAlign w:val="center"/>
            <w:hideMark/>
          </w:tcPr>
          <w:p w14:paraId="49E53800" w14:textId="77777777" w:rsidR="00D17235" w:rsidRPr="00D17235" w:rsidRDefault="00D17235" w:rsidP="00D17235">
            <w:pPr>
              <w:spacing w:after="0" w:line="240" w:lineRule="auto"/>
              <w:jc w:val="center"/>
              <w:rPr>
                <w:rFonts w:eastAsia="Times New Roman" w:cs="Calibri"/>
                <w:b/>
                <w:color w:val="auto"/>
                <w:sz w:val="20"/>
                <w:szCs w:val="20"/>
                <w:lang w:eastAsia="el-GR"/>
              </w:rPr>
            </w:pPr>
            <w:r w:rsidRPr="00D17235">
              <w:rPr>
                <w:rFonts w:eastAsia="Times New Roman" w:cs="Calibri"/>
                <w:b/>
                <w:color w:val="auto"/>
                <w:sz w:val="20"/>
                <w:szCs w:val="20"/>
                <w:lang w:eastAsia="el-GR"/>
              </w:rPr>
              <w:t>Δ%</w:t>
            </w:r>
          </w:p>
        </w:tc>
      </w:tr>
      <w:tr w:rsidR="00D17235" w:rsidRPr="00D17235" w14:paraId="184C778C" w14:textId="77777777" w:rsidTr="00D07140">
        <w:trPr>
          <w:trHeight w:val="313"/>
        </w:trPr>
        <w:tc>
          <w:tcPr>
            <w:tcW w:w="4182" w:type="dxa"/>
            <w:shd w:val="clear" w:color="auto" w:fill="auto"/>
            <w:noWrap/>
            <w:vAlign w:val="center"/>
          </w:tcPr>
          <w:p w14:paraId="5D5C226A" w14:textId="77777777" w:rsidR="00D17235" w:rsidRPr="00D17235" w:rsidRDefault="00D17235" w:rsidP="00D17235">
            <w:pPr>
              <w:spacing w:after="0" w:line="240" w:lineRule="auto"/>
              <w:jc w:val="left"/>
              <w:rPr>
                <w:rFonts w:eastAsia="Times New Roman" w:cs="Calibri"/>
                <w:b/>
                <w:bCs/>
                <w:color w:val="auto"/>
                <w:sz w:val="20"/>
                <w:szCs w:val="20"/>
                <w:lang w:eastAsia="el-GR"/>
              </w:rPr>
            </w:pPr>
            <w:r w:rsidRPr="00D17235">
              <w:rPr>
                <w:b/>
                <w:bCs/>
                <w:color w:val="auto"/>
                <w:sz w:val="20"/>
                <w:szCs w:val="20"/>
              </w:rPr>
              <w:t>Α. Έσοδα</w:t>
            </w:r>
          </w:p>
        </w:tc>
        <w:tc>
          <w:tcPr>
            <w:tcW w:w="1394" w:type="dxa"/>
            <w:shd w:val="clear" w:color="auto" w:fill="auto"/>
            <w:noWrap/>
            <w:vAlign w:val="center"/>
          </w:tcPr>
          <w:p w14:paraId="32A12F86" w14:textId="77777777" w:rsidR="00D17235" w:rsidRPr="00D17235" w:rsidRDefault="00D17235" w:rsidP="00D17235">
            <w:pPr>
              <w:spacing w:after="0" w:line="240" w:lineRule="auto"/>
              <w:ind w:right="195"/>
              <w:jc w:val="right"/>
              <w:rPr>
                <w:rFonts w:eastAsia="Times New Roman" w:cs="Calibri"/>
                <w:b/>
                <w:bCs/>
                <w:color w:val="auto"/>
                <w:sz w:val="20"/>
                <w:szCs w:val="20"/>
                <w:lang w:eastAsia="el-GR"/>
              </w:rPr>
            </w:pPr>
            <w:r w:rsidRPr="00D17235">
              <w:rPr>
                <w:rFonts w:eastAsia="Times New Roman" w:cs="Calibri"/>
                <w:b/>
                <w:bCs/>
                <w:color w:val="auto"/>
                <w:sz w:val="20"/>
                <w:szCs w:val="20"/>
                <w:lang w:eastAsia="el-GR"/>
              </w:rPr>
              <w:t>84.966</w:t>
            </w:r>
          </w:p>
        </w:tc>
        <w:tc>
          <w:tcPr>
            <w:tcW w:w="1396" w:type="dxa"/>
            <w:shd w:val="clear" w:color="auto" w:fill="auto"/>
            <w:noWrap/>
            <w:vAlign w:val="center"/>
          </w:tcPr>
          <w:p w14:paraId="6CA8FA8C" w14:textId="77777777" w:rsidR="00D17235" w:rsidRPr="00D17235" w:rsidRDefault="00D17235" w:rsidP="00D17235">
            <w:pPr>
              <w:spacing w:after="0" w:line="240" w:lineRule="auto"/>
              <w:ind w:right="195"/>
              <w:jc w:val="right"/>
              <w:rPr>
                <w:rFonts w:eastAsia="Times New Roman" w:cs="Calibri"/>
                <w:b/>
                <w:bCs/>
                <w:color w:val="auto"/>
                <w:sz w:val="20"/>
                <w:szCs w:val="20"/>
                <w:lang w:eastAsia="el-GR"/>
              </w:rPr>
            </w:pPr>
            <w:r w:rsidRPr="00D17235">
              <w:rPr>
                <w:rFonts w:eastAsia="Times New Roman" w:cs="Calibri"/>
                <w:b/>
                <w:bCs/>
                <w:color w:val="auto"/>
                <w:sz w:val="20"/>
                <w:szCs w:val="20"/>
                <w:lang w:eastAsia="el-GR"/>
              </w:rPr>
              <w:t>75.388</w:t>
            </w:r>
          </w:p>
        </w:tc>
        <w:tc>
          <w:tcPr>
            <w:tcW w:w="1396" w:type="dxa"/>
            <w:shd w:val="clear" w:color="auto" w:fill="auto"/>
            <w:noWrap/>
            <w:vAlign w:val="center"/>
          </w:tcPr>
          <w:p w14:paraId="29A0C904" w14:textId="77777777" w:rsidR="00D17235" w:rsidRPr="00D17235" w:rsidRDefault="00D17235" w:rsidP="00D17235">
            <w:pPr>
              <w:spacing w:after="0" w:line="240" w:lineRule="auto"/>
              <w:jc w:val="center"/>
              <w:rPr>
                <w:rFonts w:eastAsia="Times New Roman" w:cs="Calibri"/>
                <w:b/>
                <w:bCs/>
                <w:i/>
                <w:color w:val="auto"/>
                <w:sz w:val="20"/>
                <w:szCs w:val="20"/>
                <w:lang w:val="en-US" w:eastAsia="el-GR"/>
              </w:rPr>
            </w:pPr>
            <w:r w:rsidRPr="00D17235">
              <w:rPr>
                <w:rFonts w:eastAsia="Times New Roman" w:cs="Calibri"/>
                <w:b/>
                <w:bCs/>
                <w:i/>
                <w:color w:val="auto"/>
                <w:sz w:val="20"/>
                <w:szCs w:val="20"/>
                <w:lang w:eastAsia="el-GR"/>
              </w:rPr>
              <w:t>-11,3</w:t>
            </w:r>
          </w:p>
        </w:tc>
      </w:tr>
      <w:tr w:rsidR="00D17235" w:rsidRPr="00D17235" w14:paraId="7E79C95F" w14:textId="77777777" w:rsidTr="00D07140">
        <w:trPr>
          <w:trHeight w:val="313"/>
        </w:trPr>
        <w:tc>
          <w:tcPr>
            <w:tcW w:w="4182" w:type="dxa"/>
            <w:shd w:val="clear" w:color="auto" w:fill="auto"/>
            <w:noWrap/>
            <w:vAlign w:val="center"/>
          </w:tcPr>
          <w:p w14:paraId="4892E836" w14:textId="77777777" w:rsidR="00D17235" w:rsidRPr="00D17235" w:rsidRDefault="00D17235" w:rsidP="00D17235">
            <w:pPr>
              <w:spacing w:after="0" w:line="240" w:lineRule="auto"/>
              <w:jc w:val="left"/>
              <w:rPr>
                <w:rFonts w:eastAsia="Times New Roman" w:cs="Calibri"/>
                <w:color w:val="auto"/>
                <w:sz w:val="20"/>
                <w:szCs w:val="20"/>
                <w:lang w:eastAsia="el-GR"/>
              </w:rPr>
            </w:pPr>
            <w:r w:rsidRPr="00D17235">
              <w:rPr>
                <w:color w:val="auto"/>
                <w:sz w:val="20"/>
                <w:szCs w:val="20"/>
              </w:rPr>
              <w:t>Φόροι</w:t>
            </w:r>
          </w:p>
        </w:tc>
        <w:tc>
          <w:tcPr>
            <w:tcW w:w="1394" w:type="dxa"/>
            <w:shd w:val="clear" w:color="auto" w:fill="auto"/>
            <w:noWrap/>
            <w:vAlign w:val="center"/>
          </w:tcPr>
          <w:p w14:paraId="46E33BDB" w14:textId="77777777" w:rsidR="00D17235" w:rsidRPr="00D17235" w:rsidRDefault="00D17235" w:rsidP="00D17235">
            <w:pPr>
              <w:spacing w:after="0" w:line="240" w:lineRule="auto"/>
              <w:ind w:right="195"/>
              <w:jc w:val="right"/>
              <w:rPr>
                <w:rFonts w:eastAsia="Times New Roman" w:cs="Calibri"/>
                <w:color w:val="auto"/>
                <w:sz w:val="20"/>
                <w:szCs w:val="20"/>
                <w:lang w:eastAsia="el-GR"/>
              </w:rPr>
            </w:pPr>
            <w:r w:rsidRPr="00D17235">
              <w:rPr>
                <w:rFonts w:eastAsia="Times New Roman" w:cs="Calibri"/>
                <w:color w:val="auto"/>
                <w:sz w:val="20"/>
                <w:szCs w:val="20"/>
                <w:lang w:eastAsia="el-GR"/>
              </w:rPr>
              <w:t>49</w:t>
            </w:r>
            <w:r w:rsidRPr="00D17235">
              <w:rPr>
                <w:rFonts w:eastAsia="Times New Roman" w:cs="Calibri"/>
                <w:color w:val="auto"/>
                <w:sz w:val="20"/>
                <w:szCs w:val="20"/>
                <w:lang w:val="en-US" w:eastAsia="el-GR"/>
              </w:rPr>
              <w:t>.</w:t>
            </w:r>
            <w:r w:rsidRPr="00D17235">
              <w:rPr>
                <w:rFonts w:eastAsia="Times New Roman" w:cs="Calibri"/>
                <w:color w:val="auto"/>
                <w:sz w:val="20"/>
                <w:szCs w:val="20"/>
                <w:lang w:eastAsia="el-GR"/>
              </w:rPr>
              <w:t>917</w:t>
            </w:r>
          </w:p>
        </w:tc>
        <w:tc>
          <w:tcPr>
            <w:tcW w:w="1396" w:type="dxa"/>
            <w:shd w:val="clear" w:color="auto" w:fill="auto"/>
            <w:noWrap/>
            <w:vAlign w:val="center"/>
          </w:tcPr>
          <w:p w14:paraId="167C0B0A" w14:textId="77777777" w:rsidR="00D17235" w:rsidRPr="00D17235" w:rsidRDefault="00D17235" w:rsidP="00D17235">
            <w:pPr>
              <w:spacing w:after="0" w:line="240" w:lineRule="auto"/>
              <w:ind w:right="195"/>
              <w:jc w:val="right"/>
              <w:rPr>
                <w:rFonts w:eastAsia="Times New Roman" w:cs="Calibri"/>
                <w:color w:val="auto"/>
                <w:sz w:val="20"/>
                <w:szCs w:val="20"/>
                <w:lang w:val="en-US" w:eastAsia="el-GR"/>
              </w:rPr>
            </w:pPr>
            <w:r w:rsidRPr="00D17235">
              <w:rPr>
                <w:rFonts w:eastAsia="Times New Roman" w:cs="Calibri"/>
                <w:color w:val="auto"/>
                <w:sz w:val="20"/>
                <w:szCs w:val="20"/>
                <w:lang w:eastAsia="el-GR"/>
              </w:rPr>
              <w:t>41.013</w:t>
            </w:r>
          </w:p>
        </w:tc>
        <w:tc>
          <w:tcPr>
            <w:tcW w:w="1396" w:type="dxa"/>
            <w:shd w:val="clear" w:color="auto" w:fill="auto"/>
            <w:noWrap/>
            <w:vAlign w:val="center"/>
          </w:tcPr>
          <w:p w14:paraId="2FC0473D" w14:textId="77777777" w:rsidR="00D17235" w:rsidRPr="00D17235" w:rsidRDefault="00D17235" w:rsidP="00D17235">
            <w:pPr>
              <w:spacing w:after="0" w:line="240" w:lineRule="auto"/>
              <w:jc w:val="center"/>
              <w:rPr>
                <w:rFonts w:eastAsia="Times New Roman" w:cs="Calibri"/>
                <w:i/>
                <w:color w:val="auto"/>
                <w:sz w:val="20"/>
                <w:szCs w:val="20"/>
                <w:lang w:eastAsia="el-GR"/>
              </w:rPr>
            </w:pPr>
            <w:r w:rsidRPr="00D17235">
              <w:rPr>
                <w:rFonts w:eastAsia="Times New Roman" w:cs="Calibri"/>
                <w:i/>
                <w:color w:val="auto"/>
                <w:sz w:val="20"/>
                <w:szCs w:val="20"/>
                <w:lang w:eastAsia="el-GR"/>
              </w:rPr>
              <w:t>-17,8</w:t>
            </w:r>
          </w:p>
        </w:tc>
      </w:tr>
      <w:tr w:rsidR="00D17235" w:rsidRPr="00D17235" w14:paraId="6F02A8BD" w14:textId="77777777" w:rsidTr="00D07140">
        <w:trPr>
          <w:trHeight w:val="313"/>
        </w:trPr>
        <w:tc>
          <w:tcPr>
            <w:tcW w:w="4182" w:type="dxa"/>
            <w:shd w:val="clear" w:color="auto" w:fill="auto"/>
            <w:noWrap/>
            <w:vAlign w:val="center"/>
          </w:tcPr>
          <w:p w14:paraId="212F3607" w14:textId="77777777" w:rsidR="00D17235" w:rsidRPr="00D17235" w:rsidRDefault="00D17235" w:rsidP="00D17235">
            <w:pPr>
              <w:spacing w:after="0" w:line="240" w:lineRule="auto"/>
              <w:jc w:val="left"/>
              <w:rPr>
                <w:rFonts w:eastAsia="Times New Roman" w:cs="Calibri"/>
                <w:color w:val="auto"/>
                <w:sz w:val="20"/>
                <w:szCs w:val="20"/>
                <w:lang w:eastAsia="el-GR"/>
              </w:rPr>
            </w:pPr>
            <w:r w:rsidRPr="00D17235">
              <w:rPr>
                <w:color w:val="auto"/>
                <w:sz w:val="20"/>
                <w:szCs w:val="20"/>
              </w:rPr>
              <w:t>Ασφαλιστικές εισφορές</w:t>
            </w:r>
          </w:p>
        </w:tc>
        <w:tc>
          <w:tcPr>
            <w:tcW w:w="1394" w:type="dxa"/>
            <w:shd w:val="clear" w:color="auto" w:fill="auto"/>
            <w:noWrap/>
            <w:vAlign w:val="center"/>
          </w:tcPr>
          <w:p w14:paraId="2B386F67" w14:textId="77777777" w:rsidR="00D17235" w:rsidRPr="00D17235" w:rsidRDefault="00D17235" w:rsidP="00D17235">
            <w:pPr>
              <w:spacing w:after="0" w:line="240" w:lineRule="auto"/>
              <w:ind w:right="195"/>
              <w:jc w:val="right"/>
              <w:rPr>
                <w:rFonts w:eastAsia="Times New Roman" w:cs="Calibri"/>
                <w:color w:val="auto"/>
                <w:sz w:val="20"/>
                <w:szCs w:val="20"/>
                <w:lang w:eastAsia="el-GR"/>
              </w:rPr>
            </w:pPr>
            <w:r w:rsidRPr="00D17235">
              <w:rPr>
                <w:rFonts w:eastAsia="Times New Roman" w:cs="Calibri"/>
                <w:color w:val="auto"/>
                <w:sz w:val="20"/>
                <w:szCs w:val="20"/>
                <w:lang w:eastAsia="el-GR"/>
              </w:rPr>
              <w:t>22.227</w:t>
            </w:r>
          </w:p>
        </w:tc>
        <w:tc>
          <w:tcPr>
            <w:tcW w:w="1396" w:type="dxa"/>
            <w:shd w:val="clear" w:color="auto" w:fill="auto"/>
            <w:noWrap/>
            <w:vAlign w:val="center"/>
          </w:tcPr>
          <w:p w14:paraId="2F16997C" w14:textId="77777777" w:rsidR="00D17235" w:rsidRPr="00D17235" w:rsidRDefault="00D17235" w:rsidP="00D17235">
            <w:pPr>
              <w:spacing w:after="0" w:line="240" w:lineRule="auto"/>
              <w:ind w:right="195"/>
              <w:jc w:val="right"/>
              <w:rPr>
                <w:rFonts w:eastAsia="Times New Roman" w:cs="Calibri"/>
                <w:color w:val="auto"/>
                <w:sz w:val="20"/>
                <w:szCs w:val="20"/>
                <w:lang w:val="en-US" w:eastAsia="el-GR"/>
              </w:rPr>
            </w:pPr>
            <w:r w:rsidRPr="00D17235">
              <w:rPr>
                <w:rFonts w:eastAsia="Times New Roman" w:cs="Calibri"/>
                <w:color w:val="auto"/>
                <w:sz w:val="20"/>
                <w:szCs w:val="20"/>
                <w:lang w:eastAsia="el-GR"/>
              </w:rPr>
              <w:t>21.797</w:t>
            </w:r>
          </w:p>
        </w:tc>
        <w:tc>
          <w:tcPr>
            <w:tcW w:w="1396" w:type="dxa"/>
            <w:shd w:val="clear" w:color="auto" w:fill="auto"/>
            <w:noWrap/>
            <w:vAlign w:val="center"/>
          </w:tcPr>
          <w:p w14:paraId="110B0670" w14:textId="77777777" w:rsidR="00D17235" w:rsidRPr="00D17235" w:rsidRDefault="00D17235" w:rsidP="00D17235">
            <w:pPr>
              <w:spacing w:after="0" w:line="240" w:lineRule="auto"/>
              <w:jc w:val="center"/>
              <w:rPr>
                <w:rFonts w:eastAsia="Times New Roman" w:cs="Calibri"/>
                <w:i/>
                <w:color w:val="auto"/>
                <w:sz w:val="20"/>
                <w:szCs w:val="20"/>
                <w:lang w:eastAsia="el-GR"/>
              </w:rPr>
            </w:pPr>
            <w:r w:rsidRPr="00D17235">
              <w:rPr>
                <w:rFonts w:eastAsia="Times New Roman" w:cs="Calibri"/>
                <w:i/>
                <w:color w:val="auto"/>
                <w:sz w:val="20"/>
                <w:szCs w:val="20"/>
                <w:lang w:eastAsia="el-GR"/>
              </w:rPr>
              <w:t>-1,9</w:t>
            </w:r>
          </w:p>
        </w:tc>
      </w:tr>
      <w:tr w:rsidR="00D17235" w:rsidRPr="00D17235" w14:paraId="0E0BAEDF" w14:textId="77777777" w:rsidTr="00D07140">
        <w:trPr>
          <w:trHeight w:val="313"/>
        </w:trPr>
        <w:tc>
          <w:tcPr>
            <w:tcW w:w="4182" w:type="dxa"/>
            <w:shd w:val="clear" w:color="auto" w:fill="auto"/>
            <w:noWrap/>
            <w:vAlign w:val="center"/>
          </w:tcPr>
          <w:p w14:paraId="54104163" w14:textId="77777777" w:rsidR="00D17235" w:rsidRPr="00D17235" w:rsidRDefault="00D17235" w:rsidP="00D17235">
            <w:pPr>
              <w:spacing w:after="0" w:line="240" w:lineRule="auto"/>
              <w:jc w:val="left"/>
              <w:rPr>
                <w:rFonts w:eastAsia="Times New Roman" w:cs="Calibri"/>
                <w:color w:val="auto"/>
                <w:sz w:val="20"/>
                <w:szCs w:val="20"/>
                <w:lang w:eastAsia="el-GR"/>
              </w:rPr>
            </w:pPr>
            <w:r w:rsidRPr="00D17235">
              <w:rPr>
                <w:color w:val="auto"/>
                <w:sz w:val="20"/>
                <w:szCs w:val="20"/>
              </w:rPr>
              <w:t>Μεταβιβάσεις</w:t>
            </w:r>
          </w:p>
        </w:tc>
        <w:tc>
          <w:tcPr>
            <w:tcW w:w="1394" w:type="dxa"/>
            <w:shd w:val="clear" w:color="auto" w:fill="auto"/>
            <w:noWrap/>
            <w:vAlign w:val="center"/>
          </w:tcPr>
          <w:p w14:paraId="0EA94E02" w14:textId="77777777" w:rsidR="00D17235" w:rsidRPr="00D17235" w:rsidRDefault="00D17235" w:rsidP="00D17235">
            <w:pPr>
              <w:spacing w:after="0" w:line="240" w:lineRule="auto"/>
              <w:ind w:right="195"/>
              <w:jc w:val="right"/>
              <w:rPr>
                <w:rFonts w:eastAsia="Times New Roman" w:cs="Calibri"/>
                <w:color w:val="auto"/>
                <w:sz w:val="20"/>
                <w:szCs w:val="20"/>
                <w:lang w:eastAsia="el-GR"/>
              </w:rPr>
            </w:pPr>
            <w:r w:rsidRPr="00D17235">
              <w:rPr>
                <w:rFonts w:eastAsia="Times New Roman" w:cs="Calibri"/>
                <w:color w:val="auto"/>
                <w:sz w:val="20"/>
                <w:szCs w:val="20"/>
                <w:lang w:eastAsia="el-GR"/>
              </w:rPr>
              <w:t>7.428</w:t>
            </w:r>
          </w:p>
        </w:tc>
        <w:tc>
          <w:tcPr>
            <w:tcW w:w="1396" w:type="dxa"/>
            <w:shd w:val="clear" w:color="auto" w:fill="auto"/>
            <w:noWrap/>
            <w:vAlign w:val="center"/>
          </w:tcPr>
          <w:p w14:paraId="10224A71" w14:textId="77777777" w:rsidR="00D17235" w:rsidRPr="00D17235" w:rsidRDefault="00D17235" w:rsidP="00D17235">
            <w:pPr>
              <w:spacing w:after="0" w:line="240" w:lineRule="auto"/>
              <w:ind w:right="195"/>
              <w:jc w:val="right"/>
              <w:rPr>
                <w:rFonts w:eastAsia="Times New Roman" w:cs="Calibri"/>
                <w:color w:val="auto"/>
                <w:sz w:val="20"/>
                <w:szCs w:val="20"/>
                <w:lang w:val="en-US" w:eastAsia="el-GR"/>
              </w:rPr>
            </w:pPr>
            <w:r w:rsidRPr="00D17235">
              <w:rPr>
                <w:rFonts w:eastAsia="Times New Roman" w:cs="Calibri"/>
                <w:color w:val="auto"/>
                <w:sz w:val="20"/>
                <w:szCs w:val="20"/>
                <w:lang w:eastAsia="el-GR"/>
              </w:rPr>
              <w:t>8.969</w:t>
            </w:r>
          </w:p>
        </w:tc>
        <w:tc>
          <w:tcPr>
            <w:tcW w:w="1396" w:type="dxa"/>
            <w:shd w:val="clear" w:color="auto" w:fill="auto"/>
            <w:noWrap/>
            <w:vAlign w:val="center"/>
          </w:tcPr>
          <w:p w14:paraId="0E8E8EDF" w14:textId="77777777" w:rsidR="00D17235" w:rsidRPr="00D17235" w:rsidRDefault="00D17235" w:rsidP="00D17235">
            <w:pPr>
              <w:spacing w:after="0" w:line="240" w:lineRule="auto"/>
              <w:jc w:val="center"/>
              <w:rPr>
                <w:rFonts w:eastAsia="Times New Roman" w:cs="Calibri"/>
                <w:i/>
                <w:color w:val="auto"/>
                <w:sz w:val="20"/>
                <w:szCs w:val="20"/>
                <w:lang w:eastAsia="el-GR"/>
              </w:rPr>
            </w:pPr>
            <w:r w:rsidRPr="00D17235">
              <w:rPr>
                <w:rFonts w:eastAsia="Times New Roman" w:cs="Calibri"/>
                <w:i/>
                <w:color w:val="auto"/>
                <w:sz w:val="20"/>
                <w:szCs w:val="20"/>
                <w:lang w:eastAsia="el-GR"/>
              </w:rPr>
              <w:t>20,7</w:t>
            </w:r>
          </w:p>
        </w:tc>
      </w:tr>
      <w:tr w:rsidR="00D17235" w:rsidRPr="00D17235" w14:paraId="074B1288" w14:textId="77777777" w:rsidTr="00D07140">
        <w:trPr>
          <w:trHeight w:val="313"/>
        </w:trPr>
        <w:tc>
          <w:tcPr>
            <w:tcW w:w="4182" w:type="dxa"/>
            <w:shd w:val="clear" w:color="auto" w:fill="auto"/>
            <w:noWrap/>
            <w:vAlign w:val="center"/>
          </w:tcPr>
          <w:p w14:paraId="71405AC7" w14:textId="77777777" w:rsidR="00D17235" w:rsidRPr="00D17235" w:rsidRDefault="00D17235" w:rsidP="00D17235">
            <w:pPr>
              <w:spacing w:after="0" w:line="240" w:lineRule="auto"/>
              <w:jc w:val="left"/>
              <w:rPr>
                <w:rFonts w:eastAsia="Times New Roman" w:cs="Calibri"/>
                <w:color w:val="auto"/>
                <w:sz w:val="20"/>
                <w:szCs w:val="20"/>
                <w:lang w:eastAsia="el-GR"/>
              </w:rPr>
            </w:pPr>
            <w:r w:rsidRPr="00D17235">
              <w:rPr>
                <w:color w:val="auto"/>
                <w:sz w:val="20"/>
                <w:szCs w:val="20"/>
              </w:rPr>
              <w:t>Πωλήσεις αγαθών και υπηρεσιών</w:t>
            </w:r>
          </w:p>
        </w:tc>
        <w:tc>
          <w:tcPr>
            <w:tcW w:w="1394" w:type="dxa"/>
            <w:shd w:val="clear" w:color="auto" w:fill="auto"/>
            <w:noWrap/>
            <w:vAlign w:val="center"/>
          </w:tcPr>
          <w:p w14:paraId="4CE78638" w14:textId="77777777" w:rsidR="00D17235" w:rsidRPr="00D17235" w:rsidRDefault="00D17235" w:rsidP="00D17235">
            <w:pPr>
              <w:spacing w:after="0" w:line="240" w:lineRule="auto"/>
              <w:ind w:right="195"/>
              <w:jc w:val="right"/>
              <w:rPr>
                <w:rFonts w:eastAsia="Times New Roman" w:cs="Calibri"/>
                <w:color w:val="auto"/>
                <w:sz w:val="20"/>
                <w:szCs w:val="20"/>
                <w:lang w:eastAsia="el-GR"/>
              </w:rPr>
            </w:pPr>
            <w:r w:rsidRPr="00D17235">
              <w:rPr>
                <w:rFonts w:eastAsia="Times New Roman" w:cs="Calibri"/>
                <w:color w:val="auto"/>
                <w:sz w:val="20"/>
                <w:szCs w:val="20"/>
                <w:lang w:eastAsia="el-GR"/>
              </w:rPr>
              <w:t>3.989</w:t>
            </w:r>
          </w:p>
        </w:tc>
        <w:tc>
          <w:tcPr>
            <w:tcW w:w="1396" w:type="dxa"/>
            <w:shd w:val="clear" w:color="auto" w:fill="auto"/>
            <w:noWrap/>
            <w:vAlign w:val="center"/>
          </w:tcPr>
          <w:p w14:paraId="6914EAFB" w14:textId="77777777" w:rsidR="00D17235" w:rsidRPr="00D17235" w:rsidRDefault="00D17235" w:rsidP="00D17235">
            <w:pPr>
              <w:spacing w:after="0" w:line="240" w:lineRule="auto"/>
              <w:ind w:right="195"/>
              <w:jc w:val="right"/>
              <w:rPr>
                <w:rFonts w:eastAsia="Times New Roman" w:cs="Calibri"/>
                <w:color w:val="auto"/>
                <w:sz w:val="20"/>
                <w:szCs w:val="20"/>
                <w:lang w:val="en-US" w:eastAsia="el-GR"/>
              </w:rPr>
            </w:pPr>
            <w:r w:rsidRPr="00D17235">
              <w:rPr>
                <w:rFonts w:eastAsia="Times New Roman" w:cs="Calibri"/>
                <w:color w:val="auto"/>
                <w:sz w:val="20"/>
                <w:szCs w:val="20"/>
                <w:lang w:eastAsia="el-GR"/>
              </w:rPr>
              <w:t>2.543</w:t>
            </w:r>
          </w:p>
        </w:tc>
        <w:tc>
          <w:tcPr>
            <w:tcW w:w="1396" w:type="dxa"/>
            <w:shd w:val="clear" w:color="auto" w:fill="auto"/>
            <w:noWrap/>
            <w:vAlign w:val="center"/>
          </w:tcPr>
          <w:p w14:paraId="62879AD0" w14:textId="77777777" w:rsidR="00D17235" w:rsidRPr="00D17235" w:rsidRDefault="00D17235" w:rsidP="00D17235">
            <w:pPr>
              <w:spacing w:after="0" w:line="240" w:lineRule="auto"/>
              <w:jc w:val="center"/>
              <w:rPr>
                <w:rFonts w:eastAsia="Times New Roman" w:cs="Calibri"/>
                <w:i/>
                <w:color w:val="auto"/>
                <w:sz w:val="20"/>
                <w:szCs w:val="20"/>
                <w:lang w:eastAsia="el-GR"/>
              </w:rPr>
            </w:pPr>
            <w:r w:rsidRPr="00D17235">
              <w:rPr>
                <w:rFonts w:eastAsia="Times New Roman" w:cs="Calibri"/>
                <w:i/>
                <w:color w:val="auto"/>
                <w:sz w:val="20"/>
                <w:szCs w:val="20"/>
                <w:lang w:eastAsia="el-GR"/>
              </w:rPr>
              <w:t>-36,2</w:t>
            </w:r>
          </w:p>
        </w:tc>
      </w:tr>
      <w:tr w:rsidR="00D17235" w:rsidRPr="00D17235" w14:paraId="5B14FF4E" w14:textId="77777777" w:rsidTr="00D07140">
        <w:trPr>
          <w:trHeight w:val="313"/>
        </w:trPr>
        <w:tc>
          <w:tcPr>
            <w:tcW w:w="4182" w:type="dxa"/>
            <w:shd w:val="clear" w:color="auto" w:fill="auto"/>
            <w:noWrap/>
            <w:vAlign w:val="center"/>
          </w:tcPr>
          <w:p w14:paraId="66128D46" w14:textId="77777777" w:rsidR="00D17235" w:rsidRPr="00D17235" w:rsidRDefault="00D17235" w:rsidP="00D17235">
            <w:pPr>
              <w:spacing w:after="0" w:line="240" w:lineRule="auto"/>
              <w:jc w:val="left"/>
              <w:rPr>
                <w:rFonts w:eastAsia="Times New Roman" w:cs="Calibri"/>
                <w:color w:val="auto"/>
                <w:sz w:val="20"/>
                <w:szCs w:val="20"/>
                <w:lang w:eastAsia="el-GR"/>
              </w:rPr>
            </w:pPr>
            <w:r w:rsidRPr="00D17235">
              <w:rPr>
                <w:color w:val="auto"/>
                <w:sz w:val="20"/>
                <w:szCs w:val="20"/>
              </w:rPr>
              <w:t>Λοιπά Έσοδα</w:t>
            </w:r>
          </w:p>
        </w:tc>
        <w:tc>
          <w:tcPr>
            <w:tcW w:w="1394" w:type="dxa"/>
            <w:shd w:val="clear" w:color="auto" w:fill="auto"/>
            <w:noWrap/>
            <w:vAlign w:val="center"/>
          </w:tcPr>
          <w:p w14:paraId="70C2942A" w14:textId="77777777" w:rsidR="00D17235" w:rsidRPr="00D17235" w:rsidRDefault="00D17235" w:rsidP="00D17235">
            <w:pPr>
              <w:spacing w:after="0" w:line="240" w:lineRule="auto"/>
              <w:ind w:right="195"/>
              <w:jc w:val="right"/>
              <w:rPr>
                <w:rFonts w:eastAsia="Times New Roman" w:cs="Calibri"/>
                <w:color w:val="auto"/>
                <w:sz w:val="20"/>
                <w:szCs w:val="20"/>
                <w:lang w:val="en-US" w:eastAsia="el-GR"/>
              </w:rPr>
            </w:pPr>
            <w:r w:rsidRPr="00D17235">
              <w:rPr>
                <w:rFonts w:eastAsia="Times New Roman" w:cs="Calibri"/>
                <w:color w:val="auto"/>
                <w:sz w:val="20"/>
                <w:szCs w:val="20"/>
                <w:lang w:eastAsia="el-GR"/>
              </w:rPr>
              <w:t>1.405</w:t>
            </w:r>
          </w:p>
        </w:tc>
        <w:tc>
          <w:tcPr>
            <w:tcW w:w="1396" w:type="dxa"/>
            <w:shd w:val="clear" w:color="auto" w:fill="auto"/>
            <w:noWrap/>
            <w:vAlign w:val="center"/>
          </w:tcPr>
          <w:p w14:paraId="73BAF203" w14:textId="77777777" w:rsidR="00D17235" w:rsidRPr="00D17235" w:rsidRDefault="00D17235" w:rsidP="00D17235">
            <w:pPr>
              <w:spacing w:after="0" w:line="240" w:lineRule="auto"/>
              <w:ind w:right="195"/>
              <w:jc w:val="right"/>
              <w:rPr>
                <w:rFonts w:eastAsia="Times New Roman" w:cs="Calibri"/>
                <w:color w:val="auto"/>
                <w:sz w:val="20"/>
                <w:szCs w:val="20"/>
                <w:lang w:val="en-US" w:eastAsia="el-GR"/>
              </w:rPr>
            </w:pPr>
            <w:r w:rsidRPr="00D17235">
              <w:rPr>
                <w:rFonts w:eastAsia="Times New Roman" w:cs="Calibri"/>
                <w:color w:val="auto"/>
                <w:sz w:val="20"/>
                <w:szCs w:val="20"/>
                <w:lang w:eastAsia="el-GR"/>
              </w:rPr>
              <w:t>1.066</w:t>
            </w:r>
          </w:p>
        </w:tc>
        <w:tc>
          <w:tcPr>
            <w:tcW w:w="1396" w:type="dxa"/>
            <w:shd w:val="clear" w:color="auto" w:fill="auto"/>
            <w:noWrap/>
            <w:vAlign w:val="center"/>
          </w:tcPr>
          <w:p w14:paraId="65E34683" w14:textId="77777777" w:rsidR="00D17235" w:rsidRPr="00D17235" w:rsidRDefault="00D17235" w:rsidP="00D17235">
            <w:pPr>
              <w:spacing w:after="0" w:line="240" w:lineRule="auto"/>
              <w:jc w:val="center"/>
              <w:rPr>
                <w:rFonts w:eastAsia="Times New Roman" w:cs="Calibri"/>
                <w:i/>
                <w:color w:val="auto"/>
                <w:sz w:val="20"/>
                <w:szCs w:val="20"/>
                <w:lang w:val="en-US" w:eastAsia="el-GR"/>
              </w:rPr>
            </w:pPr>
            <w:r w:rsidRPr="00D17235">
              <w:rPr>
                <w:rFonts w:eastAsia="Times New Roman" w:cs="Calibri"/>
                <w:i/>
                <w:color w:val="auto"/>
                <w:sz w:val="20"/>
                <w:szCs w:val="20"/>
                <w:lang w:eastAsia="el-GR"/>
              </w:rPr>
              <w:t>-</w:t>
            </w:r>
            <w:r w:rsidRPr="00D17235">
              <w:rPr>
                <w:rFonts w:eastAsia="Times New Roman" w:cs="Calibri"/>
                <w:i/>
                <w:color w:val="auto"/>
                <w:sz w:val="20"/>
                <w:szCs w:val="20"/>
                <w:lang w:val="en-US" w:eastAsia="el-GR"/>
              </w:rPr>
              <w:t>24,1</w:t>
            </w:r>
          </w:p>
        </w:tc>
      </w:tr>
      <w:tr w:rsidR="00D17235" w:rsidRPr="00D17235" w14:paraId="368D2886" w14:textId="77777777" w:rsidTr="00D07140">
        <w:trPr>
          <w:trHeight w:val="313"/>
        </w:trPr>
        <w:tc>
          <w:tcPr>
            <w:tcW w:w="4182" w:type="dxa"/>
            <w:shd w:val="clear" w:color="auto" w:fill="auto"/>
            <w:noWrap/>
            <w:vAlign w:val="center"/>
          </w:tcPr>
          <w:p w14:paraId="4F934CDE" w14:textId="77777777" w:rsidR="00D17235" w:rsidRPr="00D17235" w:rsidRDefault="00D17235" w:rsidP="00D17235">
            <w:pPr>
              <w:spacing w:after="0" w:line="240" w:lineRule="auto"/>
              <w:jc w:val="left"/>
              <w:rPr>
                <w:rFonts w:eastAsia="Times New Roman" w:cs="Calibri"/>
                <w:b/>
                <w:bCs/>
                <w:color w:val="auto"/>
                <w:sz w:val="20"/>
                <w:szCs w:val="20"/>
                <w:lang w:eastAsia="el-GR"/>
              </w:rPr>
            </w:pPr>
            <w:r w:rsidRPr="00D17235">
              <w:rPr>
                <w:b/>
                <w:bCs/>
                <w:color w:val="auto"/>
                <w:sz w:val="20"/>
                <w:szCs w:val="20"/>
              </w:rPr>
              <w:t>Β. Δαπάνες</w:t>
            </w:r>
          </w:p>
        </w:tc>
        <w:tc>
          <w:tcPr>
            <w:tcW w:w="1394" w:type="dxa"/>
            <w:shd w:val="clear" w:color="auto" w:fill="auto"/>
            <w:noWrap/>
            <w:vAlign w:val="center"/>
          </w:tcPr>
          <w:p w14:paraId="60F8D250" w14:textId="77777777" w:rsidR="00D17235" w:rsidRPr="00D17235" w:rsidRDefault="00D17235" w:rsidP="00D17235">
            <w:pPr>
              <w:spacing w:after="0" w:line="240" w:lineRule="auto"/>
              <w:ind w:right="195"/>
              <w:jc w:val="right"/>
              <w:rPr>
                <w:rFonts w:eastAsia="Times New Roman" w:cs="Calibri"/>
                <w:b/>
                <w:bCs/>
                <w:color w:val="auto"/>
                <w:sz w:val="20"/>
                <w:szCs w:val="20"/>
                <w:lang w:eastAsia="el-GR"/>
              </w:rPr>
            </w:pPr>
            <w:r w:rsidRPr="00D17235">
              <w:rPr>
                <w:rFonts w:eastAsia="Times New Roman" w:cs="Calibri"/>
                <w:b/>
                <w:bCs/>
                <w:color w:val="auto"/>
                <w:sz w:val="20"/>
                <w:szCs w:val="20"/>
                <w:lang w:eastAsia="el-GR"/>
              </w:rPr>
              <w:t>74.522</w:t>
            </w:r>
          </w:p>
        </w:tc>
        <w:tc>
          <w:tcPr>
            <w:tcW w:w="1396" w:type="dxa"/>
            <w:shd w:val="clear" w:color="auto" w:fill="auto"/>
            <w:noWrap/>
            <w:vAlign w:val="center"/>
          </w:tcPr>
          <w:p w14:paraId="44A935F5" w14:textId="77777777" w:rsidR="00D17235" w:rsidRPr="00D17235" w:rsidRDefault="00D17235" w:rsidP="00D17235">
            <w:pPr>
              <w:spacing w:after="0" w:line="240" w:lineRule="auto"/>
              <w:ind w:right="195"/>
              <w:jc w:val="right"/>
              <w:rPr>
                <w:rFonts w:eastAsia="Times New Roman" w:cs="Calibri"/>
                <w:b/>
                <w:bCs/>
                <w:color w:val="auto"/>
                <w:sz w:val="20"/>
                <w:szCs w:val="20"/>
                <w:lang w:val="en-US" w:eastAsia="el-GR"/>
              </w:rPr>
            </w:pPr>
            <w:r w:rsidRPr="00D17235">
              <w:rPr>
                <w:rFonts w:eastAsia="Times New Roman" w:cs="Calibri"/>
                <w:b/>
                <w:bCs/>
                <w:color w:val="auto"/>
                <w:sz w:val="20"/>
                <w:szCs w:val="20"/>
                <w:lang w:eastAsia="el-GR"/>
              </w:rPr>
              <w:t>85.682</w:t>
            </w:r>
          </w:p>
        </w:tc>
        <w:tc>
          <w:tcPr>
            <w:tcW w:w="1396" w:type="dxa"/>
            <w:shd w:val="clear" w:color="auto" w:fill="auto"/>
            <w:noWrap/>
            <w:vAlign w:val="center"/>
          </w:tcPr>
          <w:p w14:paraId="2A87CB40" w14:textId="77777777" w:rsidR="00D17235" w:rsidRPr="00D17235" w:rsidRDefault="00D17235" w:rsidP="00D17235">
            <w:pPr>
              <w:spacing w:after="0" w:line="240" w:lineRule="auto"/>
              <w:jc w:val="center"/>
              <w:rPr>
                <w:rFonts w:eastAsia="Times New Roman" w:cs="Calibri"/>
                <w:b/>
                <w:bCs/>
                <w:i/>
                <w:color w:val="auto"/>
                <w:sz w:val="20"/>
                <w:szCs w:val="20"/>
                <w:lang w:eastAsia="el-GR"/>
              </w:rPr>
            </w:pPr>
            <w:r w:rsidRPr="00D17235">
              <w:rPr>
                <w:rFonts w:eastAsia="Times New Roman" w:cs="Calibri"/>
                <w:b/>
                <w:bCs/>
                <w:i/>
                <w:color w:val="auto"/>
                <w:sz w:val="20"/>
                <w:szCs w:val="20"/>
                <w:lang w:eastAsia="el-GR"/>
              </w:rPr>
              <w:t>14,9</w:t>
            </w:r>
          </w:p>
        </w:tc>
      </w:tr>
      <w:tr w:rsidR="00D17235" w:rsidRPr="00D17235" w14:paraId="03ABF8C0" w14:textId="77777777" w:rsidTr="00D07140">
        <w:trPr>
          <w:trHeight w:val="313"/>
        </w:trPr>
        <w:tc>
          <w:tcPr>
            <w:tcW w:w="4182" w:type="dxa"/>
            <w:shd w:val="clear" w:color="auto" w:fill="auto"/>
            <w:noWrap/>
            <w:vAlign w:val="center"/>
          </w:tcPr>
          <w:p w14:paraId="60586116" w14:textId="77777777" w:rsidR="00D17235" w:rsidRPr="00D17235" w:rsidRDefault="00D17235" w:rsidP="00D17235">
            <w:pPr>
              <w:spacing w:after="0" w:line="240" w:lineRule="auto"/>
              <w:jc w:val="left"/>
              <w:rPr>
                <w:color w:val="auto"/>
                <w:sz w:val="20"/>
                <w:szCs w:val="20"/>
              </w:rPr>
            </w:pPr>
            <w:r w:rsidRPr="00D17235">
              <w:rPr>
                <w:color w:val="auto"/>
                <w:sz w:val="20"/>
                <w:szCs w:val="20"/>
              </w:rPr>
              <w:t>Αμοιβές προσωπικού</w:t>
            </w:r>
          </w:p>
        </w:tc>
        <w:tc>
          <w:tcPr>
            <w:tcW w:w="1394" w:type="dxa"/>
            <w:shd w:val="clear" w:color="auto" w:fill="auto"/>
            <w:noWrap/>
            <w:vAlign w:val="center"/>
          </w:tcPr>
          <w:p w14:paraId="399182FA" w14:textId="77777777" w:rsidR="00D17235" w:rsidRPr="00D17235" w:rsidRDefault="00D17235" w:rsidP="00D17235">
            <w:pPr>
              <w:spacing w:after="0" w:line="240" w:lineRule="auto"/>
              <w:ind w:right="195"/>
              <w:jc w:val="right"/>
              <w:rPr>
                <w:rFonts w:eastAsia="Times New Roman" w:cs="Calibri"/>
                <w:color w:val="auto"/>
                <w:sz w:val="20"/>
                <w:szCs w:val="20"/>
                <w:lang w:eastAsia="el-GR"/>
              </w:rPr>
            </w:pPr>
            <w:r w:rsidRPr="00D17235">
              <w:rPr>
                <w:rFonts w:eastAsia="Times New Roman" w:cs="Calibri"/>
                <w:color w:val="auto"/>
                <w:sz w:val="20"/>
                <w:szCs w:val="20"/>
                <w:lang w:eastAsia="el-GR"/>
              </w:rPr>
              <w:t>17.441</w:t>
            </w:r>
          </w:p>
        </w:tc>
        <w:tc>
          <w:tcPr>
            <w:tcW w:w="1396" w:type="dxa"/>
            <w:shd w:val="clear" w:color="auto" w:fill="auto"/>
            <w:noWrap/>
            <w:vAlign w:val="center"/>
          </w:tcPr>
          <w:p w14:paraId="1E5A7F93" w14:textId="77777777" w:rsidR="00D17235" w:rsidRPr="00D17235" w:rsidRDefault="00D17235" w:rsidP="00D17235">
            <w:pPr>
              <w:spacing w:after="0" w:line="240" w:lineRule="auto"/>
              <w:ind w:right="195"/>
              <w:jc w:val="right"/>
              <w:rPr>
                <w:rFonts w:eastAsia="Times New Roman" w:cs="Calibri"/>
                <w:color w:val="auto"/>
                <w:sz w:val="20"/>
                <w:szCs w:val="20"/>
                <w:lang w:val="en-US" w:eastAsia="el-GR"/>
              </w:rPr>
            </w:pPr>
            <w:r w:rsidRPr="00D17235">
              <w:rPr>
                <w:rFonts w:eastAsia="Times New Roman" w:cs="Calibri"/>
                <w:color w:val="auto"/>
                <w:sz w:val="20"/>
                <w:szCs w:val="20"/>
                <w:lang w:eastAsia="el-GR"/>
              </w:rPr>
              <w:t>18.108</w:t>
            </w:r>
          </w:p>
        </w:tc>
        <w:tc>
          <w:tcPr>
            <w:tcW w:w="1396" w:type="dxa"/>
            <w:shd w:val="clear" w:color="auto" w:fill="auto"/>
            <w:noWrap/>
            <w:vAlign w:val="center"/>
          </w:tcPr>
          <w:p w14:paraId="10DCDA36" w14:textId="77777777" w:rsidR="00D17235" w:rsidRPr="00D17235" w:rsidRDefault="00D17235" w:rsidP="00D17235">
            <w:pPr>
              <w:spacing w:after="0" w:line="240" w:lineRule="auto"/>
              <w:jc w:val="center"/>
              <w:rPr>
                <w:rFonts w:eastAsia="Times New Roman" w:cs="Calibri"/>
                <w:i/>
                <w:color w:val="auto"/>
                <w:sz w:val="20"/>
                <w:szCs w:val="20"/>
                <w:lang w:eastAsia="el-GR"/>
              </w:rPr>
            </w:pPr>
            <w:r w:rsidRPr="00D17235">
              <w:rPr>
                <w:rFonts w:eastAsia="Times New Roman" w:cs="Calibri"/>
                <w:i/>
                <w:color w:val="auto"/>
                <w:sz w:val="20"/>
                <w:szCs w:val="20"/>
                <w:lang w:eastAsia="el-GR"/>
              </w:rPr>
              <w:t>3,8</w:t>
            </w:r>
          </w:p>
        </w:tc>
      </w:tr>
      <w:tr w:rsidR="00D17235" w:rsidRPr="00D17235" w14:paraId="36DE3C8B" w14:textId="77777777" w:rsidTr="00D07140">
        <w:trPr>
          <w:trHeight w:val="313"/>
        </w:trPr>
        <w:tc>
          <w:tcPr>
            <w:tcW w:w="4182" w:type="dxa"/>
            <w:shd w:val="clear" w:color="auto" w:fill="auto"/>
            <w:noWrap/>
            <w:vAlign w:val="center"/>
          </w:tcPr>
          <w:p w14:paraId="77729AE3" w14:textId="77777777" w:rsidR="00D17235" w:rsidRPr="00D17235" w:rsidRDefault="00D17235" w:rsidP="00D17235">
            <w:pPr>
              <w:spacing w:after="0" w:line="240" w:lineRule="auto"/>
              <w:jc w:val="left"/>
              <w:rPr>
                <w:color w:val="auto"/>
                <w:sz w:val="20"/>
                <w:szCs w:val="20"/>
              </w:rPr>
            </w:pPr>
            <w:r w:rsidRPr="00D17235">
              <w:rPr>
                <w:color w:val="auto"/>
                <w:sz w:val="20"/>
                <w:szCs w:val="20"/>
              </w:rPr>
              <w:t>Κοινωνικές παροχές</w:t>
            </w:r>
          </w:p>
        </w:tc>
        <w:tc>
          <w:tcPr>
            <w:tcW w:w="1394" w:type="dxa"/>
            <w:shd w:val="clear" w:color="auto" w:fill="auto"/>
            <w:noWrap/>
            <w:vAlign w:val="center"/>
          </w:tcPr>
          <w:p w14:paraId="02ACFF10" w14:textId="77777777" w:rsidR="00D17235" w:rsidRPr="00D17235" w:rsidRDefault="00D17235" w:rsidP="00D17235">
            <w:pPr>
              <w:spacing w:after="0" w:line="240" w:lineRule="auto"/>
              <w:ind w:right="195"/>
              <w:jc w:val="right"/>
              <w:rPr>
                <w:rFonts w:eastAsia="Times New Roman" w:cs="Calibri"/>
                <w:color w:val="auto"/>
                <w:sz w:val="20"/>
                <w:szCs w:val="20"/>
                <w:lang w:eastAsia="el-GR"/>
              </w:rPr>
            </w:pPr>
            <w:r w:rsidRPr="00D17235">
              <w:rPr>
                <w:rFonts w:eastAsia="Times New Roman" w:cs="Calibri"/>
                <w:color w:val="auto"/>
                <w:sz w:val="20"/>
                <w:szCs w:val="20"/>
                <w:lang w:eastAsia="el-GR"/>
              </w:rPr>
              <w:t>39.394</w:t>
            </w:r>
          </w:p>
        </w:tc>
        <w:tc>
          <w:tcPr>
            <w:tcW w:w="1396" w:type="dxa"/>
            <w:shd w:val="clear" w:color="auto" w:fill="auto"/>
            <w:noWrap/>
            <w:vAlign w:val="center"/>
          </w:tcPr>
          <w:p w14:paraId="41C1C162" w14:textId="77777777" w:rsidR="00D17235" w:rsidRPr="00D17235" w:rsidRDefault="00D17235" w:rsidP="00D17235">
            <w:pPr>
              <w:spacing w:after="0" w:line="240" w:lineRule="auto"/>
              <w:ind w:right="195"/>
              <w:jc w:val="right"/>
              <w:rPr>
                <w:rFonts w:eastAsia="Times New Roman" w:cs="Calibri"/>
                <w:color w:val="auto"/>
                <w:sz w:val="20"/>
                <w:szCs w:val="20"/>
                <w:lang w:val="en-US" w:eastAsia="el-GR"/>
              </w:rPr>
            </w:pPr>
            <w:r w:rsidRPr="00D17235">
              <w:rPr>
                <w:rFonts w:eastAsia="Times New Roman" w:cs="Calibri"/>
                <w:color w:val="auto"/>
                <w:sz w:val="20"/>
                <w:szCs w:val="20"/>
                <w:lang w:eastAsia="el-GR"/>
              </w:rPr>
              <w:t>39.365</w:t>
            </w:r>
          </w:p>
        </w:tc>
        <w:tc>
          <w:tcPr>
            <w:tcW w:w="1396" w:type="dxa"/>
            <w:shd w:val="clear" w:color="auto" w:fill="auto"/>
            <w:noWrap/>
            <w:vAlign w:val="center"/>
          </w:tcPr>
          <w:p w14:paraId="4124ABC3" w14:textId="77777777" w:rsidR="00D17235" w:rsidRPr="00D17235" w:rsidRDefault="00D17235" w:rsidP="00D17235">
            <w:pPr>
              <w:spacing w:after="0" w:line="240" w:lineRule="auto"/>
              <w:jc w:val="center"/>
              <w:rPr>
                <w:rFonts w:eastAsia="Times New Roman" w:cs="Calibri"/>
                <w:i/>
                <w:color w:val="auto"/>
                <w:sz w:val="20"/>
                <w:szCs w:val="20"/>
                <w:lang w:eastAsia="el-GR"/>
              </w:rPr>
            </w:pPr>
            <w:r w:rsidRPr="00D17235">
              <w:rPr>
                <w:rFonts w:eastAsia="Times New Roman" w:cs="Calibri"/>
                <w:i/>
                <w:color w:val="auto"/>
                <w:sz w:val="20"/>
                <w:szCs w:val="20"/>
                <w:lang w:eastAsia="el-GR"/>
              </w:rPr>
              <w:t>-0,1</w:t>
            </w:r>
          </w:p>
        </w:tc>
      </w:tr>
      <w:tr w:rsidR="00D17235" w:rsidRPr="00D17235" w14:paraId="49BBA086" w14:textId="77777777" w:rsidTr="00D07140">
        <w:trPr>
          <w:trHeight w:val="313"/>
        </w:trPr>
        <w:tc>
          <w:tcPr>
            <w:tcW w:w="4182" w:type="dxa"/>
            <w:shd w:val="clear" w:color="auto" w:fill="auto"/>
            <w:noWrap/>
            <w:vAlign w:val="center"/>
          </w:tcPr>
          <w:p w14:paraId="06C57F22" w14:textId="77777777" w:rsidR="00D17235" w:rsidRPr="00D17235" w:rsidRDefault="00D17235" w:rsidP="00D17235">
            <w:pPr>
              <w:spacing w:after="0" w:line="240" w:lineRule="auto"/>
              <w:jc w:val="left"/>
              <w:rPr>
                <w:color w:val="auto"/>
                <w:sz w:val="20"/>
                <w:szCs w:val="20"/>
              </w:rPr>
            </w:pPr>
            <w:r w:rsidRPr="00D17235">
              <w:rPr>
                <w:color w:val="auto"/>
                <w:sz w:val="20"/>
                <w:szCs w:val="20"/>
              </w:rPr>
              <w:t>Μεταβιβάσεις</w:t>
            </w:r>
          </w:p>
        </w:tc>
        <w:tc>
          <w:tcPr>
            <w:tcW w:w="1394" w:type="dxa"/>
            <w:shd w:val="clear" w:color="auto" w:fill="auto"/>
            <w:noWrap/>
            <w:vAlign w:val="center"/>
          </w:tcPr>
          <w:p w14:paraId="61AAFEA3" w14:textId="77777777" w:rsidR="00D17235" w:rsidRPr="00D17235" w:rsidRDefault="00D17235" w:rsidP="00D17235">
            <w:pPr>
              <w:spacing w:after="0" w:line="240" w:lineRule="auto"/>
              <w:ind w:right="195"/>
              <w:jc w:val="right"/>
              <w:rPr>
                <w:rFonts w:eastAsia="Times New Roman" w:cs="Calibri"/>
                <w:color w:val="auto"/>
                <w:sz w:val="20"/>
                <w:szCs w:val="20"/>
                <w:lang w:eastAsia="el-GR"/>
              </w:rPr>
            </w:pPr>
            <w:r w:rsidRPr="00D17235">
              <w:rPr>
                <w:rFonts w:eastAsia="Times New Roman" w:cs="Calibri"/>
                <w:color w:val="auto"/>
                <w:sz w:val="20"/>
                <w:szCs w:val="20"/>
                <w:lang w:eastAsia="el-GR"/>
              </w:rPr>
              <w:t>4.495</w:t>
            </w:r>
          </w:p>
        </w:tc>
        <w:tc>
          <w:tcPr>
            <w:tcW w:w="1396" w:type="dxa"/>
            <w:shd w:val="clear" w:color="auto" w:fill="auto"/>
            <w:noWrap/>
            <w:vAlign w:val="center"/>
          </w:tcPr>
          <w:p w14:paraId="77F79166" w14:textId="77777777" w:rsidR="00D17235" w:rsidRPr="00D17235" w:rsidRDefault="00D17235" w:rsidP="00D17235">
            <w:pPr>
              <w:spacing w:after="0" w:line="240" w:lineRule="auto"/>
              <w:ind w:right="195"/>
              <w:jc w:val="right"/>
              <w:rPr>
                <w:rFonts w:eastAsia="Times New Roman" w:cs="Calibri"/>
                <w:color w:val="auto"/>
                <w:sz w:val="20"/>
                <w:szCs w:val="20"/>
                <w:lang w:val="en-US" w:eastAsia="el-GR"/>
              </w:rPr>
            </w:pPr>
            <w:r w:rsidRPr="00D17235">
              <w:rPr>
                <w:rFonts w:eastAsia="Times New Roman" w:cs="Calibri"/>
                <w:color w:val="auto"/>
                <w:sz w:val="20"/>
                <w:szCs w:val="20"/>
                <w:lang w:eastAsia="el-GR"/>
              </w:rPr>
              <w:t>11.575</w:t>
            </w:r>
          </w:p>
        </w:tc>
        <w:tc>
          <w:tcPr>
            <w:tcW w:w="1396" w:type="dxa"/>
            <w:shd w:val="clear" w:color="auto" w:fill="auto"/>
            <w:noWrap/>
            <w:vAlign w:val="center"/>
          </w:tcPr>
          <w:p w14:paraId="6F91DC41" w14:textId="77777777" w:rsidR="00D17235" w:rsidRPr="00D17235" w:rsidRDefault="00D17235" w:rsidP="00D17235">
            <w:pPr>
              <w:spacing w:after="0" w:line="240" w:lineRule="auto"/>
              <w:jc w:val="center"/>
              <w:rPr>
                <w:rFonts w:eastAsia="Times New Roman" w:cs="Calibri"/>
                <w:i/>
                <w:color w:val="auto"/>
                <w:sz w:val="20"/>
                <w:szCs w:val="20"/>
                <w:lang w:eastAsia="el-GR"/>
              </w:rPr>
            </w:pPr>
            <w:r w:rsidRPr="00D17235">
              <w:rPr>
                <w:rFonts w:eastAsia="Times New Roman" w:cs="Calibri"/>
                <w:i/>
                <w:color w:val="auto"/>
                <w:sz w:val="20"/>
                <w:szCs w:val="20"/>
                <w:lang w:eastAsia="el-GR"/>
              </w:rPr>
              <w:t>157,5</w:t>
            </w:r>
          </w:p>
        </w:tc>
      </w:tr>
      <w:tr w:rsidR="00D17235" w:rsidRPr="00D17235" w14:paraId="62F41676" w14:textId="77777777" w:rsidTr="00D07140">
        <w:trPr>
          <w:trHeight w:val="313"/>
        </w:trPr>
        <w:tc>
          <w:tcPr>
            <w:tcW w:w="4182" w:type="dxa"/>
            <w:shd w:val="clear" w:color="auto" w:fill="auto"/>
            <w:noWrap/>
            <w:vAlign w:val="center"/>
          </w:tcPr>
          <w:p w14:paraId="3E0A18B6" w14:textId="77777777" w:rsidR="00D17235" w:rsidRPr="00D17235" w:rsidRDefault="00D17235" w:rsidP="00D17235">
            <w:pPr>
              <w:spacing w:after="0" w:line="240" w:lineRule="auto"/>
              <w:jc w:val="left"/>
              <w:rPr>
                <w:color w:val="auto"/>
                <w:sz w:val="20"/>
                <w:szCs w:val="20"/>
              </w:rPr>
            </w:pPr>
            <w:r w:rsidRPr="00D17235">
              <w:rPr>
                <w:color w:val="auto"/>
                <w:sz w:val="20"/>
                <w:szCs w:val="20"/>
              </w:rPr>
              <w:t>Αγορά αγαθών και υπηρεσιών</w:t>
            </w:r>
          </w:p>
        </w:tc>
        <w:tc>
          <w:tcPr>
            <w:tcW w:w="1394" w:type="dxa"/>
            <w:shd w:val="clear" w:color="auto" w:fill="auto"/>
            <w:noWrap/>
            <w:vAlign w:val="center"/>
          </w:tcPr>
          <w:p w14:paraId="2462C467" w14:textId="77777777" w:rsidR="00D17235" w:rsidRPr="00D17235" w:rsidRDefault="00D17235" w:rsidP="00D17235">
            <w:pPr>
              <w:spacing w:after="0" w:line="240" w:lineRule="auto"/>
              <w:ind w:right="195"/>
              <w:jc w:val="right"/>
              <w:rPr>
                <w:rFonts w:eastAsia="Times New Roman" w:cs="Calibri"/>
                <w:color w:val="auto"/>
                <w:sz w:val="20"/>
                <w:szCs w:val="20"/>
                <w:lang w:eastAsia="el-GR"/>
              </w:rPr>
            </w:pPr>
            <w:r w:rsidRPr="00D17235">
              <w:rPr>
                <w:rFonts w:eastAsia="Times New Roman" w:cs="Calibri"/>
                <w:color w:val="auto"/>
                <w:sz w:val="20"/>
                <w:szCs w:val="20"/>
                <w:lang w:eastAsia="el-GR"/>
              </w:rPr>
              <w:t>6.898</w:t>
            </w:r>
          </w:p>
        </w:tc>
        <w:tc>
          <w:tcPr>
            <w:tcW w:w="1396" w:type="dxa"/>
            <w:shd w:val="clear" w:color="auto" w:fill="auto"/>
            <w:noWrap/>
            <w:vAlign w:val="center"/>
          </w:tcPr>
          <w:p w14:paraId="7C15656D" w14:textId="77777777" w:rsidR="00D17235" w:rsidRPr="00D17235" w:rsidRDefault="00D17235" w:rsidP="00D17235">
            <w:pPr>
              <w:spacing w:after="0" w:line="240" w:lineRule="auto"/>
              <w:ind w:right="195"/>
              <w:jc w:val="right"/>
              <w:rPr>
                <w:rFonts w:eastAsia="Times New Roman" w:cs="Calibri"/>
                <w:color w:val="auto"/>
                <w:sz w:val="20"/>
                <w:szCs w:val="20"/>
                <w:lang w:val="en-US" w:eastAsia="el-GR"/>
              </w:rPr>
            </w:pPr>
            <w:r w:rsidRPr="00D17235">
              <w:rPr>
                <w:rFonts w:eastAsia="Times New Roman" w:cs="Calibri"/>
                <w:color w:val="auto"/>
                <w:sz w:val="20"/>
                <w:szCs w:val="20"/>
                <w:lang w:eastAsia="el-GR"/>
              </w:rPr>
              <w:t>6.904</w:t>
            </w:r>
          </w:p>
        </w:tc>
        <w:tc>
          <w:tcPr>
            <w:tcW w:w="1396" w:type="dxa"/>
            <w:shd w:val="clear" w:color="auto" w:fill="auto"/>
            <w:noWrap/>
            <w:vAlign w:val="center"/>
          </w:tcPr>
          <w:p w14:paraId="5BE107C6" w14:textId="77777777" w:rsidR="00D17235" w:rsidRPr="00D17235" w:rsidRDefault="00D17235" w:rsidP="00D17235">
            <w:pPr>
              <w:spacing w:after="0" w:line="240" w:lineRule="auto"/>
              <w:jc w:val="center"/>
              <w:rPr>
                <w:rFonts w:eastAsia="Times New Roman" w:cs="Calibri"/>
                <w:i/>
                <w:color w:val="auto"/>
                <w:sz w:val="20"/>
                <w:szCs w:val="20"/>
                <w:lang w:eastAsia="el-GR"/>
              </w:rPr>
            </w:pPr>
            <w:r w:rsidRPr="00D17235">
              <w:rPr>
                <w:rFonts w:eastAsia="Times New Roman" w:cs="Calibri"/>
                <w:i/>
                <w:color w:val="auto"/>
                <w:sz w:val="20"/>
                <w:szCs w:val="20"/>
                <w:lang w:eastAsia="el-GR"/>
              </w:rPr>
              <w:t>0,1</w:t>
            </w:r>
          </w:p>
        </w:tc>
      </w:tr>
      <w:tr w:rsidR="00D17235" w:rsidRPr="00D17235" w14:paraId="1EE2045A" w14:textId="77777777" w:rsidTr="00D07140">
        <w:trPr>
          <w:trHeight w:val="313"/>
        </w:trPr>
        <w:tc>
          <w:tcPr>
            <w:tcW w:w="4182" w:type="dxa"/>
            <w:shd w:val="clear" w:color="auto" w:fill="auto"/>
            <w:noWrap/>
            <w:vAlign w:val="center"/>
          </w:tcPr>
          <w:p w14:paraId="490E9D69" w14:textId="77777777" w:rsidR="00D17235" w:rsidRPr="00D17235" w:rsidRDefault="00D17235" w:rsidP="00D17235">
            <w:pPr>
              <w:spacing w:after="0" w:line="240" w:lineRule="auto"/>
              <w:jc w:val="left"/>
              <w:rPr>
                <w:color w:val="auto"/>
                <w:sz w:val="20"/>
                <w:szCs w:val="20"/>
              </w:rPr>
            </w:pPr>
            <w:r w:rsidRPr="00D17235">
              <w:rPr>
                <w:color w:val="auto"/>
                <w:sz w:val="20"/>
                <w:szCs w:val="20"/>
              </w:rPr>
              <w:t>Επιδοτήσεις</w:t>
            </w:r>
          </w:p>
        </w:tc>
        <w:tc>
          <w:tcPr>
            <w:tcW w:w="1394" w:type="dxa"/>
            <w:shd w:val="clear" w:color="auto" w:fill="auto"/>
            <w:noWrap/>
            <w:vAlign w:val="center"/>
          </w:tcPr>
          <w:p w14:paraId="50B9983D" w14:textId="77777777" w:rsidR="00D17235" w:rsidRPr="00D17235" w:rsidRDefault="00D17235" w:rsidP="00D17235">
            <w:pPr>
              <w:spacing w:after="0" w:line="240" w:lineRule="auto"/>
              <w:ind w:right="195"/>
              <w:jc w:val="right"/>
              <w:rPr>
                <w:rFonts w:eastAsia="Times New Roman" w:cs="Calibri"/>
                <w:color w:val="auto"/>
                <w:sz w:val="20"/>
                <w:szCs w:val="20"/>
                <w:lang w:eastAsia="el-GR"/>
              </w:rPr>
            </w:pPr>
            <w:r w:rsidRPr="00D17235">
              <w:rPr>
                <w:rFonts w:eastAsia="Times New Roman" w:cs="Calibri"/>
                <w:color w:val="auto"/>
                <w:sz w:val="20"/>
                <w:szCs w:val="20"/>
                <w:lang w:eastAsia="el-GR"/>
              </w:rPr>
              <w:t>1.724</w:t>
            </w:r>
          </w:p>
        </w:tc>
        <w:tc>
          <w:tcPr>
            <w:tcW w:w="1396" w:type="dxa"/>
            <w:shd w:val="clear" w:color="auto" w:fill="auto"/>
            <w:noWrap/>
            <w:vAlign w:val="center"/>
          </w:tcPr>
          <w:p w14:paraId="7B1246DB" w14:textId="77777777" w:rsidR="00D17235" w:rsidRPr="00D17235" w:rsidRDefault="00D17235" w:rsidP="00D17235">
            <w:pPr>
              <w:spacing w:after="0" w:line="240" w:lineRule="auto"/>
              <w:ind w:right="195"/>
              <w:jc w:val="right"/>
              <w:rPr>
                <w:rFonts w:eastAsia="Times New Roman" w:cs="Calibri"/>
                <w:color w:val="auto"/>
                <w:sz w:val="20"/>
                <w:szCs w:val="20"/>
                <w:lang w:val="en-US" w:eastAsia="el-GR"/>
              </w:rPr>
            </w:pPr>
            <w:r w:rsidRPr="00D17235">
              <w:rPr>
                <w:rFonts w:eastAsia="Times New Roman" w:cs="Calibri"/>
                <w:color w:val="auto"/>
                <w:sz w:val="20"/>
                <w:szCs w:val="20"/>
                <w:lang w:eastAsia="el-GR"/>
              </w:rPr>
              <w:t>5.764</w:t>
            </w:r>
          </w:p>
        </w:tc>
        <w:tc>
          <w:tcPr>
            <w:tcW w:w="1396" w:type="dxa"/>
            <w:shd w:val="clear" w:color="auto" w:fill="auto"/>
            <w:noWrap/>
            <w:vAlign w:val="center"/>
          </w:tcPr>
          <w:p w14:paraId="07353294" w14:textId="77777777" w:rsidR="00D17235" w:rsidRPr="00D17235" w:rsidRDefault="00D17235" w:rsidP="00D17235">
            <w:pPr>
              <w:spacing w:after="0" w:line="240" w:lineRule="auto"/>
              <w:jc w:val="center"/>
              <w:rPr>
                <w:rFonts w:eastAsia="Times New Roman" w:cs="Calibri"/>
                <w:i/>
                <w:color w:val="auto"/>
                <w:sz w:val="20"/>
                <w:szCs w:val="20"/>
                <w:lang w:eastAsia="el-GR"/>
              </w:rPr>
            </w:pPr>
            <w:r w:rsidRPr="00D17235">
              <w:rPr>
                <w:rFonts w:eastAsia="Times New Roman" w:cs="Calibri"/>
                <w:i/>
                <w:color w:val="auto"/>
                <w:sz w:val="20"/>
                <w:szCs w:val="20"/>
                <w:lang w:eastAsia="el-GR"/>
              </w:rPr>
              <w:t>234,3</w:t>
            </w:r>
          </w:p>
        </w:tc>
      </w:tr>
      <w:tr w:rsidR="00D17235" w:rsidRPr="00D17235" w14:paraId="5245DA02" w14:textId="77777777" w:rsidTr="00D07140">
        <w:trPr>
          <w:trHeight w:val="313"/>
        </w:trPr>
        <w:tc>
          <w:tcPr>
            <w:tcW w:w="4182" w:type="dxa"/>
            <w:shd w:val="clear" w:color="auto" w:fill="auto"/>
            <w:noWrap/>
            <w:vAlign w:val="center"/>
          </w:tcPr>
          <w:p w14:paraId="5FCDA717" w14:textId="77777777" w:rsidR="00D17235" w:rsidRPr="00D17235" w:rsidRDefault="00D17235" w:rsidP="00D17235">
            <w:pPr>
              <w:spacing w:after="0" w:line="240" w:lineRule="auto"/>
              <w:jc w:val="left"/>
              <w:rPr>
                <w:color w:val="auto"/>
                <w:sz w:val="20"/>
                <w:szCs w:val="20"/>
              </w:rPr>
            </w:pPr>
            <w:r w:rsidRPr="00D17235">
              <w:rPr>
                <w:color w:val="auto"/>
                <w:sz w:val="20"/>
                <w:szCs w:val="20"/>
              </w:rPr>
              <w:t>Τόκοι καταβληθέντες</w:t>
            </w:r>
          </w:p>
        </w:tc>
        <w:tc>
          <w:tcPr>
            <w:tcW w:w="1394" w:type="dxa"/>
            <w:shd w:val="clear" w:color="auto" w:fill="auto"/>
            <w:noWrap/>
            <w:vAlign w:val="center"/>
          </w:tcPr>
          <w:p w14:paraId="6F90189C" w14:textId="77777777" w:rsidR="00D17235" w:rsidRPr="00D17235" w:rsidRDefault="00D17235" w:rsidP="00D17235">
            <w:pPr>
              <w:spacing w:after="0" w:line="240" w:lineRule="auto"/>
              <w:ind w:right="195"/>
              <w:jc w:val="right"/>
              <w:rPr>
                <w:rFonts w:eastAsia="Times New Roman" w:cs="Calibri"/>
                <w:color w:val="auto"/>
                <w:sz w:val="20"/>
                <w:szCs w:val="20"/>
                <w:lang w:eastAsia="el-GR"/>
              </w:rPr>
            </w:pPr>
            <w:r w:rsidRPr="00D17235">
              <w:rPr>
                <w:rFonts w:eastAsia="Times New Roman" w:cs="Calibri"/>
                <w:color w:val="auto"/>
                <w:sz w:val="20"/>
                <w:szCs w:val="20"/>
                <w:lang w:eastAsia="el-GR"/>
              </w:rPr>
              <w:t>4.560</w:t>
            </w:r>
          </w:p>
        </w:tc>
        <w:tc>
          <w:tcPr>
            <w:tcW w:w="1396" w:type="dxa"/>
            <w:shd w:val="clear" w:color="auto" w:fill="auto"/>
            <w:noWrap/>
            <w:vAlign w:val="center"/>
          </w:tcPr>
          <w:p w14:paraId="060D1129" w14:textId="77777777" w:rsidR="00D17235" w:rsidRPr="00D17235" w:rsidRDefault="00D17235" w:rsidP="00D17235">
            <w:pPr>
              <w:spacing w:after="0" w:line="240" w:lineRule="auto"/>
              <w:ind w:right="195"/>
              <w:jc w:val="right"/>
              <w:rPr>
                <w:rFonts w:eastAsia="Times New Roman" w:cs="Calibri"/>
                <w:color w:val="auto"/>
                <w:sz w:val="20"/>
                <w:szCs w:val="20"/>
                <w:lang w:val="en-US" w:eastAsia="el-GR"/>
              </w:rPr>
            </w:pPr>
            <w:r w:rsidRPr="00D17235">
              <w:rPr>
                <w:rFonts w:eastAsia="Times New Roman" w:cs="Calibri"/>
                <w:color w:val="auto"/>
                <w:sz w:val="20"/>
                <w:szCs w:val="20"/>
                <w:lang w:eastAsia="el-GR"/>
              </w:rPr>
              <w:t>3.977</w:t>
            </w:r>
          </w:p>
        </w:tc>
        <w:tc>
          <w:tcPr>
            <w:tcW w:w="1396" w:type="dxa"/>
            <w:shd w:val="clear" w:color="auto" w:fill="auto"/>
            <w:noWrap/>
            <w:vAlign w:val="center"/>
          </w:tcPr>
          <w:p w14:paraId="3E58085E" w14:textId="77777777" w:rsidR="00D17235" w:rsidRPr="00D17235" w:rsidRDefault="00D17235" w:rsidP="00D17235">
            <w:pPr>
              <w:spacing w:after="0" w:line="240" w:lineRule="auto"/>
              <w:jc w:val="center"/>
              <w:rPr>
                <w:rFonts w:eastAsia="Times New Roman" w:cs="Calibri"/>
                <w:i/>
                <w:color w:val="auto"/>
                <w:sz w:val="20"/>
                <w:szCs w:val="20"/>
                <w:lang w:eastAsia="el-GR"/>
              </w:rPr>
            </w:pPr>
            <w:r w:rsidRPr="00D17235">
              <w:rPr>
                <w:rFonts w:eastAsia="Times New Roman" w:cs="Calibri"/>
                <w:i/>
                <w:color w:val="auto"/>
                <w:sz w:val="20"/>
                <w:szCs w:val="20"/>
                <w:lang w:eastAsia="el-GR"/>
              </w:rPr>
              <w:t>-12,8</w:t>
            </w:r>
          </w:p>
        </w:tc>
      </w:tr>
      <w:tr w:rsidR="00D17235" w:rsidRPr="00D17235" w14:paraId="0061C4B5" w14:textId="77777777" w:rsidTr="00D07140">
        <w:trPr>
          <w:trHeight w:val="313"/>
        </w:trPr>
        <w:tc>
          <w:tcPr>
            <w:tcW w:w="4182" w:type="dxa"/>
            <w:shd w:val="clear" w:color="auto" w:fill="auto"/>
            <w:noWrap/>
            <w:vAlign w:val="center"/>
          </w:tcPr>
          <w:p w14:paraId="5CC97317" w14:textId="77777777" w:rsidR="00D17235" w:rsidRPr="00D17235" w:rsidRDefault="00D17235" w:rsidP="00D17235">
            <w:pPr>
              <w:spacing w:after="0" w:line="240" w:lineRule="auto"/>
              <w:jc w:val="left"/>
              <w:rPr>
                <w:color w:val="auto"/>
                <w:sz w:val="20"/>
                <w:szCs w:val="20"/>
              </w:rPr>
            </w:pPr>
            <w:r w:rsidRPr="00D17235">
              <w:rPr>
                <w:color w:val="auto"/>
                <w:sz w:val="20"/>
                <w:szCs w:val="20"/>
              </w:rPr>
              <w:t>Λοιπές δαπάνες</w:t>
            </w:r>
          </w:p>
        </w:tc>
        <w:tc>
          <w:tcPr>
            <w:tcW w:w="1394" w:type="dxa"/>
            <w:shd w:val="clear" w:color="auto" w:fill="auto"/>
            <w:noWrap/>
            <w:vAlign w:val="center"/>
          </w:tcPr>
          <w:p w14:paraId="37511691" w14:textId="77777777" w:rsidR="00D17235" w:rsidRPr="00D17235" w:rsidRDefault="00D17235" w:rsidP="00D17235">
            <w:pPr>
              <w:spacing w:after="0" w:line="240" w:lineRule="auto"/>
              <w:ind w:right="195"/>
              <w:jc w:val="right"/>
              <w:rPr>
                <w:rFonts w:eastAsia="Times New Roman" w:cs="Calibri"/>
                <w:color w:val="auto"/>
                <w:sz w:val="20"/>
                <w:szCs w:val="20"/>
                <w:lang w:eastAsia="el-GR"/>
              </w:rPr>
            </w:pPr>
            <w:r w:rsidRPr="00D17235">
              <w:rPr>
                <w:rFonts w:eastAsia="Times New Roman" w:cs="Calibri"/>
                <w:color w:val="auto"/>
                <w:sz w:val="20"/>
                <w:szCs w:val="20"/>
                <w:lang w:eastAsia="el-GR"/>
              </w:rPr>
              <w:t>9</w:t>
            </w:r>
          </w:p>
        </w:tc>
        <w:tc>
          <w:tcPr>
            <w:tcW w:w="1396" w:type="dxa"/>
            <w:shd w:val="clear" w:color="auto" w:fill="auto"/>
            <w:noWrap/>
            <w:vAlign w:val="center"/>
          </w:tcPr>
          <w:p w14:paraId="3CDB9104" w14:textId="77777777" w:rsidR="00D17235" w:rsidRPr="00D17235" w:rsidRDefault="00D17235" w:rsidP="00D17235">
            <w:pPr>
              <w:spacing w:after="0" w:line="240" w:lineRule="auto"/>
              <w:ind w:right="195"/>
              <w:jc w:val="right"/>
              <w:rPr>
                <w:rFonts w:eastAsia="Times New Roman" w:cs="Calibri"/>
                <w:color w:val="auto"/>
                <w:sz w:val="20"/>
                <w:szCs w:val="20"/>
                <w:lang w:val="en-US" w:eastAsia="el-GR"/>
              </w:rPr>
            </w:pPr>
            <w:r w:rsidRPr="00D17235">
              <w:rPr>
                <w:rFonts w:eastAsia="Times New Roman" w:cs="Calibri"/>
                <w:color w:val="auto"/>
                <w:sz w:val="20"/>
                <w:szCs w:val="20"/>
                <w:lang w:val="en-US" w:eastAsia="el-GR"/>
              </w:rPr>
              <w:t>8</w:t>
            </w:r>
          </w:p>
        </w:tc>
        <w:tc>
          <w:tcPr>
            <w:tcW w:w="1396" w:type="dxa"/>
            <w:shd w:val="clear" w:color="auto" w:fill="auto"/>
            <w:noWrap/>
            <w:vAlign w:val="center"/>
          </w:tcPr>
          <w:p w14:paraId="4E572636" w14:textId="77777777" w:rsidR="00D17235" w:rsidRPr="00D17235" w:rsidRDefault="00D17235" w:rsidP="00D17235">
            <w:pPr>
              <w:spacing w:after="0" w:line="240" w:lineRule="auto"/>
              <w:jc w:val="center"/>
              <w:rPr>
                <w:rFonts w:eastAsia="Times New Roman" w:cs="Calibri"/>
                <w:i/>
                <w:color w:val="auto"/>
                <w:sz w:val="20"/>
                <w:szCs w:val="20"/>
                <w:lang w:eastAsia="el-GR"/>
              </w:rPr>
            </w:pPr>
            <w:r w:rsidRPr="00D17235">
              <w:rPr>
                <w:rFonts w:eastAsia="Times New Roman" w:cs="Calibri"/>
                <w:i/>
                <w:color w:val="auto"/>
                <w:sz w:val="20"/>
                <w:szCs w:val="20"/>
                <w:lang w:eastAsia="el-GR"/>
              </w:rPr>
              <w:t>-11,1</w:t>
            </w:r>
          </w:p>
        </w:tc>
      </w:tr>
      <w:tr w:rsidR="00D17235" w:rsidRPr="00D17235" w14:paraId="57BFD6C7" w14:textId="77777777" w:rsidTr="00D07140">
        <w:trPr>
          <w:trHeight w:val="313"/>
        </w:trPr>
        <w:tc>
          <w:tcPr>
            <w:tcW w:w="4182" w:type="dxa"/>
            <w:shd w:val="clear" w:color="auto" w:fill="auto"/>
            <w:noWrap/>
            <w:vAlign w:val="center"/>
          </w:tcPr>
          <w:p w14:paraId="41C3F420" w14:textId="77777777" w:rsidR="00D17235" w:rsidRPr="00D17235" w:rsidRDefault="00D17235" w:rsidP="00D17235">
            <w:pPr>
              <w:spacing w:after="0" w:line="240" w:lineRule="auto"/>
              <w:jc w:val="left"/>
              <w:rPr>
                <w:b/>
                <w:bCs/>
                <w:color w:val="auto"/>
                <w:sz w:val="20"/>
                <w:szCs w:val="20"/>
              </w:rPr>
            </w:pPr>
            <w:r w:rsidRPr="00D17235">
              <w:rPr>
                <w:b/>
                <w:bCs/>
                <w:color w:val="auto"/>
                <w:sz w:val="20"/>
                <w:szCs w:val="20"/>
              </w:rPr>
              <w:t>Γ. Καθαρή απόκτηση μη χρημ/κών περιουσιακών στοιχείων</w:t>
            </w:r>
          </w:p>
        </w:tc>
        <w:tc>
          <w:tcPr>
            <w:tcW w:w="1394" w:type="dxa"/>
            <w:shd w:val="clear" w:color="auto" w:fill="auto"/>
            <w:noWrap/>
            <w:vAlign w:val="center"/>
          </w:tcPr>
          <w:p w14:paraId="15793517" w14:textId="77777777" w:rsidR="00D17235" w:rsidRPr="00D17235" w:rsidRDefault="00D17235" w:rsidP="00D17235">
            <w:pPr>
              <w:spacing w:after="0" w:line="240" w:lineRule="auto"/>
              <w:ind w:right="195"/>
              <w:jc w:val="right"/>
              <w:rPr>
                <w:rFonts w:eastAsia="Times New Roman" w:cs="Calibri"/>
                <w:b/>
                <w:bCs/>
                <w:color w:val="auto"/>
                <w:sz w:val="20"/>
                <w:szCs w:val="20"/>
                <w:lang w:val="en-US" w:eastAsia="el-GR"/>
              </w:rPr>
            </w:pPr>
            <w:r w:rsidRPr="00D17235">
              <w:rPr>
                <w:rFonts w:eastAsia="Times New Roman" w:cs="Calibri"/>
                <w:b/>
                <w:bCs/>
                <w:color w:val="auto"/>
                <w:sz w:val="20"/>
                <w:szCs w:val="20"/>
                <w:lang w:val="en-US" w:eastAsia="el-GR"/>
              </w:rPr>
              <w:t>5.542</w:t>
            </w:r>
          </w:p>
        </w:tc>
        <w:tc>
          <w:tcPr>
            <w:tcW w:w="1396" w:type="dxa"/>
            <w:shd w:val="clear" w:color="auto" w:fill="auto"/>
            <w:noWrap/>
            <w:vAlign w:val="center"/>
          </w:tcPr>
          <w:p w14:paraId="65F65D77" w14:textId="77777777" w:rsidR="00D17235" w:rsidRPr="00D17235" w:rsidRDefault="00D17235" w:rsidP="00D17235">
            <w:pPr>
              <w:spacing w:after="0" w:line="240" w:lineRule="auto"/>
              <w:ind w:right="195"/>
              <w:jc w:val="right"/>
              <w:rPr>
                <w:rFonts w:eastAsia="Times New Roman" w:cs="Calibri"/>
                <w:b/>
                <w:bCs/>
                <w:color w:val="auto"/>
                <w:sz w:val="20"/>
                <w:szCs w:val="20"/>
                <w:lang w:eastAsia="el-GR"/>
              </w:rPr>
            </w:pPr>
            <w:r w:rsidRPr="00D17235">
              <w:rPr>
                <w:rFonts w:eastAsia="Times New Roman" w:cs="Calibri"/>
                <w:b/>
                <w:bCs/>
                <w:color w:val="auto"/>
                <w:sz w:val="20"/>
                <w:szCs w:val="20"/>
                <w:lang w:eastAsia="el-GR"/>
              </w:rPr>
              <w:t>6.234</w:t>
            </w:r>
          </w:p>
        </w:tc>
        <w:tc>
          <w:tcPr>
            <w:tcW w:w="1396" w:type="dxa"/>
            <w:shd w:val="clear" w:color="auto" w:fill="auto"/>
            <w:noWrap/>
            <w:vAlign w:val="bottom"/>
          </w:tcPr>
          <w:p w14:paraId="376C7B38" w14:textId="77777777" w:rsidR="00D17235" w:rsidRPr="00D17235" w:rsidRDefault="00D17235" w:rsidP="00D17235">
            <w:pPr>
              <w:spacing w:after="0" w:line="240" w:lineRule="auto"/>
              <w:jc w:val="center"/>
              <w:rPr>
                <w:rFonts w:eastAsia="Times New Roman" w:cs="Calibri"/>
                <w:b/>
                <w:bCs/>
                <w:i/>
                <w:color w:val="auto"/>
                <w:sz w:val="20"/>
                <w:szCs w:val="20"/>
                <w:lang w:val="en-US" w:eastAsia="el-GR"/>
              </w:rPr>
            </w:pPr>
            <w:r w:rsidRPr="00D17235">
              <w:rPr>
                <w:rFonts w:eastAsia="Times New Roman" w:cs="Calibri"/>
                <w:b/>
                <w:bCs/>
                <w:i/>
                <w:color w:val="auto"/>
                <w:sz w:val="20"/>
                <w:szCs w:val="20"/>
                <w:lang w:val="en-US" w:eastAsia="el-GR"/>
              </w:rPr>
              <w:t>12,</w:t>
            </w:r>
            <w:r w:rsidRPr="00D17235">
              <w:rPr>
                <w:rFonts w:eastAsia="Times New Roman" w:cs="Calibri"/>
                <w:b/>
                <w:bCs/>
                <w:i/>
                <w:color w:val="auto"/>
                <w:sz w:val="20"/>
                <w:szCs w:val="20"/>
                <w:lang w:eastAsia="el-GR"/>
              </w:rPr>
              <w:t>5</w:t>
            </w:r>
          </w:p>
        </w:tc>
      </w:tr>
      <w:tr w:rsidR="00D17235" w:rsidRPr="00D17235" w14:paraId="7E47D345" w14:textId="77777777" w:rsidTr="007F070F">
        <w:trPr>
          <w:trHeight w:val="313"/>
        </w:trPr>
        <w:tc>
          <w:tcPr>
            <w:tcW w:w="4182" w:type="dxa"/>
            <w:shd w:val="clear" w:color="auto" w:fill="F2F2F2" w:themeFill="background1" w:themeFillShade="F2"/>
            <w:noWrap/>
            <w:vAlign w:val="center"/>
          </w:tcPr>
          <w:p w14:paraId="759F7C69" w14:textId="77777777" w:rsidR="00D17235" w:rsidRPr="00D17235" w:rsidRDefault="00D17235" w:rsidP="00D17235">
            <w:pPr>
              <w:spacing w:after="0" w:line="240" w:lineRule="auto"/>
              <w:jc w:val="left"/>
              <w:rPr>
                <w:b/>
                <w:bCs/>
                <w:color w:val="auto"/>
                <w:sz w:val="20"/>
                <w:szCs w:val="20"/>
              </w:rPr>
            </w:pPr>
            <w:r w:rsidRPr="00D17235">
              <w:rPr>
                <w:b/>
                <w:bCs/>
                <w:color w:val="auto"/>
                <w:sz w:val="20"/>
                <w:szCs w:val="20"/>
              </w:rPr>
              <w:t>Ισοζύγιο (πλεόνασμα (+) / έλλειμμα (-) ( Α-Β-Γ))</w:t>
            </w:r>
          </w:p>
        </w:tc>
        <w:tc>
          <w:tcPr>
            <w:tcW w:w="1394" w:type="dxa"/>
            <w:shd w:val="clear" w:color="auto" w:fill="F2F2F2" w:themeFill="background1" w:themeFillShade="F2"/>
            <w:noWrap/>
            <w:vAlign w:val="center"/>
          </w:tcPr>
          <w:p w14:paraId="0274CC79" w14:textId="77777777" w:rsidR="00D17235" w:rsidRPr="00D17235" w:rsidRDefault="00D17235" w:rsidP="00D17235">
            <w:pPr>
              <w:spacing w:after="0" w:line="240" w:lineRule="auto"/>
              <w:ind w:right="195"/>
              <w:jc w:val="right"/>
              <w:rPr>
                <w:rFonts w:eastAsia="Times New Roman" w:cs="Calibri"/>
                <w:b/>
                <w:bCs/>
                <w:color w:val="auto"/>
                <w:sz w:val="20"/>
                <w:szCs w:val="20"/>
                <w:lang w:eastAsia="el-GR"/>
              </w:rPr>
            </w:pPr>
            <w:r w:rsidRPr="00D17235">
              <w:rPr>
                <w:rFonts w:eastAsia="Times New Roman" w:cs="Calibri"/>
                <w:b/>
                <w:bCs/>
                <w:color w:val="auto"/>
                <w:sz w:val="20"/>
                <w:szCs w:val="20"/>
                <w:lang w:eastAsia="el-GR"/>
              </w:rPr>
              <w:t>4.902</w:t>
            </w:r>
          </w:p>
        </w:tc>
        <w:tc>
          <w:tcPr>
            <w:tcW w:w="1396" w:type="dxa"/>
            <w:shd w:val="clear" w:color="auto" w:fill="F2F2F2" w:themeFill="background1" w:themeFillShade="F2"/>
            <w:noWrap/>
            <w:vAlign w:val="center"/>
          </w:tcPr>
          <w:p w14:paraId="55D4E90A" w14:textId="77777777" w:rsidR="00D17235" w:rsidRPr="00D17235" w:rsidRDefault="00D17235" w:rsidP="00D17235">
            <w:pPr>
              <w:spacing w:after="0" w:line="240" w:lineRule="auto"/>
              <w:ind w:right="195"/>
              <w:jc w:val="right"/>
              <w:rPr>
                <w:rFonts w:eastAsia="Times New Roman" w:cs="Calibri"/>
                <w:b/>
                <w:bCs/>
                <w:color w:val="auto"/>
                <w:sz w:val="20"/>
                <w:szCs w:val="20"/>
                <w:lang w:eastAsia="el-GR"/>
              </w:rPr>
            </w:pPr>
            <w:r w:rsidRPr="00D17235">
              <w:rPr>
                <w:rFonts w:eastAsia="Times New Roman" w:cs="Calibri"/>
                <w:b/>
                <w:bCs/>
                <w:color w:val="auto"/>
                <w:sz w:val="20"/>
                <w:szCs w:val="20"/>
                <w:lang w:eastAsia="el-GR"/>
              </w:rPr>
              <w:t>-16.528</w:t>
            </w:r>
          </w:p>
        </w:tc>
        <w:tc>
          <w:tcPr>
            <w:tcW w:w="1396" w:type="dxa"/>
            <w:shd w:val="clear" w:color="auto" w:fill="F2F2F2" w:themeFill="background1" w:themeFillShade="F2"/>
            <w:noWrap/>
            <w:vAlign w:val="bottom"/>
          </w:tcPr>
          <w:p w14:paraId="63FD0F7B" w14:textId="77777777" w:rsidR="00D17235" w:rsidRPr="00D17235" w:rsidRDefault="00D17235" w:rsidP="00D17235">
            <w:pPr>
              <w:spacing w:after="0" w:line="240" w:lineRule="auto"/>
              <w:jc w:val="center"/>
              <w:rPr>
                <w:rFonts w:eastAsia="Times New Roman" w:cs="Calibri"/>
                <w:b/>
                <w:bCs/>
                <w:i/>
                <w:color w:val="auto"/>
                <w:sz w:val="20"/>
                <w:szCs w:val="20"/>
                <w:lang w:eastAsia="el-GR"/>
              </w:rPr>
            </w:pPr>
          </w:p>
        </w:tc>
      </w:tr>
      <w:tr w:rsidR="00D17235" w:rsidRPr="00D17235" w14:paraId="187C219B" w14:textId="77777777" w:rsidTr="00D07140">
        <w:trPr>
          <w:trHeight w:val="313"/>
        </w:trPr>
        <w:tc>
          <w:tcPr>
            <w:tcW w:w="4182" w:type="dxa"/>
            <w:shd w:val="clear" w:color="auto" w:fill="D9D9D9" w:themeFill="background1" w:themeFillShade="D9"/>
            <w:noWrap/>
            <w:vAlign w:val="center"/>
          </w:tcPr>
          <w:p w14:paraId="24810C5B" w14:textId="77777777" w:rsidR="00D17235" w:rsidRPr="00D17235" w:rsidRDefault="00D17235" w:rsidP="00D17235">
            <w:pPr>
              <w:spacing w:after="0" w:line="240" w:lineRule="auto"/>
              <w:jc w:val="left"/>
              <w:rPr>
                <w:b/>
                <w:bCs/>
                <w:color w:val="auto"/>
                <w:sz w:val="20"/>
                <w:szCs w:val="20"/>
              </w:rPr>
            </w:pPr>
            <w:r w:rsidRPr="00D17235">
              <w:rPr>
                <w:b/>
                <w:bCs/>
                <w:color w:val="auto"/>
                <w:sz w:val="20"/>
                <w:szCs w:val="20"/>
              </w:rPr>
              <w:t>Ισοζύγιο ως % του ΑΕΠ</w:t>
            </w:r>
          </w:p>
        </w:tc>
        <w:tc>
          <w:tcPr>
            <w:tcW w:w="1394" w:type="dxa"/>
            <w:shd w:val="clear" w:color="auto" w:fill="D9D9D9" w:themeFill="background1" w:themeFillShade="D9"/>
            <w:noWrap/>
            <w:vAlign w:val="center"/>
          </w:tcPr>
          <w:p w14:paraId="05C3D681" w14:textId="77777777" w:rsidR="00D17235" w:rsidRPr="00D17235" w:rsidRDefault="00D17235" w:rsidP="00D17235">
            <w:pPr>
              <w:spacing w:after="0" w:line="240" w:lineRule="auto"/>
              <w:ind w:right="195"/>
              <w:jc w:val="right"/>
              <w:rPr>
                <w:rFonts w:eastAsia="Times New Roman" w:cs="Calibri"/>
                <w:b/>
                <w:bCs/>
                <w:color w:val="auto"/>
                <w:sz w:val="20"/>
                <w:szCs w:val="20"/>
                <w:lang w:eastAsia="el-GR"/>
              </w:rPr>
            </w:pPr>
            <w:r w:rsidRPr="00D17235">
              <w:rPr>
                <w:rFonts w:eastAsia="Times New Roman" w:cs="Calibri"/>
                <w:b/>
                <w:bCs/>
                <w:color w:val="auto"/>
                <w:sz w:val="20"/>
                <w:szCs w:val="20"/>
                <w:lang w:eastAsia="el-GR"/>
              </w:rPr>
              <w:t>2,7%</w:t>
            </w:r>
          </w:p>
        </w:tc>
        <w:tc>
          <w:tcPr>
            <w:tcW w:w="1396" w:type="dxa"/>
            <w:shd w:val="clear" w:color="auto" w:fill="D9D9D9" w:themeFill="background1" w:themeFillShade="D9"/>
            <w:noWrap/>
            <w:vAlign w:val="center"/>
          </w:tcPr>
          <w:p w14:paraId="4508C55D" w14:textId="77777777" w:rsidR="00D17235" w:rsidRPr="00D17235" w:rsidRDefault="00D17235" w:rsidP="00D17235">
            <w:pPr>
              <w:spacing w:after="0" w:line="240" w:lineRule="auto"/>
              <w:ind w:right="195"/>
              <w:jc w:val="right"/>
              <w:rPr>
                <w:rFonts w:eastAsia="Times New Roman" w:cs="Calibri"/>
                <w:b/>
                <w:bCs/>
                <w:color w:val="auto"/>
                <w:sz w:val="20"/>
                <w:szCs w:val="20"/>
                <w:lang w:eastAsia="el-GR"/>
              </w:rPr>
            </w:pPr>
            <w:r w:rsidRPr="00D17235">
              <w:rPr>
                <w:rFonts w:eastAsia="Times New Roman" w:cs="Calibri"/>
                <w:b/>
                <w:bCs/>
                <w:color w:val="auto"/>
                <w:sz w:val="20"/>
                <w:szCs w:val="20"/>
                <w:lang w:eastAsia="el-GR"/>
              </w:rPr>
              <w:t>-10,0%</w:t>
            </w:r>
          </w:p>
        </w:tc>
        <w:tc>
          <w:tcPr>
            <w:tcW w:w="1396" w:type="dxa"/>
            <w:shd w:val="clear" w:color="auto" w:fill="D9D9D9" w:themeFill="background1" w:themeFillShade="D9"/>
            <w:noWrap/>
            <w:vAlign w:val="bottom"/>
          </w:tcPr>
          <w:p w14:paraId="7C886AF5" w14:textId="77777777" w:rsidR="00D17235" w:rsidRPr="00D17235" w:rsidRDefault="00D17235" w:rsidP="00D17235">
            <w:pPr>
              <w:spacing w:after="0" w:line="240" w:lineRule="auto"/>
              <w:jc w:val="center"/>
              <w:rPr>
                <w:rFonts w:eastAsia="Times New Roman" w:cs="Calibri"/>
                <w:b/>
                <w:bCs/>
                <w:i/>
                <w:color w:val="auto"/>
                <w:sz w:val="20"/>
                <w:szCs w:val="20"/>
                <w:lang w:eastAsia="el-GR"/>
              </w:rPr>
            </w:pPr>
          </w:p>
        </w:tc>
      </w:tr>
      <w:tr w:rsidR="00D17235" w:rsidRPr="00D17235" w14:paraId="601E5779" w14:textId="77777777" w:rsidTr="007F070F">
        <w:trPr>
          <w:trHeight w:val="313"/>
        </w:trPr>
        <w:tc>
          <w:tcPr>
            <w:tcW w:w="4182" w:type="dxa"/>
            <w:shd w:val="clear" w:color="auto" w:fill="F2F2F2" w:themeFill="background1" w:themeFillShade="F2"/>
            <w:noWrap/>
            <w:vAlign w:val="center"/>
          </w:tcPr>
          <w:p w14:paraId="6D2200A9" w14:textId="77777777" w:rsidR="00D17235" w:rsidRPr="00D17235" w:rsidRDefault="00D17235" w:rsidP="00D17235">
            <w:pPr>
              <w:spacing w:after="0" w:line="240" w:lineRule="auto"/>
              <w:jc w:val="left"/>
              <w:rPr>
                <w:b/>
                <w:bCs/>
                <w:color w:val="auto"/>
                <w:sz w:val="20"/>
                <w:szCs w:val="20"/>
              </w:rPr>
            </w:pPr>
            <w:r w:rsidRPr="00D17235">
              <w:rPr>
                <w:b/>
                <w:bCs/>
                <w:color w:val="auto"/>
                <w:sz w:val="20"/>
                <w:szCs w:val="20"/>
              </w:rPr>
              <w:t>Πρωτογενές Αποτέλεσμα (πλεόνασμα (+) / έλλειμμα (-) ( Α-Β-Γ))</w:t>
            </w:r>
          </w:p>
        </w:tc>
        <w:tc>
          <w:tcPr>
            <w:tcW w:w="1394" w:type="dxa"/>
            <w:shd w:val="clear" w:color="auto" w:fill="F2F2F2" w:themeFill="background1" w:themeFillShade="F2"/>
            <w:noWrap/>
            <w:vAlign w:val="center"/>
          </w:tcPr>
          <w:p w14:paraId="4C804CEE" w14:textId="77777777" w:rsidR="00D17235" w:rsidRPr="00D17235" w:rsidRDefault="00D17235" w:rsidP="00D17235">
            <w:pPr>
              <w:spacing w:after="0" w:line="240" w:lineRule="auto"/>
              <w:ind w:right="195"/>
              <w:jc w:val="right"/>
              <w:rPr>
                <w:rFonts w:eastAsia="Times New Roman" w:cs="Calibri"/>
                <w:b/>
                <w:bCs/>
                <w:color w:val="auto"/>
                <w:sz w:val="20"/>
                <w:szCs w:val="20"/>
                <w:lang w:eastAsia="el-GR"/>
              </w:rPr>
            </w:pPr>
            <w:r w:rsidRPr="00D17235">
              <w:rPr>
                <w:rFonts w:eastAsia="Times New Roman" w:cs="Calibri"/>
                <w:b/>
                <w:bCs/>
                <w:color w:val="auto"/>
                <w:sz w:val="20"/>
                <w:szCs w:val="20"/>
                <w:lang w:eastAsia="el-GR"/>
              </w:rPr>
              <w:t>9.462</w:t>
            </w:r>
          </w:p>
        </w:tc>
        <w:tc>
          <w:tcPr>
            <w:tcW w:w="1396" w:type="dxa"/>
            <w:shd w:val="clear" w:color="auto" w:fill="F2F2F2" w:themeFill="background1" w:themeFillShade="F2"/>
            <w:noWrap/>
            <w:vAlign w:val="center"/>
          </w:tcPr>
          <w:p w14:paraId="711411E9" w14:textId="77777777" w:rsidR="00D17235" w:rsidRPr="00D17235" w:rsidRDefault="00D17235" w:rsidP="00D17235">
            <w:pPr>
              <w:spacing w:after="0" w:line="240" w:lineRule="auto"/>
              <w:ind w:right="195"/>
              <w:jc w:val="right"/>
              <w:rPr>
                <w:rFonts w:eastAsia="Times New Roman" w:cs="Calibri"/>
                <w:b/>
                <w:bCs/>
                <w:color w:val="auto"/>
                <w:sz w:val="20"/>
                <w:szCs w:val="20"/>
                <w:lang w:eastAsia="el-GR"/>
              </w:rPr>
            </w:pPr>
            <w:r w:rsidRPr="00D17235">
              <w:rPr>
                <w:rFonts w:eastAsia="Times New Roman" w:cs="Calibri"/>
                <w:b/>
                <w:bCs/>
                <w:color w:val="auto"/>
                <w:sz w:val="20"/>
                <w:szCs w:val="20"/>
                <w:lang w:eastAsia="el-GR"/>
              </w:rPr>
              <w:t>-12.551</w:t>
            </w:r>
          </w:p>
        </w:tc>
        <w:tc>
          <w:tcPr>
            <w:tcW w:w="1396" w:type="dxa"/>
            <w:shd w:val="clear" w:color="auto" w:fill="F2F2F2" w:themeFill="background1" w:themeFillShade="F2"/>
            <w:noWrap/>
            <w:vAlign w:val="bottom"/>
          </w:tcPr>
          <w:p w14:paraId="2A00147A" w14:textId="77777777" w:rsidR="00D17235" w:rsidRPr="00D17235" w:rsidRDefault="00D17235" w:rsidP="00D17235">
            <w:pPr>
              <w:spacing w:after="0" w:line="240" w:lineRule="auto"/>
              <w:jc w:val="center"/>
              <w:rPr>
                <w:rFonts w:eastAsia="Times New Roman" w:cs="Calibri"/>
                <w:b/>
                <w:bCs/>
                <w:color w:val="auto"/>
                <w:sz w:val="20"/>
                <w:szCs w:val="20"/>
                <w:lang w:eastAsia="el-GR"/>
              </w:rPr>
            </w:pPr>
          </w:p>
        </w:tc>
      </w:tr>
      <w:tr w:rsidR="00D17235" w:rsidRPr="00D17235" w14:paraId="17196B4D" w14:textId="77777777" w:rsidTr="00D07140">
        <w:trPr>
          <w:trHeight w:val="313"/>
        </w:trPr>
        <w:tc>
          <w:tcPr>
            <w:tcW w:w="4182" w:type="dxa"/>
            <w:tcBorders>
              <w:bottom w:val="single" w:sz="4" w:space="0" w:color="auto"/>
            </w:tcBorders>
            <w:shd w:val="clear" w:color="auto" w:fill="D9D9D9" w:themeFill="background1" w:themeFillShade="D9"/>
            <w:noWrap/>
            <w:vAlign w:val="center"/>
          </w:tcPr>
          <w:p w14:paraId="070E9DEB" w14:textId="77777777" w:rsidR="00D17235" w:rsidRPr="00D17235" w:rsidRDefault="00D17235" w:rsidP="00D17235">
            <w:pPr>
              <w:spacing w:after="0" w:line="240" w:lineRule="auto"/>
              <w:jc w:val="left"/>
              <w:rPr>
                <w:b/>
                <w:bCs/>
                <w:color w:val="auto"/>
                <w:sz w:val="20"/>
                <w:szCs w:val="20"/>
              </w:rPr>
            </w:pPr>
            <w:r w:rsidRPr="00D17235">
              <w:rPr>
                <w:b/>
                <w:bCs/>
                <w:color w:val="auto"/>
                <w:sz w:val="20"/>
                <w:szCs w:val="20"/>
              </w:rPr>
              <w:t>Πρωτογενές αποτέλεσμα ως % του ΑΕΠ</w:t>
            </w:r>
          </w:p>
        </w:tc>
        <w:tc>
          <w:tcPr>
            <w:tcW w:w="1394" w:type="dxa"/>
            <w:tcBorders>
              <w:bottom w:val="single" w:sz="4" w:space="0" w:color="auto"/>
            </w:tcBorders>
            <w:shd w:val="clear" w:color="auto" w:fill="D9D9D9" w:themeFill="background1" w:themeFillShade="D9"/>
            <w:noWrap/>
            <w:vAlign w:val="center"/>
          </w:tcPr>
          <w:p w14:paraId="56CCF57F" w14:textId="77777777" w:rsidR="00D17235" w:rsidRPr="00D17235" w:rsidRDefault="00D17235" w:rsidP="00D17235">
            <w:pPr>
              <w:spacing w:after="0" w:line="240" w:lineRule="auto"/>
              <w:ind w:right="195"/>
              <w:jc w:val="right"/>
              <w:rPr>
                <w:rFonts w:eastAsia="Times New Roman" w:cs="Calibri"/>
                <w:b/>
                <w:bCs/>
                <w:color w:val="auto"/>
                <w:sz w:val="20"/>
                <w:szCs w:val="20"/>
                <w:lang w:eastAsia="el-GR"/>
              </w:rPr>
            </w:pPr>
            <w:r w:rsidRPr="00D17235">
              <w:rPr>
                <w:rFonts w:eastAsia="Times New Roman" w:cs="Calibri"/>
                <w:b/>
                <w:bCs/>
                <w:color w:val="auto"/>
                <w:sz w:val="20"/>
                <w:szCs w:val="20"/>
                <w:lang w:eastAsia="el-GR"/>
              </w:rPr>
              <w:t>5,2%</w:t>
            </w:r>
          </w:p>
        </w:tc>
        <w:tc>
          <w:tcPr>
            <w:tcW w:w="1396" w:type="dxa"/>
            <w:tcBorders>
              <w:bottom w:val="single" w:sz="4" w:space="0" w:color="auto"/>
            </w:tcBorders>
            <w:shd w:val="clear" w:color="auto" w:fill="D9D9D9" w:themeFill="background1" w:themeFillShade="D9"/>
            <w:noWrap/>
            <w:vAlign w:val="center"/>
          </w:tcPr>
          <w:p w14:paraId="0FF2DAA9" w14:textId="77777777" w:rsidR="00D17235" w:rsidRPr="00D17235" w:rsidRDefault="00D17235" w:rsidP="00D17235">
            <w:pPr>
              <w:spacing w:after="0" w:line="240" w:lineRule="auto"/>
              <w:ind w:right="195"/>
              <w:jc w:val="right"/>
              <w:rPr>
                <w:rFonts w:eastAsia="Times New Roman" w:cs="Calibri"/>
                <w:b/>
                <w:bCs/>
                <w:color w:val="auto"/>
                <w:sz w:val="20"/>
                <w:szCs w:val="20"/>
                <w:lang w:eastAsia="el-GR"/>
              </w:rPr>
            </w:pPr>
            <w:r w:rsidRPr="00D17235">
              <w:rPr>
                <w:rFonts w:eastAsia="Times New Roman" w:cs="Calibri"/>
                <w:b/>
                <w:bCs/>
                <w:color w:val="auto"/>
                <w:sz w:val="20"/>
                <w:szCs w:val="20"/>
                <w:lang w:eastAsia="el-GR"/>
              </w:rPr>
              <w:t>-7,5%</w:t>
            </w:r>
          </w:p>
        </w:tc>
        <w:tc>
          <w:tcPr>
            <w:tcW w:w="1396" w:type="dxa"/>
            <w:tcBorders>
              <w:bottom w:val="single" w:sz="4" w:space="0" w:color="auto"/>
            </w:tcBorders>
            <w:shd w:val="clear" w:color="auto" w:fill="D9D9D9" w:themeFill="background1" w:themeFillShade="D9"/>
            <w:noWrap/>
            <w:vAlign w:val="bottom"/>
          </w:tcPr>
          <w:p w14:paraId="72BB50D8" w14:textId="77777777" w:rsidR="00D17235" w:rsidRPr="00D17235" w:rsidRDefault="00D17235" w:rsidP="00D17235">
            <w:pPr>
              <w:spacing w:after="0" w:line="240" w:lineRule="auto"/>
              <w:jc w:val="center"/>
              <w:rPr>
                <w:rFonts w:eastAsia="Times New Roman" w:cs="Calibri"/>
                <w:b/>
                <w:bCs/>
                <w:color w:val="auto"/>
                <w:sz w:val="20"/>
                <w:szCs w:val="20"/>
                <w:lang w:eastAsia="el-GR"/>
              </w:rPr>
            </w:pPr>
          </w:p>
        </w:tc>
      </w:tr>
      <w:tr w:rsidR="00D17235" w:rsidRPr="00D17235" w14:paraId="255DA630" w14:textId="77777777" w:rsidTr="00D17235">
        <w:trPr>
          <w:trHeight w:val="313"/>
        </w:trPr>
        <w:tc>
          <w:tcPr>
            <w:tcW w:w="4182" w:type="dxa"/>
            <w:shd w:val="clear" w:color="auto" w:fill="BDD6EE" w:themeFill="accent1" w:themeFillTint="66"/>
            <w:noWrap/>
            <w:vAlign w:val="center"/>
          </w:tcPr>
          <w:p w14:paraId="45363420" w14:textId="77777777" w:rsidR="00D17235" w:rsidRPr="00D17235" w:rsidRDefault="00D17235" w:rsidP="00D17235">
            <w:pPr>
              <w:spacing w:after="0" w:line="240" w:lineRule="auto"/>
              <w:jc w:val="left"/>
              <w:rPr>
                <w:b/>
                <w:bCs/>
                <w:color w:val="auto"/>
                <w:sz w:val="20"/>
                <w:szCs w:val="20"/>
              </w:rPr>
            </w:pPr>
            <w:r w:rsidRPr="00D17235">
              <w:rPr>
                <w:b/>
                <w:bCs/>
                <w:color w:val="auto"/>
                <w:sz w:val="20"/>
                <w:szCs w:val="20"/>
              </w:rPr>
              <w:t>ΑΕΠ (Σε τρέχουσες τιμές)</w:t>
            </w:r>
          </w:p>
        </w:tc>
        <w:tc>
          <w:tcPr>
            <w:tcW w:w="1394" w:type="dxa"/>
            <w:shd w:val="clear" w:color="auto" w:fill="BDD6EE" w:themeFill="accent1" w:themeFillTint="66"/>
            <w:noWrap/>
            <w:vAlign w:val="center"/>
          </w:tcPr>
          <w:p w14:paraId="4B7A9095" w14:textId="77777777" w:rsidR="00D17235" w:rsidRPr="00D17235" w:rsidRDefault="00D17235" w:rsidP="00D17235">
            <w:pPr>
              <w:spacing w:after="0" w:line="240" w:lineRule="auto"/>
              <w:ind w:right="195"/>
              <w:jc w:val="right"/>
              <w:rPr>
                <w:rFonts w:eastAsia="Times New Roman" w:cs="Calibri"/>
                <w:b/>
                <w:bCs/>
                <w:color w:val="auto"/>
                <w:sz w:val="20"/>
                <w:szCs w:val="20"/>
                <w:lang w:eastAsia="el-GR"/>
              </w:rPr>
            </w:pPr>
            <w:r w:rsidRPr="00D17235">
              <w:rPr>
                <w:rFonts w:eastAsia="Times New Roman" w:cs="Calibri"/>
                <w:b/>
                <w:bCs/>
                <w:color w:val="auto"/>
                <w:sz w:val="20"/>
                <w:szCs w:val="20"/>
                <w:lang w:eastAsia="el-GR"/>
              </w:rPr>
              <w:t>183.413</w:t>
            </w:r>
          </w:p>
        </w:tc>
        <w:tc>
          <w:tcPr>
            <w:tcW w:w="1396" w:type="dxa"/>
            <w:shd w:val="clear" w:color="auto" w:fill="BDD6EE" w:themeFill="accent1" w:themeFillTint="66"/>
            <w:noWrap/>
            <w:vAlign w:val="center"/>
          </w:tcPr>
          <w:p w14:paraId="38097F9E" w14:textId="77777777" w:rsidR="00D17235" w:rsidRPr="00D17235" w:rsidRDefault="00D17235" w:rsidP="00D17235">
            <w:pPr>
              <w:spacing w:after="0" w:line="240" w:lineRule="auto"/>
              <w:ind w:right="195"/>
              <w:jc w:val="right"/>
              <w:rPr>
                <w:rFonts w:eastAsia="Times New Roman" w:cs="Calibri"/>
                <w:b/>
                <w:bCs/>
                <w:color w:val="auto"/>
                <w:sz w:val="20"/>
                <w:szCs w:val="20"/>
                <w:lang w:eastAsia="el-GR"/>
              </w:rPr>
            </w:pPr>
            <w:r w:rsidRPr="00D17235">
              <w:rPr>
                <w:rFonts w:eastAsia="Times New Roman" w:cs="Calibri"/>
                <w:b/>
                <w:bCs/>
                <w:color w:val="auto"/>
                <w:sz w:val="20"/>
                <w:szCs w:val="20"/>
                <w:lang w:eastAsia="el-GR"/>
              </w:rPr>
              <w:t>165.830</w:t>
            </w:r>
          </w:p>
        </w:tc>
        <w:tc>
          <w:tcPr>
            <w:tcW w:w="1396" w:type="dxa"/>
            <w:shd w:val="clear" w:color="auto" w:fill="BDD6EE" w:themeFill="accent1" w:themeFillTint="66"/>
            <w:noWrap/>
            <w:vAlign w:val="bottom"/>
          </w:tcPr>
          <w:p w14:paraId="5F71A1EB" w14:textId="77777777" w:rsidR="00D17235" w:rsidRPr="00D17235" w:rsidRDefault="00D17235" w:rsidP="00D17235">
            <w:pPr>
              <w:spacing w:after="0" w:line="240" w:lineRule="auto"/>
              <w:jc w:val="center"/>
              <w:rPr>
                <w:rFonts w:eastAsia="Times New Roman" w:cs="Calibri"/>
                <w:b/>
                <w:bCs/>
                <w:color w:val="auto"/>
                <w:sz w:val="20"/>
                <w:szCs w:val="20"/>
                <w:lang w:val="en-US" w:eastAsia="el-GR"/>
              </w:rPr>
            </w:pPr>
            <w:r w:rsidRPr="00D17235">
              <w:rPr>
                <w:rFonts w:eastAsia="Times New Roman" w:cs="Calibri"/>
                <w:b/>
                <w:bCs/>
                <w:color w:val="auto"/>
                <w:sz w:val="20"/>
                <w:szCs w:val="20"/>
                <w:lang w:val="en-US" w:eastAsia="el-GR"/>
              </w:rPr>
              <w:t>-9,59</w:t>
            </w:r>
          </w:p>
        </w:tc>
      </w:tr>
    </w:tbl>
    <w:p w14:paraId="14BD55E8" w14:textId="77777777" w:rsidR="00D17235" w:rsidRPr="00D17235" w:rsidRDefault="00D17235" w:rsidP="00D17235">
      <w:pPr>
        <w:spacing w:after="0"/>
        <w:rPr>
          <w:color w:val="auto"/>
          <w:sz w:val="18"/>
          <w:szCs w:val="18"/>
        </w:rPr>
      </w:pPr>
      <w:r w:rsidRPr="00D17235">
        <w:rPr>
          <w:b/>
          <w:sz w:val="18"/>
          <w:szCs w:val="18"/>
        </w:rPr>
        <w:t>Πηγη:</w:t>
      </w:r>
      <w:r w:rsidRPr="00D17235">
        <w:rPr>
          <w:color w:val="auto"/>
          <w:sz w:val="18"/>
          <w:szCs w:val="18"/>
        </w:rPr>
        <w:t xml:space="preserve"> </w:t>
      </w:r>
      <w:r w:rsidRPr="00D17235">
        <w:rPr>
          <w:color w:val="00B0F0"/>
          <w:sz w:val="18"/>
          <w:szCs w:val="18"/>
        </w:rPr>
        <w:t>Δελτίο μηνιαίων στοιχείων Γενικής Κυβέρνησης, Δεκέμβριος 2020, δημοσιονομικά στοιχεία ΕΛΣΤΑΤ 2017-2020 (1</w:t>
      </w:r>
      <w:r w:rsidRPr="00D17235">
        <w:rPr>
          <w:color w:val="00B0F0"/>
          <w:sz w:val="18"/>
          <w:szCs w:val="18"/>
          <w:vertAlign w:val="superscript"/>
        </w:rPr>
        <w:t>η</w:t>
      </w:r>
      <w:r w:rsidRPr="00D17235">
        <w:rPr>
          <w:color w:val="00B0F0"/>
          <w:sz w:val="18"/>
          <w:szCs w:val="18"/>
        </w:rPr>
        <w:t xml:space="preserve"> κοινοποίηση). </w:t>
      </w:r>
    </w:p>
    <w:p w14:paraId="3E957049" w14:textId="77777777" w:rsidR="00D17235" w:rsidRPr="00D17235" w:rsidRDefault="00D17235" w:rsidP="00D17235">
      <w:pPr>
        <w:autoSpaceDE w:val="0"/>
        <w:autoSpaceDN w:val="0"/>
        <w:adjustRightInd w:val="0"/>
        <w:rPr>
          <w:rFonts w:cstheme="minorHAnsi"/>
          <w:color w:val="000000"/>
        </w:rPr>
      </w:pPr>
    </w:p>
    <w:p w14:paraId="0601738B" w14:textId="2E3DE6FC" w:rsidR="00D17235" w:rsidRPr="00D17235" w:rsidRDefault="00D17235" w:rsidP="00416466">
      <w:pPr>
        <w:autoSpaceDE w:val="0"/>
        <w:autoSpaceDN w:val="0"/>
        <w:adjustRightInd w:val="0"/>
        <w:spacing w:after="160"/>
        <w:rPr>
          <w:rFonts w:cstheme="minorHAnsi"/>
          <w:color w:val="000000"/>
        </w:rPr>
      </w:pPr>
      <w:r w:rsidRPr="00D17235">
        <w:rPr>
          <w:rFonts w:cstheme="minorHAnsi"/>
          <w:color w:val="000000"/>
        </w:rPr>
        <w:t>Το ταμειακό έλλειμμα της γενικής κυβέρνησης ανήλθε στα 1</w:t>
      </w:r>
      <w:r>
        <w:rPr>
          <w:rFonts w:cstheme="minorHAnsi"/>
          <w:color w:val="000000"/>
        </w:rPr>
        <w:t>6,</w:t>
      </w:r>
      <w:r w:rsidRPr="00D17235">
        <w:rPr>
          <w:rFonts w:cstheme="minorHAnsi"/>
          <w:color w:val="000000"/>
        </w:rPr>
        <w:t>5 δισ. ευρώ ή 10% του ΑΕΠ, ενώ το πρωτο</w:t>
      </w:r>
      <w:r>
        <w:rPr>
          <w:rFonts w:cstheme="minorHAnsi"/>
          <w:color w:val="000000"/>
        </w:rPr>
        <w:t>γενές έλλειμμα ανήλθε στα 12,</w:t>
      </w:r>
      <w:r w:rsidRPr="00D17235">
        <w:rPr>
          <w:rFonts w:cstheme="minorHAnsi"/>
          <w:color w:val="000000"/>
        </w:rPr>
        <w:t>5 δι</w:t>
      </w:r>
      <w:r>
        <w:rPr>
          <w:rFonts w:cstheme="minorHAnsi"/>
          <w:color w:val="000000"/>
        </w:rPr>
        <w:t>σ</w:t>
      </w:r>
      <w:r w:rsidRPr="00D17235">
        <w:rPr>
          <w:rFonts w:cstheme="minorHAnsi"/>
          <w:color w:val="000000"/>
        </w:rPr>
        <w:t>. ευρώ ή 7,5% του ΑΕΠ. Η εξαιρετικά αρνητική αυτή επίδοση, ασυνήθιστη με βάση τι</w:t>
      </w:r>
      <w:r w:rsidR="00691EED">
        <w:rPr>
          <w:rFonts w:cstheme="minorHAnsi"/>
          <w:color w:val="000000"/>
        </w:rPr>
        <w:t xml:space="preserve">ς δημοσιονομικές επιδόσεις των </w:t>
      </w:r>
      <w:r w:rsidRPr="00D17235">
        <w:rPr>
          <w:rFonts w:cstheme="minorHAnsi"/>
          <w:color w:val="000000"/>
        </w:rPr>
        <w:t xml:space="preserve">τελευταίων ετών, αποδίδεται εξ ολοκλήρου στις οικονομικές συνέπειες της πανδημίας τόσο στο σκέλος των εσόδων όσο και στο σκέλος των δαπανών. Πιο συγκεκριμένα, τα έσοδα της Γενικής Κυβέρνησης σε σχέση με το 2019 παρουσίασαν μια μείωση κατά περίπου 9,5 δισ. ευρώ, ενώ οι δαπάνες </w:t>
      </w:r>
      <w:r w:rsidR="008E319E">
        <w:rPr>
          <w:rFonts w:cstheme="minorHAnsi"/>
          <w:color w:val="000000"/>
        </w:rPr>
        <w:t>παρουσίασαν αύξηση</w:t>
      </w:r>
      <w:r w:rsidRPr="00D17235">
        <w:rPr>
          <w:rFonts w:cstheme="minorHAnsi"/>
          <w:color w:val="000000"/>
        </w:rPr>
        <w:t xml:space="preserve"> κατά 11,1 δισ. ευρώ. Είναι εύλογο, ότι το μεγαλύτερο μέρος της μείωσης των εσόδων οφείλεται στην πτώση των φορολογικών εσόδων λόγω της μείωσης του ΑΕΠ που αναπόφευκτα επηρέασε εισοδήματα και κατανάλωση, ενώ παράλληλα δόθηκε η δυνατότητα αναστολής κάποιων φο</w:t>
      </w:r>
      <w:r w:rsidR="000056DF">
        <w:rPr>
          <w:rFonts w:cstheme="minorHAnsi"/>
          <w:color w:val="000000"/>
        </w:rPr>
        <w:t>ρολογικών υποχρεώσεων των πληττό</w:t>
      </w:r>
      <w:r w:rsidRPr="00D17235">
        <w:rPr>
          <w:rFonts w:cstheme="minorHAnsi"/>
          <w:color w:val="000000"/>
        </w:rPr>
        <w:t>μενων από την πανδημία επιχειρηματικών κλάδων</w:t>
      </w:r>
      <w:r w:rsidR="008E319E">
        <w:rPr>
          <w:rFonts w:cstheme="minorHAnsi"/>
          <w:color w:val="000000"/>
        </w:rPr>
        <w:t xml:space="preserve"> και νοικοκυριών</w:t>
      </w:r>
      <w:r w:rsidRPr="00D17235">
        <w:rPr>
          <w:rFonts w:cstheme="minorHAnsi"/>
          <w:color w:val="000000"/>
        </w:rPr>
        <w:t>. Η κατηγορία των μεταβιβάσεων παρουσιάζει μια αύξηση κατά 1,5 δισ. ευρώ</w:t>
      </w:r>
      <w:r w:rsidR="00416466">
        <w:rPr>
          <w:rFonts w:cstheme="minorHAnsi"/>
          <w:color w:val="000000"/>
        </w:rPr>
        <w:t>,</w:t>
      </w:r>
      <w:r w:rsidRPr="00D17235">
        <w:rPr>
          <w:rFonts w:cstheme="minorHAnsi"/>
          <w:color w:val="000000"/>
        </w:rPr>
        <w:t xml:space="preserve"> περίπου</w:t>
      </w:r>
      <w:r w:rsidR="00416466">
        <w:rPr>
          <w:rFonts w:cstheme="minorHAnsi"/>
          <w:color w:val="000000"/>
        </w:rPr>
        <w:t>,</w:t>
      </w:r>
      <w:r w:rsidRPr="00D17235">
        <w:rPr>
          <w:rFonts w:cstheme="minorHAnsi"/>
          <w:color w:val="000000"/>
        </w:rPr>
        <w:t xml:space="preserve"> λόγω της εκμετάλλευσης πόρων από τα διαρθρωτ</w:t>
      </w:r>
      <w:r w:rsidR="00691EED">
        <w:rPr>
          <w:rFonts w:cstheme="minorHAnsi"/>
          <w:color w:val="000000"/>
        </w:rPr>
        <w:t xml:space="preserve">ικά ταμεία που κατευθύνθηκε στη </w:t>
      </w:r>
      <w:r w:rsidRPr="00D17235">
        <w:rPr>
          <w:rFonts w:cstheme="minorHAnsi"/>
          <w:color w:val="000000"/>
        </w:rPr>
        <w:t>στήριξη εργαζόμενων και επιχειρήσεων. Οι ασφαλιστικές εισφορές παρουσιάζονται σχεδόν αμετάβλητες λόγω κυρίως της κάλυψης των απωλειών από τον Κρατικό Προϋπολογισμό.</w:t>
      </w:r>
    </w:p>
    <w:p w14:paraId="00BA58DE" w14:textId="4DD6849C" w:rsidR="00D17235" w:rsidRPr="00D17235" w:rsidRDefault="00D17235" w:rsidP="00416466">
      <w:pPr>
        <w:autoSpaceDE w:val="0"/>
        <w:autoSpaceDN w:val="0"/>
        <w:adjustRightInd w:val="0"/>
        <w:spacing w:after="160"/>
        <w:rPr>
          <w:rFonts w:cstheme="minorHAnsi"/>
          <w:color w:val="000000"/>
        </w:rPr>
      </w:pPr>
      <w:r w:rsidRPr="00D17235">
        <w:rPr>
          <w:rFonts w:cstheme="minorHAnsi"/>
          <w:color w:val="000000"/>
        </w:rPr>
        <w:t xml:space="preserve">Σε σχέση με τις δαπάνες της Γενικής Κυβέρνησης παρατηρείται μια αναμενόμενη σταθερότητα στις κατηγορίες που αφορούν τη μισθολογική και ιδιαίτερα τη συνταξιοδοτική δαπάνη. Η πολύ μικρή αύξηση του μισθολογικού κόστους οφείλεται σε έκτακτες προσλήψεις σχετιζόμενες με την αντιμετώπιση της επιδημικής κρίσης και σε μισθολογικές ωριμάνσεις. Οι κατηγορίες δαπανών που σχετίζονται με τις μεταβιβάσεις και τις επιδοτήσεις παρουσιάζονται συνολικά αυξημένες </w:t>
      </w:r>
      <w:r w:rsidR="00416466">
        <w:rPr>
          <w:rFonts w:cstheme="minorHAnsi"/>
          <w:color w:val="000000"/>
        </w:rPr>
        <w:t xml:space="preserve">σε σχέση με το 2019 </w:t>
      </w:r>
      <w:r w:rsidRPr="00D17235">
        <w:rPr>
          <w:rFonts w:cstheme="minorHAnsi"/>
          <w:color w:val="000000"/>
        </w:rPr>
        <w:t>κατά 7.080 εκατ. ευρώ</w:t>
      </w:r>
      <w:r w:rsidR="00416466">
        <w:rPr>
          <w:rFonts w:cstheme="minorHAnsi"/>
          <w:color w:val="000000"/>
        </w:rPr>
        <w:t xml:space="preserve"> (+157,5%)</w:t>
      </w:r>
      <w:r w:rsidRPr="00D17235">
        <w:rPr>
          <w:rFonts w:cstheme="minorHAnsi"/>
          <w:color w:val="000000"/>
        </w:rPr>
        <w:t xml:space="preserve"> και 4.040 εκατ. ευρώ</w:t>
      </w:r>
      <w:r w:rsidR="00416466">
        <w:rPr>
          <w:rFonts w:cstheme="minorHAnsi"/>
          <w:color w:val="000000"/>
        </w:rPr>
        <w:t xml:space="preserve"> (+234,3%)</w:t>
      </w:r>
      <w:r w:rsidRPr="00D17235">
        <w:rPr>
          <w:rFonts w:cstheme="minorHAnsi"/>
          <w:color w:val="000000"/>
        </w:rPr>
        <w:t>, αντίστοιχα. Αφορούν δε, όπως προαναφέρθηκε, δαπάνες αποκλειστικά για την αντιμετώπιση των συνεπειών της πανδημίας</w:t>
      </w:r>
      <w:r w:rsidRPr="00D17235">
        <w:rPr>
          <w:rFonts w:cstheme="minorHAnsi"/>
          <w:color w:val="000000"/>
          <w:vertAlign w:val="superscript"/>
        </w:rPr>
        <w:footnoteReference w:id="12"/>
      </w:r>
      <w:r w:rsidRPr="00D17235">
        <w:rPr>
          <w:rFonts w:cstheme="minorHAnsi"/>
          <w:color w:val="000000"/>
        </w:rPr>
        <w:t xml:space="preserve">.  </w:t>
      </w:r>
    </w:p>
    <w:p w14:paraId="07EFE710" w14:textId="5BA3D5E5" w:rsidR="00D17235" w:rsidRPr="00D17235" w:rsidRDefault="00D17235" w:rsidP="00D17235">
      <w:pPr>
        <w:autoSpaceDE w:val="0"/>
        <w:autoSpaceDN w:val="0"/>
        <w:adjustRightInd w:val="0"/>
        <w:rPr>
          <w:rFonts w:cstheme="minorHAnsi"/>
          <w:color w:val="000000"/>
        </w:rPr>
      </w:pPr>
      <w:r w:rsidRPr="00D17235">
        <w:rPr>
          <w:rFonts w:cstheme="minorHAnsi"/>
          <w:color w:val="000000"/>
        </w:rPr>
        <w:t xml:space="preserve">Μετά τις δημοσιονομικές προσαρμογές και σύμφωνα με τα πρόσφατα στοιχεία της ΕΛΣΤΑΤ </w:t>
      </w:r>
      <w:r w:rsidR="000056DF">
        <w:rPr>
          <w:rFonts w:cstheme="minorHAnsi"/>
          <w:color w:val="000000"/>
        </w:rPr>
        <w:t>όπως περιλαμβάνονται σ</w:t>
      </w:r>
      <w:r w:rsidR="005C47FA">
        <w:rPr>
          <w:rFonts w:cstheme="minorHAnsi"/>
          <w:color w:val="000000"/>
        </w:rPr>
        <w:t xml:space="preserve">την </w:t>
      </w:r>
      <w:r w:rsidRPr="00D17235">
        <w:rPr>
          <w:rFonts w:cstheme="minorHAnsi"/>
          <w:color w:val="000000"/>
        </w:rPr>
        <w:t xml:space="preserve">πρώτη δημοσιονομική κοινοποίηση (Απρίλιος 2021), το αποτέλεσμα της γενικής κυβέρνησης κατά </w:t>
      </w:r>
      <w:r w:rsidRPr="00D17235">
        <w:rPr>
          <w:rFonts w:cstheme="minorHAnsi"/>
          <w:color w:val="000000"/>
          <w:lang w:val="en-US"/>
        </w:rPr>
        <w:t>ESA</w:t>
      </w:r>
      <w:r w:rsidRPr="00D17235">
        <w:rPr>
          <w:rFonts w:cstheme="minorHAnsi"/>
          <w:color w:val="000000"/>
        </w:rPr>
        <w:t xml:space="preserve"> παρουσίασε έλ</w:t>
      </w:r>
      <w:r w:rsidR="00416466">
        <w:rPr>
          <w:rFonts w:cstheme="minorHAnsi"/>
          <w:color w:val="000000"/>
        </w:rPr>
        <w:t xml:space="preserve">λειμμα 9,7% ως ποσοστό του ΑΕΠ και </w:t>
      </w:r>
      <w:r w:rsidRPr="00D17235">
        <w:rPr>
          <w:rFonts w:cstheme="minorHAnsi"/>
          <w:color w:val="000000"/>
        </w:rPr>
        <w:t xml:space="preserve">πρωτογενές έλλειμμα 6,7% ως ποσοστό του ΑΕΠ. </w:t>
      </w:r>
    </w:p>
    <w:p w14:paraId="337A18C5" w14:textId="724ED568" w:rsidR="00AC76DA" w:rsidRDefault="00AC76DA" w:rsidP="00D85054">
      <w:pPr>
        <w:autoSpaceDE w:val="0"/>
        <w:autoSpaceDN w:val="0"/>
        <w:adjustRightInd w:val="0"/>
        <w:rPr>
          <w:rFonts w:cstheme="minorHAnsi"/>
          <w:color w:val="000000"/>
        </w:rPr>
      </w:pPr>
    </w:p>
    <w:tbl>
      <w:tblPr>
        <w:tblStyle w:val="100"/>
        <w:tblW w:w="0" w:type="auto"/>
        <w:tblInd w:w="-142" w:type="dxa"/>
        <w:shd w:val="clear" w:color="auto" w:fill="BDEEFF"/>
        <w:tblLook w:val="04A0" w:firstRow="1" w:lastRow="0" w:firstColumn="1" w:lastColumn="0" w:noHBand="0" w:noVBand="1"/>
      </w:tblPr>
      <w:tblGrid>
        <w:gridCol w:w="8438"/>
      </w:tblGrid>
      <w:tr w:rsidR="00AC76DA" w:rsidRPr="00AC76DA" w14:paraId="2787A332" w14:textId="77777777" w:rsidTr="000908EA">
        <w:tc>
          <w:tcPr>
            <w:tcW w:w="8400" w:type="dxa"/>
            <w:shd w:val="clear" w:color="auto" w:fill="E1F7FF"/>
          </w:tcPr>
          <w:p w14:paraId="6067376F" w14:textId="050A52F1" w:rsidR="00AC76DA" w:rsidRPr="00AC76DA" w:rsidRDefault="00AC76DA" w:rsidP="00AC76DA">
            <w:pPr>
              <w:outlineLvl w:val="0"/>
              <w:rPr>
                <w:b/>
                <w:i/>
                <w:color w:val="84BD00"/>
                <w:spacing w:val="20"/>
                <w:lang w:eastAsia="el-GR"/>
              </w:rPr>
            </w:pPr>
            <w:bookmarkStart w:id="134" w:name="_Toc43376811"/>
            <w:bookmarkStart w:id="135" w:name="_Toc73435748"/>
            <w:r w:rsidRPr="00AC76DA">
              <w:rPr>
                <w:b/>
                <w:i/>
                <w:color w:val="84BD00"/>
                <w:spacing w:val="20"/>
                <w:lang w:eastAsia="el-GR"/>
              </w:rPr>
              <w:t xml:space="preserve">Ένθετο Ι: </w:t>
            </w:r>
            <w:r w:rsidR="00D17235" w:rsidRPr="00FC4FFA">
              <w:rPr>
                <w:b/>
                <w:i/>
                <w:color w:val="84BD00"/>
                <w:spacing w:val="20"/>
                <w:lang w:eastAsia="el-GR"/>
              </w:rPr>
              <w:t>H μεθοδολογία για τη «δημοσιονομική λογιστική» και τα πρωτογενή πλεονάσματα</w:t>
            </w:r>
            <w:r w:rsidRPr="00AC76DA">
              <w:rPr>
                <w:b/>
                <w:i/>
                <w:color w:val="84BD00"/>
                <w:spacing w:val="20"/>
                <w:lang w:eastAsia="el-GR"/>
              </w:rPr>
              <w:t>.</w:t>
            </w:r>
            <w:bookmarkEnd w:id="134"/>
            <w:bookmarkEnd w:id="135"/>
          </w:p>
          <w:p w14:paraId="75210A6C" w14:textId="38AE888F" w:rsidR="00D17235" w:rsidRPr="00D17235" w:rsidRDefault="00D17235" w:rsidP="00D17235">
            <w:pPr>
              <w:rPr>
                <w:rFonts w:eastAsia="Times New Roman" w:cs="Calibri"/>
                <w:iCs/>
                <w:color w:val="auto"/>
                <w:lang w:eastAsia="el-GR"/>
              </w:rPr>
            </w:pPr>
            <w:r w:rsidRPr="00D17235">
              <w:rPr>
                <w:rFonts w:eastAsia="Times New Roman" w:cs="Calibri"/>
                <w:iCs/>
                <w:color w:val="auto"/>
                <w:lang w:eastAsia="el-GR"/>
              </w:rPr>
              <w:t>Η συνήθης αποτύπωση της δημοσιονομικής διαχείρισης, ως προς την εκτέλεση του προϋπολογισμού έχει ταμειακά χαρακτηριστικά. Το Υπουργείο Οικονομικών δημοσιεύει κάθε μήνα το δελτίο εκτέλεσης του Κρατικού Προϋπολογισμού και της Γενικής Κυβέρνησης με βάση το οποίο διαπιστώνεται η δημοσιονομική πορεία που σχετίζεται τόσο με την εισροή εσόδων στα δημόσια ταμεία, μέσω κυρίως των πηγών άντλησης φορολογικών εσόδων, όσο και η εκροή  για την πληρωμή δαπανών. Στο πλαίσιο αυτό γίνεται η αντιπαραβολή των αποτελεσμάτων  με τους τεθέντες εκ των προτέρων μηνιαίους στόχους εσόδων και δαπανών, ώστε να είναι δυνατή η έγκαιρη διαπίστωση μια</w:t>
            </w:r>
            <w:r w:rsidR="00691EED">
              <w:rPr>
                <w:rFonts w:eastAsia="Times New Roman" w:cs="Calibri"/>
                <w:iCs/>
                <w:color w:val="auto"/>
                <w:lang w:eastAsia="el-GR"/>
              </w:rPr>
              <w:t>ς</w:t>
            </w:r>
            <w:r w:rsidRPr="00D17235">
              <w:rPr>
                <w:rFonts w:eastAsia="Times New Roman" w:cs="Calibri"/>
                <w:iCs/>
                <w:color w:val="auto"/>
                <w:lang w:eastAsia="el-GR"/>
              </w:rPr>
              <w:t xml:space="preserve"> σημαντικής απόκλισης, η αναγνώριση της αιτίας αυτής και η λήψη, όπου είναι απαραίτητο, διορθωτικών μέτρων. Αυτή η ταμειακή δημοσιονομική λογική είναι εξαιρετικά χρήσιμη καθώς παρέχει μια άμεση εικόνα των δημοσιονομικών επιδόσεων. Διαφοροποιείται όμως σημαντικά από την τελική-οριστική αποτύπωση των δημοσιονομικών μεγεθών, η οποία πραγματοποιείται από την ελληνική Στατιστική Αρχή (ΕΛΣΤΑΤ) βάσει του κανονισμού ESA για το Σύστημα Εθνικών Λογαριασμών. </w:t>
            </w:r>
          </w:p>
          <w:p w14:paraId="18444732" w14:textId="4F2DF449" w:rsidR="00D17235" w:rsidRDefault="00D17235" w:rsidP="00D17235">
            <w:pPr>
              <w:spacing w:after="160"/>
              <w:rPr>
                <w:rFonts w:eastAsia="Times New Roman" w:cs="Calibri"/>
                <w:iCs/>
                <w:color w:val="auto"/>
                <w:lang w:eastAsia="el-GR"/>
              </w:rPr>
            </w:pPr>
            <w:r w:rsidRPr="00D17235">
              <w:rPr>
                <w:rFonts w:eastAsia="Times New Roman" w:cs="Calibri"/>
                <w:iCs/>
                <w:color w:val="auto"/>
                <w:lang w:eastAsia="el-GR"/>
              </w:rPr>
              <w:t xml:space="preserve">Η λογική του κανονισμού </w:t>
            </w:r>
            <w:r w:rsidRPr="00D17235">
              <w:rPr>
                <w:rFonts w:eastAsia="Times New Roman" w:cs="Calibri"/>
                <w:iCs/>
                <w:color w:val="auto"/>
                <w:lang w:val="en-US" w:eastAsia="el-GR"/>
              </w:rPr>
              <w:t>ESA</w:t>
            </w:r>
            <w:r w:rsidRPr="00D17235">
              <w:rPr>
                <w:rFonts w:eastAsia="Times New Roman" w:cs="Calibri"/>
                <w:iCs/>
                <w:color w:val="auto"/>
                <w:lang w:eastAsia="el-GR"/>
              </w:rPr>
              <w:t xml:space="preserve"> προσεγγίζει το σύστημα της δεδουλευμένης βάσης</w:t>
            </w:r>
            <w:r w:rsidR="00416466">
              <w:rPr>
                <w:rFonts w:eastAsia="Times New Roman" w:cs="Calibri"/>
                <w:iCs/>
                <w:color w:val="auto"/>
                <w:lang w:eastAsia="el-GR"/>
              </w:rPr>
              <w:t>,</w:t>
            </w:r>
            <w:r w:rsidRPr="00D17235">
              <w:rPr>
                <w:rFonts w:eastAsia="Times New Roman" w:cs="Calibri"/>
                <w:iCs/>
                <w:color w:val="auto"/>
                <w:lang w:eastAsia="el-GR"/>
              </w:rPr>
              <w:t xml:space="preserve"> όπως νοείται στη λογιστική πρακτική. Για παράδειγμα, η καταβολή του φόρου ακίνητης περιουσίας (ΕΝΦΙΑ) πραγματοποιείται από τους υπόχρεους σε πέντε μηνιαίες δόσεις, η τελευταία εκ των οποίων</w:t>
            </w:r>
            <w:r w:rsidR="00416466">
              <w:rPr>
                <w:rFonts w:eastAsia="Times New Roman" w:cs="Calibri"/>
                <w:iCs/>
                <w:color w:val="auto"/>
                <w:lang w:eastAsia="el-GR"/>
              </w:rPr>
              <w:t>,</w:t>
            </w:r>
            <w:r w:rsidRPr="00D17235">
              <w:rPr>
                <w:rFonts w:eastAsia="Times New Roman" w:cs="Calibri"/>
                <w:iCs/>
                <w:color w:val="auto"/>
                <w:lang w:eastAsia="el-GR"/>
              </w:rPr>
              <w:t xml:space="preserve"> ταμειακά</w:t>
            </w:r>
            <w:r w:rsidR="00416466">
              <w:rPr>
                <w:rFonts w:eastAsia="Times New Roman" w:cs="Calibri"/>
                <w:iCs/>
                <w:color w:val="auto"/>
                <w:lang w:eastAsia="el-GR"/>
              </w:rPr>
              <w:t>,</w:t>
            </w:r>
            <w:r w:rsidRPr="00D17235">
              <w:rPr>
                <w:rFonts w:eastAsia="Times New Roman" w:cs="Calibri"/>
                <w:iCs/>
                <w:color w:val="auto"/>
                <w:lang w:eastAsia="el-GR"/>
              </w:rPr>
              <w:t xml:space="preserve"> πραγματοποιείται τον Ιανουάριο του επόμενου έτους, λογίζεται όμως κατά τρόπο δεδουλευμένο σαν να έχει εισπραχθεί μέσα στο έτος βεβαίωσης του συγκεκριμένου φόρου. Γενικά, η αρχή που ακολουθείται για την δημοσιονομική (κατά ESA) αποτύπωση είναι Έσοδα – Δαπάνες + Μεταβολή Ληξιπρόθεσμων Υποχρεώσεων.  Η αύξηση των ληξιπρόθεσμων υποχρεώσεων επιβαρύνει το δημοσιονομικό αποτέλεσμα, ενώ η μείωση των ληξιπρόθεσμων υποχρεώσεων βελτιώνει το δημοσιονομικό αποτέλεσμα έναντι του ταμειακού, καθώς η ταμειακή εκροή δεν αφορά υποχρεώσεις της τρέχουσας περιόδου. </w:t>
            </w:r>
            <w:bookmarkStart w:id="136" w:name="_Ref40365372"/>
            <w:bookmarkStart w:id="137" w:name="_Toc42277319"/>
          </w:p>
          <w:p w14:paraId="6405A12C" w14:textId="63399DB4" w:rsidR="006814B0" w:rsidRPr="006814B0" w:rsidRDefault="006814B0" w:rsidP="006814B0">
            <w:pPr>
              <w:spacing w:after="160"/>
              <w:rPr>
                <w:rFonts w:eastAsia="Times New Roman" w:cs="Calibri"/>
                <w:iCs/>
                <w:color w:val="auto"/>
                <w:lang w:eastAsia="el-GR"/>
              </w:rPr>
            </w:pPr>
            <w:r w:rsidRPr="006814B0">
              <w:rPr>
                <w:rFonts w:eastAsia="Times New Roman" w:cs="Calibri"/>
                <w:iCs/>
                <w:color w:val="auto"/>
                <w:lang w:eastAsia="el-GR"/>
              </w:rPr>
              <w:t>Α. Συγκεκριμένα με τη μεθοδολογία της ταμειακής βάσης, τα έσοδα καταγράφονται τη χρονική στιγμή που πραγματοποιείται η είσπραξη  και αντίστοιχα οι δαπάνες τη χρονική στιγμή που πραγματοποιείται η πληρωμή.</w:t>
            </w:r>
          </w:p>
          <w:p w14:paraId="4704FC63" w14:textId="69EF3356" w:rsidR="006814B0" w:rsidRPr="006814B0" w:rsidRDefault="006814B0" w:rsidP="006814B0">
            <w:pPr>
              <w:spacing w:after="160"/>
              <w:rPr>
                <w:rFonts w:eastAsia="Times New Roman" w:cs="Calibri"/>
                <w:iCs/>
                <w:color w:val="auto"/>
                <w:lang w:eastAsia="el-GR"/>
              </w:rPr>
            </w:pPr>
            <w:r w:rsidRPr="006814B0">
              <w:rPr>
                <w:rFonts w:eastAsia="Times New Roman" w:cs="Calibri"/>
                <w:iCs/>
                <w:color w:val="auto"/>
                <w:lang w:eastAsia="el-GR"/>
              </w:rPr>
              <w:t xml:space="preserve">Β. Για τον υπολογισμό του αποτελέσματος της ΓΚ σύμφωνα με το Ευρωπαϊκό Σύστημα Λογαριασμών (ESA),  οι δαπάνες καταγράφονται τη χρονική στιγμή που γεννιέται η υποχρέωση πληρωμής και όχι όταν πραγματοποιείται η πληρωμή. Επομένως,  παράγοντες, </w:t>
            </w:r>
            <w:r w:rsidR="00691EED">
              <w:rPr>
                <w:rFonts w:eastAsia="Times New Roman" w:cs="Calibri"/>
                <w:iCs/>
                <w:color w:val="auto"/>
                <w:lang w:eastAsia="el-GR"/>
              </w:rPr>
              <w:t xml:space="preserve">όπως το απόθεμα των  απλήρωτων οφειλών </w:t>
            </w:r>
            <w:r w:rsidRPr="006814B0">
              <w:rPr>
                <w:rFonts w:eastAsia="Times New Roman" w:cs="Calibri"/>
                <w:iCs/>
                <w:color w:val="auto"/>
                <w:lang w:eastAsia="el-GR"/>
              </w:rPr>
              <w:t>της ΓΚ και των εκκρεμών επιστροφών  φόρων, οι δεδουλευμένοι τόκοι, οι φυσικές παραλαβές των εξοπ</w:t>
            </w:r>
            <w:r w:rsidR="00691EED">
              <w:rPr>
                <w:rFonts w:eastAsia="Times New Roman" w:cs="Calibri"/>
                <w:iCs/>
                <w:color w:val="auto"/>
                <w:lang w:eastAsia="el-GR"/>
              </w:rPr>
              <w:t>λιστικών προγραμμάτων του ΥΠΕΘΑ</w:t>
            </w:r>
            <w:r w:rsidRPr="006814B0">
              <w:rPr>
                <w:rFonts w:eastAsia="Times New Roman" w:cs="Calibri"/>
                <w:iCs/>
                <w:color w:val="auto"/>
                <w:lang w:eastAsia="el-GR"/>
              </w:rPr>
              <w:t>, παρόλο που δεν έχουν επίδραση στο ταμειακό αποτέλεσμα του ΚΠ και της ΓΚ, λαμβάνονται υπόψη κατά τον υπολογισμό του αποτελέσματος της ΓΚ σε εθνικολογιστική βάση (κατά ESA). Κατά συνέπεια, η μετάβαση από το ταμειακό αποτέλεσμα στο εθνικολογιστικό απαιτεί την πραγματοποίηση μιας σειράς εθνικολογιστικών προσαρμογών. Αντίστοιχα, γίνονται ορισμένες εθνικολογιστικές προσαρμογές στο σκέλος των εσόδων για τα έσοδα αποκρατικοποιήσεων, για τον ΕΝΦΙΑ, για τις προκαταβολές από τ</w:t>
            </w:r>
            <w:r w:rsidR="00425BF3">
              <w:rPr>
                <w:rFonts w:eastAsia="Times New Roman" w:cs="Calibri"/>
                <w:iCs/>
                <w:color w:val="auto"/>
                <w:lang w:eastAsia="el-GR"/>
              </w:rPr>
              <w:t xml:space="preserve">ην ΕΕ κ.ά. Επομένως, </w:t>
            </w:r>
            <w:r w:rsidRPr="006814B0">
              <w:rPr>
                <w:rFonts w:eastAsia="Times New Roman" w:cs="Calibri"/>
                <w:iCs/>
                <w:color w:val="auto"/>
                <w:lang w:eastAsia="el-GR"/>
              </w:rPr>
              <w:t>λόγω των προαναφερόμενων αναγκαίων εθνικολογιστικών προσαρμογών, το  συνολικό και το πρωτογενές αποτέλεσμα  της ΓΚ  σε εθνικολογιστική βάση διαφέρει από το ταμειακό. Σε αυτό το πλαίσιο, η μεγάλη μείωση του αποθέματος των ληξιπρόθεσμων υποχρεώσεων της ΓΚ ή/και των εκκρεμών επιστροφών φόρων σε σχέση με το προηγούμενο έτος οδηγεί σε βελτίωση του πρωτογενούς αποτελέσματος της ΓΚ σε εθνικολογιστική βάση. Αντίθετα, η διαμόρφωση των δεδουλευμένων τόκων,</w:t>
            </w:r>
            <w:r w:rsidRPr="006814B0">
              <w:t xml:space="preserve"> </w:t>
            </w:r>
            <w:r w:rsidRPr="006814B0">
              <w:rPr>
                <w:rFonts w:eastAsia="Times New Roman" w:cs="Calibri"/>
                <w:iCs/>
                <w:color w:val="auto"/>
                <w:lang w:eastAsia="el-GR"/>
              </w:rPr>
              <w:t>παραδείγματος χάρη, σε υψηλότερο επίπεδο</w:t>
            </w:r>
            <w:r w:rsidR="00425BF3">
              <w:rPr>
                <w:rFonts w:eastAsia="Times New Roman" w:cs="Calibri"/>
                <w:iCs/>
                <w:color w:val="auto"/>
                <w:lang w:eastAsia="el-GR"/>
              </w:rPr>
              <w:t xml:space="preserve"> από τους ταμειακούς </w:t>
            </w:r>
            <w:r w:rsidRPr="006814B0">
              <w:rPr>
                <w:rFonts w:eastAsia="Times New Roman" w:cs="Calibri"/>
                <w:iCs/>
                <w:color w:val="auto"/>
                <w:lang w:eastAsia="el-GR"/>
              </w:rPr>
              <w:t>έχει ως αποτέλεσμα την επιδείνωση του αποτελέσματος της ΓΚ σε εθνικολογιστική βάση.</w:t>
            </w:r>
          </w:p>
          <w:p w14:paraId="31017BC6" w14:textId="418F2DFE" w:rsidR="006814B0" w:rsidRPr="006814B0" w:rsidRDefault="006814B0" w:rsidP="006814B0">
            <w:pPr>
              <w:spacing w:after="160"/>
              <w:rPr>
                <w:rFonts w:eastAsia="Times New Roman" w:cs="Calibri"/>
                <w:iCs/>
                <w:color w:val="auto"/>
                <w:lang w:eastAsia="el-GR"/>
              </w:rPr>
            </w:pPr>
            <w:r w:rsidRPr="006814B0">
              <w:rPr>
                <w:rFonts w:eastAsia="Times New Roman" w:cs="Calibri"/>
                <w:iCs/>
                <w:color w:val="auto"/>
                <w:lang w:eastAsia="el-GR"/>
              </w:rPr>
              <w:t xml:space="preserve">Γ. Για τον υπολογισμό του πρωτογενούς αποτελέσματος της ΓΚ σύμφωνα με τους όρους Ενισχυμένης Εποπτείας, γίνονται ορισμένες επιπλέον προσαρμογές τόσο στο σκέλος των εσόδων όσο και στο σκέλος των δαπανών. Ειδικότερα, στο πρωτογενές αποτέλεσμα της ΓΚ σύμφωνα με τους όρους Ενισχυμένης Εποπτείας δεν λαμβάνονται υπόψη τα έσοδα από ANFA και SMPs, η επίπτωση του προγράμματος στήριξης των </w:t>
            </w:r>
            <w:r w:rsidR="00425BF3">
              <w:rPr>
                <w:rFonts w:eastAsia="Times New Roman" w:cs="Calibri"/>
                <w:iCs/>
                <w:color w:val="auto"/>
                <w:lang w:eastAsia="el-GR"/>
              </w:rPr>
              <w:t xml:space="preserve">χρηματοπιστωτικών </w:t>
            </w:r>
            <w:r w:rsidRPr="006814B0">
              <w:rPr>
                <w:rFonts w:eastAsia="Times New Roman" w:cs="Calibri"/>
                <w:iCs/>
                <w:color w:val="auto"/>
                <w:lang w:eastAsia="el-GR"/>
              </w:rPr>
              <w:t>ιδρυμάτων, το σύνολο σχεδόν των εσόδων αποκρατικοποιήσεων και οι μη αντικριζόμενες δαπάνες για μεταναστευτικές ροές.</w:t>
            </w:r>
          </w:p>
          <w:p w14:paraId="0E6C1658" w14:textId="434D4F17" w:rsidR="00D17235" w:rsidRPr="00D17235" w:rsidRDefault="00D17235" w:rsidP="00D17235">
            <w:pPr>
              <w:spacing w:after="0" w:line="240" w:lineRule="auto"/>
              <w:rPr>
                <w:rFonts w:eastAsia="Calibri" w:cs="Times New Roman"/>
                <w:iCs/>
                <w:color w:val="00A3E0"/>
                <w:sz w:val="20"/>
                <w:szCs w:val="20"/>
              </w:rPr>
            </w:pPr>
            <w:bookmarkStart w:id="138" w:name="_Ref72344346"/>
            <w:bookmarkStart w:id="139" w:name="_Toc73435771"/>
            <w:r w:rsidRPr="00D17235">
              <w:rPr>
                <w:sz w:val="20"/>
                <w:szCs w:val="20"/>
              </w:rPr>
              <w:t xml:space="preserve">Πίνακας </w:t>
            </w:r>
            <w:r w:rsidRPr="00D17235">
              <w:rPr>
                <w:sz w:val="20"/>
                <w:szCs w:val="20"/>
              </w:rPr>
              <w:fldChar w:fldCharType="begin"/>
            </w:r>
            <w:r w:rsidRPr="00D17235">
              <w:rPr>
                <w:sz w:val="20"/>
                <w:szCs w:val="20"/>
              </w:rPr>
              <w:instrText xml:space="preserve"> SEQ Πίνακας \* ARABIC </w:instrText>
            </w:r>
            <w:r w:rsidRPr="00D17235">
              <w:rPr>
                <w:sz w:val="20"/>
                <w:szCs w:val="20"/>
              </w:rPr>
              <w:fldChar w:fldCharType="separate"/>
            </w:r>
            <w:r w:rsidR="00CC05A7">
              <w:rPr>
                <w:noProof/>
                <w:sz w:val="20"/>
                <w:szCs w:val="20"/>
              </w:rPr>
              <w:t>10</w:t>
            </w:r>
            <w:r w:rsidRPr="00D17235">
              <w:rPr>
                <w:sz w:val="20"/>
                <w:szCs w:val="20"/>
              </w:rPr>
              <w:fldChar w:fldCharType="end"/>
            </w:r>
            <w:bookmarkEnd w:id="136"/>
            <w:bookmarkEnd w:id="138"/>
            <w:r w:rsidRPr="00D17235">
              <w:rPr>
                <w:sz w:val="20"/>
                <w:szCs w:val="20"/>
              </w:rPr>
              <w:t xml:space="preserve">: </w:t>
            </w:r>
            <w:r w:rsidRPr="00D17235">
              <w:rPr>
                <w:rFonts w:eastAsia="Calibri" w:cs="Times New Roman"/>
                <w:iCs/>
                <w:color w:val="00A3E0"/>
                <w:sz w:val="20"/>
                <w:szCs w:val="20"/>
              </w:rPr>
              <w:t>Δημοσιονομικά στοιχεία Γενικής Κυβέρνησης 2016-2020 σε ταμειακή και κατά   ESA 2010 βάση (εκατ.ευρώ)</w:t>
            </w:r>
            <w:bookmarkEnd w:id="137"/>
            <w:bookmarkEnd w:id="139"/>
          </w:p>
          <w:tbl>
            <w:tblPr>
              <w:tblW w:w="7978" w:type="dxa"/>
              <w:tblLook w:val="04A0" w:firstRow="1" w:lastRow="0" w:firstColumn="1" w:lastColumn="0" w:noHBand="0" w:noVBand="1"/>
            </w:tblPr>
            <w:tblGrid>
              <w:gridCol w:w="2374"/>
              <w:gridCol w:w="869"/>
              <w:gridCol w:w="1145"/>
              <w:gridCol w:w="1242"/>
              <w:gridCol w:w="1123"/>
              <w:gridCol w:w="1225"/>
            </w:tblGrid>
            <w:tr w:rsidR="00D17235" w:rsidRPr="00D17235" w14:paraId="03C33EF4" w14:textId="77777777" w:rsidTr="00D17235">
              <w:trPr>
                <w:trHeight w:val="277"/>
              </w:trPr>
              <w:tc>
                <w:tcPr>
                  <w:tcW w:w="2374" w:type="dxa"/>
                  <w:tcBorders>
                    <w:top w:val="nil"/>
                    <w:left w:val="nil"/>
                    <w:bottom w:val="single" w:sz="12" w:space="0" w:color="auto"/>
                    <w:right w:val="nil"/>
                  </w:tcBorders>
                  <w:shd w:val="clear" w:color="000000" w:fill="C1EFFF"/>
                  <w:vAlign w:val="center"/>
                  <w:hideMark/>
                </w:tcPr>
                <w:p w14:paraId="63A1E4E4" w14:textId="77777777" w:rsidR="00D17235" w:rsidRPr="00D17235" w:rsidRDefault="00D17235" w:rsidP="00D17235">
                  <w:pPr>
                    <w:spacing w:after="0" w:line="240" w:lineRule="auto"/>
                    <w:jc w:val="center"/>
                    <w:rPr>
                      <w:rFonts w:eastAsia="Times New Roman" w:cs="Calibri"/>
                      <w:b/>
                      <w:bCs/>
                      <w:color w:val="auto"/>
                      <w:sz w:val="18"/>
                      <w:szCs w:val="18"/>
                      <w:lang w:eastAsia="el-GR"/>
                    </w:rPr>
                  </w:pPr>
                  <w:r w:rsidRPr="00D17235">
                    <w:rPr>
                      <w:rFonts w:eastAsia="Times New Roman" w:cs="Calibri"/>
                      <w:b/>
                      <w:bCs/>
                      <w:color w:val="auto"/>
                      <w:sz w:val="18"/>
                      <w:szCs w:val="18"/>
                      <w:lang w:eastAsia="el-GR"/>
                    </w:rPr>
                    <w:t> </w:t>
                  </w:r>
                </w:p>
              </w:tc>
              <w:tc>
                <w:tcPr>
                  <w:tcW w:w="869" w:type="dxa"/>
                  <w:tcBorders>
                    <w:top w:val="nil"/>
                    <w:left w:val="nil"/>
                    <w:bottom w:val="single" w:sz="12" w:space="0" w:color="auto"/>
                    <w:right w:val="nil"/>
                  </w:tcBorders>
                  <w:shd w:val="clear" w:color="000000" w:fill="C1EFFF"/>
                  <w:noWrap/>
                  <w:vAlign w:val="center"/>
                  <w:hideMark/>
                </w:tcPr>
                <w:p w14:paraId="54D6DE23" w14:textId="77777777" w:rsidR="00D17235" w:rsidRPr="00D17235" w:rsidRDefault="00D17235" w:rsidP="00D17235">
                  <w:pPr>
                    <w:spacing w:after="0" w:line="240" w:lineRule="auto"/>
                    <w:jc w:val="center"/>
                    <w:rPr>
                      <w:rFonts w:eastAsia="Times New Roman" w:cs="Calibri"/>
                      <w:b/>
                      <w:bCs/>
                      <w:color w:val="000000"/>
                      <w:sz w:val="18"/>
                      <w:szCs w:val="18"/>
                      <w:lang w:eastAsia="el-GR"/>
                    </w:rPr>
                  </w:pPr>
                  <w:r w:rsidRPr="00D17235">
                    <w:rPr>
                      <w:rFonts w:eastAsia="Times New Roman" w:cs="Calibri"/>
                      <w:b/>
                      <w:bCs/>
                      <w:color w:val="000000"/>
                      <w:sz w:val="18"/>
                      <w:szCs w:val="18"/>
                      <w:lang w:eastAsia="el-GR"/>
                    </w:rPr>
                    <w:t>2016</w:t>
                  </w:r>
                </w:p>
              </w:tc>
              <w:tc>
                <w:tcPr>
                  <w:tcW w:w="1145" w:type="dxa"/>
                  <w:tcBorders>
                    <w:top w:val="nil"/>
                    <w:left w:val="nil"/>
                    <w:bottom w:val="single" w:sz="12" w:space="0" w:color="auto"/>
                    <w:right w:val="nil"/>
                  </w:tcBorders>
                  <w:shd w:val="clear" w:color="000000" w:fill="C1EFFF"/>
                  <w:noWrap/>
                  <w:vAlign w:val="center"/>
                  <w:hideMark/>
                </w:tcPr>
                <w:p w14:paraId="5214C05A" w14:textId="77777777" w:rsidR="00D17235" w:rsidRPr="00D17235" w:rsidRDefault="00D17235" w:rsidP="00D17235">
                  <w:pPr>
                    <w:spacing w:after="0" w:line="240" w:lineRule="auto"/>
                    <w:jc w:val="center"/>
                    <w:rPr>
                      <w:rFonts w:eastAsia="Times New Roman" w:cs="Calibri"/>
                      <w:b/>
                      <w:bCs/>
                      <w:color w:val="000000"/>
                      <w:sz w:val="18"/>
                      <w:szCs w:val="18"/>
                      <w:lang w:eastAsia="el-GR"/>
                    </w:rPr>
                  </w:pPr>
                  <w:r w:rsidRPr="00D17235">
                    <w:rPr>
                      <w:rFonts w:eastAsia="Times New Roman" w:cs="Calibri"/>
                      <w:b/>
                      <w:bCs/>
                      <w:color w:val="000000"/>
                      <w:sz w:val="18"/>
                      <w:szCs w:val="18"/>
                      <w:lang w:eastAsia="el-GR"/>
                    </w:rPr>
                    <w:t>2017</w:t>
                  </w:r>
                </w:p>
              </w:tc>
              <w:tc>
                <w:tcPr>
                  <w:tcW w:w="1242" w:type="dxa"/>
                  <w:tcBorders>
                    <w:top w:val="nil"/>
                    <w:left w:val="nil"/>
                    <w:bottom w:val="single" w:sz="12" w:space="0" w:color="auto"/>
                    <w:right w:val="nil"/>
                  </w:tcBorders>
                  <w:shd w:val="clear" w:color="000000" w:fill="C1EFFF"/>
                  <w:vAlign w:val="center"/>
                  <w:hideMark/>
                </w:tcPr>
                <w:p w14:paraId="01241C28" w14:textId="77777777" w:rsidR="00D17235" w:rsidRPr="00D17235" w:rsidRDefault="00D17235" w:rsidP="00D17235">
                  <w:pPr>
                    <w:spacing w:after="0" w:line="240" w:lineRule="auto"/>
                    <w:jc w:val="center"/>
                    <w:rPr>
                      <w:rFonts w:eastAsia="Times New Roman" w:cs="Calibri"/>
                      <w:b/>
                      <w:bCs/>
                      <w:color w:val="000000"/>
                      <w:sz w:val="18"/>
                      <w:szCs w:val="18"/>
                      <w:lang w:eastAsia="el-GR"/>
                    </w:rPr>
                  </w:pPr>
                  <w:r w:rsidRPr="00D17235">
                    <w:rPr>
                      <w:rFonts w:eastAsia="Times New Roman" w:cs="Calibri"/>
                      <w:b/>
                      <w:bCs/>
                      <w:color w:val="000000"/>
                      <w:sz w:val="18"/>
                      <w:szCs w:val="18"/>
                      <w:lang w:eastAsia="el-GR"/>
                    </w:rPr>
                    <w:t>2018</w:t>
                  </w:r>
                </w:p>
              </w:tc>
              <w:tc>
                <w:tcPr>
                  <w:tcW w:w="1123" w:type="dxa"/>
                  <w:tcBorders>
                    <w:top w:val="nil"/>
                    <w:left w:val="nil"/>
                    <w:bottom w:val="single" w:sz="12" w:space="0" w:color="auto"/>
                    <w:right w:val="nil"/>
                  </w:tcBorders>
                  <w:shd w:val="clear" w:color="000000" w:fill="C1EFFF"/>
                  <w:vAlign w:val="center"/>
                  <w:hideMark/>
                </w:tcPr>
                <w:p w14:paraId="6158EDBD" w14:textId="77777777" w:rsidR="00D17235" w:rsidRPr="00D17235" w:rsidRDefault="00D17235" w:rsidP="00D17235">
                  <w:pPr>
                    <w:spacing w:after="0" w:line="240" w:lineRule="auto"/>
                    <w:jc w:val="center"/>
                    <w:rPr>
                      <w:rFonts w:eastAsia="Times New Roman" w:cs="Calibri"/>
                      <w:b/>
                      <w:bCs/>
                      <w:color w:val="000000"/>
                      <w:sz w:val="18"/>
                      <w:szCs w:val="18"/>
                      <w:lang w:eastAsia="el-GR"/>
                    </w:rPr>
                  </w:pPr>
                  <w:r w:rsidRPr="00D17235">
                    <w:rPr>
                      <w:rFonts w:eastAsia="Times New Roman" w:cs="Calibri"/>
                      <w:b/>
                      <w:bCs/>
                      <w:color w:val="000000"/>
                      <w:sz w:val="18"/>
                      <w:szCs w:val="18"/>
                      <w:lang w:eastAsia="el-GR"/>
                    </w:rPr>
                    <w:t>2019</w:t>
                  </w:r>
                </w:p>
              </w:tc>
              <w:tc>
                <w:tcPr>
                  <w:tcW w:w="1225" w:type="dxa"/>
                  <w:tcBorders>
                    <w:top w:val="nil"/>
                    <w:left w:val="nil"/>
                    <w:bottom w:val="single" w:sz="12" w:space="0" w:color="auto"/>
                    <w:right w:val="nil"/>
                  </w:tcBorders>
                  <w:shd w:val="clear" w:color="000000" w:fill="C1EFFF"/>
                  <w:vAlign w:val="center"/>
                  <w:hideMark/>
                </w:tcPr>
                <w:p w14:paraId="2BA5693E" w14:textId="77777777" w:rsidR="00D17235" w:rsidRPr="00D17235" w:rsidRDefault="00D17235" w:rsidP="00D17235">
                  <w:pPr>
                    <w:spacing w:after="0" w:line="240" w:lineRule="auto"/>
                    <w:jc w:val="center"/>
                    <w:rPr>
                      <w:rFonts w:eastAsia="Times New Roman" w:cs="Calibri"/>
                      <w:b/>
                      <w:bCs/>
                      <w:color w:val="000000"/>
                      <w:sz w:val="18"/>
                      <w:szCs w:val="18"/>
                      <w:lang w:eastAsia="el-GR"/>
                    </w:rPr>
                  </w:pPr>
                  <w:r w:rsidRPr="00D17235">
                    <w:rPr>
                      <w:rFonts w:eastAsia="Times New Roman" w:cs="Calibri"/>
                      <w:b/>
                      <w:bCs/>
                      <w:color w:val="000000"/>
                      <w:sz w:val="18"/>
                      <w:szCs w:val="18"/>
                      <w:lang w:eastAsia="el-GR"/>
                    </w:rPr>
                    <w:t>2020</w:t>
                  </w:r>
                </w:p>
              </w:tc>
            </w:tr>
            <w:tr w:rsidR="00D17235" w:rsidRPr="00D17235" w14:paraId="4BD7AF76" w14:textId="77777777" w:rsidTr="00D17235">
              <w:trPr>
                <w:trHeight w:val="277"/>
              </w:trPr>
              <w:tc>
                <w:tcPr>
                  <w:tcW w:w="2374" w:type="dxa"/>
                  <w:tcBorders>
                    <w:top w:val="nil"/>
                    <w:left w:val="nil"/>
                    <w:bottom w:val="nil"/>
                    <w:right w:val="nil"/>
                  </w:tcBorders>
                  <w:shd w:val="clear" w:color="auto" w:fill="auto"/>
                  <w:noWrap/>
                  <w:vAlign w:val="center"/>
                  <w:hideMark/>
                </w:tcPr>
                <w:p w14:paraId="7452B86E" w14:textId="77777777" w:rsidR="00D17235" w:rsidRPr="00D17235" w:rsidRDefault="00D17235" w:rsidP="00D17235">
                  <w:pPr>
                    <w:spacing w:after="0" w:line="240" w:lineRule="auto"/>
                    <w:jc w:val="left"/>
                    <w:rPr>
                      <w:rFonts w:eastAsia="Times New Roman" w:cs="Calibri"/>
                      <w:color w:val="auto"/>
                      <w:sz w:val="18"/>
                      <w:szCs w:val="18"/>
                      <w:lang w:eastAsia="el-GR"/>
                    </w:rPr>
                  </w:pPr>
                  <w:r w:rsidRPr="00D17235">
                    <w:rPr>
                      <w:rFonts w:eastAsia="Times New Roman" w:cs="Calibri"/>
                      <w:color w:val="auto"/>
                      <w:sz w:val="18"/>
                      <w:szCs w:val="18"/>
                      <w:lang w:eastAsia="el-GR"/>
                    </w:rPr>
                    <w:t>Εσοδα Κατά ESA</w:t>
                  </w:r>
                </w:p>
              </w:tc>
              <w:tc>
                <w:tcPr>
                  <w:tcW w:w="869" w:type="dxa"/>
                  <w:tcBorders>
                    <w:top w:val="nil"/>
                    <w:left w:val="nil"/>
                    <w:bottom w:val="nil"/>
                    <w:right w:val="nil"/>
                  </w:tcBorders>
                  <w:shd w:val="clear" w:color="auto" w:fill="auto"/>
                  <w:noWrap/>
                  <w:vAlign w:val="center"/>
                  <w:hideMark/>
                </w:tcPr>
                <w:p w14:paraId="247A5118" w14:textId="77777777" w:rsidR="00D17235" w:rsidRPr="00416466" w:rsidRDefault="00D17235" w:rsidP="00D17235">
                  <w:pPr>
                    <w:spacing w:after="0" w:line="240" w:lineRule="auto"/>
                    <w:jc w:val="center"/>
                    <w:rPr>
                      <w:rFonts w:eastAsia="Times New Roman" w:cs="Calibri"/>
                      <w:color w:val="auto"/>
                      <w:sz w:val="18"/>
                      <w:szCs w:val="18"/>
                      <w:lang w:eastAsia="el-GR"/>
                    </w:rPr>
                  </w:pPr>
                  <w:r w:rsidRPr="00416466">
                    <w:rPr>
                      <w:rFonts w:eastAsia="Times New Roman" w:cs="Calibri"/>
                      <w:color w:val="auto"/>
                      <w:sz w:val="18"/>
                      <w:szCs w:val="18"/>
                      <w:lang w:eastAsia="el-GR"/>
                    </w:rPr>
                    <w:t>87.337</w:t>
                  </w:r>
                </w:p>
              </w:tc>
              <w:tc>
                <w:tcPr>
                  <w:tcW w:w="1145" w:type="dxa"/>
                  <w:tcBorders>
                    <w:top w:val="nil"/>
                    <w:left w:val="nil"/>
                    <w:bottom w:val="nil"/>
                    <w:right w:val="nil"/>
                  </w:tcBorders>
                  <w:shd w:val="clear" w:color="auto" w:fill="auto"/>
                  <w:noWrap/>
                  <w:vAlign w:val="center"/>
                  <w:hideMark/>
                </w:tcPr>
                <w:p w14:paraId="0385C663" w14:textId="77777777" w:rsidR="00D17235" w:rsidRPr="00416466" w:rsidRDefault="00D17235" w:rsidP="00D17235">
                  <w:pPr>
                    <w:spacing w:after="0" w:line="240" w:lineRule="auto"/>
                    <w:jc w:val="center"/>
                    <w:rPr>
                      <w:rFonts w:eastAsia="Times New Roman" w:cs="Calibri"/>
                      <w:color w:val="auto"/>
                      <w:sz w:val="18"/>
                      <w:szCs w:val="18"/>
                      <w:lang w:eastAsia="el-GR"/>
                    </w:rPr>
                  </w:pPr>
                  <w:r w:rsidRPr="00416466">
                    <w:rPr>
                      <w:rFonts w:eastAsia="Times New Roman" w:cs="Calibri"/>
                      <w:color w:val="auto"/>
                      <w:sz w:val="18"/>
                      <w:szCs w:val="18"/>
                      <w:lang w:eastAsia="el-GR"/>
                    </w:rPr>
                    <w:t>86.787</w:t>
                  </w:r>
                </w:p>
              </w:tc>
              <w:tc>
                <w:tcPr>
                  <w:tcW w:w="1242" w:type="dxa"/>
                  <w:tcBorders>
                    <w:top w:val="nil"/>
                    <w:left w:val="nil"/>
                    <w:bottom w:val="nil"/>
                    <w:right w:val="nil"/>
                  </w:tcBorders>
                  <w:shd w:val="clear" w:color="auto" w:fill="auto"/>
                  <w:noWrap/>
                  <w:vAlign w:val="center"/>
                  <w:hideMark/>
                </w:tcPr>
                <w:p w14:paraId="3E186E13" w14:textId="77777777" w:rsidR="00D17235" w:rsidRPr="00416466" w:rsidRDefault="00D17235" w:rsidP="00D17235">
                  <w:pPr>
                    <w:spacing w:after="0" w:line="240" w:lineRule="auto"/>
                    <w:jc w:val="center"/>
                    <w:rPr>
                      <w:rFonts w:eastAsia="Times New Roman" w:cs="Calibri"/>
                      <w:color w:val="auto"/>
                      <w:sz w:val="18"/>
                      <w:szCs w:val="18"/>
                      <w:lang w:eastAsia="el-GR"/>
                    </w:rPr>
                  </w:pPr>
                  <w:r w:rsidRPr="00416466">
                    <w:rPr>
                      <w:rFonts w:eastAsia="Times New Roman" w:cs="Calibri"/>
                      <w:color w:val="auto"/>
                      <w:sz w:val="18"/>
                      <w:szCs w:val="18"/>
                      <w:lang w:eastAsia="el-GR"/>
                    </w:rPr>
                    <w:t>88.555</w:t>
                  </w:r>
                </w:p>
              </w:tc>
              <w:tc>
                <w:tcPr>
                  <w:tcW w:w="1123" w:type="dxa"/>
                  <w:tcBorders>
                    <w:top w:val="nil"/>
                    <w:left w:val="nil"/>
                    <w:bottom w:val="nil"/>
                    <w:right w:val="nil"/>
                  </w:tcBorders>
                  <w:shd w:val="clear" w:color="auto" w:fill="auto"/>
                  <w:noWrap/>
                  <w:vAlign w:val="center"/>
                  <w:hideMark/>
                </w:tcPr>
                <w:p w14:paraId="4A43ABE3" w14:textId="77777777" w:rsidR="00D17235" w:rsidRPr="00416466" w:rsidRDefault="00D17235" w:rsidP="00D17235">
                  <w:pPr>
                    <w:spacing w:after="0" w:line="240" w:lineRule="auto"/>
                    <w:jc w:val="center"/>
                    <w:rPr>
                      <w:rFonts w:eastAsia="Times New Roman" w:cs="Calibri"/>
                      <w:color w:val="auto"/>
                      <w:sz w:val="18"/>
                      <w:szCs w:val="18"/>
                      <w:lang w:eastAsia="el-GR"/>
                    </w:rPr>
                  </w:pPr>
                  <w:r w:rsidRPr="00416466">
                    <w:rPr>
                      <w:rFonts w:eastAsia="Times New Roman" w:cs="Calibri"/>
                      <w:color w:val="auto"/>
                      <w:sz w:val="18"/>
                      <w:szCs w:val="18"/>
                      <w:lang w:eastAsia="el-GR"/>
                    </w:rPr>
                    <w:t>89.480</w:t>
                  </w:r>
                </w:p>
              </w:tc>
              <w:tc>
                <w:tcPr>
                  <w:tcW w:w="1225" w:type="dxa"/>
                  <w:tcBorders>
                    <w:top w:val="nil"/>
                    <w:left w:val="nil"/>
                    <w:bottom w:val="nil"/>
                    <w:right w:val="nil"/>
                  </w:tcBorders>
                  <w:shd w:val="clear" w:color="auto" w:fill="auto"/>
                  <w:noWrap/>
                  <w:vAlign w:val="center"/>
                  <w:hideMark/>
                </w:tcPr>
                <w:p w14:paraId="21260D44" w14:textId="77777777" w:rsidR="00D17235" w:rsidRPr="00416466" w:rsidRDefault="00D17235" w:rsidP="00D17235">
                  <w:pPr>
                    <w:spacing w:after="0" w:line="240" w:lineRule="auto"/>
                    <w:jc w:val="center"/>
                    <w:rPr>
                      <w:rFonts w:eastAsia="Times New Roman" w:cs="Calibri"/>
                      <w:color w:val="auto"/>
                      <w:sz w:val="18"/>
                      <w:szCs w:val="18"/>
                      <w:lang w:eastAsia="el-GR"/>
                    </w:rPr>
                  </w:pPr>
                  <w:r w:rsidRPr="00416466">
                    <w:rPr>
                      <w:rFonts w:eastAsia="Times New Roman" w:cs="Calibri"/>
                      <w:color w:val="auto"/>
                      <w:sz w:val="18"/>
                      <w:szCs w:val="18"/>
                      <w:lang w:eastAsia="el-GR"/>
                    </w:rPr>
                    <w:t>84.515</w:t>
                  </w:r>
                </w:p>
              </w:tc>
            </w:tr>
            <w:tr w:rsidR="00D17235" w:rsidRPr="00D17235" w14:paraId="1C12157E" w14:textId="77777777" w:rsidTr="00D17235">
              <w:trPr>
                <w:trHeight w:val="277"/>
              </w:trPr>
              <w:tc>
                <w:tcPr>
                  <w:tcW w:w="2374" w:type="dxa"/>
                  <w:tcBorders>
                    <w:top w:val="nil"/>
                    <w:left w:val="nil"/>
                    <w:bottom w:val="single" w:sz="8" w:space="0" w:color="auto"/>
                    <w:right w:val="nil"/>
                  </w:tcBorders>
                  <w:shd w:val="clear" w:color="auto" w:fill="auto"/>
                  <w:noWrap/>
                  <w:vAlign w:val="center"/>
                  <w:hideMark/>
                </w:tcPr>
                <w:p w14:paraId="2C731FD4" w14:textId="77777777" w:rsidR="00D17235" w:rsidRPr="00D17235" w:rsidRDefault="00D17235" w:rsidP="00D17235">
                  <w:pPr>
                    <w:spacing w:after="0" w:line="240" w:lineRule="auto"/>
                    <w:jc w:val="left"/>
                    <w:rPr>
                      <w:rFonts w:eastAsia="Times New Roman" w:cs="Calibri"/>
                      <w:color w:val="auto"/>
                      <w:sz w:val="18"/>
                      <w:szCs w:val="18"/>
                      <w:lang w:eastAsia="el-GR"/>
                    </w:rPr>
                  </w:pPr>
                  <w:r w:rsidRPr="00D17235">
                    <w:rPr>
                      <w:rFonts w:eastAsia="Times New Roman" w:cs="Calibri"/>
                      <w:color w:val="auto"/>
                      <w:sz w:val="18"/>
                      <w:szCs w:val="18"/>
                      <w:lang w:eastAsia="el-GR"/>
                    </w:rPr>
                    <w:t>Έσοδα Ταμειακά</w:t>
                  </w:r>
                </w:p>
              </w:tc>
              <w:tc>
                <w:tcPr>
                  <w:tcW w:w="869" w:type="dxa"/>
                  <w:tcBorders>
                    <w:top w:val="nil"/>
                    <w:left w:val="nil"/>
                    <w:bottom w:val="single" w:sz="8" w:space="0" w:color="auto"/>
                    <w:right w:val="nil"/>
                  </w:tcBorders>
                  <w:shd w:val="clear" w:color="auto" w:fill="auto"/>
                  <w:noWrap/>
                  <w:vAlign w:val="center"/>
                  <w:hideMark/>
                </w:tcPr>
                <w:p w14:paraId="5798D950" w14:textId="77777777" w:rsidR="00D17235" w:rsidRPr="00416466" w:rsidRDefault="00D17235" w:rsidP="00D17235">
                  <w:pPr>
                    <w:spacing w:after="0" w:line="240" w:lineRule="auto"/>
                    <w:jc w:val="center"/>
                    <w:rPr>
                      <w:rFonts w:eastAsia="Times New Roman" w:cs="Calibri"/>
                      <w:color w:val="auto"/>
                      <w:sz w:val="18"/>
                      <w:szCs w:val="18"/>
                      <w:lang w:eastAsia="el-GR"/>
                    </w:rPr>
                  </w:pPr>
                  <w:r w:rsidRPr="00416466">
                    <w:rPr>
                      <w:rFonts w:eastAsia="Times New Roman" w:cs="Calibri"/>
                      <w:color w:val="auto"/>
                      <w:sz w:val="18"/>
                      <w:szCs w:val="18"/>
                      <w:lang w:eastAsia="el-GR"/>
                    </w:rPr>
                    <w:t>80.116</w:t>
                  </w:r>
                </w:p>
              </w:tc>
              <w:tc>
                <w:tcPr>
                  <w:tcW w:w="1145" w:type="dxa"/>
                  <w:tcBorders>
                    <w:top w:val="nil"/>
                    <w:left w:val="nil"/>
                    <w:bottom w:val="single" w:sz="8" w:space="0" w:color="auto"/>
                    <w:right w:val="nil"/>
                  </w:tcBorders>
                  <w:shd w:val="clear" w:color="auto" w:fill="auto"/>
                  <w:noWrap/>
                  <w:vAlign w:val="center"/>
                  <w:hideMark/>
                </w:tcPr>
                <w:p w14:paraId="1DD5AEFA" w14:textId="77777777" w:rsidR="00D17235" w:rsidRPr="00416466" w:rsidRDefault="00D17235" w:rsidP="00D17235">
                  <w:pPr>
                    <w:spacing w:after="0" w:line="240" w:lineRule="auto"/>
                    <w:jc w:val="center"/>
                    <w:rPr>
                      <w:rFonts w:eastAsia="Times New Roman" w:cs="Calibri"/>
                      <w:color w:val="auto"/>
                      <w:sz w:val="18"/>
                      <w:szCs w:val="18"/>
                      <w:lang w:eastAsia="el-GR"/>
                    </w:rPr>
                  </w:pPr>
                  <w:r w:rsidRPr="00416466">
                    <w:rPr>
                      <w:rFonts w:eastAsia="Times New Roman" w:cs="Calibri"/>
                      <w:color w:val="auto"/>
                      <w:sz w:val="18"/>
                      <w:szCs w:val="18"/>
                      <w:lang w:eastAsia="el-GR"/>
                    </w:rPr>
                    <w:t>79.729</w:t>
                  </w:r>
                </w:p>
              </w:tc>
              <w:tc>
                <w:tcPr>
                  <w:tcW w:w="1242" w:type="dxa"/>
                  <w:tcBorders>
                    <w:top w:val="nil"/>
                    <w:left w:val="nil"/>
                    <w:bottom w:val="single" w:sz="8" w:space="0" w:color="auto"/>
                    <w:right w:val="nil"/>
                  </w:tcBorders>
                  <w:shd w:val="clear" w:color="auto" w:fill="auto"/>
                  <w:noWrap/>
                  <w:vAlign w:val="center"/>
                  <w:hideMark/>
                </w:tcPr>
                <w:p w14:paraId="29A6694A" w14:textId="77777777" w:rsidR="00D17235" w:rsidRPr="00416466" w:rsidRDefault="00D17235" w:rsidP="00D17235">
                  <w:pPr>
                    <w:spacing w:after="0" w:line="240" w:lineRule="auto"/>
                    <w:jc w:val="center"/>
                    <w:rPr>
                      <w:rFonts w:eastAsia="Times New Roman" w:cs="Calibri"/>
                      <w:color w:val="auto"/>
                      <w:sz w:val="18"/>
                      <w:szCs w:val="18"/>
                      <w:lang w:eastAsia="el-GR"/>
                    </w:rPr>
                  </w:pPr>
                  <w:r w:rsidRPr="00416466">
                    <w:rPr>
                      <w:rFonts w:eastAsia="Times New Roman" w:cs="Calibri"/>
                      <w:color w:val="auto"/>
                      <w:sz w:val="18"/>
                      <w:szCs w:val="18"/>
                      <w:lang w:eastAsia="el-GR"/>
                    </w:rPr>
                    <w:t>80.403</w:t>
                  </w:r>
                </w:p>
              </w:tc>
              <w:tc>
                <w:tcPr>
                  <w:tcW w:w="1123" w:type="dxa"/>
                  <w:tcBorders>
                    <w:top w:val="nil"/>
                    <w:left w:val="nil"/>
                    <w:bottom w:val="single" w:sz="8" w:space="0" w:color="auto"/>
                    <w:right w:val="nil"/>
                  </w:tcBorders>
                  <w:shd w:val="clear" w:color="auto" w:fill="auto"/>
                  <w:noWrap/>
                  <w:vAlign w:val="center"/>
                  <w:hideMark/>
                </w:tcPr>
                <w:p w14:paraId="702205C2" w14:textId="77777777" w:rsidR="00D17235" w:rsidRPr="00416466" w:rsidRDefault="00D17235" w:rsidP="00D17235">
                  <w:pPr>
                    <w:spacing w:after="0" w:line="240" w:lineRule="auto"/>
                    <w:jc w:val="center"/>
                    <w:rPr>
                      <w:rFonts w:eastAsia="Times New Roman" w:cs="Calibri"/>
                      <w:color w:val="auto"/>
                      <w:sz w:val="18"/>
                      <w:szCs w:val="18"/>
                      <w:lang w:eastAsia="el-GR"/>
                    </w:rPr>
                  </w:pPr>
                  <w:r w:rsidRPr="00416466">
                    <w:rPr>
                      <w:rFonts w:eastAsia="Times New Roman" w:cs="Calibri"/>
                      <w:color w:val="auto"/>
                      <w:sz w:val="18"/>
                      <w:szCs w:val="18"/>
                      <w:lang w:eastAsia="el-GR"/>
                    </w:rPr>
                    <w:t>85.043</w:t>
                  </w:r>
                </w:p>
              </w:tc>
              <w:tc>
                <w:tcPr>
                  <w:tcW w:w="1225" w:type="dxa"/>
                  <w:tcBorders>
                    <w:top w:val="nil"/>
                    <w:left w:val="nil"/>
                    <w:bottom w:val="single" w:sz="8" w:space="0" w:color="auto"/>
                    <w:right w:val="nil"/>
                  </w:tcBorders>
                  <w:shd w:val="clear" w:color="auto" w:fill="auto"/>
                  <w:noWrap/>
                  <w:vAlign w:val="center"/>
                  <w:hideMark/>
                </w:tcPr>
                <w:p w14:paraId="6443E76C" w14:textId="77777777" w:rsidR="00D17235" w:rsidRPr="00416466" w:rsidRDefault="00D17235" w:rsidP="00D17235">
                  <w:pPr>
                    <w:spacing w:after="0" w:line="240" w:lineRule="auto"/>
                    <w:jc w:val="center"/>
                    <w:rPr>
                      <w:rFonts w:eastAsia="Times New Roman" w:cs="Calibri"/>
                      <w:color w:val="auto"/>
                      <w:sz w:val="18"/>
                      <w:szCs w:val="18"/>
                      <w:lang w:eastAsia="el-GR"/>
                    </w:rPr>
                  </w:pPr>
                  <w:r w:rsidRPr="00416466">
                    <w:rPr>
                      <w:rFonts w:eastAsia="Times New Roman" w:cs="Calibri"/>
                      <w:color w:val="auto"/>
                      <w:sz w:val="18"/>
                      <w:szCs w:val="18"/>
                      <w:lang w:eastAsia="el-GR"/>
                    </w:rPr>
                    <w:t>75.388</w:t>
                  </w:r>
                </w:p>
              </w:tc>
            </w:tr>
            <w:tr w:rsidR="00D17235" w:rsidRPr="00D17235" w14:paraId="122B2B0A" w14:textId="77777777" w:rsidTr="00D17235">
              <w:trPr>
                <w:trHeight w:val="264"/>
              </w:trPr>
              <w:tc>
                <w:tcPr>
                  <w:tcW w:w="2374" w:type="dxa"/>
                  <w:tcBorders>
                    <w:top w:val="nil"/>
                    <w:left w:val="nil"/>
                    <w:bottom w:val="nil"/>
                    <w:right w:val="nil"/>
                  </w:tcBorders>
                  <w:shd w:val="clear" w:color="auto" w:fill="auto"/>
                  <w:noWrap/>
                  <w:vAlign w:val="center"/>
                  <w:hideMark/>
                </w:tcPr>
                <w:p w14:paraId="7CCF54E4" w14:textId="77777777" w:rsidR="00D17235" w:rsidRPr="00D17235" w:rsidRDefault="00D17235" w:rsidP="00D17235">
                  <w:pPr>
                    <w:spacing w:after="0" w:line="240" w:lineRule="auto"/>
                    <w:jc w:val="left"/>
                    <w:rPr>
                      <w:rFonts w:eastAsia="Times New Roman" w:cs="Calibri"/>
                      <w:color w:val="auto"/>
                      <w:sz w:val="18"/>
                      <w:szCs w:val="18"/>
                      <w:lang w:eastAsia="el-GR"/>
                    </w:rPr>
                  </w:pPr>
                  <w:r w:rsidRPr="00D17235">
                    <w:rPr>
                      <w:rFonts w:eastAsia="Times New Roman" w:cs="Calibri"/>
                      <w:color w:val="auto"/>
                      <w:sz w:val="18"/>
                      <w:szCs w:val="18"/>
                      <w:lang w:eastAsia="el-GR"/>
                    </w:rPr>
                    <w:t>Δαπάνες Κατά ESA</w:t>
                  </w:r>
                </w:p>
              </w:tc>
              <w:tc>
                <w:tcPr>
                  <w:tcW w:w="869" w:type="dxa"/>
                  <w:tcBorders>
                    <w:top w:val="nil"/>
                    <w:left w:val="nil"/>
                    <w:bottom w:val="nil"/>
                    <w:right w:val="nil"/>
                  </w:tcBorders>
                  <w:shd w:val="clear" w:color="auto" w:fill="auto"/>
                  <w:noWrap/>
                  <w:vAlign w:val="center"/>
                  <w:hideMark/>
                </w:tcPr>
                <w:p w14:paraId="38F8B207" w14:textId="77777777" w:rsidR="00D17235" w:rsidRPr="00416466" w:rsidRDefault="00D17235" w:rsidP="00D17235">
                  <w:pPr>
                    <w:spacing w:after="0" w:line="240" w:lineRule="auto"/>
                    <w:jc w:val="center"/>
                    <w:rPr>
                      <w:rFonts w:eastAsia="Times New Roman" w:cs="Calibri"/>
                      <w:color w:val="auto"/>
                      <w:sz w:val="18"/>
                      <w:szCs w:val="18"/>
                      <w:lang w:eastAsia="el-GR"/>
                    </w:rPr>
                  </w:pPr>
                  <w:r w:rsidRPr="00416466">
                    <w:rPr>
                      <w:rFonts w:eastAsia="Times New Roman" w:cs="Calibri"/>
                      <w:color w:val="auto"/>
                      <w:sz w:val="18"/>
                      <w:szCs w:val="18"/>
                      <w:lang w:eastAsia="el-GR"/>
                    </w:rPr>
                    <w:t>86.484</w:t>
                  </w:r>
                </w:p>
              </w:tc>
              <w:tc>
                <w:tcPr>
                  <w:tcW w:w="1145" w:type="dxa"/>
                  <w:tcBorders>
                    <w:top w:val="nil"/>
                    <w:left w:val="nil"/>
                    <w:bottom w:val="nil"/>
                    <w:right w:val="nil"/>
                  </w:tcBorders>
                  <w:shd w:val="clear" w:color="auto" w:fill="auto"/>
                  <w:noWrap/>
                  <w:vAlign w:val="center"/>
                  <w:hideMark/>
                </w:tcPr>
                <w:p w14:paraId="37D2927B" w14:textId="77777777" w:rsidR="00D17235" w:rsidRPr="00416466" w:rsidRDefault="00D17235" w:rsidP="00D17235">
                  <w:pPr>
                    <w:spacing w:after="0" w:line="240" w:lineRule="auto"/>
                    <w:jc w:val="center"/>
                    <w:rPr>
                      <w:rFonts w:eastAsia="Times New Roman" w:cs="Calibri"/>
                      <w:color w:val="auto"/>
                      <w:sz w:val="18"/>
                      <w:szCs w:val="18"/>
                      <w:lang w:eastAsia="el-GR"/>
                    </w:rPr>
                  </w:pPr>
                  <w:r w:rsidRPr="00416466">
                    <w:rPr>
                      <w:rFonts w:eastAsia="Times New Roman" w:cs="Calibri"/>
                      <w:color w:val="auto"/>
                      <w:sz w:val="18"/>
                      <w:szCs w:val="18"/>
                      <w:lang w:eastAsia="el-GR"/>
                    </w:rPr>
                    <w:t>85.497</w:t>
                  </w:r>
                </w:p>
              </w:tc>
              <w:tc>
                <w:tcPr>
                  <w:tcW w:w="1242" w:type="dxa"/>
                  <w:tcBorders>
                    <w:top w:val="nil"/>
                    <w:left w:val="nil"/>
                    <w:bottom w:val="nil"/>
                    <w:right w:val="nil"/>
                  </w:tcBorders>
                  <w:shd w:val="clear" w:color="auto" w:fill="auto"/>
                  <w:noWrap/>
                  <w:vAlign w:val="center"/>
                  <w:hideMark/>
                </w:tcPr>
                <w:p w14:paraId="244A4DA7" w14:textId="77777777" w:rsidR="00D17235" w:rsidRPr="00416466" w:rsidRDefault="00D17235" w:rsidP="00D17235">
                  <w:pPr>
                    <w:spacing w:after="0" w:line="240" w:lineRule="auto"/>
                    <w:jc w:val="center"/>
                    <w:rPr>
                      <w:rFonts w:eastAsia="Times New Roman" w:cs="Calibri"/>
                      <w:color w:val="auto"/>
                      <w:sz w:val="18"/>
                      <w:szCs w:val="18"/>
                      <w:lang w:eastAsia="el-GR"/>
                    </w:rPr>
                  </w:pPr>
                  <w:r w:rsidRPr="00416466">
                    <w:rPr>
                      <w:rFonts w:eastAsia="Times New Roman" w:cs="Calibri"/>
                      <w:color w:val="auto"/>
                      <w:sz w:val="18"/>
                      <w:szCs w:val="18"/>
                      <w:lang w:eastAsia="el-GR"/>
                    </w:rPr>
                    <w:t>86.720</w:t>
                  </w:r>
                </w:p>
              </w:tc>
              <w:tc>
                <w:tcPr>
                  <w:tcW w:w="1123" w:type="dxa"/>
                  <w:tcBorders>
                    <w:top w:val="nil"/>
                    <w:left w:val="nil"/>
                    <w:bottom w:val="nil"/>
                    <w:right w:val="nil"/>
                  </w:tcBorders>
                  <w:shd w:val="clear" w:color="auto" w:fill="auto"/>
                  <w:noWrap/>
                  <w:vAlign w:val="center"/>
                  <w:hideMark/>
                </w:tcPr>
                <w:p w14:paraId="5191D8C2" w14:textId="77777777" w:rsidR="00D17235" w:rsidRPr="00416466" w:rsidRDefault="00D17235" w:rsidP="00D17235">
                  <w:pPr>
                    <w:spacing w:after="0" w:line="240" w:lineRule="auto"/>
                    <w:jc w:val="center"/>
                    <w:rPr>
                      <w:rFonts w:eastAsia="Times New Roman" w:cs="Calibri"/>
                      <w:color w:val="auto"/>
                      <w:sz w:val="18"/>
                      <w:szCs w:val="18"/>
                      <w:lang w:eastAsia="el-GR"/>
                    </w:rPr>
                  </w:pPr>
                  <w:r w:rsidRPr="00416466">
                    <w:rPr>
                      <w:rFonts w:eastAsia="Times New Roman" w:cs="Calibri"/>
                      <w:color w:val="auto"/>
                      <w:sz w:val="18"/>
                      <w:szCs w:val="18"/>
                      <w:lang w:eastAsia="el-GR"/>
                    </w:rPr>
                    <w:t>86.735</w:t>
                  </w:r>
                </w:p>
              </w:tc>
              <w:tc>
                <w:tcPr>
                  <w:tcW w:w="1225" w:type="dxa"/>
                  <w:tcBorders>
                    <w:top w:val="nil"/>
                    <w:left w:val="nil"/>
                    <w:bottom w:val="nil"/>
                    <w:right w:val="nil"/>
                  </w:tcBorders>
                  <w:shd w:val="clear" w:color="auto" w:fill="auto"/>
                  <w:noWrap/>
                  <w:vAlign w:val="center"/>
                  <w:hideMark/>
                </w:tcPr>
                <w:p w14:paraId="63356331" w14:textId="77777777" w:rsidR="00D17235" w:rsidRPr="00416466" w:rsidRDefault="00D17235" w:rsidP="00D17235">
                  <w:pPr>
                    <w:spacing w:after="0" w:line="240" w:lineRule="auto"/>
                    <w:jc w:val="center"/>
                    <w:rPr>
                      <w:rFonts w:eastAsia="Times New Roman" w:cs="Calibri"/>
                      <w:color w:val="auto"/>
                      <w:sz w:val="18"/>
                      <w:szCs w:val="18"/>
                      <w:lang w:eastAsia="el-GR"/>
                    </w:rPr>
                  </w:pPr>
                  <w:r w:rsidRPr="00416466">
                    <w:rPr>
                      <w:rFonts w:eastAsia="Times New Roman" w:cs="Calibri"/>
                      <w:color w:val="auto"/>
                      <w:sz w:val="18"/>
                      <w:szCs w:val="18"/>
                      <w:lang w:eastAsia="el-GR"/>
                    </w:rPr>
                    <w:t>100.645</w:t>
                  </w:r>
                </w:p>
              </w:tc>
            </w:tr>
            <w:tr w:rsidR="00D17235" w:rsidRPr="00D17235" w14:paraId="22B5687C" w14:textId="77777777" w:rsidTr="00D17235">
              <w:trPr>
                <w:trHeight w:val="277"/>
              </w:trPr>
              <w:tc>
                <w:tcPr>
                  <w:tcW w:w="2374" w:type="dxa"/>
                  <w:tcBorders>
                    <w:top w:val="nil"/>
                    <w:left w:val="nil"/>
                    <w:bottom w:val="single" w:sz="8" w:space="0" w:color="auto"/>
                    <w:right w:val="nil"/>
                  </w:tcBorders>
                  <w:shd w:val="clear" w:color="auto" w:fill="auto"/>
                  <w:noWrap/>
                  <w:vAlign w:val="center"/>
                  <w:hideMark/>
                </w:tcPr>
                <w:p w14:paraId="1D1EE91D" w14:textId="77777777" w:rsidR="00D17235" w:rsidRPr="00D17235" w:rsidRDefault="00D17235" w:rsidP="00D17235">
                  <w:pPr>
                    <w:spacing w:after="0" w:line="240" w:lineRule="auto"/>
                    <w:jc w:val="left"/>
                    <w:rPr>
                      <w:rFonts w:eastAsia="Times New Roman" w:cs="Calibri"/>
                      <w:color w:val="auto"/>
                      <w:sz w:val="18"/>
                      <w:szCs w:val="18"/>
                      <w:lang w:eastAsia="el-GR"/>
                    </w:rPr>
                  </w:pPr>
                  <w:r w:rsidRPr="00D17235">
                    <w:rPr>
                      <w:rFonts w:eastAsia="Times New Roman" w:cs="Calibri"/>
                      <w:color w:val="auto"/>
                      <w:sz w:val="18"/>
                      <w:szCs w:val="18"/>
                      <w:lang w:eastAsia="el-GR"/>
                    </w:rPr>
                    <w:t>Δαπάνες Ταμειακά</w:t>
                  </w:r>
                </w:p>
              </w:tc>
              <w:tc>
                <w:tcPr>
                  <w:tcW w:w="869" w:type="dxa"/>
                  <w:tcBorders>
                    <w:top w:val="nil"/>
                    <w:left w:val="nil"/>
                    <w:bottom w:val="single" w:sz="8" w:space="0" w:color="auto"/>
                    <w:right w:val="nil"/>
                  </w:tcBorders>
                  <w:shd w:val="clear" w:color="auto" w:fill="auto"/>
                  <w:noWrap/>
                  <w:vAlign w:val="center"/>
                  <w:hideMark/>
                </w:tcPr>
                <w:p w14:paraId="45E1C624" w14:textId="77777777" w:rsidR="00D17235" w:rsidRPr="00416466" w:rsidRDefault="00D17235" w:rsidP="00D17235">
                  <w:pPr>
                    <w:spacing w:after="0" w:line="240" w:lineRule="auto"/>
                    <w:jc w:val="center"/>
                    <w:rPr>
                      <w:rFonts w:eastAsia="Times New Roman" w:cs="Calibri"/>
                      <w:color w:val="auto"/>
                      <w:sz w:val="18"/>
                      <w:szCs w:val="18"/>
                      <w:lang w:eastAsia="el-GR"/>
                    </w:rPr>
                  </w:pPr>
                  <w:r w:rsidRPr="00416466">
                    <w:rPr>
                      <w:rFonts w:eastAsia="Times New Roman" w:cs="Calibri"/>
                      <w:color w:val="auto"/>
                      <w:sz w:val="18"/>
                      <w:szCs w:val="18"/>
                      <w:lang w:eastAsia="el-GR"/>
                    </w:rPr>
                    <w:t>80.545</w:t>
                  </w:r>
                </w:p>
              </w:tc>
              <w:tc>
                <w:tcPr>
                  <w:tcW w:w="1145" w:type="dxa"/>
                  <w:tcBorders>
                    <w:top w:val="nil"/>
                    <w:left w:val="nil"/>
                    <w:bottom w:val="single" w:sz="8" w:space="0" w:color="auto"/>
                    <w:right w:val="nil"/>
                  </w:tcBorders>
                  <w:shd w:val="clear" w:color="auto" w:fill="auto"/>
                  <w:noWrap/>
                  <w:vAlign w:val="center"/>
                  <w:hideMark/>
                </w:tcPr>
                <w:p w14:paraId="017B2D4C" w14:textId="77777777" w:rsidR="00D17235" w:rsidRPr="00416466" w:rsidRDefault="00D17235" w:rsidP="00D17235">
                  <w:pPr>
                    <w:spacing w:after="0" w:line="240" w:lineRule="auto"/>
                    <w:jc w:val="center"/>
                    <w:rPr>
                      <w:rFonts w:eastAsia="Times New Roman" w:cs="Calibri"/>
                      <w:color w:val="auto"/>
                      <w:sz w:val="18"/>
                      <w:szCs w:val="18"/>
                      <w:lang w:eastAsia="el-GR"/>
                    </w:rPr>
                  </w:pPr>
                  <w:r w:rsidRPr="00416466">
                    <w:rPr>
                      <w:rFonts w:eastAsia="Times New Roman" w:cs="Calibri"/>
                      <w:color w:val="auto"/>
                      <w:sz w:val="18"/>
                      <w:szCs w:val="18"/>
                      <w:lang w:eastAsia="el-GR"/>
                    </w:rPr>
                    <w:t>79.051</w:t>
                  </w:r>
                </w:p>
              </w:tc>
              <w:tc>
                <w:tcPr>
                  <w:tcW w:w="1242" w:type="dxa"/>
                  <w:tcBorders>
                    <w:top w:val="nil"/>
                    <w:left w:val="nil"/>
                    <w:bottom w:val="single" w:sz="8" w:space="0" w:color="auto"/>
                    <w:right w:val="nil"/>
                  </w:tcBorders>
                  <w:shd w:val="clear" w:color="auto" w:fill="auto"/>
                  <w:noWrap/>
                  <w:vAlign w:val="center"/>
                  <w:hideMark/>
                </w:tcPr>
                <w:p w14:paraId="6D856465" w14:textId="77777777" w:rsidR="00D17235" w:rsidRPr="00416466" w:rsidRDefault="00D17235" w:rsidP="00D17235">
                  <w:pPr>
                    <w:spacing w:after="0" w:line="240" w:lineRule="auto"/>
                    <w:jc w:val="center"/>
                    <w:rPr>
                      <w:rFonts w:eastAsia="Times New Roman" w:cs="Calibri"/>
                      <w:color w:val="auto"/>
                      <w:sz w:val="18"/>
                      <w:szCs w:val="18"/>
                      <w:lang w:eastAsia="el-GR"/>
                    </w:rPr>
                  </w:pPr>
                  <w:r w:rsidRPr="00416466">
                    <w:rPr>
                      <w:rFonts w:eastAsia="Times New Roman" w:cs="Calibri"/>
                      <w:color w:val="auto"/>
                      <w:sz w:val="18"/>
                      <w:szCs w:val="18"/>
                      <w:lang w:eastAsia="el-GR"/>
                    </w:rPr>
                    <w:t>79.508</w:t>
                  </w:r>
                </w:p>
              </w:tc>
              <w:tc>
                <w:tcPr>
                  <w:tcW w:w="1123" w:type="dxa"/>
                  <w:tcBorders>
                    <w:top w:val="nil"/>
                    <w:left w:val="nil"/>
                    <w:bottom w:val="single" w:sz="8" w:space="0" w:color="auto"/>
                    <w:right w:val="nil"/>
                  </w:tcBorders>
                  <w:shd w:val="clear" w:color="auto" w:fill="auto"/>
                  <w:noWrap/>
                  <w:vAlign w:val="center"/>
                  <w:hideMark/>
                </w:tcPr>
                <w:p w14:paraId="316961D7" w14:textId="77777777" w:rsidR="00D17235" w:rsidRPr="00416466" w:rsidRDefault="00D17235" w:rsidP="00D17235">
                  <w:pPr>
                    <w:spacing w:after="0" w:line="240" w:lineRule="auto"/>
                    <w:jc w:val="center"/>
                    <w:rPr>
                      <w:rFonts w:eastAsia="Times New Roman" w:cs="Calibri"/>
                      <w:color w:val="auto"/>
                      <w:sz w:val="18"/>
                      <w:szCs w:val="18"/>
                      <w:lang w:eastAsia="el-GR"/>
                    </w:rPr>
                  </w:pPr>
                  <w:r w:rsidRPr="00416466">
                    <w:rPr>
                      <w:rFonts w:eastAsia="Times New Roman" w:cs="Calibri"/>
                      <w:color w:val="auto"/>
                      <w:sz w:val="18"/>
                      <w:szCs w:val="18"/>
                      <w:lang w:eastAsia="el-GR"/>
                    </w:rPr>
                    <w:t>80.153</w:t>
                  </w:r>
                </w:p>
              </w:tc>
              <w:tc>
                <w:tcPr>
                  <w:tcW w:w="1225" w:type="dxa"/>
                  <w:tcBorders>
                    <w:top w:val="nil"/>
                    <w:left w:val="nil"/>
                    <w:bottom w:val="single" w:sz="8" w:space="0" w:color="auto"/>
                    <w:right w:val="nil"/>
                  </w:tcBorders>
                  <w:shd w:val="clear" w:color="auto" w:fill="auto"/>
                  <w:noWrap/>
                  <w:vAlign w:val="center"/>
                  <w:hideMark/>
                </w:tcPr>
                <w:p w14:paraId="32DB50BE" w14:textId="77777777" w:rsidR="00D17235" w:rsidRPr="00416466" w:rsidRDefault="00D17235" w:rsidP="00D17235">
                  <w:pPr>
                    <w:spacing w:after="0" w:line="240" w:lineRule="auto"/>
                    <w:jc w:val="center"/>
                    <w:rPr>
                      <w:rFonts w:eastAsia="Times New Roman" w:cs="Calibri"/>
                      <w:color w:val="auto"/>
                      <w:sz w:val="18"/>
                      <w:szCs w:val="18"/>
                      <w:lang w:eastAsia="el-GR"/>
                    </w:rPr>
                  </w:pPr>
                  <w:r w:rsidRPr="00416466">
                    <w:rPr>
                      <w:rFonts w:eastAsia="Times New Roman" w:cs="Calibri"/>
                      <w:color w:val="auto"/>
                      <w:sz w:val="18"/>
                      <w:szCs w:val="18"/>
                      <w:lang w:eastAsia="el-GR"/>
                    </w:rPr>
                    <w:t>91.916</w:t>
                  </w:r>
                </w:p>
              </w:tc>
            </w:tr>
            <w:tr w:rsidR="00D17235" w:rsidRPr="00D17235" w14:paraId="7D6B25C4" w14:textId="77777777" w:rsidTr="00D17235">
              <w:trPr>
                <w:trHeight w:val="264"/>
              </w:trPr>
              <w:tc>
                <w:tcPr>
                  <w:tcW w:w="2374" w:type="dxa"/>
                  <w:tcBorders>
                    <w:top w:val="nil"/>
                    <w:left w:val="nil"/>
                    <w:bottom w:val="nil"/>
                    <w:right w:val="nil"/>
                  </w:tcBorders>
                  <w:shd w:val="clear" w:color="000000" w:fill="F2F2F2"/>
                  <w:noWrap/>
                  <w:vAlign w:val="center"/>
                  <w:hideMark/>
                </w:tcPr>
                <w:p w14:paraId="24762042" w14:textId="77777777" w:rsidR="00D17235" w:rsidRPr="00D17235" w:rsidRDefault="00D17235" w:rsidP="00D17235">
                  <w:pPr>
                    <w:spacing w:after="0" w:line="240" w:lineRule="auto"/>
                    <w:jc w:val="left"/>
                    <w:rPr>
                      <w:rFonts w:eastAsia="Times New Roman" w:cs="Calibri"/>
                      <w:b/>
                      <w:bCs/>
                      <w:color w:val="000000"/>
                      <w:sz w:val="18"/>
                      <w:szCs w:val="18"/>
                      <w:lang w:eastAsia="el-GR"/>
                    </w:rPr>
                  </w:pPr>
                  <w:r w:rsidRPr="00D17235">
                    <w:rPr>
                      <w:rFonts w:eastAsia="Times New Roman" w:cs="Calibri"/>
                      <w:b/>
                      <w:bCs/>
                      <w:color w:val="000000"/>
                      <w:sz w:val="18"/>
                      <w:szCs w:val="18"/>
                      <w:lang w:eastAsia="el-GR"/>
                    </w:rPr>
                    <w:t>Αποτέλεσμα ΓΚ κατά ESA</w:t>
                  </w:r>
                </w:p>
              </w:tc>
              <w:tc>
                <w:tcPr>
                  <w:tcW w:w="869" w:type="dxa"/>
                  <w:tcBorders>
                    <w:top w:val="nil"/>
                    <w:left w:val="nil"/>
                    <w:bottom w:val="nil"/>
                    <w:right w:val="nil"/>
                  </w:tcBorders>
                  <w:shd w:val="clear" w:color="000000" w:fill="F2F2F2"/>
                  <w:noWrap/>
                  <w:vAlign w:val="center"/>
                  <w:hideMark/>
                </w:tcPr>
                <w:p w14:paraId="62C05B31" w14:textId="77777777" w:rsidR="00D17235" w:rsidRPr="00416466" w:rsidRDefault="00D17235" w:rsidP="00D17235">
                  <w:pPr>
                    <w:spacing w:after="0" w:line="240" w:lineRule="auto"/>
                    <w:jc w:val="center"/>
                    <w:rPr>
                      <w:rFonts w:eastAsia="Times New Roman" w:cs="Calibri"/>
                      <w:b/>
                      <w:bCs/>
                      <w:color w:val="000000"/>
                      <w:sz w:val="18"/>
                      <w:szCs w:val="18"/>
                      <w:lang w:eastAsia="el-GR"/>
                    </w:rPr>
                  </w:pPr>
                  <w:r w:rsidRPr="00416466">
                    <w:rPr>
                      <w:rFonts w:eastAsia="Times New Roman" w:cs="Calibri"/>
                      <w:b/>
                      <w:bCs/>
                      <w:color w:val="000000"/>
                      <w:sz w:val="18"/>
                      <w:szCs w:val="18"/>
                      <w:lang w:eastAsia="el-GR"/>
                    </w:rPr>
                    <w:t>853</w:t>
                  </w:r>
                </w:p>
              </w:tc>
              <w:tc>
                <w:tcPr>
                  <w:tcW w:w="1145" w:type="dxa"/>
                  <w:tcBorders>
                    <w:top w:val="nil"/>
                    <w:left w:val="nil"/>
                    <w:bottom w:val="nil"/>
                    <w:right w:val="nil"/>
                  </w:tcBorders>
                  <w:shd w:val="clear" w:color="000000" w:fill="F2F2F2"/>
                  <w:noWrap/>
                  <w:vAlign w:val="center"/>
                  <w:hideMark/>
                </w:tcPr>
                <w:p w14:paraId="08775121" w14:textId="77777777" w:rsidR="00D17235" w:rsidRPr="00416466" w:rsidRDefault="00D17235" w:rsidP="00D17235">
                  <w:pPr>
                    <w:spacing w:after="0" w:line="240" w:lineRule="auto"/>
                    <w:jc w:val="center"/>
                    <w:rPr>
                      <w:rFonts w:eastAsia="Times New Roman" w:cs="Calibri"/>
                      <w:b/>
                      <w:bCs/>
                      <w:color w:val="000000"/>
                      <w:sz w:val="18"/>
                      <w:szCs w:val="18"/>
                      <w:lang w:eastAsia="el-GR"/>
                    </w:rPr>
                  </w:pPr>
                  <w:r w:rsidRPr="00416466">
                    <w:rPr>
                      <w:rFonts w:eastAsia="Times New Roman" w:cs="Calibri"/>
                      <w:b/>
                      <w:bCs/>
                      <w:color w:val="000000"/>
                      <w:sz w:val="18"/>
                      <w:szCs w:val="18"/>
                      <w:lang w:eastAsia="el-GR"/>
                    </w:rPr>
                    <w:t>1.290</w:t>
                  </w:r>
                </w:p>
              </w:tc>
              <w:tc>
                <w:tcPr>
                  <w:tcW w:w="1242" w:type="dxa"/>
                  <w:tcBorders>
                    <w:top w:val="nil"/>
                    <w:left w:val="nil"/>
                    <w:bottom w:val="nil"/>
                    <w:right w:val="nil"/>
                  </w:tcBorders>
                  <w:shd w:val="clear" w:color="000000" w:fill="F2F2F2"/>
                  <w:noWrap/>
                  <w:vAlign w:val="center"/>
                  <w:hideMark/>
                </w:tcPr>
                <w:p w14:paraId="647008CC" w14:textId="77777777" w:rsidR="00D17235" w:rsidRPr="00416466" w:rsidRDefault="00D17235" w:rsidP="00D17235">
                  <w:pPr>
                    <w:spacing w:after="0" w:line="240" w:lineRule="auto"/>
                    <w:jc w:val="center"/>
                    <w:rPr>
                      <w:rFonts w:eastAsia="Times New Roman" w:cs="Calibri"/>
                      <w:b/>
                      <w:bCs/>
                      <w:color w:val="000000"/>
                      <w:sz w:val="18"/>
                      <w:szCs w:val="18"/>
                      <w:lang w:eastAsia="el-GR"/>
                    </w:rPr>
                  </w:pPr>
                  <w:r w:rsidRPr="00416466">
                    <w:rPr>
                      <w:rFonts w:eastAsia="Times New Roman" w:cs="Calibri"/>
                      <w:b/>
                      <w:bCs/>
                      <w:color w:val="000000"/>
                      <w:sz w:val="18"/>
                      <w:szCs w:val="18"/>
                      <w:lang w:eastAsia="el-GR"/>
                    </w:rPr>
                    <w:t>1.835</w:t>
                  </w:r>
                </w:p>
              </w:tc>
              <w:tc>
                <w:tcPr>
                  <w:tcW w:w="1123" w:type="dxa"/>
                  <w:tcBorders>
                    <w:top w:val="nil"/>
                    <w:left w:val="nil"/>
                    <w:bottom w:val="nil"/>
                    <w:right w:val="nil"/>
                  </w:tcBorders>
                  <w:shd w:val="clear" w:color="000000" w:fill="F2F2F2"/>
                  <w:noWrap/>
                  <w:vAlign w:val="center"/>
                  <w:hideMark/>
                </w:tcPr>
                <w:p w14:paraId="390E6196" w14:textId="77777777" w:rsidR="00D17235" w:rsidRPr="00416466" w:rsidRDefault="00D17235" w:rsidP="00D17235">
                  <w:pPr>
                    <w:spacing w:after="0" w:line="240" w:lineRule="auto"/>
                    <w:jc w:val="center"/>
                    <w:rPr>
                      <w:rFonts w:eastAsia="Times New Roman" w:cs="Calibri"/>
                      <w:b/>
                      <w:bCs/>
                      <w:color w:val="000000"/>
                      <w:sz w:val="18"/>
                      <w:szCs w:val="18"/>
                      <w:lang w:eastAsia="el-GR"/>
                    </w:rPr>
                  </w:pPr>
                  <w:r w:rsidRPr="00416466">
                    <w:rPr>
                      <w:rFonts w:eastAsia="Times New Roman" w:cs="Calibri"/>
                      <w:b/>
                      <w:bCs/>
                      <w:color w:val="000000"/>
                      <w:sz w:val="18"/>
                      <w:szCs w:val="18"/>
                      <w:lang w:eastAsia="el-GR"/>
                    </w:rPr>
                    <w:t>2.745</w:t>
                  </w:r>
                </w:p>
              </w:tc>
              <w:tc>
                <w:tcPr>
                  <w:tcW w:w="1225" w:type="dxa"/>
                  <w:tcBorders>
                    <w:top w:val="nil"/>
                    <w:left w:val="nil"/>
                    <w:bottom w:val="nil"/>
                    <w:right w:val="nil"/>
                  </w:tcBorders>
                  <w:shd w:val="clear" w:color="000000" w:fill="F2F2F2"/>
                  <w:noWrap/>
                  <w:vAlign w:val="center"/>
                  <w:hideMark/>
                </w:tcPr>
                <w:p w14:paraId="77C28B69" w14:textId="77777777" w:rsidR="00D17235" w:rsidRPr="00416466" w:rsidRDefault="00D17235" w:rsidP="00D17235">
                  <w:pPr>
                    <w:spacing w:after="0" w:line="240" w:lineRule="auto"/>
                    <w:jc w:val="center"/>
                    <w:rPr>
                      <w:rFonts w:eastAsia="Times New Roman" w:cs="Calibri"/>
                      <w:b/>
                      <w:bCs/>
                      <w:color w:val="000000"/>
                      <w:sz w:val="18"/>
                      <w:szCs w:val="18"/>
                      <w:lang w:eastAsia="el-GR"/>
                    </w:rPr>
                  </w:pPr>
                  <w:r w:rsidRPr="00416466">
                    <w:rPr>
                      <w:rFonts w:eastAsia="Times New Roman" w:cs="Calibri"/>
                      <w:b/>
                      <w:bCs/>
                      <w:color w:val="000000"/>
                      <w:sz w:val="18"/>
                      <w:szCs w:val="18"/>
                      <w:lang w:eastAsia="el-GR"/>
                    </w:rPr>
                    <w:t>-16.130</w:t>
                  </w:r>
                </w:p>
              </w:tc>
            </w:tr>
            <w:tr w:rsidR="00D17235" w:rsidRPr="00D17235" w14:paraId="00FD9C53" w14:textId="77777777" w:rsidTr="00D17235">
              <w:trPr>
                <w:trHeight w:val="277"/>
              </w:trPr>
              <w:tc>
                <w:tcPr>
                  <w:tcW w:w="2374" w:type="dxa"/>
                  <w:tcBorders>
                    <w:top w:val="nil"/>
                    <w:left w:val="nil"/>
                    <w:bottom w:val="single" w:sz="8" w:space="0" w:color="auto"/>
                    <w:right w:val="nil"/>
                  </w:tcBorders>
                  <w:shd w:val="clear" w:color="auto" w:fill="auto"/>
                  <w:noWrap/>
                  <w:vAlign w:val="center"/>
                  <w:hideMark/>
                </w:tcPr>
                <w:p w14:paraId="1294BC54" w14:textId="77777777" w:rsidR="00D17235" w:rsidRPr="00D17235" w:rsidRDefault="00D17235" w:rsidP="00D17235">
                  <w:pPr>
                    <w:spacing w:after="0" w:line="240" w:lineRule="auto"/>
                    <w:jc w:val="left"/>
                    <w:rPr>
                      <w:rFonts w:eastAsia="Times New Roman" w:cs="Calibri"/>
                      <w:color w:val="auto"/>
                      <w:sz w:val="18"/>
                      <w:szCs w:val="18"/>
                      <w:lang w:eastAsia="el-GR"/>
                    </w:rPr>
                  </w:pPr>
                  <w:r w:rsidRPr="00D17235">
                    <w:rPr>
                      <w:rFonts w:eastAsia="Times New Roman" w:cs="Calibri"/>
                      <w:color w:val="auto"/>
                      <w:sz w:val="18"/>
                      <w:szCs w:val="18"/>
                      <w:lang w:eastAsia="el-GR"/>
                    </w:rPr>
                    <w:t>ως ποσοστό του ΑΕΠ</w:t>
                  </w:r>
                </w:p>
              </w:tc>
              <w:tc>
                <w:tcPr>
                  <w:tcW w:w="869" w:type="dxa"/>
                  <w:tcBorders>
                    <w:top w:val="nil"/>
                    <w:left w:val="nil"/>
                    <w:bottom w:val="single" w:sz="8" w:space="0" w:color="auto"/>
                    <w:right w:val="nil"/>
                  </w:tcBorders>
                  <w:shd w:val="clear" w:color="auto" w:fill="auto"/>
                  <w:noWrap/>
                  <w:vAlign w:val="center"/>
                  <w:hideMark/>
                </w:tcPr>
                <w:p w14:paraId="6F099A2F" w14:textId="77777777" w:rsidR="00D17235" w:rsidRPr="00416466" w:rsidRDefault="00D17235" w:rsidP="00D17235">
                  <w:pPr>
                    <w:spacing w:after="0" w:line="240" w:lineRule="auto"/>
                    <w:jc w:val="center"/>
                    <w:rPr>
                      <w:rFonts w:eastAsia="Times New Roman" w:cs="Calibri"/>
                      <w:color w:val="auto"/>
                      <w:sz w:val="18"/>
                      <w:szCs w:val="18"/>
                      <w:lang w:eastAsia="el-GR"/>
                    </w:rPr>
                  </w:pPr>
                  <w:r w:rsidRPr="00416466">
                    <w:rPr>
                      <w:rFonts w:eastAsia="Times New Roman" w:cs="Calibri"/>
                      <w:color w:val="auto"/>
                      <w:sz w:val="18"/>
                      <w:szCs w:val="18"/>
                      <w:lang w:eastAsia="el-GR"/>
                    </w:rPr>
                    <w:t>0,5%</w:t>
                  </w:r>
                </w:p>
              </w:tc>
              <w:tc>
                <w:tcPr>
                  <w:tcW w:w="1145" w:type="dxa"/>
                  <w:tcBorders>
                    <w:top w:val="nil"/>
                    <w:left w:val="nil"/>
                    <w:bottom w:val="single" w:sz="8" w:space="0" w:color="auto"/>
                    <w:right w:val="nil"/>
                  </w:tcBorders>
                  <w:shd w:val="clear" w:color="auto" w:fill="auto"/>
                  <w:noWrap/>
                  <w:vAlign w:val="center"/>
                  <w:hideMark/>
                </w:tcPr>
                <w:p w14:paraId="5E6CFBB4" w14:textId="77777777" w:rsidR="00D17235" w:rsidRPr="00416466" w:rsidRDefault="00D17235" w:rsidP="00D17235">
                  <w:pPr>
                    <w:spacing w:after="0" w:line="240" w:lineRule="auto"/>
                    <w:jc w:val="center"/>
                    <w:rPr>
                      <w:rFonts w:eastAsia="Times New Roman" w:cs="Calibri"/>
                      <w:color w:val="auto"/>
                      <w:sz w:val="18"/>
                      <w:szCs w:val="18"/>
                      <w:lang w:eastAsia="el-GR"/>
                    </w:rPr>
                  </w:pPr>
                  <w:r w:rsidRPr="00416466">
                    <w:rPr>
                      <w:rFonts w:eastAsia="Times New Roman" w:cs="Calibri"/>
                      <w:color w:val="auto"/>
                      <w:sz w:val="18"/>
                      <w:szCs w:val="18"/>
                      <w:lang w:eastAsia="el-GR"/>
                    </w:rPr>
                    <w:t>0,7%</w:t>
                  </w:r>
                </w:p>
              </w:tc>
              <w:tc>
                <w:tcPr>
                  <w:tcW w:w="1242" w:type="dxa"/>
                  <w:tcBorders>
                    <w:top w:val="nil"/>
                    <w:left w:val="nil"/>
                    <w:bottom w:val="single" w:sz="8" w:space="0" w:color="auto"/>
                    <w:right w:val="nil"/>
                  </w:tcBorders>
                  <w:shd w:val="clear" w:color="auto" w:fill="auto"/>
                  <w:noWrap/>
                  <w:vAlign w:val="center"/>
                  <w:hideMark/>
                </w:tcPr>
                <w:p w14:paraId="16010155" w14:textId="77777777" w:rsidR="00D17235" w:rsidRPr="00416466" w:rsidRDefault="00D17235" w:rsidP="00D17235">
                  <w:pPr>
                    <w:spacing w:after="0" w:line="240" w:lineRule="auto"/>
                    <w:jc w:val="center"/>
                    <w:rPr>
                      <w:rFonts w:eastAsia="Times New Roman" w:cs="Calibri"/>
                      <w:color w:val="auto"/>
                      <w:sz w:val="18"/>
                      <w:szCs w:val="18"/>
                      <w:lang w:eastAsia="el-GR"/>
                    </w:rPr>
                  </w:pPr>
                  <w:r w:rsidRPr="00416466">
                    <w:rPr>
                      <w:rFonts w:eastAsia="Times New Roman" w:cs="Calibri"/>
                      <w:color w:val="auto"/>
                      <w:sz w:val="18"/>
                      <w:szCs w:val="18"/>
                      <w:lang w:eastAsia="el-GR"/>
                    </w:rPr>
                    <w:t>0,99%</w:t>
                  </w:r>
                </w:p>
              </w:tc>
              <w:tc>
                <w:tcPr>
                  <w:tcW w:w="1123" w:type="dxa"/>
                  <w:tcBorders>
                    <w:top w:val="nil"/>
                    <w:left w:val="nil"/>
                    <w:bottom w:val="single" w:sz="8" w:space="0" w:color="auto"/>
                    <w:right w:val="nil"/>
                  </w:tcBorders>
                  <w:shd w:val="clear" w:color="auto" w:fill="auto"/>
                  <w:noWrap/>
                  <w:vAlign w:val="center"/>
                  <w:hideMark/>
                </w:tcPr>
                <w:p w14:paraId="3F9CE4A8" w14:textId="77777777" w:rsidR="00D17235" w:rsidRPr="00416466" w:rsidRDefault="00D17235" w:rsidP="00D17235">
                  <w:pPr>
                    <w:spacing w:after="0" w:line="240" w:lineRule="auto"/>
                    <w:jc w:val="center"/>
                    <w:rPr>
                      <w:rFonts w:eastAsia="Times New Roman" w:cs="Calibri"/>
                      <w:color w:val="auto"/>
                      <w:sz w:val="18"/>
                      <w:szCs w:val="18"/>
                      <w:lang w:eastAsia="el-GR"/>
                    </w:rPr>
                  </w:pPr>
                  <w:r w:rsidRPr="00416466">
                    <w:rPr>
                      <w:rFonts w:eastAsia="Times New Roman" w:cs="Calibri"/>
                      <w:color w:val="auto"/>
                      <w:sz w:val="18"/>
                      <w:szCs w:val="18"/>
                      <w:lang w:eastAsia="el-GR"/>
                    </w:rPr>
                    <w:t>1,4%</w:t>
                  </w:r>
                </w:p>
              </w:tc>
              <w:tc>
                <w:tcPr>
                  <w:tcW w:w="1225" w:type="dxa"/>
                  <w:tcBorders>
                    <w:top w:val="nil"/>
                    <w:left w:val="nil"/>
                    <w:bottom w:val="single" w:sz="8" w:space="0" w:color="auto"/>
                    <w:right w:val="nil"/>
                  </w:tcBorders>
                  <w:shd w:val="clear" w:color="auto" w:fill="auto"/>
                  <w:noWrap/>
                  <w:vAlign w:val="center"/>
                  <w:hideMark/>
                </w:tcPr>
                <w:p w14:paraId="00FCE584" w14:textId="77777777" w:rsidR="00D17235" w:rsidRPr="00416466" w:rsidRDefault="00D17235" w:rsidP="00D17235">
                  <w:pPr>
                    <w:spacing w:after="0" w:line="240" w:lineRule="auto"/>
                    <w:jc w:val="center"/>
                    <w:rPr>
                      <w:rFonts w:eastAsia="Times New Roman" w:cs="Calibri"/>
                      <w:color w:val="auto"/>
                      <w:sz w:val="18"/>
                      <w:szCs w:val="18"/>
                      <w:lang w:eastAsia="el-GR"/>
                    </w:rPr>
                  </w:pPr>
                  <w:r w:rsidRPr="00416466">
                    <w:rPr>
                      <w:rFonts w:eastAsia="Times New Roman" w:cs="Calibri"/>
                      <w:color w:val="auto"/>
                      <w:sz w:val="18"/>
                      <w:szCs w:val="18"/>
                      <w:lang w:eastAsia="el-GR"/>
                    </w:rPr>
                    <w:t>-9,7%</w:t>
                  </w:r>
                </w:p>
              </w:tc>
            </w:tr>
            <w:tr w:rsidR="00D17235" w:rsidRPr="00D17235" w14:paraId="7839E1DA" w14:textId="77777777" w:rsidTr="00D17235">
              <w:trPr>
                <w:trHeight w:val="264"/>
              </w:trPr>
              <w:tc>
                <w:tcPr>
                  <w:tcW w:w="2374" w:type="dxa"/>
                  <w:tcBorders>
                    <w:top w:val="nil"/>
                    <w:left w:val="nil"/>
                    <w:bottom w:val="nil"/>
                    <w:right w:val="nil"/>
                  </w:tcBorders>
                  <w:shd w:val="clear" w:color="000000" w:fill="F2F2F2"/>
                  <w:noWrap/>
                  <w:vAlign w:val="center"/>
                  <w:hideMark/>
                </w:tcPr>
                <w:p w14:paraId="1C62C571" w14:textId="77777777" w:rsidR="00D17235" w:rsidRPr="00D17235" w:rsidRDefault="00D17235" w:rsidP="00D17235">
                  <w:pPr>
                    <w:spacing w:after="0" w:line="240" w:lineRule="auto"/>
                    <w:jc w:val="left"/>
                    <w:rPr>
                      <w:rFonts w:eastAsia="Times New Roman" w:cs="Calibri"/>
                      <w:b/>
                      <w:bCs/>
                      <w:color w:val="000000"/>
                      <w:sz w:val="18"/>
                      <w:szCs w:val="18"/>
                      <w:lang w:eastAsia="el-GR"/>
                    </w:rPr>
                  </w:pPr>
                  <w:r w:rsidRPr="00D17235">
                    <w:rPr>
                      <w:rFonts w:eastAsia="Times New Roman" w:cs="Calibri"/>
                      <w:b/>
                      <w:bCs/>
                      <w:color w:val="000000"/>
                      <w:sz w:val="18"/>
                      <w:szCs w:val="18"/>
                      <w:lang w:eastAsia="el-GR"/>
                    </w:rPr>
                    <w:t>Αποτέλεσμα ΓΚ Ταμειακά</w:t>
                  </w:r>
                </w:p>
              </w:tc>
              <w:tc>
                <w:tcPr>
                  <w:tcW w:w="869" w:type="dxa"/>
                  <w:tcBorders>
                    <w:top w:val="nil"/>
                    <w:left w:val="nil"/>
                    <w:bottom w:val="nil"/>
                    <w:right w:val="nil"/>
                  </w:tcBorders>
                  <w:shd w:val="clear" w:color="000000" w:fill="F2F2F2"/>
                  <w:noWrap/>
                  <w:vAlign w:val="center"/>
                  <w:hideMark/>
                </w:tcPr>
                <w:p w14:paraId="143D4240" w14:textId="77777777" w:rsidR="00D17235" w:rsidRPr="00416466" w:rsidRDefault="00D17235" w:rsidP="00D17235">
                  <w:pPr>
                    <w:spacing w:after="0" w:line="240" w:lineRule="auto"/>
                    <w:jc w:val="center"/>
                    <w:rPr>
                      <w:rFonts w:eastAsia="Times New Roman" w:cs="Calibri"/>
                      <w:b/>
                      <w:bCs/>
                      <w:color w:val="000000"/>
                      <w:sz w:val="18"/>
                      <w:szCs w:val="18"/>
                      <w:lang w:eastAsia="el-GR"/>
                    </w:rPr>
                  </w:pPr>
                  <w:r w:rsidRPr="00416466">
                    <w:rPr>
                      <w:rFonts w:eastAsia="Times New Roman" w:cs="Calibri"/>
                      <w:b/>
                      <w:bCs/>
                      <w:color w:val="000000"/>
                      <w:sz w:val="18"/>
                      <w:szCs w:val="18"/>
                      <w:lang w:eastAsia="el-GR"/>
                    </w:rPr>
                    <w:t>-429</w:t>
                  </w:r>
                </w:p>
              </w:tc>
              <w:tc>
                <w:tcPr>
                  <w:tcW w:w="1145" w:type="dxa"/>
                  <w:tcBorders>
                    <w:top w:val="nil"/>
                    <w:left w:val="nil"/>
                    <w:bottom w:val="nil"/>
                    <w:right w:val="nil"/>
                  </w:tcBorders>
                  <w:shd w:val="clear" w:color="000000" w:fill="F2F2F2"/>
                  <w:noWrap/>
                  <w:vAlign w:val="center"/>
                  <w:hideMark/>
                </w:tcPr>
                <w:p w14:paraId="0D23534D" w14:textId="77777777" w:rsidR="00D17235" w:rsidRPr="00416466" w:rsidRDefault="00D17235" w:rsidP="00D17235">
                  <w:pPr>
                    <w:spacing w:after="0" w:line="240" w:lineRule="auto"/>
                    <w:jc w:val="center"/>
                    <w:rPr>
                      <w:rFonts w:eastAsia="Times New Roman" w:cs="Calibri"/>
                      <w:b/>
                      <w:bCs/>
                      <w:color w:val="000000"/>
                      <w:sz w:val="18"/>
                      <w:szCs w:val="18"/>
                      <w:lang w:eastAsia="el-GR"/>
                    </w:rPr>
                  </w:pPr>
                  <w:r w:rsidRPr="00416466">
                    <w:rPr>
                      <w:rFonts w:eastAsia="Times New Roman" w:cs="Calibri"/>
                      <w:b/>
                      <w:bCs/>
                      <w:color w:val="000000"/>
                      <w:sz w:val="18"/>
                      <w:szCs w:val="18"/>
                      <w:lang w:eastAsia="el-GR"/>
                    </w:rPr>
                    <w:t>678</w:t>
                  </w:r>
                </w:p>
              </w:tc>
              <w:tc>
                <w:tcPr>
                  <w:tcW w:w="1242" w:type="dxa"/>
                  <w:tcBorders>
                    <w:top w:val="nil"/>
                    <w:left w:val="nil"/>
                    <w:bottom w:val="nil"/>
                    <w:right w:val="nil"/>
                  </w:tcBorders>
                  <w:shd w:val="clear" w:color="000000" w:fill="F2F2F2"/>
                  <w:noWrap/>
                  <w:vAlign w:val="center"/>
                  <w:hideMark/>
                </w:tcPr>
                <w:p w14:paraId="1F3F7C17" w14:textId="77777777" w:rsidR="00D17235" w:rsidRPr="00416466" w:rsidRDefault="00D17235" w:rsidP="00D17235">
                  <w:pPr>
                    <w:spacing w:after="0" w:line="240" w:lineRule="auto"/>
                    <w:jc w:val="center"/>
                    <w:rPr>
                      <w:rFonts w:eastAsia="Times New Roman" w:cs="Calibri"/>
                      <w:b/>
                      <w:bCs/>
                      <w:color w:val="000000"/>
                      <w:sz w:val="18"/>
                      <w:szCs w:val="18"/>
                      <w:lang w:eastAsia="el-GR"/>
                    </w:rPr>
                  </w:pPr>
                  <w:r w:rsidRPr="00416466">
                    <w:rPr>
                      <w:rFonts w:eastAsia="Times New Roman" w:cs="Calibri"/>
                      <w:b/>
                      <w:bCs/>
                      <w:color w:val="000000"/>
                      <w:sz w:val="18"/>
                      <w:szCs w:val="18"/>
                      <w:lang w:eastAsia="el-GR"/>
                    </w:rPr>
                    <w:t>895</w:t>
                  </w:r>
                </w:p>
              </w:tc>
              <w:tc>
                <w:tcPr>
                  <w:tcW w:w="1123" w:type="dxa"/>
                  <w:tcBorders>
                    <w:top w:val="nil"/>
                    <w:left w:val="nil"/>
                    <w:bottom w:val="nil"/>
                    <w:right w:val="nil"/>
                  </w:tcBorders>
                  <w:shd w:val="clear" w:color="000000" w:fill="F2F2F2"/>
                  <w:noWrap/>
                  <w:vAlign w:val="center"/>
                  <w:hideMark/>
                </w:tcPr>
                <w:p w14:paraId="618848A5" w14:textId="77777777" w:rsidR="00D17235" w:rsidRPr="00416466" w:rsidRDefault="00D17235" w:rsidP="00D17235">
                  <w:pPr>
                    <w:spacing w:after="0" w:line="240" w:lineRule="auto"/>
                    <w:jc w:val="center"/>
                    <w:rPr>
                      <w:rFonts w:eastAsia="Times New Roman" w:cs="Calibri"/>
                      <w:b/>
                      <w:bCs/>
                      <w:color w:val="000000"/>
                      <w:sz w:val="18"/>
                      <w:szCs w:val="18"/>
                      <w:lang w:eastAsia="el-GR"/>
                    </w:rPr>
                  </w:pPr>
                  <w:r w:rsidRPr="00416466">
                    <w:rPr>
                      <w:rFonts w:eastAsia="Times New Roman" w:cs="Calibri"/>
                      <w:b/>
                      <w:bCs/>
                      <w:color w:val="000000"/>
                      <w:sz w:val="18"/>
                      <w:szCs w:val="18"/>
                      <w:lang w:eastAsia="el-GR"/>
                    </w:rPr>
                    <w:t>4.890</w:t>
                  </w:r>
                </w:p>
              </w:tc>
              <w:tc>
                <w:tcPr>
                  <w:tcW w:w="1225" w:type="dxa"/>
                  <w:tcBorders>
                    <w:top w:val="nil"/>
                    <w:left w:val="nil"/>
                    <w:bottom w:val="nil"/>
                    <w:right w:val="nil"/>
                  </w:tcBorders>
                  <w:shd w:val="clear" w:color="000000" w:fill="F2F2F2"/>
                  <w:noWrap/>
                  <w:vAlign w:val="center"/>
                  <w:hideMark/>
                </w:tcPr>
                <w:p w14:paraId="4457D2AC" w14:textId="77777777" w:rsidR="00D17235" w:rsidRPr="00416466" w:rsidRDefault="00D17235" w:rsidP="00D17235">
                  <w:pPr>
                    <w:spacing w:after="0" w:line="240" w:lineRule="auto"/>
                    <w:jc w:val="center"/>
                    <w:rPr>
                      <w:rFonts w:eastAsia="Times New Roman" w:cs="Calibri"/>
                      <w:b/>
                      <w:bCs/>
                      <w:color w:val="000000"/>
                      <w:sz w:val="18"/>
                      <w:szCs w:val="18"/>
                      <w:lang w:eastAsia="el-GR"/>
                    </w:rPr>
                  </w:pPr>
                  <w:r w:rsidRPr="00416466">
                    <w:rPr>
                      <w:rFonts w:eastAsia="Times New Roman" w:cs="Calibri"/>
                      <w:b/>
                      <w:bCs/>
                      <w:color w:val="000000"/>
                      <w:sz w:val="18"/>
                      <w:szCs w:val="18"/>
                      <w:lang w:eastAsia="el-GR"/>
                    </w:rPr>
                    <w:t>-16.528</w:t>
                  </w:r>
                </w:p>
              </w:tc>
            </w:tr>
            <w:tr w:rsidR="00D17235" w:rsidRPr="00D17235" w14:paraId="3322D8FB" w14:textId="77777777" w:rsidTr="00D17235">
              <w:trPr>
                <w:trHeight w:val="277"/>
              </w:trPr>
              <w:tc>
                <w:tcPr>
                  <w:tcW w:w="2374" w:type="dxa"/>
                  <w:tcBorders>
                    <w:top w:val="nil"/>
                    <w:left w:val="nil"/>
                    <w:bottom w:val="single" w:sz="8" w:space="0" w:color="auto"/>
                    <w:right w:val="nil"/>
                  </w:tcBorders>
                  <w:shd w:val="clear" w:color="auto" w:fill="auto"/>
                  <w:noWrap/>
                  <w:vAlign w:val="center"/>
                  <w:hideMark/>
                </w:tcPr>
                <w:p w14:paraId="5F9A7270" w14:textId="77777777" w:rsidR="00D17235" w:rsidRPr="00D17235" w:rsidRDefault="00D17235" w:rsidP="00D17235">
                  <w:pPr>
                    <w:spacing w:after="0" w:line="240" w:lineRule="auto"/>
                    <w:jc w:val="left"/>
                    <w:rPr>
                      <w:rFonts w:eastAsia="Times New Roman" w:cs="Calibri"/>
                      <w:color w:val="auto"/>
                      <w:sz w:val="18"/>
                      <w:szCs w:val="18"/>
                      <w:lang w:eastAsia="el-GR"/>
                    </w:rPr>
                  </w:pPr>
                  <w:r w:rsidRPr="00D17235">
                    <w:rPr>
                      <w:rFonts w:eastAsia="Times New Roman" w:cs="Calibri"/>
                      <w:color w:val="auto"/>
                      <w:sz w:val="18"/>
                      <w:szCs w:val="18"/>
                      <w:lang w:eastAsia="el-GR"/>
                    </w:rPr>
                    <w:t>ως ποσοστό του ΑΕΠ</w:t>
                  </w:r>
                </w:p>
              </w:tc>
              <w:tc>
                <w:tcPr>
                  <w:tcW w:w="869" w:type="dxa"/>
                  <w:tcBorders>
                    <w:top w:val="nil"/>
                    <w:left w:val="nil"/>
                    <w:bottom w:val="single" w:sz="8" w:space="0" w:color="auto"/>
                    <w:right w:val="nil"/>
                  </w:tcBorders>
                  <w:shd w:val="clear" w:color="auto" w:fill="auto"/>
                  <w:noWrap/>
                  <w:vAlign w:val="center"/>
                  <w:hideMark/>
                </w:tcPr>
                <w:p w14:paraId="43251179" w14:textId="77777777" w:rsidR="00D17235" w:rsidRPr="00416466" w:rsidRDefault="00D17235" w:rsidP="00D17235">
                  <w:pPr>
                    <w:spacing w:after="0" w:line="240" w:lineRule="auto"/>
                    <w:jc w:val="center"/>
                    <w:rPr>
                      <w:rFonts w:eastAsia="Times New Roman" w:cs="Calibri"/>
                      <w:color w:val="auto"/>
                      <w:sz w:val="18"/>
                      <w:szCs w:val="18"/>
                      <w:lang w:eastAsia="el-GR"/>
                    </w:rPr>
                  </w:pPr>
                  <w:r w:rsidRPr="00416466">
                    <w:rPr>
                      <w:rFonts w:eastAsia="Times New Roman" w:cs="Calibri"/>
                      <w:color w:val="auto"/>
                      <w:sz w:val="18"/>
                      <w:szCs w:val="18"/>
                      <w:lang w:eastAsia="el-GR"/>
                    </w:rPr>
                    <w:t>-0,2%</w:t>
                  </w:r>
                </w:p>
              </w:tc>
              <w:tc>
                <w:tcPr>
                  <w:tcW w:w="1145" w:type="dxa"/>
                  <w:tcBorders>
                    <w:top w:val="nil"/>
                    <w:left w:val="nil"/>
                    <w:bottom w:val="single" w:sz="8" w:space="0" w:color="auto"/>
                    <w:right w:val="nil"/>
                  </w:tcBorders>
                  <w:shd w:val="clear" w:color="auto" w:fill="auto"/>
                  <w:noWrap/>
                  <w:vAlign w:val="center"/>
                  <w:hideMark/>
                </w:tcPr>
                <w:p w14:paraId="001C202F" w14:textId="77777777" w:rsidR="00D17235" w:rsidRPr="00416466" w:rsidRDefault="00D17235" w:rsidP="00D17235">
                  <w:pPr>
                    <w:spacing w:after="0" w:line="240" w:lineRule="auto"/>
                    <w:jc w:val="center"/>
                    <w:rPr>
                      <w:rFonts w:eastAsia="Times New Roman" w:cs="Calibri"/>
                      <w:color w:val="auto"/>
                      <w:sz w:val="18"/>
                      <w:szCs w:val="18"/>
                      <w:lang w:eastAsia="el-GR"/>
                    </w:rPr>
                  </w:pPr>
                  <w:r w:rsidRPr="00416466">
                    <w:rPr>
                      <w:rFonts w:eastAsia="Times New Roman" w:cs="Calibri"/>
                      <w:color w:val="auto"/>
                      <w:sz w:val="18"/>
                      <w:szCs w:val="18"/>
                      <w:lang w:eastAsia="el-GR"/>
                    </w:rPr>
                    <w:t>0,4%</w:t>
                  </w:r>
                </w:p>
              </w:tc>
              <w:tc>
                <w:tcPr>
                  <w:tcW w:w="1242" w:type="dxa"/>
                  <w:tcBorders>
                    <w:top w:val="nil"/>
                    <w:left w:val="nil"/>
                    <w:bottom w:val="single" w:sz="8" w:space="0" w:color="auto"/>
                    <w:right w:val="nil"/>
                  </w:tcBorders>
                  <w:shd w:val="clear" w:color="auto" w:fill="auto"/>
                  <w:noWrap/>
                  <w:vAlign w:val="center"/>
                  <w:hideMark/>
                </w:tcPr>
                <w:p w14:paraId="520B5AA7" w14:textId="77777777" w:rsidR="00D17235" w:rsidRPr="00416466" w:rsidRDefault="00D17235" w:rsidP="00D17235">
                  <w:pPr>
                    <w:spacing w:after="0" w:line="240" w:lineRule="auto"/>
                    <w:jc w:val="center"/>
                    <w:rPr>
                      <w:rFonts w:eastAsia="Times New Roman" w:cs="Calibri"/>
                      <w:color w:val="auto"/>
                      <w:sz w:val="18"/>
                      <w:szCs w:val="18"/>
                      <w:lang w:eastAsia="el-GR"/>
                    </w:rPr>
                  </w:pPr>
                  <w:r w:rsidRPr="00416466">
                    <w:rPr>
                      <w:rFonts w:eastAsia="Times New Roman" w:cs="Calibri"/>
                      <w:color w:val="auto"/>
                      <w:sz w:val="18"/>
                      <w:szCs w:val="18"/>
                      <w:lang w:eastAsia="el-GR"/>
                    </w:rPr>
                    <w:t>0,5%</w:t>
                  </w:r>
                </w:p>
              </w:tc>
              <w:tc>
                <w:tcPr>
                  <w:tcW w:w="1123" w:type="dxa"/>
                  <w:tcBorders>
                    <w:top w:val="nil"/>
                    <w:left w:val="nil"/>
                    <w:bottom w:val="single" w:sz="8" w:space="0" w:color="auto"/>
                    <w:right w:val="nil"/>
                  </w:tcBorders>
                  <w:shd w:val="clear" w:color="auto" w:fill="auto"/>
                  <w:noWrap/>
                  <w:vAlign w:val="center"/>
                  <w:hideMark/>
                </w:tcPr>
                <w:p w14:paraId="18A19FA0" w14:textId="77777777" w:rsidR="00D17235" w:rsidRPr="00416466" w:rsidRDefault="00D17235" w:rsidP="00D17235">
                  <w:pPr>
                    <w:spacing w:after="0" w:line="240" w:lineRule="auto"/>
                    <w:jc w:val="center"/>
                    <w:rPr>
                      <w:rFonts w:eastAsia="Times New Roman" w:cs="Calibri"/>
                      <w:color w:val="auto"/>
                      <w:sz w:val="18"/>
                      <w:szCs w:val="18"/>
                      <w:lang w:eastAsia="el-GR"/>
                    </w:rPr>
                  </w:pPr>
                  <w:r w:rsidRPr="00416466">
                    <w:rPr>
                      <w:rFonts w:eastAsia="Times New Roman" w:cs="Calibri"/>
                      <w:color w:val="auto"/>
                      <w:sz w:val="18"/>
                      <w:szCs w:val="18"/>
                      <w:lang w:eastAsia="el-GR"/>
                    </w:rPr>
                    <w:t>2,6%</w:t>
                  </w:r>
                </w:p>
              </w:tc>
              <w:tc>
                <w:tcPr>
                  <w:tcW w:w="1225" w:type="dxa"/>
                  <w:tcBorders>
                    <w:top w:val="nil"/>
                    <w:left w:val="nil"/>
                    <w:bottom w:val="single" w:sz="8" w:space="0" w:color="auto"/>
                    <w:right w:val="nil"/>
                  </w:tcBorders>
                  <w:shd w:val="clear" w:color="auto" w:fill="auto"/>
                  <w:noWrap/>
                  <w:vAlign w:val="center"/>
                  <w:hideMark/>
                </w:tcPr>
                <w:p w14:paraId="0B756EA8" w14:textId="77777777" w:rsidR="00D17235" w:rsidRPr="00416466" w:rsidRDefault="00D17235" w:rsidP="00D17235">
                  <w:pPr>
                    <w:spacing w:after="0" w:line="240" w:lineRule="auto"/>
                    <w:jc w:val="center"/>
                    <w:rPr>
                      <w:rFonts w:eastAsia="Times New Roman" w:cs="Calibri"/>
                      <w:color w:val="auto"/>
                      <w:sz w:val="18"/>
                      <w:szCs w:val="18"/>
                      <w:lang w:eastAsia="el-GR"/>
                    </w:rPr>
                  </w:pPr>
                  <w:r w:rsidRPr="00416466">
                    <w:rPr>
                      <w:rFonts w:eastAsia="Times New Roman" w:cs="Calibri"/>
                      <w:color w:val="auto"/>
                      <w:sz w:val="18"/>
                      <w:szCs w:val="18"/>
                      <w:lang w:eastAsia="el-GR"/>
                    </w:rPr>
                    <w:t>-9,9%</w:t>
                  </w:r>
                </w:p>
              </w:tc>
            </w:tr>
            <w:tr w:rsidR="00D17235" w:rsidRPr="00D17235" w14:paraId="74188583" w14:textId="77777777" w:rsidTr="00D17235">
              <w:trPr>
                <w:trHeight w:val="264"/>
              </w:trPr>
              <w:tc>
                <w:tcPr>
                  <w:tcW w:w="2374" w:type="dxa"/>
                  <w:tcBorders>
                    <w:top w:val="nil"/>
                    <w:left w:val="nil"/>
                    <w:bottom w:val="nil"/>
                    <w:right w:val="nil"/>
                  </w:tcBorders>
                  <w:shd w:val="clear" w:color="auto" w:fill="auto"/>
                  <w:noWrap/>
                  <w:vAlign w:val="center"/>
                  <w:hideMark/>
                </w:tcPr>
                <w:p w14:paraId="5AEAE6A1" w14:textId="77777777" w:rsidR="00D17235" w:rsidRPr="00D17235" w:rsidRDefault="00D17235" w:rsidP="00D17235">
                  <w:pPr>
                    <w:spacing w:after="0" w:line="240" w:lineRule="auto"/>
                    <w:jc w:val="left"/>
                    <w:rPr>
                      <w:rFonts w:eastAsia="Times New Roman" w:cs="Calibri"/>
                      <w:color w:val="auto"/>
                      <w:sz w:val="18"/>
                      <w:szCs w:val="18"/>
                      <w:lang w:eastAsia="el-GR"/>
                    </w:rPr>
                  </w:pPr>
                  <w:r w:rsidRPr="00D17235">
                    <w:rPr>
                      <w:rFonts w:eastAsia="Times New Roman" w:cs="Calibri"/>
                      <w:color w:val="auto"/>
                      <w:sz w:val="18"/>
                      <w:szCs w:val="18"/>
                      <w:lang w:eastAsia="el-GR"/>
                    </w:rPr>
                    <w:t>Τόκοι δεδουλευμένοι</w:t>
                  </w:r>
                </w:p>
              </w:tc>
              <w:tc>
                <w:tcPr>
                  <w:tcW w:w="869" w:type="dxa"/>
                  <w:tcBorders>
                    <w:top w:val="nil"/>
                    <w:left w:val="nil"/>
                    <w:bottom w:val="nil"/>
                    <w:right w:val="nil"/>
                  </w:tcBorders>
                  <w:shd w:val="clear" w:color="auto" w:fill="auto"/>
                  <w:noWrap/>
                  <w:vAlign w:val="center"/>
                  <w:hideMark/>
                </w:tcPr>
                <w:p w14:paraId="009E9957" w14:textId="77777777" w:rsidR="00D17235" w:rsidRPr="00416466" w:rsidRDefault="00D17235" w:rsidP="00D17235">
                  <w:pPr>
                    <w:spacing w:after="0" w:line="240" w:lineRule="auto"/>
                    <w:jc w:val="center"/>
                    <w:rPr>
                      <w:rFonts w:eastAsia="Times New Roman" w:cs="Calibri"/>
                      <w:color w:val="auto"/>
                      <w:sz w:val="18"/>
                      <w:szCs w:val="18"/>
                      <w:lang w:eastAsia="el-GR"/>
                    </w:rPr>
                  </w:pPr>
                  <w:r w:rsidRPr="00416466">
                    <w:rPr>
                      <w:rFonts w:eastAsia="Times New Roman" w:cs="Calibri"/>
                      <w:color w:val="auto"/>
                      <w:sz w:val="18"/>
                      <w:szCs w:val="18"/>
                      <w:lang w:eastAsia="el-GR"/>
                    </w:rPr>
                    <w:t>5.612</w:t>
                  </w:r>
                </w:p>
              </w:tc>
              <w:tc>
                <w:tcPr>
                  <w:tcW w:w="1145" w:type="dxa"/>
                  <w:tcBorders>
                    <w:top w:val="nil"/>
                    <w:left w:val="nil"/>
                    <w:bottom w:val="nil"/>
                    <w:right w:val="nil"/>
                  </w:tcBorders>
                  <w:shd w:val="clear" w:color="auto" w:fill="auto"/>
                  <w:noWrap/>
                  <w:vAlign w:val="center"/>
                  <w:hideMark/>
                </w:tcPr>
                <w:p w14:paraId="5F6D52D4" w14:textId="77777777" w:rsidR="00D17235" w:rsidRPr="00416466" w:rsidRDefault="00D17235" w:rsidP="00D17235">
                  <w:pPr>
                    <w:spacing w:after="0" w:line="240" w:lineRule="auto"/>
                    <w:jc w:val="center"/>
                    <w:rPr>
                      <w:rFonts w:eastAsia="Times New Roman" w:cs="Calibri"/>
                      <w:color w:val="auto"/>
                      <w:sz w:val="18"/>
                      <w:szCs w:val="18"/>
                      <w:lang w:eastAsia="el-GR"/>
                    </w:rPr>
                  </w:pPr>
                  <w:r w:rsidRPr="00416466">
                    <w:rPr>
                      <w:rFonts w:eastAsia="Times New Roman" w:cs="Calibri"/>
                      <w:color w:val="auto"/>
                      <w:sz w:val="18"/>
                      <w:szCs w:val="18"/>
                      <w:lang w:eastAsia="el-GR"/>
                    </w:rPr>
                    <w:t>5.566</w:t>
                  </w:r>
                </w:p>
              </w:tc>
              <w:tc>
                <w:tcPr>
                  <w:tcW w:w="1242" w:type="dxa"/>
                  <w:tcBorders>
                    <w:top w:val="nil"/>
                    <w:left w:val="nil"/>
                    <w:bottom w:val="nil"/>
                    <w:right w:val="nil"/>
                  </w:tcBorders>
                  <w:shd w:val="clear" w:color="auto" w:fill="auto"/>
                  <w:noWrap/>
                  <w:vAlign w:val="center"/>
                  <w:hideMark/>
                </w:tcPr>
                <w:p w14:paraId="000F8003" w14:textId="77777777" w:rsidR="00D17235" w:rsidRPr="00416466" w:rsidRDefault="00D17235" w:rsidP="00D17235">
                  <w:pPr>
                    <w:spacing w:after="0" w:line="240" w:lineRule="auto"/>
                    <w:jc w:val="center"/>
                    <w:rPr>
                      <w:rFonts w:eastAsia="Times New Roman" w:cs="Calibri"/>
                      <w:color w:val="auto"/>
                      <w:sz w:val="18"/>
                      <w:szCs w:val="18"/>
                      <w:lang w:eastAsia="el-GR"/>
                    </w:rPr>
                  </w:pPr>
                  <w:r w:rsidRPr="00416466">
                    <w:rPr>
                      <w:rFonts w:eastAsia="Times New Roman" w:cs="Calibri"/>
                      <w:color w:val="auto"/>
                      <w:sz w:val="18"/>
                      <w:szCs w:val="18"/>
                      <w:lang w:eastAsia="el-GR"/>
                    </w:rPr>
                    <w:t>6.078</w:t>
                  </w:r>
                </w:p>
              </w:tc>
              <w:tc>
                <w:tcPr>
                  <w:tcW w:w="1123" w:type="dxa"/>
                  <w:tcBorders>
                    <w:top w:val="nil"/>
                    <w:left w:val="nil"/>
                    <w:bottom w:val="nil"/>
                    <w:right w:val="nil"/>
                  </w:tcBorders>
                  <w:shd w:val="clear" w:color="auto" w:fill="auto"/>
                  <w:noWrap/>
                  <w:vAlign w:val="center"/>
                  <w:hideMark/>
                </w:tcPr>
                <w:p w14:paraId="6DAEAEBB" w14:textId="77777777" w:rsidR="00D17235" w:rsidRPr="00416466" w:rsidRDefault="00D17235" w:rsidP="00D17235">
                  <w:pPr>
                    <w:spacing w:after="0" w:line="240" w:lineRule="auto"/>
                    <w:jc w:val="center"/>
                    <w:rPr>
                      <w:rFonts w:eastAsia="Times New Roman" w:cs="Calibri"/>
                      <w:color w:val="auto"/>
                      <w:sz w:val="18"/>
                      <w:szCs w:val="18"/>
                      <w:lang w:eastAsia="el-GR"/>
                    </w:rPr>
                  </w:pPr>
                  <w:r w:rsidRPr="00416466">
                    <w:rPr>
                      <w:rFonts w:eastAsia="Times New Roman" w:cs="Calibri"/>
                      <w:color w:val="auto"/>
                      <w:sz w:val="18"/>
                      <w:szCs w:val="18"/>
                      <w:lang w:eastAsia="el-GR"/>
                    </w:rPr>
                    <w:t>5.505</w:t>
                  </w:r>
                </w:p>
              </w:tc>
              <w:tc>
                <w:tcPr>
                  <w:tcW w:w="1225" w:type="dxa"/>
                  <w:tcBorders>
                    <w:top w:val="nil"/>
                    <w:left w:val="nil"/>
                    <w:bottom w:val="nil"/>
                    <w:right w:val="nil"/>
                  </w:tcBorders>
                  <w:shd w:val="clear" w:color="auto" w:fill="auto"/>
                  <w:noWrap/>
                  <w:vAlign w:val="center"/>
                  <w:hideMark/>
                </w:tcPr>
                <w:p w14:paraId="61722C40" w14:textId="77777777" w:rsidR="00D17235" w:rsidRPr="00416466" w:rsidRDefault="00D17235" w:rsidP="00D17235">
                  <w:pPr>
                    <w:spacing w:after="0" w:line="240" w:lineRule="auto"/>
                    <w:jc w:val="center"/>
                    <w:rPr>
                      <w:rFonts w:eastAsia="Times New Roman" w:cs="Calibri"/>
                      <w:color w:val="auto"/>
                      <w:sz w:val="18"/>
                      <w:szCs w:val="18"/>
                      <w:lang w:eastAsia="el-GR"/>
                    </w:rPr>
                  </w:pPr>
                  <w:r w:rsidRPr="00416466">
                    <w:rPr>
                      <w:rFonts w:eastAsia="Times New Roman" w:cs="Calibri"/>
                      <w:color w:val="auto"/>
                      <w:sz w:val="18"/>
                      <w:szCs w:val="18"/>
                      <w:lang w:eastAsia="el-GR"/>
                    </w:rPr>
                    <w:t>4.945</w:t>
                  </w:r>
                </w:p>
              </w:tc>
            </w:tr>
            <w:tr w:rsidR="00D17235" w:rsidRPr="00D17235" w14:paraId="40B24598" w14:textId="77777777" w:rsidTr="00D17235">
              <w:trPr>
                <w:trHeight w:val="277"/>
              </w:trPr>
              <w:tc>
                <w:tcPr>
                  <w:tcW w:w="2374" w:type="dxa"/>
                  <w:tcBorders>
                    <w:top w:val="nil"/>
                    <w:left w:val="nil"/>
                    <w:bottom w:val="single" w:sz="8" w:space="0" w:color="auto"/>
                    <w:right w:val="nil"/>
                  </w:tcBorders>
                  <w:shd w:val="clear" w:color="auto" w:fill="auto"/>
                  <w:noWrap/>
                  <w:vAlign w:val="center"/>
                  <w:hideMark/>
                </w:tcPr>
                <w:p w14:paraId="6BC6F2DD" w14:textId="77777777" w:rsidR="00D17235" w:rsidRPr="00D17235" w:rsidRDefault="00D17235" w:rsidP="00D17235">
                  <w:pPr>
                    <w:spacing w:after="0" w:line="240" w:lineRule="auto"/>
                    <w:jc w:val="left"/>
                    <w:rPr>
                      <w:rFonts w:eastAsia="Times New Roman" w:cs="Calibri"/>
                      <w:i/>
                      <w:iCs/>
                      <w:color w:val="auto"/>
                      <w:sz w:val="18"/>
                      <w:szCs w:val="18"/>
                      <w:lang w:eastAsia="el-GR"/>
                    </w:rPr>
                  </w:pPr>
                  <w:r w:rsidRPr="00D17235">
                    <w:rPr>
                      <w:rFonts w:eastAsia="Times New Roman" w:cs="Calibri"/>
                      <w:i/>
                      <w:iCs/>
                      <w:color w:val="auto"/>
                      <w:sz w:val="18"/>
                      <w:szCs w:val="18"/>
                      <w:lang w:eastAsia="el-GR"/>
                    </w:rPr>
                    <w:t>Τόκοι πληρωθέντες</w:t>
                  </w:r>
                </w:p>
              </w:tc>
              <w:tc>
                <w:tcPr>
                  <w:tcW w:w="869" w:type="dxa"/>
                  <w:tcBorders>
                    <w:top w:val="nil"/>
                    <w:left w:val="nil"/>
                    <w:bottom w:val="single" w:sz="8" w:space="0" w:color="auto"/>
                    <w:right w:val="nil"/>
                  </w:tcBorders>
                  <w:shd w:val="clear" w:color="auto" w:fill="auto"/>
                  <w:noWrap/>
                  <w:vAlign w:val="center"/>
                  <w:hideMark/>
                </w:tcPr>
                <w:p w14:paraId="4A60074A" w14:textId="77777777" w:rsidR="00D17235" w:rsidRPr="00416466" w:rsidRDefault="00D17235" w:rsidP="00D17235">
                  <w:pPr>
                    <w:spacing w:after="0" w:line="240" w:lineRule="auto"/>
                    <w:jc w:val="center"/>
                    <w:rPr>
                      <w:rFonts w:eastAsia="Times New Roman" w:cs="Calibri"/>
                      <w:color w:val="auto"/>
                      <w:sz w:val="18"/>
                      <w:szCs w:val="18"/>
                      <w:lang w:eastAsia="el-GR"/>
                    </w:rPr>
                  </w:pPr>
                  <w:r w:rsidRPr="00416466">
                    <w:rPr>
                      <w:rFonts w:eastAsia="Times New Roman" w:cs="Calibri"/>
                      <w:color w:val="auto"/>
                      <w:sz w:val="18"/>
                      <w:szCs w:val="18"/>
                      <w:lang w:eastAsia="el-GR"/>
                    </w:rPr>
                    <w:t>5.260</w:t>
                  </w:r>
                </w:p>
              </w:tc>
              <w:tc>
                <w:tcPr>
                  <w:tcW w:w="1145" w:type="dxa"/>
                  <w:tcBorders>
                    <w:top w:val="nil"/>
                    <w:left w:val="nil"/>
                    <w:bottom w:val="single" w:sz="8" w:space="0" w:color="auto"/>
                    <w:right w:val="nil"/>
                  </w:tcBorders>
                  <w:shd w:val="clear" w:color="auto" w:fill="auto"/>
                  <w:noWrap/>
                  <w:vAlign w:val="center"/>
                  <w:hideMark/>
                </w:tcPr>
                <w:p w14:paraId="61047739" w14:textId="77777777" w:rsidR="00D17235" w:rsidRPr="00416466" w:rsidRDefault="00D17235" w:rsidP="00D17235">
                  <w:pPr>
                    <w:spacing w:after="0" w:line="240" w:lineRule="auto"/>
                    <w:jc w:val="center"/>
                    <w:rPr>
                      <w:rFonts w:eastAsia="Times New Roman" w:cs="Calibri"/>
                      <w:color w:val="auto"/>
                      <w:sz w:val="18"/>
                      <w:szCs w:val="18"/>
                      <w:lang w:eastAsia="el-GR"/>
                    </w:rPr>
                  </w:pPr>
                  <w:r w:rsidRPr="00416466">
                    <w:rPr>
                      <w:rFonts w:eastAsia="Times New Roman" w:cs="Calibri"/>
                      <w:color w:val="auto"/>
                      <w:sz w:val="18"/>
                      <w:szCs w:val="18"/>
                      <w:lang w:eastAsia="el-GR"/>
                    </w:rPr>
                    <w:t>5.131</w:t>
                  </w:r>
                </w:p>
              </w:tc>
              <w:tc>
                <w:tcPr>
                  <w:tcW w:w="1242" w:type="dxa"/>
                  <w:tcBorders>
                    <w:top w:val="nil"/>
                    <w:left w:val="nil"/>
                    <w:bottom w:val="single" w:sz="8" w:space="0" w:color="auto"/>
                    <w:right w:val="nil"/>
                  </w:tcBorders>
                  <w:shd w:val="clear" w:color="auto" w:fill="auto"/>
                  <w:noWrap/>
                  <w:vAlign w:val="center"/>
                  <w:hideMark/>
                </w:tcPr>
                <w:p w14:paraId="035EC1A4" w14:textId="77777777" w:rsidR="00D17235" w:rsidRPr="00416466" w:rsidRDefault="00D17235" w:rsidP="00D17235">
                  <w:pPr>
                    <w:spacing w:after="0" w:line="240" w:lineRule="auto"/>
                    <w:jc w:val="center"/>
                    <w:rPr>
                      <w:rFonts w:eastAsia="Times New Roman" w:cs="Calibri"/>
                      <w:color w:val="auto"/>
                      <w:sz w:val="18"/>
                      <w:szCs w:val="18"/>
                      <w:lang w:eastAsia="el-GR"/>
                    </w:rPr>
                  </w:pPr>
                  <w:r w:rsidRPr="00416466">
                    <w:rPr>
                      <w:rFonts w:eastAsia="Times New Roman" w:cs="Calibri"/>
                      <w:color w:val="auto"/>
                      <w:sz w:val="18"/>
                      <w:szCs w:val="18"/>
                      <w:lang w:eastAsia="el-GR"/>
                    </w:rPr>
                    <w:t>5.106</w:t>
                  </w:r>
                </w:p>
              </w:tc>
              <w:tc>
                <w:tcPr>
                  <w:tcW w:w="1123" w:type="dxa"/>
                  <w:tcBorders>
                    <w:top w:val="nil"/>
                    <w:left w:val="nil"/>
                    <w:bottom w:val="single" w:sz="8" w:space="0" w:color="auto"/>
                    <w:right w:val="nil"/>
                  </w:tcBorders>
                  <w:shd w:val="clear" w:color="auto" w:fill="auto"/>
                  <w:noWrap/>
                  <w:vAlign w:val="center"/>
                  <w:hideMark/>
                </w:tcPr>
                <w:p w14:paraId="653774B0" w14:textId="77777777" w:rsidR="00D17235" w:rsidRPr="00416466" w:rsidRDefault="00D17235" w:rsidP="00D17235">
                  <w:pPr>
                    <w:spacing w:after="0" w:line="240" w:lineRule="auto"/>
                    <w:jc w:val="center"/>
                    <w:rPr>
                      <w:rFonts w:eastAsia="Times New Roman" w:cs="Calibri"/>
                      <w:color w:val="auto"/>
                      <w:sz w:val="18"/>
                      <w:szCs w:val="18"/>
                      <w:lang w:eastAsia="el-GR"/>
                    </w:rPr>
                  </w:pPr>
                  <w:r w:rsidRPr="00416466">
                    <w:rPr>
                      <w:rFonts w:eastAsia="Times New Roman" w:cs="Calibri"/>
                      <w:color w:val="auto"/>
                      <w:sz w:val="18"/>
                      <w:szCs w:val="18"/>
                      <w:lang w:eastAsia="el-GR"/>
                    </w:rPr>
                    <w:t>4.560</w:t>
                  </w:r>
                </w:p>
              </w:tc>
              <w:tc>
                <w:tcPr>
                  <w:tcW w:w="1225" w:type="dxa"/>
                  <w:tcBorders>
                    <w:top w:val="nil"/>
                    <w:left w:val="nil"/>
                    <w:bottom w:val="single" w:sz="8" w:space="0" w:color="auto"/>
                    <w:right w:val="nil"/>
                  </w:tcBorders>
                  <w:shd w:val="clear" w:color="auto" w:fill="auto"/>
                  <w:noWrap/>
                  <w:vAlign w:val="center"/>
                  <w:hideMark/>
                </w:tcPr>
                <w:p w14:paraId="1B84620D" w14:textId="77777777" w:rsidR="00D17235" w:rsidRPr="00416466" w:rsidRDefault="00D17235" w:rsidP="00D17235">
                  <w:pPr>
                    <w:spacing w:after="0" w:line="240" w:lineRule="auto"/>
                    <w:jc w:val="center"/>
                    <w:rPr>
                      <w:rFonts w:eastAsia="Times New Roman" w:cs="Calibri"/>
                      <w:color w:val="auto"/>
                      <w:sz w:val="18"/>
                      <w:szCs w:val="18"/>
                      <w:lang w:eastAsia="el-GR"/>
                    </w:rPr>
                  </w:pPr>
                  <w:r w:rsidRPr="00416466">
                    <w:rPr>
                      <w:rFonts w:eastAsia="Times New Roman" w:cs="Calibri"/>
                      <w:color w:val="auto"/>
                      <w:sz w:val="18"/>
                      <w:szCs w:val="18"/>
                      <w:lang w:eastAsia="el-GR"/>
                    </w:rPr>
                    <w:t>3.977</w:t>
                  </w:r>
                </w:p>
              </w:tc>
            </w:tr>
            <w:tr w:rsidR="00D17235" w:rsidRPr="00D17235" w14:paraId="0B4D90CC" w14:textId="77777777" w:rsidTr="00D17235">
              <w:trPr>
                <w:trHeight w:val="580"/>
              </w:trPr>
              <w:tc>
                <w:tcPr>
                  <w:tcW w:w="2374" w:type="dxa"/>
                  <w:tcBorders>
                    <w:top w:val="nil"/>
                    <w:left w:val="nil"/>
                    <w:bottom w:val="nil"/>
                    <w:right w:val="nil"/>
                  </w:tcBorders>
                  <w:shd w:val="clear" w:color="000000" w:fill="F2F2F2"/>
                  <w:vAlign w:val="center"/>
                  <w:hideMark/>
                </w:tcPr>
                <w:p w14:paraId="1224ACE4" w14:textId="77777777" w:rsidR="00D17235" w:rsidRPr="00D17235" w:rsidRDefault="00D17235" w:rsidP="00D17235">
                  <w:pPr>
                    <w:spacing w:after="0" w:line="240" w:lineRule="auto"/>
                    <w:jc w:val="left"/>
                    <w:rPr>
                      <w:rFonts w:eastAsia="Times New Roman" w:cs="Calibri"/>
                      <w:b/>
                      <w:bCs/>
                      <w:color w:val="000000"/>
                      <w:sz w:val="18"/>
                      <w:szCs w:val="18"/>
                      <w:lang w:eastAsia="el-GR"/>
                    </w:rPr>
                  </w:pPr>
                  <w:r w:rsidRPr="00D17235">
                    <w:rPr>
                      <w:rFonts w:eastAsia="Times New Roman" w:cs="Calibri"/>
                      <w:b/>
                      <w:bCs/>
                      <w:color w:val="000000"/>
                      <w:sz w:val="18"/>
                      <w:szCs w:val="18"/>
                      <w:lang w:eastAsia="el-GR"/>
                    </w:rPr>
                    <w:t>Πρωτογενές Αποτέλεσμα ΓΚ Ταμειακά</w:t>
                  </w:r>
                </w:p>
              </w:tc>
              <w:tc>
                <w:tcPr>
                  <w:tcW w:w="869" w:type="dxa"/>
                  <w:tcBorders>
                    <w:top w:val="nil"/>
                    <w:left w:val="nil"/>
                    <w:bottom w:val="nil"/>
                    <w:right w:val="nil"/>
                  </w:tcBorders>
                  <w:shd w:val="clear" w:color="000000" w:fill="F2F2F2"/>
                  <w:vAlign w:val="center"/>
                  <w:hideMark/>
                </w:tcPr>
                <w:p w14:paraId="2409640C" w14:textId="77777777" w:rsidR="00D17235" w:rsidRPr="00416466" w:rsidRDefault="00D17235" w:rsidP="00D17235">
                  <w:pPr>
                    <w:spacing w:after="0" w:line="240" w:lineRule="auto"/>
                    <w:jc w:val="center"/>
                    <w:rPr>
                      <w:rFonts w:eastAsia="Times New Roman" w:cs="Calibri"/>
                      <w:b/>
                      <w:bCs/>
                      <w:color w:val="000000"/>
                      <w:sz w:val="18"/>
                      <w:szCs w:val="18"/>
                      <w:lang w:eastAsia="el-GR"/>
                    </w:rPr>
                  </w:pPr>
                  <w:r w:rsidRPr="00416466">
                    <w:rPr>
                      <w:rFonts w:eastAsia="Times New Roman" w:cs="Calibri"/>
                      <w:b/>
                      <w:bCs/>
                      <w:color w:val="000000"/>
                      <w:sz w:val="18"/>
                      <w:szCs w:val="18"/>
                      <w:lang w:eastAsia="el-GR"/>
                    </w:rPr>
                    <w:t>4.831</w:t>
                  </w:r>
                </w:p>
              </w:tc>
              <w:tc>
                <w:tcPr>
                  <w:tcW w:w="1145" w:type="dxa"/>
                  <w:tcBorders>
                    <w:top w:val="nil"/>
                    <w:left w:val="nil"/>
                    <w:bottom w:val="nil"/>
                    <w:right w:val="nil"/>
                  </w:tcBorders>
                  <w:shd w:val="clear" w:color="000000" w:fill="F2F2F2"/>
                  <w:vAlign w:val="center"/>
                  <w:hideMark/>
                </w:tcPr>
                <w:p w14:paraId="174FE333" w14:textId="77777777" w:rsidR="00D17235" w:rsidRPr="00416466" w:rsidRDefault="00D17235" w:rsidP="00D17235">
                  <w:pPr>
                    <w:spacing w:after="0" w:line="240" w:lineRule="auto"/>
                    <w:jc w:val="center"/>
                    <w:rPr>
                      <w:rFonts w:eastAsia="Times New Roman" w:cs="Calibri"/>
                      <w:b/>
                      <w:bCs/>
                      <w:color w:val="000000"/>
                      <w:sz w:val="18"/>
                      <w:szCs w:val="18"/>
                      <w:lang w:eastAsia="el-GR"/>
                    </w:rPr>
                  </w:pPr>
                  <w:r w:rsidRPr="00416466">
                    <w:rPr>
                      <w:rFonts w:eastAsia="Times New Roman" w:cs="Calibri"/>
                      <w:b/>
                      <w:bCs/>
                      <w:color w:val="000000"/>
                      <w:sz w:val="18"/>
                      <w:szCs w:val="18"/>
                      <w:lang w:eastAsia="el-GR"/>
                    </w:rPr>
                    <w:t>5.809</w:t>
                  </w:r>
                </w:p>
              </w:tc>
              <w:tc>
                <w:tcPr>
                  <w:tcW w:w="1242" w:type="dxa"/>
                  <w:tcBorders>
                    <w:top w:val="nil"/>
                    <w:left w:val="nil"/>
                    <w:bottom w:val="nil"/>
                    <w:right w:val="nil"/>
                  </w:tcBorders>
                  <w:shd w:val="clear" w:color="000000" w:fill="F2F2F2"/>
                  <w:vAlign w:val="center"/>
                  <w:hideMark/>
                </w:tcPr>
                <w:p w14:paraId="6ECBCFE6" w14:textId="77777777" w:rsidR="00D17235" w:rsidRPr="00416466" w:rsidRDefault="00D17235" w:rsidP="00D17235">
                  <w:pPr>
                    <w:spacing w:after="0" w:line="240" w:lineRule="auto"/>
                    <w:jc w:val="center"/>
                    <w:rPr>
                      <w:rFonts w:eastAsia="Times New Roman" w:cs="Calibri"/>
                      <w:b/>
                      <w:bCs/>
                      <w:color w:val="000000"/>
                      <w:sz w:val="18"/>
                      <w:szCs w:val="18"/>
                      <w:lang w:eastAsia="el-GR"/>
                    </w:rPr>
                  </w:pPr>
                  <w:r w:rsidRPr="00416466">
                    <w:rPr>
                      <w:rFonts w:eastAsia="Times New Roman" w:cs="Calibri"/>
                      <w:b/>
                      <w:bCs/>
                      <w:color w:val="000000"/>
                      <w:sz w:val="18"/>
                      <w:szCs w:val="18"/>
                      <w:lang w:eastAsia="el-GR"/>
                    </w:rPr>
                    <w:t>6.001</w:t>
                  </w:r>
                </w:p>
              </w:tc>
              <w:tc>
                <w:tcPr>
                  <w:tcW w:w="1123" w:type="dxa"/>
                  <w:tcBorders>
                    <w:top w:val="nil"/>
                    <w:left w:val="nil"/>
                    <w:bottom w:val="nil"/>
                    <w:right w:val="nil"/>
                  </w:tcBorders>
                  <w:shd w:val="clear" w:color="000000" w:fill="F2F2F2"/>
                  <w:vAlign w:val="center"/>
                  <w:hideMark/>
                </w:tcPr>
                <w:p w14:paraId="1BF3A97C" w14:textId="77777777" w:rsidR="00D17235" w:rsidRPr="00416466" w:rsidRDefault="00D17235" w:rsidP="00D17235">
                  <w:pPr>
                    <w:spacing w:after="0" w:line="240" w:lineRule="auto"/>
                    <w:jc w:val="center"/>
                    <w:rPr>
                      <w:rFonts w:eastAsia="Times New Roman" w:cs="Calibri"/>
                      <w:b/>
                      <w:bCs/>
                      <w:color w:val="000000"/>
                      <w:sz w:val="18"/>
                      <w:szCs w:val="18"/>
                      <w:lang w:eastAsia="el-GR"/>
                    </w:rPr>
                  </w:pPr>
                  <w:r w:rsidRPr="00416466">
                    <w:rPr>
                      <w:rFonts w:eastAsia="Times New Roman" w:cs="Calibri"/>
                      <w:b/>
                      <w:bCs/>
                      <w:color w:val="000000"/>
                      <w:sz w:val="18"/>
                      <w:szCs w:val="18"/>
                      <w:lang w:eastAsia="el-GR"/>
                    </w:rPr>
                    <w:t>9.450</w:t>
                  </w:r>
                </w:p>
              </w:tc>
              <w:tc>
                <w:tcPr>
                  <w:tcW w:w="1225" w:type="dxa"/>
                  <w:tcBorders>
                    <w:top w:val="nil"/>
                    <w:left w:val="nil"/>
                    <w:bottom w:val="nil"/>
                    <w:right w:val="nil"/>
                  </w:tcBorders>
                  <w:shd w:val="clear" w:color="000000" w:fill="F2F2F2"/>
                  <w:vAlign w:val="center"/>
                  <w:hideMark/>
                </w:tcPr>
                <w:p w14:paraId="6DB9C87F" w14:textId="77777777" w:rsidR="00D17235" w:rsidRPr="00416466" w:rsidRDefault="00D17235" w:rsidP="00D17235">
                  <w:pPr>
                    <w:spacing w:after="0" w:line="240" w:lineRule="auto"/>
                    <w:jc w:val="center"/>
                    <w:rPr>
                      <w:rFonts w:eastAsia="Times New Roman" w:cs="Calibri"/>
                      <w:b/>
                      <w:bCs/>
                      <w:color w:val="000000"/>
                      <w:sz w:val="18"/>
                      <w:szCs w:val="18"/>
                      <w:lang w:eastAsia="el-GR"/>
                    </w:rPr>
                  </w:pPr>
                  <w:r w:rsidRPr="00416466">
                    <w:rPr>
                      <w:rFonts w:eastAsia="Times New Roman" w:cs="Calibri"/>
                      <w:b/>
                      <w:bCs/>
                      <w:color w:val="000000"/>
                      <w:sz w:val="18"/>
                      <w:szCs w:val="18"/>
                      <w:lang w:eastAsia="el-GR"/>
                    </w:rPr>
                    <w:t>-12.551</w:t>
                  </w:r>
                </w:p>
              </w:tc>
            </w:tr>
            <w:tr w:rsidR="00D17235" w:rsidRPr="00D17235" w14:paraId="63E8ED6D" w14:textId="77777777" w:rsidTr="00D17235">
              <w:trPr>
                <w:trHeight w:val="303"/>
              </w:trPr>
              <w:tc>
                <w:tcPr>
                  <w:tcW w:w="2374" w:type="dxa"/>
                  <w:tcBorders>
                    <w:top w:val="nil"/>
                    <w:left w:val="nil"/>
                    <w:bottom w:val="single" w:sz="8" w:space="0" w:color="auto"/>
                    <w:right w:val="nil"/>
                  </w:tcBorders>
                  <w:shd w:val="clear" w:color="auto" w:fill="auto"/>
                  <w:noWrap/>
                  <w:vAlign w:val="center"/>
                  <w:hideMark/>
                </w:tcPr>
                <w:p w14:paraId="39B8A1E0" w14:textId="77777777" w:rsidR="00D17235" w:rsidRPr="00D17235" w:rsidRDefault="00D17235" w:rsidP="00D17235">
                  <w:pPr>
                    <w:spacing w:after="0" w:line="240" w:lineRule="auto"/>
                    <w:jc w:val="left"/>
                    <w:rPr>
                      <w:rFonts w:eastAsia="Times New Roman" w:cs="Calibri"/>
                      <w:color w:val="auto"/>
                      <w:sz w:val="18"/>
                      <w:szCs w:val="18"/>
                      <w:lang w:eastAsia="el-GR"/>
                    </w:rPr>
                  </w:pPr>
                  <w:r w:rsidRPr="00D17235">
                    <w:rPr>
                      <w:rFonts w:eastAsia="Times New Roman" w:cs="Calibri"/>
                      <w:color w:val="auto"/>
                      <w:sz w:val="18"/>
                      <w:szCs w:val="18"/>
                      <w:lang w:eastAsia="el-GR"/>
                    </w:rPr>
                    <w:t>ως ποσοστό του ΑΕΠ</w:t>
                  </w:r>
                </w:p>
              </w:tc>
              <w:tc>
                <w:tcPr>
                  <w:tcW w:w="869" w:type="dxa"/>
                  <w:tcBorders>
                    <w:top w:val="nil"/>
                    <w:left w:val="nil"/>
                    <w:bottom w:val="single" w:sz="8" w:space="0" w:color="auto"/>
                    <w:right w:val="nil"/>
                  </w:tcBorders>
                  <w:shd w:val="clear" w:color="auto" w:fill="auto"/>
                  <w:noWrap/>
                  <w:vAlign w:val="center"/>
                  <w:hideMark/>
                </w:tcPr>
                <w:p w14:paraId="7B26D7F4" w14:textId="77777777" w:rsidR="00D17235" w:rsidRPr="00416466" w:rsidRDefault="00D17235" w:rsidP="00D17235">
                  <w:pPr>
                    <w:spacing w:after="0" w:line="240" w:lineRule="auto"/>
                    <w:jc w:val="center"/>
                    <w:rPr>
                      <w:rFonts w:eastAsia="Times New Roman" w:cs="Calibri"/>
                      <w:color w:val="auto"/>
                      <w:sz w:val="18"/>
                      <w:szCs w:val="18"/>
                      <w:lang w:eastAsia="el-GR"/>
                    </w:rPr>
                  </w:pPr>
                  <w:r w:rsidRPr="00416466">
                    <w:rPr>
                      <w:rFonts w:eastAsia="Times New Roman" w:cs="Calibri"/>
                      <w:color w:val="auto"/>
                      <w:sz w:val="18"/>
                      <w:szCs w:val="18"/>
                      <w:lang w:eastAsia="el-GR"/>
                    </w:rPr>
                    <w:t>2,7%</w:t>
                  </w:r>
                </w:p>
              </w:tc>
              <w:tc>
                <w:tcPr>
                  <w:tcW w:w="1145" w:type="dxa"/>
                  <w:tcBorders>
                    <w:top w:val="nil"/>
                    <w:left w:val="nil"/>
                    <w:bottom w:val="single" w:sz="8" w:space="0" w:color="auto"/>
                    <w:right w:val="nil"/>
                  </w:tcBorders>
                  <w:shd w:val="clear" w:color="auto" w:fill="auto"/>
                  <w:noWrap/>
                  <w:vAlign w:val="center"/>
                  <w:hideMark/>
                </w:tcPr>
                <w:p w14:paraId="1C3793B8" w14:textId="77777777" w:rsidR="00D17235" w:rsidRPr="00416466" w:rsidRDefault="00D17235" w:rsidP="00D17235">
                  <w:pPr>
                    <w:spacing w:after="0" w:line="240" w:lineRule="auto"/>
                    <w:jc w:val="center"/>
                    <w:rPr>
                      <w:rFonts w:eastAsia="Times New Roman" w:cs="Calibri"/>
                      <w:color w:val="auto"/>
                      <w:sz w:val="18"/>
                      <w:szCs w:val="18"/>
                      <w:lang w:eastAsia="el-GR"/>
                    </w:rPr>
                  </w:pPr>
                  <w:r w:rsidRPr="00416466">
                    <w:rPr>
                      <w:rFonts w:eastAsia="Times New Roman" w:cs="Calibri"/>
                      <w:color w:val="auto"/>
                      <w:sz w:val="18"/>
                      <w:szCs w:val="18"/>
                      <w:lang w:eastAsia="el-GR"/>
                    </w:rPr>
                    <w:t>3,2%</w:t>
                  </w:r>
                </w:p>
              </w:tc>
              <w:tc>
                <w:tcPr>
                  <w:tcW w:w="1242" w:type="dxa"/>
                  <w:tcBorders>
                    <w:top w:val="nil"/>
                    <w:left w:val="nil"/>
                    <w:bottom w:val="single" w:sz="8" w:space="0" w:color="auto"/>
                    <w:right w:val="nil"/>
                  </w:tcBorders>
                  <w:shd w:val="clear" w:color="auto" w:fill="auto"/>
                  <w:noWrap/>
                  <w:vAlign w:val="center"/>
                  <w:hideMark/>
                </w:tcPr>
                <w:p w14:paraId="1B2AB8DC" w14:textId="77777777" w:rsidR="00D17235" w:rsidRPr="00416466" w:rsidRDefault="00D17235" w:rsidP="00D17235">
                  <w:pPr>
                    <w:spacing w:after="0" w:line="240" w:lineRule="auto"/>
                    <w:jc w:val="center"/>
                    <w:rPr>
                      <w:rFonts w:eastAsia="Times New Roman" w:cs="Calibri"/>
                      <w:color w:val="auto"/>
                      <w:sz w:val="18"/>
                      <w:szCs w:val="18"/>
                      <w:lang w:eastAsia="el-GR"/>
                    </w:rPr>
                  </w:pPr>
                  <w:r w:rsidRPr="00416466">
                    <w:rPr>
                      <w:rFonts w:eastAsia="Times New Roman" w:cs="Calibri"/>
                      <w:color w:val="auto"/>
                      <w:sz w:val="18"/>
                      <w:szCs w:val="18"/>
                      <w:lang w:eastAsia="el-GR"/>
                    </w:rPr>
                    <w:t>3,3%</w:t>
                  </w:r>
                </w:p>
              </w:tc>
              <w:tc>
                <w:tcPr>
                  <w:tcW w:w="1123" w:type="dxa"/>
                  <w:tcBorders>
                    <w:top w:val="nil"/>
                    <w:left w:val="nil"/>
                    <w:bottom w:val="single" w:sz="8" w:space="0" w:color="auto"/>
                    <w:right w:val="nil"/>
                  </w:tcBorders>
                  <w:shd w:val="clear" w:color="auto" w:fill="auto"/>
                  <w:noWrap/>
                  <w:vAlign w:val="center"/>
                  <w:hideMark/>
                </w:tcPr>
                <w:p w14:paraId="5102A08B" w14:textId="77777777" w:rsidR="00D17235" w:rsidRPr="00416466" w:rsidRDefault="00D17235" w:rsidP="00D17235">
                  <w:pPr>
                    <w:spacing w:after="0" w:line="240" w:lineRule="auto"/>
                    <w:jc w:val="center"/>
                    <w:rPr>
                      <w:rFonts w:eastAsia="Times New Roman" w:cs="Calibri"/>
                      <w:color w:val="auto"/>
                      <w:sz w:val="18"/>
                      <w:szCs w:val="18"/>
                      <w:lang w:eastAsia="el-GR"/>
                    </w:rPr>
                  </w:pPr>
                  <w:r w:rsidRPr="00416466">
                    <w:rPr>
                      <w:rFonts w:eastAsia="Times New Roman" w:cs="Calibri"/>
                      <w:color w:val="auto"/>
                      <w:sz w:val="18"/>
                      <w:szCs w:val="18"/>
                      <w:lang w:eastAsia="el-GR"/>
                    </w:rPr>
                    <w:t>5,0%</w:t>
                  </w:r>
                </w:p>
              </w:tc>
              <w:tc>
                <w:tcPr>
                  <w:tcW w:w="1225" w:type="dxa"/>
                  <w:tcBorders>
                    <w:top w:val="nil"/>
                    <w:left w:val="nil"/>
                    <w:bottom w:val="single" w:sz="8" w:space="0" w:color="auto"/>
                    <w:right w:val="nil"/>
                  </w:tcBorders>
                  <w:shd w:val="clear" w:color="auto" w:fill="auto"/>
                  <w:noWrap/>
                  <w:vAlign w:val="center"/>
                  <w:hideMark/>
                </w:tcPr>
                <w:p w14:paraId="6CD5DF6B" w14:textId="77777777" w:rsidR="00D17235" w:rsidRPr="00416466" w:rsidRDefault="00D17235" w:rsidP="00D17235">
                  <w:pPr>
                    <w:spacing w:after="0" w:line="240" w:lineRule="auto"/>
                    <w:jc w:val="center"/>
                    <w:rPr>
                      <w:rFonts w:eastAsia="Times New Roman" w:cs="Calibri"/>
                      <w:color w:val="auto"/>
                      <w:sz w:val="18"/>
                      <w:szCs w:val="18"/>
                      <w:lang w:eastAsia="el-GR"/>
                    </w:rPr>
                  </w:pPr>
                  <w:r w:rsidRPr="00416466">
                    <w:rPr>
                      <w:rFonts w:eastAsia="Times New Roman" w:cs="Calibri"/>
                      <w:color w:val="auto"/>
                      <w:sz w:val="18"/>
                      <w:szCs w:val="18"/>
                      <w:lang w:eastAsia="el-GR"/>
                    </w:rPr>
                    <w:t>-7,6%</w:t>
                  </w:r>
                </w:p>
              </w:tc>
            </w:tr>
            <w:tr w:rsidR="00D17235" w:rsidRPr="00D17235" w14:paraId="22A7F177" w14:textId="77777777" w:rsidTr="00D17235">
              <w:trPr>
                <w:trHeight w:val="211"/>
              </w:trPr>
              <w:tc>
                <w:tcPr>
                  <w:tcW w:w="2374" w:type="dxa"/>
                  <w:tcBorders>
                    <w:top w:val="nil"/>
                    <w:left w:val="nil"/>
                    <w:bottom w:val="nil"/>
                    <w:right w:val="nil"/>
                  </w:tcBorders>
                  <w:shd w:val="clear" w:color="000000" w:fill="F2F2F2"/>
                  <w:vAlign w:val="center"/>
                  <w:hideMark/>
                </w:tcPr>
                <w:p w14:paraId="79E95B9D" w14:textId="77777777" w:rsidR="00D17235" w:rsidRPr="00D17235" w:rsidRDefault="00D17235" w:rsidP="00D17235">
                  <w:pPr>
                    <w:spacing w:after="0" w:line="240" w:lineRule="auto"/>
                    <w:jc w:val="left"/>
                    <w:rPr>
                      <w:rFonts w:eastAsia="Times New Roman" w:cs="Calibri"/>
                      <w:b/>
                      <w:bCs/>
                      <w:color w:val="000000"/>
                      <w:sz w:val="18"/>
                      <w:szCs w:val="18"/>
                      <w:lang w:eastAsia="el-GR"/>
                    </w:rPr>
                  </w:pPr>
                  <w:r w:rsidRPr="00D17235">
                    <w:rPr>
                      <w:rFonts w:eastAsia="Times New Roman" w:cs="Calibri"/>
                      <w:b/>
                      <w:bCs/>
                      <w:color w:val="000000"/>
                      <w:sz w:val="18"/>
                      <w:szCs w:val="18"/>
                      <w:lang w:eastAsia="el-GR"/>
                    </w:rPr>
                    <w:t>Πρωτογενές Αποτέλεσμα ΓΚ κατά ESA</w:t>
                  </w:r>
                </w:p>
              </w:tc>
              <w:tc>
                <w:tcPr>
                  <w:tcW w:w="869" w:type="dxa"/>
                  <w:tcBorders>
                    <w:top w:val="nil"/>
                    <w:left w:val="nil"/>
                    <w:bottom w:val="nil"/>
                    <w:right w:val="nil"/>
                  </w:tcBorders>
                  <w:shd w:val="clear" w:color="000000" w:fill="F2F2F2"/>
                  <w:vAlign w:val="center"/>
                  <w:hideMark/>
                </w:tcPr>
                <w:p w14:paraId="086CA141" w14:textId="77777777" w:rsidR="00D17235" w:rsidRPr="00416466" w:rsidRDefault="00D17235" w:rsidP="00D17235">
                  <w:pPr>
                    <w:spacing w:after="0" w:line="240" w:lineRule="auto"/>
                    <w:jc w:val="center"/>
                    <w:rPr>
                      <w:rFonts w:eastAsia="Times New Roman" w:cs="Calibri"/>
                      <w:b/>
                      <w:bCs/>
                      <w:color w:val="000000"/>
                      <w:sz w:val="18"/>
                      <w:szCs w:val="18"/>
                      <w:lang w:eastAsia="el-GR"/>
                    </w:rPr>
                  </w:pPr>
                  <w:r w:rsidRPr="00416466">
                    <w:rPr>
                      <w:rFonts w:eastAsia="Times New Roman" w:cs="Calibri"/>
                      <w:b/>
                      <w:bCs/>
                      <w:color w:val="000000"/>
                      <w:sz w:val="18"/>
                      <w:szCs w:val="18"/>
                      <w:lang w:eastAsia="el-GR"/>
                    </w:rPr>
                    <w:t>6.465</w:t>
                  </w:r>
                </w:p>
              </w:tc>
              <w:tc>
                <w:tcPr>
                  <w:tcW w:w="1145" w:type="dxa"/>
                  <w:tcBorders>
                    <w:top w:val="nil"/>
                    <w:left w:val="nil"/>
                    <w:bottom w:val="nil"/>
                    <w:right w:val="nil"/>
                  </w:tcBorders>
                  <w:shd w:val="clear" w:color="000000" w:fill="F2F2F2"/>
                  <w:vAlign w:val="center"/>
                  <w:hideMark/>
                </w:tcPr>
                <w:p w14:paraId="4A7300F8" w14:textId="77777777" w:rsidR="00D17235" w:rsidRPr="00416466" w:rsidRDefault="00D17235" w:rsidP="00D17235">
                  <w:pPr>
                    <w:spacing w:after="0" w:line="240" w:lineRule="auto"/>
                    <w:jc w:val="center"/>
                    <w:rPr>
                      <w:rFonts w:eastAsia="Times New Roman" w:cs="Calibri"/>
                      <w:b/>
                      <w:bCs/>
                      <w:color w:val="000000"/>
                      <w:sz w:val="18"/>
                      <w:szCs w:val="18"/>
                      <w:lang w:eastAsia="el-GR"/>
                    </w:rPr>
                  </w:pPr>
                  <w:r w:rsidRPr="00416466">
                    <w:rPr>
                      <w:rFonts w:eastAsia="Times New Roman" w:cs="Calibri"/>
                      <w:b/>
                      <w:bCs/>
                      <w:color w:val="000000"/>
                      <w:sz w:val="18"/>
                      <w:szCs w:val="18"/>
                      <w:lang w:eastAsia="el-GR"/>
                    </w:rPr>
                    <w:t>6.856</w:t>
                  </w:r>
                </w:p>
              </w:tc>
              <w:tc>
                <w:tcPr>
                  <w:tcW w:w="1242" w:type="dxa"/>
                  <w:tcBorders>
                    <w:top w:val="nil"/>
                    <w:left w:val="nil"/>
                    <w:bottom w:val="nil"/>
                    <w:right w:val="nil"/>
                  </w:tcBorders>
                  <w:shd w:val="clear" w:color="000000" w:fill="F2F2F2"/>
                  <w:vAlign w:val="center"/>
                  <w:hideMark/>
                </w:tcPr>
                <w:p w14:paraId="38F91970" w14:textId="77777777" w:rsidR="00D17235" w:rsidRPr="00416466" w:rsidRDefault="00D17235" w:rsidP="00D17235">
                  <w:pPr>
                    <w:spacing w:after="0" w:line="240" w:lineRule="auto"/>
                    <w:jc w:val="center"/>
                    <w:rPr>
                      <w:rFonts w:eastAsia="Times New Roman" w:cs="Calibri"/>
                      <w:b/>
                      <w:bCs/>
                      <w:color w:val="000000"/>
                      <w:sz w:val="18"/>
                      <w:szCs w:val="18"/>
                      <w:lang w:eastAsia="el-GR"/>
                    </w:rPr>
                  </w:pPr>
                  <w:r w:rsidRPr="00416466">
                    <w:rPr>
                      <w:rFonts w:eastAsia="Times New Roman" w:cs="Calibri"/>
                      <w:b/>
                      <w:bCs/>
                      <w:color w:val="000000"/>
                      <w:sz w:val="18"/>
                      <w:szCs w:val="18"/>
                      <w:lang w:eastAsia="el-GR"/>
                    </w:rPr>
                    <w:t>7.913</w:t>
                  </w:r>
                </w:p>
              </w:tc>
              <w:tc>
                <w:tcPr>
                  <w:tcW w:w="1123" w:type="dxa"/>
                  <w:tcBorders>
                    <w:top w:val="nil"/>
                    <w:left w:val="nil"/>
                    <w:bottom w:val="nil"/>
                    <w:right w:val="nil"/>
                  </w:tcBorders>
                  <w:shd w:val="clear" w:color="000000" w:fill="F2F2F2"/>
                  <w:vAlign w:val="center"/>
                  <w:hideMark/>
                </w:tcPr>
                <w:p w14:paraId="4751B461" w14:textId="77777777" w:rsidR="00D17235" w:rsidRPr="00416466" w:rsidRDefault="00D17235" w:rsidP="00D17235">
                  <w:pPr>
                    <w:spacing w:after="0" w:line="240" w:lineRule="auto"/>
                    <w:jc w:val="center"/>
                    <w:rPr>
                      <w:rFonts w:eastAsia="Times New Roman" w:cs="Calibri"/>
                      <w:b/>
                      <w:bCs/>
                      <w:color w:val="000000"/>
                      <w:sz w:val="18"/>
                      <w:szCs w:val="18"/>
                      <w:lang w:eastAsia="el-GR"/>
                    </w:rPr>
                  </w:pPr>
                  <w:r w:rsidRPr="00416466">
                    <w:rPr>
                      <w:rFonts w:eastAsia="Times New Roman" w:cs="Calibri"/>
                      <w:b/>
                      <w:bCs/>
                      <w:color w:val="000000"/>
                      <w:sz w:val="18"/>
                      <w:szCs w:val="18"/>
                      <w:lang w:eastAsia="el-GR"/>
                    </w:rPr>
                    <w:t>8.250</w:t>
                  </w:r>
                </w:p>
              </w:tc>
              <w:tc>
                <w:tcPr>
                  <w:tcW w:w="1225" w:type="dxa"/>
                  <w:tcBorders>
                    <w:top w:val="nil"/>
                    <w:left w:val="nil"/>
                    <w:bottom w:val="nil"/>
                    <w:right w:val="nil"/>
                  </w:tcBorders>
                  <w:shd w:val="clear" w:color="000000" w:fill="F2F2F2"/>
                  <w:vAlign w:val="center"/>
                  <w:hideMark/>
                </w:tcPr>
                <w:p w14:paraId="2481CD26" w14:textId="77777777" w:rsidR="00D17235" w:rsidRPr="00416466" w:rsidRDefault="00D17235" w:rsidP="00D17235">
                  <w:pPr>
                    <w:spacing w:after="0" w:line="240" w:lineRule="auto"/>
                    <w:jc w:val="center"/>
                    <w:rPr>
                      <w:rFonts w:eastAsia="Times New Roman" w:cs="Calibri"/>
                      <w:b/>
                      <w:bCs/>
                      <w:color w:val="000000"/>
                      <w:sz w:val="18"/>
                      <w:szCs w:val="18"/>
                      <w:lang w:eastAsia="el-GR"/>
                    </w:rPr>
                  </w:pPr>
                  <w:r w:rsidRPr="00416466">
                    <w:rPr>
                      <w:rFonts w:eastAsia="Times New Roman" w:cs="Calibri"/>
                      <w:b/>
                      <w:bCs/>
                      <w:color w:val="000000"/>
                      <w:sz w:val="18"/>
                      <w:szCs w:val="18"/>
                      <w:lang w:eastAsia="el-GR"/>
                    </w:rPr>
                    <w:t>-11.185</w:t>
                  </w:r>
                </w:p>
              </w:tc>
            </w:tr>
            <w:tr w:rsidR="00D17235" w:rsidRPr="00D17235" w14:paraId="5A319BE8" w14:textId="77777777" w:rsidTr="00D17235">
              <w:trPr>
                <w:trHeight w:val="211"/>
              </w:trPr>
              <w:tc>
                <w:tcPr>
                  <w:tcW w:w="2374" w:type="dxa"/>
                  <w:tcBorders>
                    <w:top w:val="nil"/>
                    <w:left w:val="nil"/>
                    <w:bottom w:val="nil"/>
                    <w:right w:val="nil"/>
                  </w:tcBorders>
                  <w:shd w:val="clear" w:color="000000" w:fill="F2F2F2"/>
                  <w:vAlign w:val="center"/>
                </w:tcPr>
                <w:p w14:paraId="1FE720B9" w14:textId="77777777" w:rsidR="00D17235" w:rsidRPr="00D17235" w:rsidRDefault="00D17235" w:rsidP="00D17235">
                  <w:pPr>
                    <w:spacing w:after="0" w:line="240" w:lineRule="auto"/>
                    <w:jc w:val="left"/>
                    <w:rPr>
                      <w:rFonts w:eastAsia="Times New Roman" w:cs="Calibri"/>
                      <w:color w:val="auto"/>
                      <w:sz w:val="18"/>
                      <w:szCs w:val="18"/>
                      <w:lang w:eastAsia="el-GR"/>
                    </w:rPr>
                  </w:pPr>
                  <w:r w:rsidRPr="00D17235">
                    <w:rPr>
                      <w:rFonts w:eastAsia="Times New Roman" w:cs="Calibri"/>
                      <w:color w:val="auto"/>
                      <w:sz w:val="18"/>
                      <w:szCs w:val="18"/>
                      <w:lang w:eastAsia="el-GR"/>
                    </w:rPr>
                    <w:t>ως ποσοστό του ΑΕΠ</w:t>
                  </w:r>
                </w:p>
              </w:tc>
              <w:tc>
                <w:tcPr>
                  <w:tcW w:w="869" w:type="dxa"/>
                  <w:tcBorders>
                    <w:top w:val="nil"/>
                    <w:left w:val="nil"/>
                    <w:bottom w:val="nil"/>
                    <w:right w:val="nil"/>
                  </w:tcBorders>
                  <w:shd w:val="clear" w:color="000000" w:fill="F2F2F2"/>
                  <w:vAlign w:val="center"/>
                </w:tcPr>
                <w:p w14:paraId="00DF1F6B" w14:textId="77777777" w:rsidR="00D17235" w:rsidRPr="00416466" w:rsidRDefault="00D17235" w:rsidP="00D17235">
                  <w:pPr>
                    <w:spacing w:after="0" w:line="240" w:lineRule="auto"/>
                    <w:jc w:val="center"/>
                    <w:rPr>
                      <w:rFonts w:eastAsia="Times New Roman" w:cs="Calibri"/>
                      <w:color w:val="auto"/>
                      <w:sz w:val="18"/>
                      <w:szCs w:val="18"/>
                      <w:lang w:val="en-US" w:eastAsia="el-GR"/>
                    </w:rPr>
                  </w:pPr>
                  <w:r w:rsidRPr="00416466">
                    <w:rPr>
                      <w:rFonts w:eastAsia="Times New Roman" w:cs="Calibri"/>
                      <w:color w:val="auto"/>
                      <w:sz w:val="18"/>
                      <w:szCs w:val="18"/>
                      <w:lang w:val="en-US" w:eastAsia="el-GR"/>
                    </w:rPr>
                    <w:t>3,9%</w:t>
                  </w:r>
                </w:p>
              </w:tc>
              <w:tc>
                <w:tcPr>
                  <w:tcW w:w="1145" w:type="dxa"/>
                  <w:tcBorders>
                    <w:top w:val="nil"/>
                    <w:left w:val="nil"/>
                    <w:bottom w:val="nil"/>
                    <w:right w:val="nil"/>
                  </w:tcBorders>
                  <w:shd w:val="clear" w:color="000000" w:fill="F2F2F2"/>
                  <w:vAlign w:val="center"/>
                </w:tcPr>
                <w:p w14:paraId="0AC506EB" w14:textId="77777777" w:rsidR="00D17235" w:rsidRPr="00416466" w:rsidRDefault="00D17235" w:rsidP="00D17235">
                  <w:pPr>
                    <w:spacing w:after="0" w:line="240" w:lineRule="auto"/>
                    <w:jc w:val="center"/>
                    <w:rPr>
                      <w:rFonts w:eastAsia="Times New Roman" w:cs="Calibri"/>
                      <w:color w:val="auto"/>
                      <w:sz w:val="18"/>
                      <w:szCs w:val="18"/>
                      <w:lang w:val="en-US" w:eastAsia="el-GR"/>
                    </w:rPr>
                  </w:pPr>
                  <w:r w:rsidRPr="00416466">
                    <w:rPr>
                      <w:rFonts w:eastAsia="Times New Roman" w:cs="Calibri"/>
                      <w:color w:val="auto"/>
                      <w:sz w:val="18"/>
                      <w:szCs w:val="18"/>
                      <w:lang w:val="en-US" w:eastAsia="el-GR"/>
                    </w:rPr>
                    <w:t>4,1%</w:t>
                  </w:r>
                </w:p>
              </w:tc>
              <w:tc>
                <w:tcPr>
                  <w:tcW w:w="1242" w:type="dxa"/>
                  <w:tcBorders>
                    <w:top w:val="nil"/>
                    <w:left w:val="nil"/>
                    <w:bottom w:val="nil"/>
                    <w:right w:val="nil"/>
                  </w:tcBorders>
                  <w:shd w:val="clear" w:color="000000" w:fill="F2F2F2"/>
                  <w:vAlign w:val="center"/>
                </w:tcPr>
                <w:p w14:paraId="43A71DF1" w14:textId="77777777" w:rsidR="00D17235" w:rsidRPr="00416466" w:rsidRDefault="00D17235" w:rsidP="00D17235">
                  <w:pPr>
                    <w:spacing w:after="0" w:line="240" w:lineRule="auto"/>
                    <w:jc w:val="center"/>
                    <w:rPr>
                      <w:rFonts w:eastAsia="Times New Roman" w:cs="Calibri"/>
                      <w:color w:val="auto"/>
                      <w:sz w:val="18"/>
                      <w:szCs w:val="18"/>
                      <w:lang w:val="en-US" w:eastAsia="el-GR"/>
                    </w:rPr>
                  </w:pPr>
                  <w:r w:rsidRPr="00416466">
                    <w:rPr>
                      <w:rFonts w:eastAsia="Times New Roman" w:cs="Calibri"/>
                      <w:color w:val="auto"/>
                      <w:sz w:val="18"/>
                      <w:szCs w:val="18"/>
                      <w:lang w:val="en-US" w:eastAsia="el-GR"/>
                    </w:rPr>
                    <w:t>4,</w:t>
                  </w:r>
                  <w:r w:rsidRPr="00416466">
                    <w:rPr>
                      <w:rFonts w:eastAsia="Times New Roman" w:cs="Calibri"/>
                      <w:color w:val="auto"/>
                      <w:sz w:val="18"/>
                      <w:szCs w:val="18"/>
                      <w:lang w:eastAsia="el-GR"/>
                    </w:rPr>
                    <w:t>8</w:t>
                  </w:r>
                  <w:r w:rsidRPr="00416466">
                    <w:rPr>
                      <w:rFonts w:eastAsia="Times New Roman" w:cs="Calibri"/>
                      <w:color w:val="auto"/>
                      <w:sz w:val="18"/>
                      <w:szCs w:val="18"/>
                      <w:lang w:val="en-US" w:eastAsia="el-GR"/>
                    </w:rPr>
                    <w:t>%</w:t>
                  </w:r>
                </w:p>
              </w:tc>
              <w:tc>
                <w:tcPr>
                  <w:tcW w:w="1123" w:type="dxa"/>
                  <w:tcBorders>
                    <w:top w:val="nil"/>
                    <w:left w:val="nil"/>
                    <w:bottom w:val="nil"/>
                    <w:right w:val="nil"/>
                  </w:tcBorders>
                  <w:shd w:val="clear" w:color="000000" w:fill="F2F2F2"/>
                  <w:vAlign w:val="center"/>
                </w:tcPr>
                <w:p w14:paraId="7D349135" w14:textId="77777777" w:rsidR="00D17235" w:rsidRPr="00416466" w:rsidRDefault="00D17235" w:rsidP="00D17235">
                  <w:pPr>
                    <w:spacing w:after="0" w:line="240" w:lineRule="auto"/>
                    <w:jc w:val="center"/>
                    <w:rPr>
                      <w:rFonts w:eastAsia="Times New Roman" w:cs="Calibri"/>
                      <w:color w:val="auto"/>
                      <w:sz w:val="18"/>
                      <w:szCs w:val="18"/>
                      <w:lang w:val="en-US" w:eastAsia="el-GR"/>
                    </w:rPr>
                  </w:pPr>
                  <w:r w:rsidRPr="00416466">
                    <w:rPr>
                      <w:rFonts w:eastAsia="Times New Roman" w:cs="Calibri"/>
                      <w:color w:val="auto"/>
                      <w:sz w:val="18"/>
                      <w:szCs w:val="18"/>
                      <w:lang w:val="en-US" w:eastAsia="el-GR"/>
                    </w:rPr>
                    <w:t>4,97%</w:t>
                  </w:r>
                </w:p>
              </w:tc>
              <w:tc>
                <w:tcPr>
                  <w:tcW w:w="1225" w:type="dxa"/>
                  <w:tcBorders>
                    <w:top w:val="nil"/>
                    <w:left w:val="nil"/>
                    <w:bottom w:val="nil"/>
                    <w:right w:val="nil"/>
                  </w:tcBorders>
                  <w:shd w:val="clear" w:color="000000" w:fill="F2F2F2"/>
                  <w:vAlign w:val="center"/>
                </w:tcPr>
                <w:p w14:paraId="64B3A0ED" w14:textId="77777777" w:rsidR="00D17235" w:rsidRPr="00416466" w:rsidRDefault="00D17235" w:rsidP="00D17235">
                  <w:pPr>
                    <w:spacing w:after="0" w:line="240" w:lineRule="auto"/>
                    <w:jc w:val="center"/>
                    <w:rPr>
                      <w:rFonts w:eastAsia="Times New Roman" w:cs="Calibri"/>
                      <w:color w:val="auto"/>
                      <w:sz w:val="18"/>
                      <w:szCs w:val="18"/>
                      <w:lang w:val="en-US" w:eastAsia="el-GR"/>
                    </w:rPr>
                  </w:pPr>
                  <w:r w:rsidRPr="00416466">
                    <w:rPr>
                      <w:rFonts w:eastAsia="Times New Roman" w:cs="Calibri"/>
                      <w:color w:val="auto"/>
                      <w:sz w:val="18"/>
                      <w:szCs w:val="18"/>
                      <w:lang w:val="en-US" w:eastAsia="el-GR"/>
                    </w:rPr>
                    <w:t>-6,7%</w:t>
                  </w:r>
                </w:p>
              </w:tc>
            </w:tr>
            <w:tr w:rsidR="00D17235" w:rsidRPr="00D17235" w14:paraId="24A12D3A" w14:textId="77777777" w:rsidTr="00D17235">
              <w:trPr>
                <w:trHeight w:val="792"/>
              </w:trPr>
              <w:tc>
                <w:tcPr>
                  <w:tcW w:w="2374" w:type="dxa"/>
                  <w:tcBorders>
                    <w:top w:val="nil"/>
                    <w:left w:val="nil"/>
                    <w:bottom w:val="nil"/>
                    <w:right w:val="nil"/>
                  </w:tcBorders>
                  <w:shd w:val="clear" w:color="000000" w:fill="F2F2F2"/>
                  <w:vAlign w:val="center"/>
                  <w:hideMark/>
                </w:tcPr>
                <w:p w14:paraId="3C36FE21" w14:textId="77777777" w:rsidR="00D17235" w:rsidRPr="00D17235" w:rsidRDefault="00D17235" w:rsidP="00D17235">
                  <w:pPr>
                    <w:spacing w:after="0" w:line="240" w:lineRule="auto"/>
                    <w:jc w:val="left"/>
                    <w:rPr>
                      <w:rFonts w:eastAsia="Times New Roman" w:cs="Calibri"/>
                      <w:b/>
                      <w:bCs/>
                      <w:color w:val="000000"/>
                      <w:sz w:val="18"/>
                      <w:szCs w:val="18"/>
                      <w:lang w:eastAsia="el-GR"/>
                    </w:rPr>
                  </w:pPr>
                  <w:r w:rsidRPr="00D17235">
                    <w:rPr>
                      <w:rFonts w:eastAsia="Times New Roman" w:cs="Calibri"/>
                      <w:b/>
                      <w:bCs/>
                      <w:color w:val="000000"/>
                      <w:sz w:val="18"/>
                      <w:szCs w:val="18"/>
                      <w:lang w:eastAsia="el-GR"/>
                    </w:rPr>
                    <w:t>Πρωτογενές Αποτέλεσμα σε όρους ενισχυμένης εποπτείας / ΣΧΔ</w:t>
                  </w:r>
                </w:p>
              </w:tc>
              <w:tc>
                <w:tcPr>
                  <w:tcW w:w="869" w:type="dxa"/>
                  <w:tcBorders>
                    <w:top w:val="nil"/>
                    <w:left w:val="nil"/>
                    <w:bottom w:val="nil"/>
                    <w:right w:val="nil"/>
                  </w:tcBorders>
                  <w:shd w:val="clear" w:color="000000" w:fill="F2F2F2"/>
                  <w:vAlign w:val="center"/>
                  <w:hideMark/>
                </w:tcPr>
                <w:p w14:paraId="24C01294" w14:textId="77777777" w:rsidR="00D17235" w:rsidRPr="00416466" w:rsidRDefault="00D17235" w:rsidP="00D17235">
                  <w:pPr>
                    <w:spacing w:after="0" w:line="240" w:lineRule="auto"/>
                    <w:jc w:val="center"/>
                    <w:rPr>
                      <w:rFonts w:eastAsia="Times New Roman" w:cs="Calibri"/>
                      <w:b/>
                      <w:iCs/>
                      <w:color w:val="000000"/>
                      <w:sz w:val="18"/>
                      <w:szCs w:val="18"/>
                      <w:lang w:eastAsia="el-GR"/>
                    </w:rPr>
                  </w:pPr>
                  <w:r w:rsidRPr="00416466">
                    <w:rPr>
                      <w:rFonts w:eastAsia="Times New Roman" w:cs="Calibri"/>
                      <w:b/>
                      <w:iCs/>
                      <w:color w:val="000000"/>
                      <w:sz w:val="18"/>
                      <w:szCs w:val="18"/>
                      <w:lang w:eastAsia="el-GR"/>
                    </w:rPr>
                    <w:t>6.560</w:t>
                  </w:r>
                </w:p>
              </w:tc>
              <w:tc>
                <w:tcPr>
                  <w:tcW w:w="1145" w:type="dxa"/>
                  <w:tcBorders>
                    <w:top w:val="nil"/>
                    <w:left w:val="nil"/>
                    <w:bottom w:val="nil"/>
                    <w:right w:val="nil"/>
                  </w:tcBorders>
                  <w:shd w:val="clear" w:color="000000" w:fill="F2F2F2"/>
                  <w:vAlign w:val="center"/>
                  <w:hideMark/>
                </w:tcPr>
                <w:p w14:paraId="77958264" w14:textId="77777777" w:rsidR="00D17235" w:rsidRPr="00416466" w:rsidRDefault="00D17235" w:rsidP="00D17235">
                  <w:pPr>
                    <w:spacing w:after="0" w:line="240" w:lineRule="auto"/>
                    <w:jc w:val="center"/>
                    <w:rPr>
                      <w:rFonts w:eastAsia="Times New Roman" w:cs="Calibri"/>
                      <w:b/>
                      <w:iCs/>
                      <w:color w:val="000000"/>
                      <w:sz w:val="18"/>
                      <w:szCs w:val="18"/>
                      <w:lang w:eastAsia="el-GR"/>
                    </w:rPr>
                  </w:pPr>
                  <w:r w:rsidRPr="00416466">
                    <w:rPr>
                      <w:rFonts w:eastAsia="Times New Roman" w:cs="Calibri"/>
                      <w:b/>
                      <w:iCs/>
                      <w:color w:val="000000"/>
                      <w:sz w:val="18"/>
                      <w:szCs w:val="18"/>
                      <w:lang w:eastAsia="el-GR"/>
                    </w:rPr>
                    <w:t>7.442</w:t>
                  </w:r>
                </w:p>
              </w:tc>
              <w:tc>
                <w:tcPr>
                  <w:tcW w:w="1242" w:type="dxa"/>
                  <w:tcBorders>
                    <w:top w:val="nil"/>
                    <w:left w:val="nil"/>
                    <w:bottom w:val="nil"/>
                    <w:right w:val="nil"/>
                  </w:tcBorders>
                  <w:shd w:val="clear" w:color="000000" w:fill="F2F2F2"/>
                  <w:vAlign w:val="center"/>
                  <w:hideMark/>
                </w:tcPr>
                <w:p w14:paraId="3DB8333C" w14:textId="77777777" w:rsidR="00D17235" w:rsidRPr="00416466" w:rsidRDefault="00D17235" w:rsidP="00D17235">
                  <w:pPr>
                    <w:spacing w:after="0" w:line="240" w:lineRule="auto"/>
                    <w:jc w:val="center"/>
                    <w:rPr>
                      <w:rFonts w:eastAsia="Times New Roman" w:cs="Calibri"/>
                      <w:b/>
                      <w:iCs/>
                      <w:color w:val="000000"/>
                      <w:sz w:val="18"/>
                      <w:szCs w:val="18"/>
                      <w:lang w:eastAsia="el-GR"/>
                    </w:rPr>
                  </w:pPr>
                  <w:r w:rsidRPr="00416466">
                    <w:rPr>
                      <w:rFonts w:eastAsia="Times New Roman" w:cs="Calibri"/>
                      <w:b/>
                      <w:iCs/>
                      <w:color w:val="000000"/>
                      <w:sz w:val="18"/>
                      <w:szCs w:val="18"/>
                      <w:lang w:eastAsia="el-GR"/>
                    </w:rPr>
                    <w:t>7.684</w:t>
                  </w:r>
                </w:p>
              </w:tc>
              <w:tc>
                <w:tcPr>
                  <w:tcW w:w="1123" w:type="dxa"/>
                  <w:tcBorders>
                    <w:top w:val="nil"/>
                    <w:left w:val="nil"/>
                    <w:bottom w:val="nil"/>
                    <w:right w:val="nil"/>
                  </w:tcBorders>
                  <w:shd w:val="clear" w:color="000000" w:fill="F2F2F2"/>
                  <w:noWrap/>
                  <w:vAlign w:val="center"/>
                  <w:hideMark/>
                </w:tcPr>
                <w:p w14:paraId="5E9256D8" w14:textId="77777777" w:rsidR="00D17235" w:rsidRPr="00416466" w:rsidRDefault="00D17235" w:rsidP="00D17235">
                  <w:pPr>
                    <w:spacing w:after="0" w:line="240" w:lineRule="auto"/>
                    <w:jc w:val="center"/>
                    <w:rPr>
                      <w:rFonts w:eastAsia="Times New Roman" w:cs="Calibri"/>
                      <w:b/>
                      <w:iCs/>
                      <w:color w:val="000000"/>
                      <w:sz w:val="18"/>
                      <w:szCs w:val="18"/>
                      <w:lang w:eastAsia="el-GR"/>
                    </w:rPr>
                  </w:pPr>
                  <w:r w:rsidRPr="00416466">
                    <w:rPr>
                      <w:rFonts w:eastAsia="Times New Roman" w:cs="Calibri"/>
                      <w:b/>
                      <w:iCs/>
                      <w:color w:val="000000"/>
                      <w:sz w:val="18"/>
                      <w:szCs w:val="18"/>
                      <w:lang w:eastAsia="el-GR"/>
                    </w:rPr>
                    <w:t>6.613</w:t>
                  </w:r>
                </w:p>
              </w:tc>
              <w:tc>
                <w:tcPr>
                  <w:tcW w:w="1225" w:type="dxa"/>
                  <w:tcBorders>
                    <w:top w:val="nil"/>
                    <w:left w:val="nil"/>
                    <w:bottom w:val="nil"/>
                    <w:right w:val="nil"/>
                  </w:tcBorders>
                  <w:shd w:val="clear" w:color="000000" w:fill="F2F2F2"/>
                  <w:vAlign w:val="center"/>
                  <w:hideMark/>
                </w:tcPr>
                <w:p w14:paraId="2F1A7257" w14:textId="77777777" w:rsidR="00D17235" w:rsidRPr="00416466" w:rsidRDefault="00D17235" w:rsidP="00D17235">
                  <w:pPr>
                    <w:spacing w:after="0" w:line="240" w:lineRule="auto"/>
                    <w:jc w:val="center"/>
                    <w:rPr>
                      <w:rFonts w:eastAsia="Times New Roman" w:cs="Calibri"/>
                      <w:b/>
                      <w:iCs/>
                      <w:color w:val="000000"/>
                      <w:sz w:val="18"/>
                      <w:szCs w:val="18"/>
                      <w:lang w:eastAsia="el-GR"/>
                    </w:rPr>
                  </w:pPr>
                  <w:r w:rsidRPr="00416466">
                    <w:rPr>
                      <w:rFonts w:eastAsia="Times New Roman" w:cs="Calibri"/>
                      <w:b/>
                      <w:iCs/>
                      <w:color w:val="000000"/>
                      <w:sz w:val="18"/>
                      <w:szCs w:val="18"/>
                      <w:lang w:eastAsia="el-GR"/>
                    </w:rPr>
                    <w:t>-12.494</w:t>
                  </w:r>
                </w:p>
              </w:tc>
            </w:tr>
            <w:tr w:rsidR="00D17235" w:rsidRPr="00D17235" w14:paraId="0F55E13B" w14:textId="77777777" w:rsidTr="00D17235">
              <w:trPr>
                <w:trHeight w:val="277"/>
              </w:trPr>
              <w:tc>
                <w:tcPr>
                  <w:tcW w:w="2374" w:type="dxa"/>
                  <w:tcBorders>
                    <w:top w:val="nil"/>
                    <w:left w:val="nil"/>
                    <w:bottom w:val="single" w:sz="8" w:space="0" w:color="auto"/>
                    <w:right w:val="nil"/>
                  </w:tcBorders>
                  <w:shd w:val="clear" w:color="auto" w:fill="auto"/>
                  <w:noWrap/>
                  <w:vAlign w:val="center"/>
                  <w:hideMark/>
                </w:tcPr>
                <w:p w14:paraId="5650D7B2" w14:textId="77777777" w:rsidR="00D17235" w:rsidRPr="00D17235" w:rsidRDefault="00D17235" w:rsidP="00D17235">
                  <w:pPr>
                    <w:spacing w:after="0" w:line="240" w:lineRule="auto"/>
                    <w:jc w:val="left"/>
                    <w:rPr>
                      <w:rFonts w:eastAsia="Times New Roman" w:cs="Calibri"/>
                      <w:color w:val="auto"/>
                      <w:sz w:val="18"/>
                      <w:szCs w:val="18"/>
                      <w:lang w:eastAsia="el-GR"/>
                    </w:rPr>
                  </w:pPr>
                  <w:r w:rsidRPr="00D17235">
                    <w:rPr>
                      <w:rFonts w:eastAsia="Times New Roman" w:cs="Calibri"/>
                      <w:color w:val="auto"/>
                      <w:sz w:val="18"/>
                      <w:szCs w:val="18"/>
                      <w:lang w:eastAsia="el-GR"/>
                    </w:rPr>
                    <w:t>ως ποσοστό του ΑΕΠ</w:t>
                  </w:r>
                </w:p>
              </w:tc>
              <w:tc>
                <w:tcPr>
                  <w:tcW w:w="869" w:type="dxa"/>
                  <w:tcBorders>
                    <w:top w:val="nil"/>
                    <w:left w:val="nil"/>
                    <w:bottom w:val="single" w:sz="8" w:space="0" w:color="auto"/>
                    <w:right w:val="nil"/>
                  </w:tcBorders>
                  <w:shd w:val="clear" w:color="auto" w:fill="auto"/>
                  <w:noWrap/>
                  <w:vAlign w:val="center"/>
                  <w:hideMark/>
                </w:tcPr>
                <w:p w14:paraId="766FA865" w14:textId="77777777" w:rsidR="00D17235" w:rsidRPr="00416466" w:rsidRDefault="00D17235" w:rsidP="00D17235">
                  <w:pPr>
                    <w:spacing w:after="0" w:line="240" w:lineRule="auto"/>
                    <w:jc w:val="center"/>
                    <w:rPr>
                      <w:rFonts w:eastAsia="Times New Roman" w:cs="Calibri"/>
                      <w:color w:val="auto"/>
                      <w:sz w:val="18"/>
                      <w:szCs w:val="18"/>
                      <w:lang w:eastAsia="el-GR"/>
                    </w:rPr>
                  </w:pPr>
                  <w:r w:rsidRPr="00416466">
                    <w:rPr>
                      <w:rFonts w:eastAsia="Times New Roman" w:cs="Calibri"/>
                      <w:color w:val="auto"/>
                      <w:sz w:val="18"/>
                      <w:szCs w:val="18"/>
                      <w:lang w:eastAsia="el-GR"/>
                    </w:rPr>
                    <w:t>3,7%</w:t>
                  </w:r>
                </w:p>
              </w:tc>
              <w:tc>
                <w:tcPr>
                  <w:tcW w:w="1145" w:type="dxa"/>
                  <w:tcBorders>
                    <w:top w:val="nil"/>
                    <w:left w:val="nil"/>
                    <w:bottom w:val="single" w:sz="8" w:space="0" w:color="auto"/>
                    <w:right w:val="nil"/>
                  </w:tcBorders>
                  <w:shd w:val="clear" w:color="auto" w:fill="auto"/>
                  <w:noWrap/>
                  <w:vAlign w:val="center"/>
                  <w:hideMark/>
                </w:tcPr>
                <w:p w14:paraId="349C17A3" w14:textId="77777777" w:rsidR="00D17235" w:rsidRPr="00416466" w:rsidRDefault="00D17235" w:rsidP="00D17235">
                  <w:pPr>
                    <w:spacing w:after="0" w:line="240" w:lineRule="auto"/>
                    <w:jc w:val="center"/>
                    <w:rPr>
                      <w:rFonts w:eastAsia="Times New Roman" w:cs="Calibri"/>
                      <w:color w:val="auto"/>
                      <w:sz w:val="18"/>
                      <w:szCs w:val="18"/>
                      <w:lang w:eastAsia="el-GR"/>
                    </w:rPr>
                  </w:pPr>
                  <w:r w:rsidRPr="00416466">
                    <w:rPr>
                      <w:rFonts w:eastAsia="Times New Roman" w:cs="Calibri"/>
                      <w:color w:val="auto"/>
                      <w:sz w:val="18"/>
                      <w:szCs w:val="18"/>
                      <w:lang w:eastAsia="el-GR"/>
                    </w:rPr>
                    <w:t>4,1%</w:t>
                  </w:r>
                </w:p>
              </w:tc>
              <w:tc>
                <w:tcPr>
                  <w:tcW w:w="1242" w:type="dxa"/>
                  <w:tcBorders>
                    <w:top w:val="nil"/>
                    <w:left w:val="nil"/>
                    <w:bottom w:val="single" w:sz="8" w:space="0" w:color="auto"/>
                    <w:right w:val="nil"/>
                  </w:tcBorders>
                  <w:shd w:val="clear" w:color="auto" w:fill="auto"/>
                  <w:noWrap/>
                  <w:vAlign w:val="center"/>
                  <w:hideMark/>
                </w:tcPr>
                <w:p w14:paraId="6343A63F" w14:textId="77777777" w:rsidR="00D17235" w:rsidRPr="00416466" w:rsidRDefault="00D17235" w:rsidP="00D17235">
                  <w:pPr>
                    <w:spacing w:after="0" w:line="240" w:lineRule="auto"/>
                    <w:jc w:val="center"/>
                    <w:rPr>
                      <w:rFonts w:eastAsia="Times New Roman" w:cs="Calibri"/>
                      <w:color w:val="000000"/>
                      <w:sz w:val="18"/>
                      <w:szCs w:val="18"/>
                      <w:lang w:eastAsia="el-GR"/>
                    </w:rPr>
                  </w:pPr>
                  <w:r w:rsidRPr="00416466">
                    <w:rPr>
                      <w:rFonts w:eastAsia="Times New Roman" w:cs="Calibri"/>
                      <w:color w:val="000000"/>
                      <w:sz w:val="18"/>
                      <w:szCs w:val="18"/>
                      <w:lang w:eastAsia="el-GR"/>
                    </w:rPr>
                    <w:t>4,2%</w:t>
                  </w:r>
                </w:p>
              </w:tc>
              <w:tc>
                <w:tcPr>
                  <w:tcW w:w="1123" w:type="dxa"/>
                  <w:tcBorders>
                    <w:top w:val="nil"/>
                    <w:left w:val="nil"/>
                    <w:bottom w:val="single" w:sz="8" w:space="0" w:color="auto"/>
                    <w:right w:val="nil"/>
                  </w:tcBorders>
                  <w:shd w:val="clear" w:color="auto" w:fill="auto"/>
                  <w:noWrap/>
                  <w:vAlign w:val="center"/>
                  <w:hideMark/>
                </w:tcPr>
                <w:p w14:paraId="354DBD84" w14:textId="77777777" w:rsidR="00D17235" w:rsidRPr="00416466" w:rsidRDefault="00D17235" w:rsidP="00D17235">
                  <w:pPr>
                    <w:spacing w:after="0" w:line="240" w:lineRule="auto"/>
                    <w:jc w:val="center"/>
                    <w:rPr>
                      <w:rFonts w:eastAsia="Times New Roman" w:cs="Calibri"/>
                      <w:i/>
                      <w:iCs/>
                      <w:color w:val="000000"/>
                      <w:sz w:val="18"/>
                      <w:szCs w:val="18"/>
                      <w:lang w:eastAsia="el-GR"/>
                    </w:rPr>
                  </w:pPr>
                  <w:r w:rsidRPr="00416466">
                    <w:rPr>
                      <w:rFonts w:eastAsia="Times New Roman" w:cs="Calibri"/>
                      <w:i/>
                      <w:iCs/>
                      <w:color w:val="000000"/>
                      <w:sz w:val="18"/>
                      <w:szCs w:val="18"/>
                      <w:lang w:eastAsia="el-GR"/>
                    </w:rPr>
                    <w:t>3,6%</w:t>
                  </w:r>
                </w:p>
              </w:tc>
              <w:tc>
                <w:tcPr>
                  <w:tcW w:w="1225" w:type="dxa"/>
                  <w:tcBorders>
                    <w:top w:val="nil"/>
                    <w:left w:val="nil"/>
                    <w:bottom w:val="single" w:sz="8" w:space="0" w:color="auto"/>
                    <w:right w:val="nil"/>
                  </w:tcBorders>
                  <w:shd w:val="clear" w:color="auto" w:fill="auto"/>
                  <w:noWrap/>
                  <w:vAlign w:val="bottom"/>
                  <w:hideMark/>
                </w:tcPr>
                <w:p w14:paraId="026C49BF" w14:textId="77777777" w:rsidR="00D17235" w:rsidRPr="00416466" w:rsidRDefault="00D17235" w:rsidP="00D17235">
                  <w:pPr>
                    <w:spacing w:after="0" w:line="240" w:lineRule="auto"/>
                    <w:jc w:val="center"/>
                    <w:rPr>
                      <w:rFonts w:eastAsia="Times New Roman" w:cs="Calibri"/>
                      <w:color w:val="000000"/>
                      <w:sz w:val="18"/>
                      <w:szCs w:val="18"/>
                      <w:lang w:eastAsia="el-GR"/>
                    </w:rPr>
                  </w:pPr>
                  <w:r w:rsidRPr="00416466">
                    <w:rPr>
                      <w:rFonts w:eastAsia="Times New Roman" w:cs="Calibri"/>
                      <w:color w:val="000000"/>
                      <w:sz w:val="18"/>
                      <w:szCs w:val="18"/>
                      <w:lang w:eastAsia="el-GR"/>
                    </w:rPr>
                    <w:t>-7,5%</w:t>
                  </w:r>
                </w:p>
              </w:tc>
            </w:tr>
          </w:tbl>
          <w:p w14:paraId="6CAE5ACB" w14:textId="77777777" w:rsidR="00D17235" w:rsidRPr="00D17235" w:rsidRDefault="00D17235" w:rsidP="00D17235">
            <w:pPr>
              <w:spacing w:after="120"/>
              <w:rPr>
                <w:rFonts w:eastAsia="Calibri" w:cs="Times New Roman"/>
                <w:iCs/>
                <w:color w:val="auto"/>
                <w:sz w:val="16"/>
                <w:szCs w:val="16"/>
              </w:rPr>
            </w:pPr>
            <w:r w:rsidRPr="00D17235">
              <w:rPr>
                <w:rFonts w:eastAsia="Calibri" w:cs="Times New Roman"/>
                <w:iCs/>
                <w:sz w:val="16"/>
                <w:szCs w:val="16"/>
              </w:rPr>
              <w:t>Πηγή:</w:t>
            </w:r>
            <w:r w:rsidRPr="00D17235">
              <w:rPr>
                <w:rFonts w:eastAsia="Calibri" w:cs="Times New Roman"/>
                <w:iCs/>
                <w:color w:val="auto"/>
                <w:sz w:val="16"/>
                <w:szCs w:val="16"/>
              </w:rPr>
              <w:t xml:space="preserve">  </w:t>
            </w:r>
            <w:r w:rsidRPr="00D17235">
              <w:rPr>
                <w:rFonts w:eastAsia="Calibri" w:cs="Times New Roman"/>
                <w:iCs/>
                <w:color w:val="00B0F0"/>
                <w:sz w:val="16"/>
                <w:szCs w:val="16"/>
              </w:rPr>
              <w:t>Ελληνική Στατιστική Αρχή , επεξεργασία στοιχείων δελτίων μηνιαίας εκτέλεσης προϋπολογισμού Γενικής Κυβέρνησης 2016-2020</w:t>
            </w:r>
          </w:p>
          <w:p w14:paraId="36A1CB29" w14:textId="55283FE8" w:rsidR="00D17235" w:rsidRDefault="00D17235" w:rsidP="00D17235">
            <w:pPr>
              <w:rPr>
                <w:rFonts w:eastAsia="Times New Roman" w:cs="Calibri"/>
                <w:iCs/>
                <w:color w:val="auto"/>
                <w:lang w:eastAsia="el-GR"/>
              </w:rPr>
            </w:pPr>
            <w:r w:rsidRPr="00D17235">
              <w:rPr>
                <w:rFonts w:cstheme="minorHAnsi"/>
                <w:color w:val="000000"/>
              </w:rPr>
              <w:t xml:space="preserve">Αξίζει τέλος να αναφερθεί ότι η ΕΛΣΤΑΤ προχωρά σε κάποιες δημοσιονομικές εγγραφές που δεν έχουν επίπτωση πάνω στο τελικό αποτέλεσμα, αλλά επηρεάζουν τόσο </w:t>
            </w:r>
            <w:r w:rsidRPr="00416466">
              <w:rPr>
                <w:rFonts w:cstheme="minorHAnsi"/>
                <w:color w:val="auto"/>
              </w:rPr>
              <w:t xml:space="preserve">τα έσοδα όσο και τις δαπάνες. Για παράδειγμα, υπάρχει μια εμφανέστατη διαφορά μεταξύ εσόδων κατά </w:t>
            </w:r>
            <w:r w:rsidRPr="00416466">
              <w:rPr>
                <w:rFonts w:cstheme="minorHAnsi"/>
                <w:color w:val="auto"/>
                <w:lang w:val="en-US"/>
              </w:rPr>
              <w:t>ESA</w:t>
            </w:r>
            <w:r w:rsidRPr="00416466">
              <w:rPr>
                <w:rFonts w:cstheme="minorHAnsi"/>
                <w:color w:val="auto"/>
              </w:rPr>
              <w:t xml:space="preserve"> και εσόδων ταμειακών (περίπου 9 δισ. ευρώ για το 2020) (</w:t>
            </w:r>
            <w:r w:rsidRPr="00416466">
              <w:rPr>
                <w:rFonts w:cstheme="minorHAnsi"/>
                <w:i/>
                <w:color w:val="auto"/>
              </w:rPr>
              <w:fldChar w:fldCharType="begin"/>
            </w:r>
            <w:r w:rsidRPr="00416466">
              <w:rPr>
                <w:rFonts w:cstheme="minorHAnsi"/>
                <w:i/>
                <w:color w:val="auto"/>
              </w:rPr>
              <w:instrText xml:space="preserve"> REF _Ref72344346 \h </w:instrText>
            </w:r>
            <w:r w:rsidR="00416466" w:rsidRPr="00416466">
              <w:rPr>
                <w:rFonts w:cstheme="minorHAnsi"/>
                <w:i/>
                <w:color w:val="auto"/>
              </w:rPr>
              <w:instrText xml:space="preserve"> \* MERGEFORMAT </w:instrText>
            </w:r>
            <w:r w:rsidRPr="00416466">
              <w:rPr>
                <w:rFonts w:cstheme="minorHAnsi"/>
                <w:i/>
                <w:color w:val="auto"/>
              </w:rPr>
            </w:r>
            <w:r w:rsidRPr="00416466">
              <w:rPr>
                <w:rFonts w:cstheme="minorHAnsi"/>
                <w:i/>
                <w:color w:val="auto"/>
              </w:rPr>
              <w:fldChar w:fldCharType="separate"/>
            </w:r>
            <w:r w:rsidR="00CC05A7" w:rsidRPr="00CC05A7">
              <w:rPr>
                <w:i/>
                <w:color w:val="auto"/>
              </w:rPr>
              <w:t xml:space="preserve">Πίνακας </w:t>
            </w:r>
            <w:r w:rsidR="00CC05A7" w:rsidRPr="00CC05A7">
              <w:rPr>
                <w:i/>
                <w:noProof/>
                <w:color w:val="auto"/>
              </w:rPr>
              <w:t>10</w:t>
            </w:r>
            <w:r w:rsidRPr="00416466">
              <w:rPr>
                <w:rFonts w:cstheme="minorHAnsi"/>
                <w:i/>
                <w:color w:val="auto"/>
              </w:rPr>
              <w:fldChar w:fldCharType="end"/>
            </w:r>
            <w:r w:rsidRPr="00416466">
              <w:rPr>
                <w:rFonts w:cstheme="minorHAnsi"/>
                <w:color w:val="auto"/>
              </w:rPr>
              <w:t xml:space="preserve">). Αυτό συμβαίνει </w:t>
            </w:r>
            <w:r w:rsidRPr="00D17235">
              <w:rPr>
                <w:rFonts w:cstheme="minorHAnsi"/>
                <w:color w:val="000000"/>
              </w:rPr>
              <w:t xml:space="preserve">διότι προστίθενται κάποια τεκμαρτά έσοδα (π.χ. των ασφαλιστικών ταμείων) κατά τρόπο τεκμαρτό και αντιλογίζονται φυσικά με μια αντίστοιχη αύξηση των δαπανών.  </w:t>
            </w:r>
          </w:p>
          <w:p w14:paraId="1A5BBCA3" w14:textId="1D25B391" w:rsidR="00D17235" w:rsidRPr="00D17235" w:rsidRDefault="00D17235" w:rsidP="00D17235">
            <w:pPr>
              <w:spacing w:after="60"/>
              <w:ind w:left="169" w:hanging="169"/>
              <w:rPr>
                <w:rFonts w:eastAsia="Calibri" w:cs="Times New Roman"/>
                <w:iCs/>
                <w:color w:val="auto"/>
                <w:sz w:val="20"/>
                <w:szCs w:val="20"/>
              </w:rPr>
            </w:pPr>
            <w:bookmarkStart w:id="140" w:name="_Ref72344437"/>
            <w:bookmarkStart w:id="141" w:name="_Ref12884054"/>
            <w:bookmarkStart w:id="142" w:name="_Toc42277320"/>
            <w:bookmarkStart w:id="143" w:name="_Toc73435772"/>
            <w:r w:rsidRPr="00D17235">
              <w:rPr>
                <w:sz w:val="20"/>
                <w:szCs w:val="20"/>
              </w:rPr>
              <w:t xml:space="preserve">Πίνακας </w:t>
            </w:r>
            <w:r w:rsidRPr="00D17235">
              <w:rPr>
                <w:sz w:val="20"/>
                <w:szCs w:val="20"/>
              </w:rPr>
              <w:fldChar w:fldCharType="begin"/>
            </w:r>
            <w:r w:rsidRPr="00D17235">
              <w:rPr>
                <w:sz w:val="20"/>
                <w:szCs w:val="20"/>
              </w:rPr>
              <w:instrText xml:space="preserve"> SEQ Πίνακας \* ARABIC </w:instrText>
            </w:r>
            <w:r w:rsidRPr="00D17235">
              <w:rPr>
                <w:sz w:val="20"/>
                <w:szCs w:val="20"/>
              </w:rPr>
              <w:fldChar w:fldCharType="separate"/>
            </w:r>
            <w:r w:rsidR="00CC05A7">
              <w:rPr>
                <w:noProof/>
                <w:sz w:val="20"/>
                <w:szCs w:val="20"/>
              </w:rPr>
              <w:t>11</w:t>
            </w:r>
            <w:r w:rsidRPr="00D17235">
              <w:rPr>
                <w:sz w:val="20"/>
                <w:szCs w:val="20"/>
              </w:rPr>
              <w:fldChar w:fldCharType="end"/>
            </w:r>
            <w:bookmarkEnd w:id="140"/>
            <w:r w:rsidRPr="00D17235">
              <w:rPr>
                <w:sz w:val="20"/>
                <w:szCs w:val="20"/>
              </w:rPr>
              <w:t xml:space="preserve">: </w:t>
            </w:r>
            <w:bookmarkEnd w:id="141"/>
            <w:r w:rsidRPr="00D17235">
              <w:rPr>
                <w:rFonts w:eastAsia="Calibri" w:cs="Times New Roman"/>
                <w:iCs/>
                <w:color w:val="00A3E0"/>
                <w:sz w:val="20"/>
                <w:szCs w:val="20"/>
              </w:rPr>
              <w:t>Πρωτογενή ελλείμματα 20</w:t>
            </w:r>
            <w:bookmarkEnd w:id="142"/>
            <w:r w:rsidRPr="00D17235">
              <w:rPr>
                <w:rFonts w:eastAsia="Calibri" w:cs="Times New Roman"/>
                <w:iCs/>
                <w:color w:val="00A3E0"/>
                <w:sz w:val="20"/>
                <w:szCs w:val="20"/>
              </w:rPr>
              <w:t>20</w:t>
            </w:r>
            <w:bookmarkEnd w:id="143"/>
          </w:p>
          <w:tbl>
            <w:tblPr>
              <w:tblW w:w="8222" w:type="dxa"/>
              <w:jc w:val="center"/>
              <w:tblLook w:val="04A0" w:firstRow="1" w:lastRow="0" w:firstColumn="1" w:lastColumn="0" w:noHBand="0" w:noVBand="1"/>
            </w:tblPr>
            <w:tblGrid>
              <w:gridCol w:w="2824"/>
              <w:gridCol w:w="1879"/>
              <w:gridCol w:w="1757"/>
              <w:gridCol w:w="1762"/>
            </w:tblGrid>
            <w:tr w:rsidR="00D17235" w:rsidRPr="00D17235" w14:paraId="2A008083" w14:textId="77777777" w:rsidTr="00D07140">
              <w:trPr>
                <w:trHeight w:val="450"/>
                <w:jc w:val="center"/>
              </w:trPr>
              <w:tc>
                <w:tcPr>
                  <w:tcW w:w="2824" w:type="dxa"/>
                  <w:tcBorders>
                    <w:top w:val="single" w:sz="12" w:space="0" w:color="auto"/>
                    <w:left w:val="nil"/>
                    <w:right w:val="nil"/>
                  </w:tcBorders>
                </w:tcPr>
                <w:p w14:paraId="4C607AA0" w14:textId="77777777" w:rsidR="00D17235" w:rsidRPr="00D17235" w:rsidRDefault="00D17235" w:rsidP="00D17235">
                  <w:pPr>
                    <w:spacing w:after="0" w:line="240" w:lineRule="auto"/>
                    <w:rPr>
                      <w:rFonts w:eastAsia="Times New Roman" w:cs="Calibri"/>
                      <w:b/>
                      <w:bCs/>
                      <w:i/>
                      <w:iCs/>
                      <w:sz w:val="20"/>
                      <w:szCs w:val="20"/>
                      <w:highlight w:val="yellow"/>
                      <w:lang w:eastAsia="el-GR"/>
                    </w:rPr>
                  </w:pPr>
                </w:p>
              </w:tc>
              <w:tc>
                <w:tcPr>
                  <w:tcW w:w="5398" w:type="dxa"/>
                  <w:gridSpan w:val="3"/>
                  <w:tcBorders>
                    <w:top w:val="single" w:sz="12" w:space="0" w:color="auto"/>
                    <w:left w:val="nil"/>
                    <w:right w:val="nil"/>
                  </w:tcBorders>
                  <w:vAlign w:val="center"/>
                  <w:hideMark/>
                </w:tcPr>
                <w:p w14:paraId="2C4D3BEB" w14:textId="77777777" w:rsidR="00D17235" w:rsidRPr="00D17235" w:rsidRDefault="00D17235" w:rsidP="00D17235">
                  <w:pPr>
                    <w:spacing w:after="0" w:line="240" w:lineRule="auto"/>
                    <w:rPr>
                      <w:rFonts w:eastAsia="Times New Roman" w:cs="Calibri"/>
                      <w:b/>
                      <w:bCs/>
                      <w:i/>
                      <w:iCs/>
                      <w:sz w:val="20"/>
                      <w:szCs w:val="20"/>
                      <w:highlight w:val="yellow"/>
                      <w:lang w:eastAsia="el-GR"/>
                    </w:rPr>
                  </w:pPr>
                </w:p>
              </w:tc>
            </w:tr>
            <w:tr w:rsidR="00D17235" w:rsidRPr="00D17235" w14:paraId="6A98F221" w14:textId="77777777" w:rsidTr="00D07140">
              <w:trPr>
                <w:trHeight w:val="186"/>
                <w:jc w:val="center"/>
              </w:trPr>
              <w:tc>
                <w:tcPr>
                  <w:tcW w:w="4703" w:type="dxa"/>
                  <w:gridSpan w:val="2"/>
                  <w:shd w:val="clear" w:color="auto" w:fill="auto"/>
                  <w:noWrap/>
                  <w:vAlign w:val="center"/>
                </w:tcPr>
                <w:p w14:paraId="704EE8C5" w14:textId="77777777" w:rsidR="00D17235" w:rsidRPr="00D17235" w:rsidRDefault="00D17235" w:rsidP="00D17235">
                  <w:pPr>
                    <w:spacing w:after="0" w:line="240" w:lineRule="auto"/>
                    <w:jc w:val="center"/>
                    <w:rPr>
                      <w:rFonts w:eastAsia="Times New Roman" w:cs="Calibri"/>
                      <w:b/>
                      <w:bCs/>
                      <w:i/>
                      <w:iCs/>
                      <w:color w:val="auto"/>
                      <w:sz w:val="20"/>
                      <w:szCs w:val="20"/>
                      <w:lang w:eastAsia="el-GR"/>
                    </w:rPr>
                  </w:pPr>
                  <w:r w:rsidRPr="00D17235">
                    <w:rPr>
                      <w:rFonts w:eastAsia="Times New Roman" w:cs="Calibri"/>
                      <w:b/>
                      <w:bCs/>
                      <w:i/>
                      <w:iCs/>
                      <w:color w:val="auto"/>
                      <w:sz w:val="20"/>
                      <w:szCs w:val="20"/>
                      <w:lang w:eastAsia="el-GR"/>
                    </w:rPr>
                    <w:t>Δημοσιονομικό αποτέλεσμα</w:t>
                  </w:r>
                </w:p>
              </w:tc>
              <w:tc>
                <w:tcPr>
                  <w:tcW w:w="1757" w:type="dxa"/>
                </w:tcPr>
                <w:p w14:paraId="1E44BCD6" w14:textId="77777777" w:rsidR="00D17235" w:rsidRPr="00D17235" w:rsidRDefault="00D17235" w:rsidP="00D17235">
                  <w:pPr>
                    <w:spacing w:after="0" w:line="240" w:lineRule="auto"/>
                    <w:jc w:val="center"/>
                    <w:rPr>
                      <w:rFonts w:eastAsia="Times New Roman" w:cs="Calibri"/>
                      <w:color w:val="auto"/>
                      <w:sz w:val="20"/>
                      <w:szCs w:val="20"/>
                      <w:lang w:eastAsia="el-GR"/>
                    </w:rPr>
                  </w:pPr>
                  <w:r w:rsidRPr="00D17235">
                    <w:rPr>
                      <w:rFonts w:eastAsia="Times New Roman" w:cs="Calibri"/>
                      <w:color w:val="auto"/>
                      <w:sz w:val="20"/>
                      <w:szCs w:val="20"/>
                      <w:lang w:eastAsia="el-GR"/>
                    </w:rPr>
                    <w:t>Σε εκατ. ευρώ</w:t>
                  </w:r>
                </w:p>
              </w:tc>
              <w:tc>
                <w:tcPr>
                  <w:tcW w:w="1762" w:type="dxa"/>
                  <w:shd w:val="clear" w:color="auto" w:fill="auto"/>
                  <w:noWrap/>
                  <w:vAlign w:val="center"/>
                </w:tcPr>
                <w:p w14:paraId="4E0D2D8A" w14:textId="77777777" w:rsidR="00D17235" w:rsidRPr="00D17235" w:rsidRDefault="00D17235" w:rsidP="00D17235">
                  <w:pPr>
                    <w:spacing w:after="0" w:line="240" w:lineRule="auto"/>
                    <w:jc w:val="center"/>
                    <w:rPr>
                      <w:rFonts w:eastAsia="Times New Roman" w:cs="Calibri"/>
                      <w:color w:val="auto"/>
                      <w:sz w:val="20"/>
                      <w:szCs w:val="20"/>
                      <w:lang w:eastAsia="el-GR"/>
                    </w:rPr>
                  </w:pPr>
                  <w:r w:rsidRPr="00D17235">
                    <w:rPr>
                      <w:rFonts w:eastAsia="Times New Roman" w:cs="Calibri"/>
                      <w:color w:val="auto"/>
                      <w:sz w:val="20"/>
                      <w:szCs w:val="20"/>
                      <w:lang w:eastAsia="el-GR"/>
                    </w:rPr>
                    <w:t>% του ΑΕΠ</w:t>
                  </w:r>
                </w:p>
              </w:tc>
            </w:tr>
            <w:tr w:rsidR="00D17235" w:rsidRPr="00D17235" w14:paraId="0B28D07D" w14:textId="77777777" w:rsidTr="00D07140">
              <w:trPr>
                <w:trHeight w:val="186"/>
                <w:jc w:val="center"/>
              </w:trPr>
              <w:tc>
                <w:tcPr>
                  <w:tcW w:w="4703" w:type="dxa"/>
                  <w:gridSpan w:val="2"/>
                  <w:tcBorders>
                    <w:bottom w:val="single" w:sz="4" w:space="0" w:color="auto"/>
                  </w:tcBorders>
                  <w:shd w:val="clear" w:color="auto" w:fill="auto"/>
                  <w:noWrap/>
                  <w:vAlign w:val="center"/>
                  <w:hideMark/>
                </w:tcPr>
                <w:p w14:paraId="088DC484" w14:textId="77777777" w:rsidR="00D17235" w:rsidRPr="00D17235" w:rsidRDefault="00D17235" w:rsidP="00D17235">
                  <w:pPr>
                    <w:spacing w:after="0" w:line="240" w:lineRule="auto"/>
                    <w:rPr>
                      <w:rFonts w:eastAsia="Times New Roman" w:cs="Calibri"/>
                      <w:b/>
                      <w:bCs/>
                      <w:i/>
                      <w:iCs/>
                      <w:color w:val="auto"/>
                      <w:sz w:val="20"/>
                      <w:szCs w:val="20"/>
                      <w:highlight w:val="yellow"/>
                      <w:lang w:eastAsia="el-GR"/>
                    </w:rPr>
                  </w:pPr>
                </w:p>
              </w:tc>
              <w:tc>
                <w:tcPr>
                  <w:tcW w:w="1757" w:type="dxa"/>
                  <w:tcBorders>
                    <w:bottom w:val="single" w:sz="4" w:space="0" w:color="auto"/>
                  </w:tcBorders>
                </w:tcPr>
                <w:p w14:paraId="41B8BE57" w14:textId="77777777" w:rsidR="00D17235" w:rsidRPr="00D17235" w:rsidRDefault="00D17235" w:rsidP="00D17235">
                  <w:pPr>
                    <w:spacing w:after="0" w:line="240" w:lineRule="auto"/>
                    <w:jc w:val="center"/>
                    <w:rPr>
                      <w:rFonts w:eastAsia="Times New Roman" w:cs="Calibri"/>
                      <w:color w:val="auto"/>
                      <w:sz w:val="20"/>
                      <w:szCs w:val="20"/>
                      <w:highlight w:val="yellow"/>
                      <w:lang w:eastAsia="el-GR"/>
                    </w:rPr>
                  </w:pPr>
                </w:p>
              </w:tc>
              <w:tc>
                <w:tcPr>
                  <w:tcW w:w="1762" w:type="dxa"/>
                  <w:tcBorders>
                    <w:bottom w:val="single" w:sz="4" w:space="0" w:color="auto"/>
                  </w:tcBorders>
                  <w:shd w:val="clear" w:color="auto" w:fill="auto"/>
                  <w:noWrap/>
                  <w:vAlign w:val="center"/>
                  <w:hideMark/>
                </w:tcPr>
                <w:p w14:paraId="676AE6E5" w14:textId="77777777" w:rsidR="00D17235" w:rsidRPr="00D17235" w:rsidRDefault="00D17235" w:rsidP="00D17235">
                  <w:pPr>
                    <w:spacing w:after="0" w:line="240" w:lineRule="auto"/>
                    <w:jc w:val="center"/>
                    <w:rPr>
                      <w:rFonts w:eastAsia="Times New Roman" w:cs="Calibri"/>
                      <w:color w:val="auto"/>
                      <w:sz w:val="20"/>
                      <w:szCs w:val="20"/>
                      <w:highlight w:val="yellow"/>
                      <w:lang w:eastAsia="el-GR"/>
                    </w:rPr>
                  </w:pPr>
                </w:p>
              </w:tc>
            </w:tr>
            <w:tr w:rsidR="00D17235" w:rsidRPr="00D17235" w14:paraId="1EACE8BA" w14:textId="77777777" w:rsidTr="00D07140">
              <w:trPr>
                <w:trHeight w:val="569"/>
                <w:jc w:val="center"/>
              </w:trPr>
              <w:tc>
                <w:tcPr>
                  <w:tcW w:w="4703" w:type="dxa"/>
                  <w:gridSpan w:val="2"/>
                  <w:shd w:val="clear" w:color="auto" w:fill="auto"/>
                  <w:vAlign w:val="center"/>
                  <w:hideMark/>
                </w:tcPr>
                <w:p w14:paraId="37D2F11A" w14:textId="77777777" w:rsidR="00D17235" w:rsidRPr="00D17235" w:rsidRDefault="00D17235" w:rsidP="00D17235">
                  <w:pPr>
                    <w:spacing w:after="0" w:line="240" w:lineRule="auto"/>
                    <w:jc w:val="center"/>
                    <w:rPr>
                      <w:rFonts w:eastAsia="Times New Roman" w:cs="Calibri"/>
                      <w:iCs/>
                      <w:color w:val="auto"/>
                      <w:sz w:val="20"/>
                      <w:szCs w:val="20"/>
                      <w:highlight w:val="yellow"/>
                      <w:lang w:eastAsia="el-GR"/>
                    </w:rPr>
                  </w:pPr>
                  <w:r w:rsidRPr="00D17235">
                    <w:rPr>
                      <w:rFonts w:eastAsia="Times New Roman" w:cs="Calibri"/>
                      <w:iCs/>
                      <w:color w:val="auto"/>
                      <w:sz w:val="20"/>
                      <w:szCs w:val="20"/>
                      <w:lang w:eastAsia="el-GR"/>
                    </w:rPr>
                    <w:t>Πρωτογενές αποτέλεσμα ΓΚ σε ταμειακή βάση</w:t>
                  </w:r>
                  <w:r w:rsidRPr="00D17235">
                    <w:rPr>
                      <w:rFonts w:eastAsia="Times New Roman" w:cs="Calibri"/>
                      <w:iCs/>
                      <w:color w:val="auto"/>
                      <w:sz w:val="20"/>
                      <w:szCs w:val="20"/>
                      <w:vertAlign w:val="superscript"/>
                      <w:lang w:eastAsia="el-GR"/>
                    </w:rPr>
                    <w:t>Α</w:t>
                  </w:r>
                </w:p>
              </w:tc>
              <w:tc>
                <w:tcPr>
                  <w:tcW w:w="1757" w:type="dxa"/>
                  <w:vAlign w:val="center"/>
                </w:tcPr>
                <w:p w14:paraId="327833EF" w14:textId="77777777" w:rsidR="00D17235" w:rsidRPr="00D17235" w:rsidRDefault="00D17235" w:rsidP="00D17235">
                  <w:pPr>
                    <w:spacing w:after="0" w:line="240" w:lineRule="auto"/>
                    <w:jc w:val="center"/>
                    <w:rPr>
                      <w:rFonts w:eastAsia="Times New Roman" w:cs="Calibri"/>
                      <w:b/>
                      <w:color w:val="auto"/>
                      <w:sz w:val="20"/>
                      <w:szCs w:val="20"/>
                      <w:highlight w:val="yellow"/>
                      <w:lang w:eastAsia="el-GR"/>
                    </w:rPr>
                  </w:pPr>
                  <w:r w:rsidRPr="00D17235">
                    <w:rPr>
                      <w:rFonts w:eastAsia="Times New Roman" w:cs="Calibri"/>
                      <w:b/>
                      <w:color w:val="auto"/>
                      <w:sz w:val="20"/>
                      <w:szCs w:val="18"/>
                      <w:lang w:eastAsia="el-GR"/>
                    </w:rPr>
                    <w:t>-12.551</w:t>
                  </w:r>
                </w:p>
              </w:tc>
              <w:tc>
                <w:tcPr>
                  <w:tcW w:w="1762" w:type="dxa"/>
                  <w:shd w:val="clear" w:color="auto" w:fill="auto"/>
                  <w:vAlign w:val="center"/>
                  <w:hideMark/>
                </w:tcPr>
                <w:p w14:paraId="486D2839" w14:textId="77777777" w:rsidR="00D17235" w:rsidRPr="00D17235" w:rsidRDefault="00D17235" w:rsidP="00D17235">
                  <w:pPr>
                    <w:spacing w:after="0" w:line="240" w:lineRule="auto"/>
                    <w:jc w:val="center"/>
                    <w:rPr>
                      <w:rFonts w:eastAsia="Times New Roman" w:cs="Calibri"/>
                      <w:b/>
                      <w:color w:val="auto"/>
                      <w:sz w:val="20"/>
                      <w:szCs w:val="20"/>
                      <w:highlight w:val="yellow"/>
                      <w:lang w:eastAsia="el-GR"/>
                    </w:rPr>
                  </w:pPr>
                  <w:r w:rsidRPr="00D17235">
                    <w:rPr>
                      <w:rFonts w:eastAsia="Times New Roman" w:cs="Calibri"/>
                      <w:b/>
                      <w:color w:val="auto"/>
                      <w:sz w:val="20"/>
                      <w:szCs w:val="20"/>
                      <w:lang w:eastAsia="el-GR"/>
                    </w:rPr>
                    <w:t>-7,6%</w:t>
                  </w:r>
                </w:p>
              </w:tc>
            </w:tr>
            <w:tr w:rsidR="00D17235" w:rsidRPr="00D17235" w14:paraId="6422D92D" w14:textId="77777777" w:rsidTr="00D07140">
              <w:trPr>
                <w:trHeight w:val="607"/>
                <w:jc w:val="center"/>
              </w:trPr>
              <w:tc>
                <w:tcPr>
                  <w:tcW w:w="4703" w:type="dxa"/>
                  <w:gridSpan w:val="2"/>
                  <w:shd w:val="clear" w:color="auto" w:fill="auto"/>
                  <w:vAlign w:val="center"/>
                  <w:hideMark/>
                </w:tcPr>
                <w:p w14:paraId="6A68EF20" w14:textId="77777777" w:rsidR="00D17235" w:rsidRPr="00D17235" w:rsidRDefault="00D17235" w:rsidP="00D17235">
                  <w:pPr>
                    <w:spacing w:after="0" w:line="240" w:lineRule="auto"/>
                    <w:jc w:val="center"/>
                    <w:rPr>
                      <w:rFonts w:eastAsia="Times New Roman" w:cs="Calibri"/>
                      <w:iCs/>
                      <w:color w:val="auto"/>
                      <w:sz w:val="20"/>
                      <w:szCs w:val="20"/>
                      <w:lang w:eastAsia="el-GR"/>
                    </w:rPr>
                  </w:pPr>
                  <w:r w:rsidRPr="00D17235">
                    <w:rPr>
                      <w:rFonts w:eastAsia="Times New Roman" w:cs="Calibri"/>
                      <w:iCs/>
                      <w:color w:val="auto"/>
                      <w:sz w:val="20"/>
                      <w:szCs w:val="20"/>
                      <w:lang w:eastAsia="el-GR"/>
                    </w:rPr>
                    <w:t>Πρωτογενές αποτέλεσμα ΓΚ σε εθνικολογιστική βάση (κατά ESA 2010)</w:t>
                  </w:r>
                  <w:r w:rsidRPr="00D17235">
                    <w:rPr>
                      <w:rFonts w:eastAsia="Times New Roman" w:cs="Calibri"/>
                      <w:iCs/>
                      <w:color w:val="auto"/>
                      <w:sz w:val="20"/>
                      <w:szCs w:val="20"/>
                      <w:vertAlign w:val="superscript"/>
                      <w:lang w:eastAsia="el-GR"/>
                    </w:rPr>
                    <w:t>Β</w:t>
                  </w:r>
                </w:p>
              </w:tc>
              <w:tc>
                <w:tcPr>
                  <w:tcW w:w="1757" w:type="dxa"/>
                  <w:vAlign w:val="center"/>
                </w:tcPr>
                <w:p w14:paraId="56AA8A5F" w14:textId="77777777" w:rsidR="00D17235" w:rsidRPr="00D17235" w:rsidRDefault="00D17235" w:rsidP="00D17235">
                  <w:pPr>
                    <w:spacing w:after="0" w:line="240" w:lineRule="auto"/>
                    <w:jc w:val="center"/>
                    <w:rPr>
                      <w:rFonts w:eastAsia="Times New Roman" w:cs="Calibri"/>
                      <w:b/>
                      <w:color w:val="auto"/>
                      <w:sz w:val="20"/>
                      <w:szCs w:val="20"/>
                      <w:lang w:eastAsia="el-GR"/>
                    </w:rPr>
                  </w:pPr>
                  <w:r w:rsidRPr="00D17235">
                    <w:rPr>
                      <w:rFonts w:eastAsia="Times New Roman" w:cs="Calibri"/>
                      <w:b/>
                      <w:color w:val="auto"/>
                      <w:sz w:val="20"/>
                      <w:szCs w:val="20"/>
                      <w:lang w:eastAsia="el-GR"/>
                    </w:rPr>
                    <w:t>-11.185</w:t>
                  </w:r>
                </w:p>
              </w:tc>
              <w:tc>
                <w:tcPr>
                  <w:tcW w:w="1762" w:type="dxa"/>
                  <w:shd w:val="clear" w:color="auto" w:fill="auto"/>
                  <w:vAlign w:val="center"/>
                  <w:hideMark/>
                </w:tcPr>
                <w:p w14:paraId="678B3FFE" w14:textId="77777777" w:rsidR="00D17235" w:rsidRPr="00D17235" w:rsidRDefault="00D17235" w:rsidP="00D17235">
                  <w:pPr>
                    <w:spacing w:after="0" w:line="240" w:lineRule="auto"/>
                    <w:jc w:val="center"/>
                    <w:rPr>
                      <w:rFonts w:eastAsia="Times New Roman" w:cs="Calibri"/>
                      <w:b/>
                      <w:color w:val="auto"/>
                      <w:sz w:val="20"/>
                      <w:szCs w:val="20"/>
                      <w:lang w:eastAsia="el-GR"/>
                    </w:rPr>
                  </w:pPr>
                  <w:r w:rsidRPr="00D17235">
                    <w:rPr>
                      <w:rFonts w:eastAsia="Times New Roman" w:cs="Calibri"/>
                      <w:b/>
                      <w:color w:val="auto"/>
                      <w:sz w:val="20"/>
                      <w:szCs w:val="20"/>
                      <w:lang w:eastAsia="el-GR"/>
                    </w:rPr>
                    <w:t>-6,7%</w:t>
                  </w:r>
                </w:p>
              </w:tc>
            </w:tr>
            <w:tr w:rsidR="00D17235" w:rsidRPr="00D17235" w14:paraId="768BE0C7" w14:textId="77777777" w:rsidTr="00D07140">
              <w:trPr>
                <w:trHeight w:val="607"/>
                <w:jc w:val="center"/>
              </w:trPr>
              <w:tc>
                <w:tcPr>
                  <w:tcW w:w="4703" w:type="dxa"/>
                  <w:gridSpan w:val="2"/>
                  <w:tcBorders>
                    <w:bottom w:val="single" w:sz="4" w:space="0" w:color="auto"/>
                  </w:tcBorders>
                  <w:shd w:val="clear" w:color="auto" w:fill="auto"/>
                  <w:vAlign w:val="center"/>
                  <w:hideMark/>
                </w:tcPr>
                <w:p w14:paraId="27F26E63" w14:textId="77777777" w:rsidR="00D17235" w:rsidRPr="00D17235" w:rsidRDefault="00D17235" w:rsidP="00D17235">
                  <w:pPr>
                    <w:spacing w:after="120" w:line="240" w:lineRule="auto"/>
                    <w:jc w:val="center"/>
                    <w:rPr>
                      <w:rFonts w:eastAsia="Times New Roman" w:cs="Calibri"/>
                      <w:iCs/>
                      <w:color w:val="auto"/>
                      <w:sz w:val="20"/>
                      <w:szCs w:val="20"/>
                      <w:lang w:eastAsia="el-GR"/>
                    </w:rPr>
                  </w:pPr>
                  <w:r w:rsidRPr="00D17235">
                    <w:rPr>
                      <w:rFonts w:eastAsia="Times New Roman" w:cs="Calibri"/>
                      <w:iCs/>
                      <w:color w:val="auto"/>
                      <w:sz w:val="20"/>
                      <w:szCs w:val="20"/>
                      <w:lang w:eastAsia="el-GR"/>
                    </w:rPr>
                    <w:t>Πρωτογενές αποτέλεσμα ΓΚ σύμφωνα με τους όρους Ενισχυμένης Εποπτείας</w:t>
                  </w:r>
                  <w:r w:rsidRPr="00D17235">
                    <w:rPr>
                      <w:rFonts w:eastAsia="Times New Roman" w:cs="Calibri"/>
                      <w:iCs/>
                      <w:color w:val="auto"/>
                      <w:sz w:val="20"/>
                      <w:szCs w:val="20"/>
                      <w:vertAlign w:val="superscript"/>
                      <w:lang w:eastAsia="el-GR"/>
                    </w:rPr>
                    <w:t>Γ</w:t>
                  </w:r>
                </w:p>
              </w:tc>
              <w:tc>
                <w:tcPr>
                  <w:tcW w:w="1757" w:type="dxa"/>
                  <w:tcBorders>
                    <w:bottom w:val="single" w:sz="4" w:space="0" w:color="auto"/>
                  </w:tcBorders>
                  <w:vAlign w:val="center"/>
                </w:tcPr>
                <w:p w14:paraId="1A819A0B" w14:textId="77777777" w:rsidR="00D17235" w:rsidRPr="00D17235" w:rsidRDefault="00D17235" w:rsidP="00D17235">
                  <w:pPr>
                    <w:spacing w:after="0" w:line="240" w:lineRule="auto"/>
                    <w:jc w:val="center"/>
                    <w:rPr>
                      <w:rFonts w:eastAsia="Times New Roman" w:cs="Calibri"/>
                      <w:b/>
                      <w:color w:val="auto"/>
                      <w:sz w:val="20"/>
                      <w:szCs w:val="20"/>
                      <w:lang w:eastAsia="el-GR"/>
                    </w:rPr>
                  </w:pPr>
                  <w:r w:rsidRPr="00D17235">
                    <w:rPr>
                      <w:rFonts w:eastAsia="Times New Roman" w:cs="Calibri"/>
                      <w:b/>
                      <w:color w:val="auto"/>
                      <w:sz w:val="20"/>
                      <w:szCs w:val="20"/>
                      <w:lang w:eastAsia="el-GR"/>
                    </w:rPr>
                    <w:t>-12.494</w:t>
                  </w:r>
                </w:p>
              </w:tc>
              <w:tc>
                <w:tcPr>
                  <w:tcW w:w="1762" w:type="dxa"/>
                  <w:tcBorders>
                    <w:bottom w:val="single" w:sz="4" w:space="0" w:color="auto"/>
                  </w:tcBorders>
                  <w:shd w:val="clear" w:color="auto" w:fill="auto"/>
                  <w:vAlign w:val="center"/>
                  <w:hideMark/>
                </w:tcPr>
                <w:p w14:paraId="78FF55CF" w14:textId="10A584F5" w:rsidR="00D17235" w:rsidRPr="00D17235" w:rsidRDefault="003459B2" w:rsidP="00D17235">
                  <w:pPr>
                    <w:spacing w:after="0" w:line="240" w:lineRule="auto"/>
                    <w:jc w:val="center"/>
                    <w:rPr>
                      <w:rFonts w:eastAsia="Times New Roman" w:cs="Calibri"/>
                      <w:b/>
                      <w:color w:val="auto"/>
                      <w:sz w:val="20"/>
                      <w:szCs w:val="20"/>
                      <w:lang w:eastAsia="el-GR"/>
                    </w:rPr>
                  </w:pPr>
                  <w:r>
                    <w:rPr>
                      <w:rFonts w:eastAsia="Times New Roman" w:cs="Calibri"/>
                      <w:b/>
                      <w:color w:val="auto"/>
                      <w:sz w:val="20"/>
                      <w:szCs w:val="20"/>
                      <w:lang w:eastAsia="el-GR"/>
                    </w:rPr>
                    <w:t>-7,5</w:t>
                  </w:r>
                  <w:r w:rsidR="00D17235" w:rsidRPr="00D17235">
                    <w:rPr>
                      <w:rFonts w:eastAsia="Times New Roman" w:cs="Calibri"/>
                      <w:b/>
                      <w:color w:val="auto"/>
                      <w:sz w:val="20"/>
                      <w:szCs w:val="20"/>
                      <w:lang w:eastAsia="el-GR"/>
                    </w:rPr>
                    <w:t>%</w:t>
                  </w:r>
                </w:p>
              </w:tc>
            </w:tr>
          </w:tbl>
          <w:p w14:paraId="6F3B38C9" w14:textId="77777777" w:rsidR="00D17235" w:rsidRPr="00D17235" w:rsidRDefault="00D17235" w:rsidP="00D17235">
            <w:pPr>
              <w:spacing w:after="160" w:line="259" w:lineRule="auto"/>
              <w:jc w:val="left"/>
              <w:rPr>
                <w:color w:val="00B0F0"/>
                <w:sz w:val="16"/>
                <w:szCs w:val="16"/>
              </w:rPr>
            </w:pPr>
            <w:r w:rsidRPr="00D17235">
              <w:rPr>
                <w:rFonts w:eastAsia="Times New Roman" w:cs="Calibri"/>
                <w:iCs/>
                <w:color w:val="00B0F0"/>
                <w:sz w:val="16"/>
                <w:szCs w:val="16"/>
                <w:lang w:eastAsia="el-GR"/>
              </w:rPr>
              <w:t xml:space="preserve">     </w:t>
            </w:r>
            <w:r w:rsidRPr="00D17235">
              <w:rPr>
                <w:rFonts w:eastAsia="Times New Roman" w:cs="Calibri"/>
                <w:iCs/>
                <w:color w:val="7F7F7F" w:themeColor="text1" w:themeTint="80"/>
                <w:sz w:val="16"/>
                <w:szCs w:val="16"/>
                <w:lang w:eastAsia="el-GR"/>
              </w:rPr>
              <w:t>Πηγή</w:t>
            </w:r>
            <w:r w:rsidRPr="00D17235">
              <w:rPr>
                <w:rFonts w:eastAsia="Times New Roman" w:cs="Calibri"/>
                <w:iCs/>
                <w:color w:val="00B0F0"/>
                <w:sz w:val="16"/>
                <w:szCs w:val="16"/>
                <w:lang w:eastAsia="el-GR"/>
              </w:rPr>
              <w:t>: ΥΠΟΙΚ και ΕΛΣΤΑΤ.</w:t>
            </w:r>
          </w:p>
          <w:p w14:paraId="1B51ADDC" w14:textId="538F246E" w:rsidR="00AC76DA" w:rsidRPr="00AC76DA" w:rsidRDefault="00EF4140" w:rsidP="00EF4140">
            <w:pPr>
              <w:rPr>
                <w:rFonts w:eastAsia="Times New Roman" w:cstheme="minorHAnsi"/>
                <w:b/>
                <w:color w:val="auto"/>
                <w:kern w:val="36"/>
                <w:lang w:eastAsia="el-GR"/>
              </w:rPr>
            </w:pPr>
            <w:r>
              <w:rPr>
                <w:rFonts w:eastAsia="Times New Roman" w:cs="Calibri"/>
                <w:iCs/>
                <w:color w:val="auto"/>
                <w:lang w:eastAsia="el-GR"/>
              </w:rPr>
              <w:t>Η</w:t>
            </w:r>
            <w:r w:rsidRPr="00D17235">
              <w:rPr>
                <w:rFonts w:eastAsia="Times New Roman" w:cs="Calibri"/>
                <w:iCs/>
                <w:color w:val="auto"/>
                <w:lang w:eastAsia="el-GR"/>
              </w:rPr>
              <w:t xml:space="preserve"> δημοσιονομική επίδοση της Γενικής Κυβέρνησης (ΓΚ) το 2020 κατά ESA υπήρξε η χειρότερη τα τελευταία </w:t>
            </w:r>
            <w:r w:rsidRPr="00416466">
              <w:rPr>
                <w:rFonts w:eastAsia="Times New Roman" w:cs="Calibri"/>
                <w:iCs/>
                <w:color w:val="auto"/>
                <w:lang w:eastAsia="el-GR"/>
              </w:rPr>
              <w:t>έτη (</w:t>
            </w:r>
            <w:r w:rsidRPr="00416466">
              <w:rPr>
                <w:rFonts w:eastAsia="Times New Roman" w:cs="Calibri"/>
                <w:i/>
                <w:iCs/>
                <w:color w:val="auto"/>
                <w:lang w:eastAsia="el-GR"/>
              </w:rPr>
              <w:fldChar w:fldCharType="begin"/>
            </w:r>
            <w:r w:rsidRPr="00416466">
              <w:rPr>
                <w:rFonts w:eastAsia="Times New Roman" w:cs="Calibri"/>
                <w:i/>
                <w:iCs/>
                <w:color w:val="auto"/>
                <w:lang w:eastAsia="el-GR"/>
              </w:rPr>
              <w:instrText xml:space="preserve"> REF _Ref72344437 \h  \* MERGEFORMAT </w:instrText>
            </w:r>
            <w:r w:rsidRPr="00416466">
              <w:rPr>
                <w:rFonts w:eastAsia="Times New Roman" w:cs="Calibri"/>
                <w:i/>
                <w:iCs/>
                <w:color w:val="auto"/>
                <w:lang w:eastAsia="el-GR"/>
              </w:rPr>
            </w:r>
            <w:r w:rsidRPr="00416466">
              <w:rPr>
                <w:rFonts w:eastAsia="Times New Roman" w:cs="Calibri"/>
                <w:i/>
                <w:iCs/>
                <w:color w:val="auto"/>
                <w:lang w:eastAsia="el-GR"/>
              </w:rPr>
              <w:fldChar w:fldCharType="separate"/>
            </w:r>
            <w:r w:rsidR="00CC05A7" w:rsidRPr="00CC05A7">
              <w:rPr>
                <w:i/>
                <w:color w:val="auto"/>
              </w:rPr>
              <w:t xml:space="preserve">Πίνακας </w:t>
            </w:r>
            <w:r w:rsidR="00CC05A7" w:rsidRPr="00CC05A7">
              <w:rPr>
                <w:i/>
                <w:noProof/>
                <w:color w:val="auto"/>
              </w:rPr>
              <w:t>11</w:t>
            </w:r>
            <w:r w:rsidRPr="00416466">
              <w:rPr>
                <w:rFonts w:eastAsia="Times New Roman" w:cs="Calibri"/>
                <w:i/>
                <w:iCs/>
                <w:color w:val="auto"/>
                <w:lang w:eastAsia="el-GR"/>
              </w:rPr>
              <w:fldChar w:fldCharType="end"/>
            </w:r>
            <w:r w:rsidRPr="00416466">
              <w:rPr>
                <w:rFonts w:eastAsia="Times New Roman" w:cs="Calibri"/>
                <w:iCs/>
                <w:color w:val="auto"/>
                <w:lang w:eastAsia="el-GR"/>
              </w:rPr>
              <w:t xml:space="preserve">) καθώς σημειώθηκε </w:t>
            </w:r>
            <w:r w:rsidRPr="00D17235">
              <w:rPr>
                <w:rFonts w:eastAsia="Times New Roman" w:cs="Calibri"/>
                <w:iCs/>
                <w:color w:val="auto"/>
                <w:lang w:eastAsia="el-GR"/>
              </w:rPr>
              <w:t>έλλειμμα 16,1 δισ. ευρώ λόγω των οικονομικών επιπτώσεων της πανδημίας. Το δε πρωτογενές αποτέλεσμα ανήλθε στο -6,7% του ΑΕΠ</w:t>
            </w:r>
            <w:r>
              <w:rPr>
                <w:rFonts w:eastAsia="Times New Roman" w:cs="Calibri"/>
                <w:iCs/>
                <w:color w:val="auto"/>
                <w:lang w:eastAsia="el-GR"/>
              </w:rPr>
              <w:t>, ενώ μ</w:t>
            </w:r>
            <w:r w:rsidRPr="00D17235">
              <w:rPr>
                <w:rFonts w:eastAsia="Times New Roman" w:cs="Calibri"/>
                <w:iCs/>
                <w:color w:val="auto"/>
                <w:lang w:eastAsia="el-GR"/>
              </w:rPr>
              <w:t xml:space="preserve">ε βάση τον ορισμό που χρησιμοποιείται στο πλαίσιο της ενισχυμένης εποπτείας (βλέπε εδάφιο Γ. πιο κάτω), το πρωτογενές αποτέλεσμα διαμορφώθηκε  σε -7,5% του ΑΕΠ.  </w:t>
            </w:r>
          </w:p>
        </w:tc>
      </w:tr>
    </w:tbl>
    <w:p w14:paraId="555DF196" w14:textId="4C4903D4" w:rsidR="00AC76DA" w:rsidRDefault="00AC76DA" w:rsidP="00D85054">
      <w:pPr>
        <w:autoSpaceDE w:val="0"/>
        <w:autoSpaceDN w:val="0"/>
        <w:adjustRightInd w:val="0"/>
        <w:rPr>
          <w:rFonts w:cstheme="minorHAnsi"/>
          <w:color w:val="000000"/>
        </w:rPr>
      </w:pPr>
    </w:p>
    <w:p w14:paraId="2824AE5D" w14:textId="77777777" w:rsidR="00A06690" w:rsidRDefault="00A06690" w:rsidP="00D85054">
      <w:pPr>
        <w:autoSpaceDE w:val="0"/>
        <w:autoSpaceDN w:val="0"/>
        <w:adjustRightInd w:val="0"/>
        <w:rPr>
          <w:rFonts w:cstheme="minorHAnsi"/>
          <w:color w:val="000000"/>
        </w:rPr>
      </w:pPr>
    </w:p>
    <w:p w14:paraId="35626C30" w14:textId="4D4E1D4B" w:rsidR="00D85054" w:rsidRPr="000908EA" w:rsidRDefault="000908EA" w:rsidP="000908EA">
      <w:pPr>
        <w:pStyle w:val="a1"/>
        <w:numPr>
          <w:ilvl w:val="1"/>
          <w:numId w:val="3"/>
        </w:numPr>
        <w:ind w:left="0"/>
        <w:rPr>
          <w:sz w:val="28"/>
          <w:szCs w:val="28"/>
        </w:rPr>
      </w:pPr>
      <w:bookmarkStart w:id="144" w:name="_Toc73435749"/>
      <w:r w:rsidRPr="000908EA">
        <w:rPr>
          <w:sz w:val="28"/>
          <w:szCs w:val="28"/>
        </w:rPr>
        <w:t xml:space="preserve">Ταμειακά Αποτελέσματα </w:t>
      </w:r>
      <w:r w:rsidR="00C73338">
        <w:rPr>
          <w:sz w:val="28"/>
          <w:szCs w:val="28"/>
        </w:rPr>
        <w:t>Κ</w:t>
      </w:r>
      <w:r w:rsidR="00D07140">
        <w:rPr>
          <w:sz w:val="28"/>
          <w:szCs w:val="28"/>
        </w:rPr>
        <w:t xml:space="preserve">ρατικού </w:t>
      </w:r>
      <w:r w:rsidR="00C73338">
        <w:rPr>
          <w:sz w:val="28"/>
          <w:szCs w:val="28"/>
        </w:rPr>
        <w:t>Π</w:t>
      </w:r>
      <w:r w:rsidR="00D07140">
        <w:rPr>
          <w:sz w:val="28"/>
          <w:szCs w:val="28"/>
        </w:rPr>
        <w:t>ροϋπολογισμού (ΚΠ)</w:t>
      </w:r>
      <w:r w:rsidRPr="000908EA">
        <w:rPr>
          <w:sz w:val="28"/>
          <w:szCs w:val="28"/>
        </w:rPr>
        <w:t xml:space="preserve"> και </w:t>
      </w:r>
      <w:r w:rsidR="00C73338">
        <w:rPr>
          <w:sz w:val="28"/>
          <w:szCs w:val="28"/>
        </w:rPr>
        <w:t>λοιπών υποτομ</w:t>
      </w:r>
      <w:r w:rsidR="006814B0">
        <w:rPr>
          <w:sz w:val="28"/>
          <w:szCs w:val="28"/>
        </w:rPr>
        <w:t>έω</w:t>
      </w:r>
      <w:r w:rsidR="00C73338">
        <w:rPr>
          <w:sz w:val="28"/>
          <w:szCs w:val="28"/>
        </w:rPr>
        <w:t>ν της ΓΚ για το</w:t>
      </w:r>
      <w:r w:rsidRPr="000908EA">
        <w:rPr>
          <w:sz w:val="28"/>
          <w:szCs w:val="28"/>
        </w:rPr>
        <w:t xml:space="preserve"> 2020</w:t>
      </w:r>
      <w:bookmarkEnd w:id="144"/>
      <w:r w:rsidR="00D85054" w:rsidRPr="000908EA">
        <w:rPr>
          <w:sz w:val="28"/>
          <w:szCs w:val="28"/>
        </w:rPr>
        <w:t xml:space="preserve"> </w:t>
      </w:r>
    </w:p>
    <w:p w14:paraId="42D8D5C0" w14:textId="46B9B778" w:rsidR="00D07140" w:rsidRPr="00D07140" w:rsidRDefault="00D07140" w:rsidP="00D07140">
      <w:pPr>
        <w:pStyle w:val="a2"/>
        <w:numPr>
          <w:ilvl w:val="2"/>
          <w:numId w:val="3"/>
        </w:numPr>
        <w:ind w:left="284"/>
        <w:rPr>
          <w:i/>
          <w:sz w:val="24"/>
          <w:szCs w:val="24"/>
        </w:rPr>
      </w:pPr>
      <w:r>
        <w:rPr>
          <w:i/>
          <w:sz w:val="24"/>
          <w:szCs w:val="24"/>
        </w:rPr>
        <w:t>Κρατικός Προϋπολογισμός 2020</w:t>
      </w:r>
      <w:r w:rsidRPr="00D07140">
        <w:rPr>
          <w:i/>
          <w:sz w:val="24"/>
          <w:szCs w:val="24"/>
        </w:rPr>
        <w:tab/>
        <w:t xml:space="preserve"> </w:t>
      </w:r>
    </w:p>
    <w:p w14:paraId="2FB65454" w14:textId="0BC17F2C" w:rsidR="00D07140" w:rsidRPr="00D07140" w:rsidRDefault="00D07140" w:rsidP="00D07140">
      <w:pPr>
        <w:spacing w:after="160"/>
        <w:rPr>
          <w:color w:val="auto"/>
        </w:rPr>
      </w:pPr>
      <w:r w:rsidRPr="00D07140">
        <w:rPr>
          <w:color w:val="auto"/>
          <w:lang w:val="en-US"/>
        </w:rPr>
        <w:t>To</w:t>
      </w:r>
      <w:r w:rsidRPr="00D07140">
        <w:rPr>
          <w:color w:val="auto"/>
        </w:rPr>
        <w:t xml:space="preserve"> ταμειακό έλλειμμα του κρατικού προϋπολογισμού για το 2020 ανήλθε στο πρωτοφανές για τα τελευταία χρόνια ύψος των 22,8 δισ. ευρώ, ενώ χωρίς να ληφθούν υπόψη οι δαπάνες για τους τόκους, το πρωτογενές έλλειμμα του κρατικού προϋπολογισμού </w:t>
      </w:r>
      <w:r w:rsidR="004D2790">
        <w:rPr>
          <w:color w:val="auto"/>
        </w:rPr>
        <w:t>ξεπέρασε</w:t>
      </w:r>
      <w:r w:rsidRPr="00D07140">
        <w:rPr>
          <w:color w:val="auto"/>
        </w:rPr>
        <w:t xml:space="preserve"> τα 18 δισ. ευρώ ή 10,9% </w:t>
      </w:r>
      <w:r w:rsidR="00416466">
        <w:rPr>
          <w:color w:val="auto"/>
        </w:rPr>
        <w:t>του</w:t>
      </w:r>
      <w:r w:rsidRPr="00D07140">
        <w:rPr>
          <w:color w:val="auto"/>
        </w:rPr>
        <w:t xml:space="preserve"> ΑΕΠ. </w:t>
      </w:r>
    </w:p>
    <w:p w14:paraId="00CDF076" w14:textId="59B93BF1" w:rsidR="00D07140" w:rsidRPr="007D6510" w:rsidRDefault="00D07140" w:rsidP="00D07140">
      <w:pPr>
        <w:spacing w:after="0" w:line="240" w:lineRule="auto"/>
        <w:rPr>
          <w:iCs/>
          <w:color w:val="00B0F0"/>
          <w:sz w:val="20"/>
          <w:szCs w:val="20"/>
        </w:rPr>
      </w:pPr>
      <w:bookmarkStart w:id="145" w:name="_Ref41330204"/>
      <w:bookmarkStart w:id="146" w:name="_Toc43376966"/>
      <w:bookmarkStart w:id="147" w:name="_Toc56167269"/>
      <w:bookmarkStart w:id="148" w:name="_Toc73435773"/>
      <w:r w:rsidRPr="007D6510">
        <w:rPr>
          <w:sz w:val="20"/>
          <w:szCs w:val="20"/>
        </w:rPr>
        <w:t xml:space="preserve">Πίνακας </w:t>
      </w:r>
      <w:r w:rsidRPr="007D6510">
        <w:rPr>
          <w:i/>
          <w:sz w:val="20"/>
          <w:szCs w:val="20"/>
        </w:rPr>
        <w:fldChar w:fldCharType="begin"/>
      </w:r>
      <w:r w:rsidRPr="007D6510">
        <w:rPr>
          <w:sz w:val="20"/>
          <w:szCs w:val="20"/>
        </w:rPr>
        <w:instrText xml:space="preserve"> SEQ Πίνακας \* ARABIC </w:instrText>
      </w:r>
      <w:r w:rsidRPr="007D6510">
        <w:rPr>
          <w:i/>
          <w:sz w:val="20"/>
          <w:szCs w:val="20"/>
        </w:rPr>
        <w:fldChar w:fldCharType="separate"/>
      </w:r>
      <w:r w:rsidR="00CC05A7">
        <w:rPr>
          <w:noProof/>
          <w:sz w:val="20"/>
          <w:szCs w:val="20"/>
        </w:rPr>
        <w:t>12</w:t>
      </w:r>
      <w:r w:rsidRPr="007D6510">
        <w:rPr>
          <w:i/>
          <w:sz w:val="20"/>
          <w:szCs w:val="20"/>
        </w:rPr>
        <w:fldChar w:fldCharType="end"/>
      </w:r>
      <w:r w:rsidRPr="007D6510">
        <w:rPr>
          <w:color w:val="00B0F0"/>
          <w:sz w:val="20"/>
          <w:szCs w:val="20"/>
        </w:rPr>
        <w:t>:</w:t>
      </w:r>
      <w:r w:rsidRPr="007D6510">
        <w:rPr>
          <w:iCs/>
          <w:color w:val="00B0F0"/>
          <w:sz w:val="20"/>
          <w:szCs w:val="20"/>
        </w:rPr>
        <w:t xml:space="preserve"> </w:t>
      </w:r>
      <w:bookmarkEnd w:id="145"/>
      <w:r w:rsidRPr="007D6510">
        <w:rPr>
          <w:iCs/>
          <w:color w:val="00B0F0"/>
          <w:sz w:val="20"/>
          <w:szCs w:val="20"/>
        </w:rPr>
        <w:t>Εκτέλεση Κρατικού Προϋπολογισμού 2019-2020  (εκατ. Ευρώ)</w:t>
      </w:r>
      <w:bookmarkEnd w:id="146"/>
      <w:bookmarkEnd w:id="147"/>
      <w:bookmarkEnd w:id="148"/>
    </w:p>
    <w:tbl>
      <w:tblPr>
        <w:tblW w:w="8617" w:type="dxa"/>
        <w:tblLook w:val="04A0" w:firstRow="1" w:lastRow="0" w:firstColumn="1" w:lastColumn="0" w:noHBand="0" w:noVBand="1"/>
      </w:tblPr>
      <w:tblGrid>
        <w:gridCol w:w="2161"/>
        <w:gridCol w:w="1005"/>
        <w:gridCol w:w="981"/>
        <w:gridCol w:w="1601"/>
        <w:gridCol w:w="1645"/>
        <w:gridCol w:w="1224"/>
      </w:tblGrid>
      <w:tr w:rsidR="00416466" w:rsidRPr="009741B0" w14:paraId="0CBE5C88" w14:textId="77777777" w:rsidTr="00416466">
        <w:trPr>
          <w:trHeight w:val="369"/>
        </w:trPr>
        <w:tc>
          <w:tcPr>
            <w:tcW w:w="2161" w:type="dxa"/>
            <w:vMerge w:val="restart"/>
            <w:tcBorders>
              <w:top w:val="single" w:sz="12" w:space="0" w:color="auto"/>
              <w:left w:val="single" w:sz="4" w:space="0" w:color="auto"/>
              <w:right w:val="single" w:sz="4" w:space="0" w:color="auto"/>
            </w:tcBorders>
            <w:shd w:val="clear" w:color="000000" w:fill="D9E1F2"/>
            <w:vAlign w:val="center"/>
            <w:hideMark/>
          </w:tcPr>
          <w:p w14:paraId="5BBD0E10" w14:textId="77777777" w:rsidR="00416466" w:rsidRPr="009741B0" w:rsidRDefault="00416466" w:rsidP="00D07140">
            <w:pPr>
              <w:spacing w:after="0" w:line="240" w:lineRule="auto"/>
              <w:jc w:val="left"/>
              <w:rPr>
                <w:rFonts w:eastAsia="Times New Roman" w:cs="Calibri"/>
                <w:color w:val="000000"/>
                <w:sz w:val="18"/>
                <w:szCs w:val="18"/>
                <w:lang w:eastAsia="el-GR"/>
              </w:rPr>
            </w:pPr>
            <w:r w:rsidRPr="009741B0">
              <w:rPr>
                <w:rFonts w:eastAsia="Times New Roman" w:cs="Calibri"/>
                <w:color w:val="000000"/>
                <w:sz w:val="18"/>
                <w:szCs w:val="18"/>
                <w:lang w:eastAsia="el-GR"/>
              </w:rPr>
              <w:t> </w:t>
            </w:r>
          </w:p>
          <w:p w14:paraId="778E9F74" w14:textId="7ED16D2D" w:rsidR="00416466" w:rsidRPr="009741B0" w:rsidRDefault="00416466" w:rsidP="00D07140">
            <w:pPr>
              <w:spacing w:after="0" w:line="240" w:lineRule="auto"/>
              <w:jc w:val="center"/>
              <w:rPr>
                <w:rFonts w:eastAsia="Times New Roman" w:cs="Calibri"/>
                <w:color w:val="000000"/>
                <w:sz w:val="18"/>
                <w:szCs w:val="18"/>
                <w:lang w:eastAsia="el-GR"/>
              </w:rPr>
            </w:pPr>
            <w:r w:rsidRPr="009741B0">
              <w:rPr>
                <w:rFonts w:eastAsia="Times New Roman" w:cs="Calibri"/>
                <w:color w:val="000000"/>
                <w:sz w:val="18"/>
                <w:szCs w:val="18"/>
                <w:lang w:eastAsia="el-GR"/>
              </w:rPr>
              <w:t>σε εκατ. € (τροποποιημένη ταμειακή βάση)</w:t>
            </w:r>
          </w:p>
        </w:tc>
        <w:tc>
          <w:tcPr>
            <w:tcW w:w="1005" w:type="dxa"/>
            <w:tcBorders>
              <w:top w:val="single" w:sz="12" w:space="0" w:color="auto"/>
              <w:left w:val="single" w:sz="4" w:space="0" w:color="auto"/>
              <w:bottom w:val="nil"/>
              <w:right w:val="single" w:sz="4" w:space="0" w:color="auto"/>
            </w:tcBorders>
            <w:shd w:val="clear" w:color="000000" w:fill="D9E1F2"/>
            <w:vAlign w:val="center"/>
            <w:hideMark/>
          </w:tcPr>
          <w:p w14:paraId="35881503" w14:textId="77777777" w:rsidR="00416466" w:rsidRPr="009741B0" w:rsidRDefault="00416466" w:rsidP="00D07140">
            <w:pPr>
              <w:spacing w:after="0" w:line="240" w:lineRule="auto"/>
              <w:jc w:val="center"/>
              <w:rPr>
                <w:rFonts w:eastAsia="Times New Roman" w:cs="Calibri"/>
                <w:b/>
                <w:bCs/>
                <w:color w:val="000000"/>
                <w:sz w:val="18"/>
                <w:szCs w:val="18"/>
                <w:lang w:eastAsia="el-GR"/>
              </w:rPr>
            </w:pPr>
            <w:r w:rsidRPr="009741B0">
              <w:rPr>
                <w:rFonts w:eastAsia="Times New Roman" w:cs="Calibri"/>
                <w:b/>
                <w:bCs/>
                <w:color w:val="000000"/>
                <w:sz w:val="18"/>
                <w:szCs w:val="18"/>
                <w:lang w:eastAsia="el-GR"/>
              </w:rPr>
              <w:t>2019</w:t>
            </w:r>
          </w:p>
        </w:tc>
        <w:tc>
          <w:tcPr>
            <w:tcW w:w="2582" w:type="dxa"/>
            <w:gridSpan w:val="2"/>
            <w:tcBorders>
              <w:top w:val="single" w:sz="12" w:space="0" w:color="auto"/>
              <w:left w:val="single" w:sz="4" w:space="0" w:color="auto"/>
              <w:bottom w:val="nil"/>
              <w:right w:val="single" w:sz="4" w:space="0" w:color="auto"/>
            </w:tcBorders>
            <w:shd w:val="clear" w:color="000000" w:fill="D9E1F2"/>
            <w:vAlign w:val="center"/>
            <w:hideMark/>
          </w:tcPr>
          <w:p w14:paraId="409ADA73" w14:textId="77777777" w:rsidR="00416466" w:rsidRPr="009741B0" w:rsidRDefault="00416466" w:rsidP="00D07140">
            <w:pPr>
              <w:spacing w:after="0" w:line="240" w:lineRule="auto"/>
              <w:jc w:val="left"/>
              <w:rPr>
                <w:rFonts w:eastAsia="Times New Roman" w:cs="Calibri"/>
                <w:b/>
                <w:bCs/>
                <w:color w:val="000000"/>
                <w:sz w:val="18"/>
                <w:szCs w:val="18"/>
                <w:lang w:eastAsia="el-GR"/>
              </w:rPr>
            </w:pPr>
            <w:r w:rsidRPr="009741B0">
              <w:rPr>
                <w:rFonts w:eastAsia="Times New Roman" w:cs="Calibri"/>
                <w:b/>
                <w:bCs/>
                <w:color w:val="000000"/>
                <w:sz w:val="18"/>
                <w:szCs w:val="18"/>
                <w:lang w:val="en-US" w:eastAsia="el-GR"/>
              </w:rPr>
              <w:t xml:space="preserve">        </w:t>
            </w:r>
            <w:r w:rsidRPr="009741B0">
              <w:rPr>
                <w:rFonts w:eastAsia="Times New Roman" w:cs="Calibri"/>
                <w:b/>
                <w:bCs/>
                <w:color w:val="000000"/>
                <w:sz w:val="18"/>
                <w:szCs w:val="18"/>
                <w:lang w:eastAsia="el-GR"/>
              </w:rPr>
              <w:t>2020</w:t>
            </w:r>
          </w:p>
        </w:tc>
        <w:tc>
          <w:tcPr>
            <w:tcW w:w="1645" w:type="dxa"/>
            <w:vMerge w:val="restart"/>
            <w:tcBorders>
              <w:top w:val="single" w:sz="12" w:space="0" w:color="auto"/>
              <w:left w:val="single" w:sz="4" w:space="0" w:color="auto"/>
              <w:right w:val="single" w:sz="4" w:space="0" w:color="auto"/>
            </w:tcBorders>
            <w:shd w:val="clear" w:color="000000" w:fill="D9E1F2"/>
            <w:vAlign w:val="center"/>
            <w:hideMark/>
          </w:tcPr>
          <w:p w14:paraId="0FBB36C3" w14:textId="77777777" w:rsidR="00416466" w:rsidRPr="009741B0" w:rsidRDefault="00416466" w:rsidP="00D07140">
            <w:pPr>
              <w:spacing w:after="0" w:line="240" w:lineRule="auto"/>
              <w:jc w:val="center"/>
              <w:rPr>
                <w:rFonts w:eastAsia="Times New Roman" w:cs="Calibri"/>
                <w:color w:val="000000"/>
                <w:sz w:val="18"/>
                <w:szCs w:val="18"/>
                <w:lang w:eastAsia="el-GR"/>
              </w:rPr>
            </w:pPr>
            <w:r w:rsidRPr="009741B0">
              <w:rPr>
                <w:rFonts w:eastAsia="Times New Roman" w:cs="Calibri"/>
                <w:color w:val="000000"/>
                <w:sz w:val="18"/>
                <w:szCs w:val="18"/>
                <w:lang w:eastAsia="el-GR"/>
              </w:rPr>
              <w:t>Απόκλιση από στόχο (έσοδα)/Ποσοστό εκτέλεσης (δαπάνες)</w:t>
            </w:r>
          </w:p>
        </w:tc>
        <w:tc>
          <w:tcPr>
            <w:tcW w:w="1224" w:type="dxa"/>
            <w:vMerge w:val="restart"/>
            <w:tcBorders>
              <w:top w:val="single" w:sz="12" w:space="0" w:color="auto"/>
              <w:left w:val="single" w:sz="4" w:space="0" w:color="auto"/>
              <w:right w:val="single" w:sz="4" w:space="0" w:color="auto"/>
            </w:tcBorders>
            <w:shd w:val="clear" w:color="000000" w:fill="D9E1F2"/>
            <w:vAlign w:val="center"/>
            <w:hideMark/>
          </w:tcPr>
          <w:p w14:paraId="1C30872C" w14:textId="77777777" w:rsidR="00416466" w:rsidRPr="009741B0" w:rsidRDefault="00416466" w:rsidP="00D07140">
            <w:pPr>
              <w:spacing w:after="0" w:line="240" w:lineRule="auto"/>
              <w:jc w:val="center"/>
              <w:rPr>
                <w:rFonts w:eastAsia="Times New Roman" w:cs="Calibri"/>
                <w:color w:val="000000"/>
                <w:sz w:val="18"/>
                <w:szCs w:val="18"/>
                <w:lang w:eastAsia="el-GR"/>
              </w:rPr>
            </w:pPr>
            <w:r w:rsidRPr="009741B0">
              <w:rPr>
                <w:rFonts w:eastAsia="Times New Roman" w:cs="Calibri"/>
                <w:color w:val="000000"/>
                <w:sz w:val="18"/>
                <w:szCs w:val="18"/>
                <w:lang w:eastAsia="el-GR"/>
              </w:rPr>
              <w:t>Πραγ. 2020/2019</w:t>
            </w:r>
          </w:p>
        </w:tc>
      </w:tr>
      <w:tr w:rsidR="00416466" w:rsidRPr="009741B0" w14:paraId="10731499" w14:textId="77777777" w:rsidTr="00416466">
        <w:trPr>
          <w:trHeight w:val="141"/>
        </w:trPr>
        <w:tc>
          <w:tcPr>
            <w:tcW w:w="2161" w:type="dxa"/>
            <w:vMerge/>
            <w:tcBorders>
              <w:left w:val="single" w:sz="4" w:space="0" w:color="auto"/>
              <w:bottom w:val="single" w:sz="12" w:space="0" w:color="auto"/>
              <w:right w:val="single" w:sz="4" w:space="0" w:color="auto"/>
            </w:tcBorders>
            <w:shd w:val="clear" w:color="000000" w:fill="D9E1F2"/>
            <w:vAlign w:val="center"/>
            <w:hideMark/>
          </w:tcPr>
          <w:p w14:paraId="7DF0940F" w14:textId="011D4A6E" w:rsidR="00416466" w:rsidRPr="009741B0" w:rsidRDefault="00416466" w:rsidP="00D07140">
            <w:pPr>
              <w:spacing w:after="0" w:line="240" w:lineRule="auto"/>
              <w:jc w:val="center"/>
              <w:rPr>
                <w:rFonts w:eastAsia="Times New Roman" w:cs="Calibri"/>
                <w:color w:val="000000"/>
                <w:sz w:val="18"/>
                <w:szCs w:val="18"/>
                <w:lang w:eastAsia="el-GR"/>
              </w:rPr>
            </w:pPr>
          </w:p>
        </w:tc>
        <w:tc>
          <w:tcPr>
            <w:tcW w:w="1005" w:type="dxa"/>
            <w:tcBorders>
              <w:top w:val="nil"/>
              <w:left w:val="single" w:sz="4" w:space="0" w:color="auto"/>
              <w:bottom w:val="single" w:sz="12" w:space="0" w:color="auto"/>
              <w:right w:val="single" w:sz="4" w:space="0" w:color="auto"/>
            </w:tcBorders>
            <w:shd w:val="clear" w:color="000000" w:fill="D9E1F2"/>
            <w:vAlign w:val="center"/>
            <w:hideMark/>
          </w:tcPr>
          <w:p w14:paraId="116D0EAB" w14:textId="77777777" w:rsidR="00416466" w:rsidRPr="009741B0" w:rsidRDefault="00416466" w:rsidP="00D07140">
            <w:pPr>
              <w:spacing w:after="0" w:line="240" w:lineRule="auto"/>
              <w:jc w:val="center"/>
              <w:rPr>
                <w:rFonts w:eastAsia="Times New Roman" w:cs="Calibri"/>
                <w:color w:val="000000"/>
                <w:sz w:val="18"/>
                <w:szCs w:val="18"/>
                <w:lang w:eastAsia="el-GR"/>
              </w:rPr>
            </w:pPr>
            <w:r w:rsidRPr="009741B0">
              <w:rPr>
                <w:rFonts w:eastAsia="Times New Roman" w:cs="Calibri"/>
                <w:color w:val="000000"/>
                <w:sz w:val="18"/>
                <w:szCs w:val="18"/>
                <w:lang w:eastAsia="el-GR"/>
              </w:rPr>
              <w:t>Πραγμ.</w:t>
            </w:r>
          </w:p>
        </w:tc>
        <w:tc>
          <w:tcPr>
            <w:tcW w:w="981" w:type="dxa"/>
            <w:tcBorders>
              <w:top w:val="nil"/>
              <w:left w:val="single" w:sz="4" w:space="0" w:color="auto"/>
              <w:bottom w:val="single" w:sz="12" w:space="0" w:color="auto"/>
              <w:right w:val="single" w:sz="4" w:space="0" w:color="auto"/>
            </w:tcBorders>
            <w:shd w:val="clear" w:color="000000" w:fill="D9E1F2"/>
            <w:vAlign w:val="center"/>
            <w:hideMark/>
          </w:tcPr>
          <w:p w14:paraId="1FD87C7B" w14:textId="77777777" w:rsidR="00416466" w:rsidRPr="009741B0" w:rsidRDefault="00416466" w:rsidP="00D07140">
            <w:pPr>
              <w:spacing w:after="0" w:line="240" w:lineRule="auto"/>
              <w:jc w:val="center"/>
              <w:rPr>
                <w:rFonts w:eastAsia="Times New Roman" w:cs="Calibri"/>
                <w:color w:val="000000"/>
                <w:sz w:val="18"/>
                <w:szCs w:val="18"/>
                <w:lang w:eastAsia="el-GR"/>
              </w:rPr>
            </w:pPr>
            <w:r w:rsidRPr="009741B0">
              <w:rPr>
                <w:rFonts w:eastAsia="Times New Roman" w:cs="Calibri"/>
                <w:color w:val="000000"/>
                <w:sz w:val="18"/>
                <w:szCs w:val="18"/>
                <w:lang w:eastAsia="el-GR"/>
              </w:rPr>
              <w:t>Πραγμ.</w:t>
            </w:r>
          </w:p>
        </w:tc>
        <w:tc>
          <w:tcPr>
            <w:tcW w:w="1601" w:type="dxa"/>
            <w:tcBorders>
              <w:top w:val="nil"/>
              <w:left w:val="single" w:sz="4" w:space="0" w:color="auto"/>
              <w:bottom w:val="single" w:sz="12" w:space="0" w:color="auto"/>
              <w:right w:val="single" w:sz="4" w:space="0" w:color="auto"/>
            </w:tcBorders>
            <w:shd w:val="clear" w:color="000000" w:fill="D9E1F2"/>
            <w:vAlign w:val="center"/>
            <w:hideMark/>
          </w:tcPr>
          <w:p w14:paraId="4F2C43AA" w14:textId="77777777" w:rsidR="00416466" w:rsidRPr="009741B0" w:rsidRDefault="00416466" w:rsidP="00D07140">
            <w:pPr>
              <w:spacing w:after="0" w:line="240" w:lineRule="auto"/>
              <w:jc w:val="center"/>
              <w:rPr>
                <w:rFonts w:eastAsia="Times New Roman" w:cs="Calibri"/>
                <w:color w:val="000000"/>
                <w:sz w:val="18"/>
                <w:szCs w:val="18"/>
                <w:lang w:eastAsia="el-GR"/>
              </w:rPr>
            </w:pPr>
            <w:r w:rsidRPr="009741B0">
              <w:rPr>
                <w:rFonts w:eastAsia="Times New Roman" w:cs="Calibri"/>
                <w:color w:val="000000"/>
                <w:sz w:val="18"/>
                <w:szCs w:val="18"/>
                <w:lang w:eastAsia="el-GR"/>
              </w:rPr>
              <w:t xml:space="preserve">Εκτιμήσεις Προϋπολογισμού 2020 </w:t>
            </w:r>
          </w:p>
        </w:tc>
        <w:tc>
          <w:tcPr>
            <w:tcW w:w="1645" w:type="dxa"/>
            <w:vMerge/>
            <w:tcBorders>
              <w:left w:val="single" w:sz="4" w:space="0" w:color="auto"/>
              <w:bottom w:val="single" w:sz="12" w:space="0" w:color="auto"/>
              <w:right w:val="single" w:sz="4" w:space="0" w:color="auto"/>
            </w:tcBorders>
            <w:vAlign w:val="center"/>
            <w:hideMark/>
          </w:tcPr>
          <w:p w14:paraId="702CA772" w14:textId="77777777" w:rsidR="00416466" w:rsidRPr="009741B0" w:rsidRDefault="00416466" w:rsidP="00D07140">
            <w:pPr>
              <w:spacing w:after="0" w:line="240" w:lineRule="auto"/>
              <w:jc w:val="left"/>
              <w:rPr>
                <w:rFonts w:eastAsia="Times New Roman" w:cs="Calibri"/>
                <w:color w:val="000000"/>
                <w:sz w:val="18"/>
                <w:szCs w:val="18"/>
                <w:lang w:eastAsia="el-GR"/>
              </w:rPr>
            </w:pPr>
          </w:p>
        </w:tc>
        <w:tc>
          <w:tcPr>
            <w:tcW w:w="1224" w:type="dxa"/>
            <w:vMerge/>
            <w:tcBorders>
              <w:left w:val="single" w:sz="4" w:space="0" w:color="auto"/>
              <w:bottom w:val="single" w:sz="12" w:space="0" w:color="auto"/>
              <w:right w:val="single" w:sz="4" w:space="0" w:color="auto"/>
            </w:tcBorders>
            <w:vAlign w:val="center"/>
            <w:hideMark/>
          </w:tcPr>
          <w:p w14:paraId="7C20C6AF" w14:textId="77777777" w:rsidR="00416466" w:rsidRPr="009741B0" w:rsidRDefault="00416466" w:rsidP="00D07140">
            <w:pPr>
              <w:spacing w:after="0" w:line="240" w:lineRule="auto"/>
              <w:jc w:val="left"/>
              <w:rPr>
                <w:rFonts w:eastAsia="Times New Roman" w:cs="Calibri"/>
                <w:color w:val="000000"/>
                <w:sz w:val="18"/>
                <w:szCs w:val="18"/>
                <w:lang w:eastAsia="el-GR"/>
              </w:rPr>
            </w:pPr>
          </w:p>
        </w:tc>
      </w:tr>
      <w:tr w:rsidR="00D07140" w:rsidRPr="009741B0" w14:paraId="6A90AD91" w14:textId="77777777" w:rsidTr="00416466">
        <w:trPr>
          <w:trHeight w:val="503"/>
        </w:trPr>
        <w:tc>
          <w:tcPr>
            <w:tcW w:w="2161" w:type="dxa"/>
            <w:tcBorders>
              <w:top w:val="single" w:sz="12" w:space="0" w:color="auto"/>
              <w:left w:val="single" w:sz="4" w:space="0" w:color="auto"/>
              <w:bottom w:val="single" w:sz="4" w:space="0" w:color="auto"/>
              <w:right w:val="single" w:sz="4" w:space="0" w:color="auto"/>
            </w:tcBorders>
            <w:shd w:val="clear" w:color="000000" w:fill="D9D9D9"/>
            <w:vAlign w:val="center"/>
            <w:hideMark/>
          </w:tcPr>
          <w:p w14:paraId="29E9F026" w14:textId="77777777" w:rsidR="00D07140" w:rsidRPr="009741B0" w:rsidRDefault="00D07140" w:rsidP="00D07140">
            <w:pPr>
              <w:spacing w:after="0" w:line="240" w:lineRule="auto"/>
              <w:jc w:val="left"/>
              <w:rPr>
                <w:rFonts w:eastAsia="Times New Roman" w:cs="Calibri"/>
                <w:b/>
                <w:bCs/>
                <w:color w:val="000000"/>
                <w:sz w:val="18"/>
                <w:szCs w:val="18"/>
                <w:lang w:eastAsia="el-GR"/>
              </w:rPr>
            </w:pPr>
            <w:r w:rsidRPr="009741B0">
              <w:rPr>
                <w:rFonts w:eastAsia="Times New Roman" w:cs="Calibri"/>
                <w:b/>
                <w:bCs/>
                <w:color w:val="000000"/>
                <w:sz w:val="18"/>
                <w:szCs w:val="18"/>
                <w:lang w:eastAsia="el-GR"/>
              </w:rPr>
              <w:t>1. Καθαρά Έσοδα Κρατικού Προϋπ/σμού</w:t>
            </w:r>
          </w:p>
        </w:tc>
        <w:tc>
          <w:tcPr>
            <w:tcW w:w="1005" w:type="dxa"/>
            <w:tcBorders>
              <w:top w:val="single" w:sz="12" w:space="0" w:color="auto"/>
              <w:left w:val="single" w:sz="4" w:space="0" w:color="auto"/>
              <w:bottom w:val="single" w:sz="4" w:space="0" w:color="auto"/>
              <w:right w:val="single" w:sz="4" w:space="0" w:color="auto"/>
            </w:tcBorders>
            <w:shd w:val="clear" w:color="000000" w:fill="D9D9D9"/>
            <w:noWrap/>
            <w:vAlign w:val="center"/>
            <w:hideMark/>
          </w:tcPr>
          <w:p w14:paraId="0EAEAEFC" w14:textId="77777777" w:rsidR="00D07140" w:rsidRPr="009741B0" w:rsidRDefault="00D07140" w:rsidP="00D07140">
            <w:pPr>
              <w:spacing w:after="0" w:line="240" w:lineRule="auto"/>
              <w:jc w:val="center"/>
              <w:rPr>
                <w:rFonts w:eastAsia="Times New Roman" w:cs="Calibri"/>
                <w:b/>
                <w:bCs/>
                <w:color w:val="000000"/>
                <w:sz w:val="18"/>
                <w:szCs w:val="18"/>
                <w:lang w:eastAsia="el-GR"/>
              </w:rPr>
            </w:pPr>
            <w:r w:rsidRPr="009741B0">
              <w:rPr>
                <w:rFonts w:eastAsia="Times New Roman" w:cs="Calibri"/>
                <w:b/>
                <w:bCs/>
                <w:color w:val="000000"/>
                <w:sz w:val="18"/>
                <w:szCs w:val="18"/>
                <w:lang w:eastAsia="el-GR"/>
              </w:rPr>
              <w:t>55.097</w:t>
            </w:r>
          </w:p>
        </w:tc>
        <w:tc>
          <w:tcPr>
            <w:tcW w:w="981" w:type="dxa"/>
            <w:tcBorders>
              <w:top w:val="single" w:sz="12" w:space="0" w:color="auto"/>
              <w:left w:val="single" w:sz="4" w:space="0" w:color="auto"/>
              <w:bottom w:val="single" w:sz="4" w:space="0" w:color="auto"/>
              <w:right w:val="single" w:sz="4" w:space="0" w:color="auto"/>
            </w:tcBorders>
            <w:shd w:val="clear" w:color="000000" w:fill="D9D9D9"/>
            <w:noWrap/>
            <w:vAlign w:val="center"/>
            <w:hideMark/>
          </w:tcPr>
          <w:p w14:paraId="5E7BB078" w14:textId="77777777" w:rsidR="00D07140" w:rsidRPr="009741B0" w:rsidRDefault="00D07140" w:rsidP="00D07140">
            <w:pPr>
              <w:spacing w:after="0" w:line="240" w:lineRule="auto"/>
              <w:jc w:val="center"/>
              <w:rPr>
                <w:rFonts w:eastAsia="Times New Roman" w:cs="Calibri"/>
                <w:b/>
                <w:bCs/>
                <w:color w:val="000000"/>
                <w:sz w:val="18"/>
                <w:szCs w:val="18"/>
                <w:lang w:eastAsia="el-GR"/>
              </w:rPr>
            </w:pPr>
            <w:r w:rsidRPr="009741B0">
              <w:rPr>
                <w:rFonts w:eastAsia="Times New Roman" w:cs="Calibri"/>
                <w:b/>
                <w:bCs/>
                <w:color w:val="000000"/>
                <w:sz w:val="18"/>
                <w:szCs w:val="18"/>
                <w:lang w:eastAsia="el-GR"/>
              </w:rPr>
              <w:t>47.364</w:t>
            </w:r>
          </w:p>
        </w:tc>
        <w:tc>
          <w:tcPr>
            <w:tcW w:w="1601" w:type="dxa"/>
            <w:tcBorders>
              <w:top w:val="single" w:sz="12" w:space="0" w:color="auto"/>
              <w:left w:val="single" w:sz="4" w:space="0" w:color="auto"/>
              <w:bottom w:val="single" w:sz="4" w:space="0" w:color="auto"/>
              <w:right w:val="single" w:sz="4" w:space="0" w:color="auto"/>
            </w:tcBorders>
            <w:shd w:val="clear" w:color="000000" w:fill="D9D9D9"/>
            <w:noWrap/>
            <w:vAlign w:val="center"/>
            <w:hideMark/>
          </w:tcPr>
          <w:p w14:paraId="4A2DCAE7" w14:textId="77777777" w:rsidR="00D07140" w:rsidRPr="009741B0" w:rsidRDefault="00D07140" w:rsidP="00D07140">
            <w:pPr>
              <w:spacing w:after="0" w:line="240" w:lineRule="auto"/>
              <w:jc w:val="center"/>
              <w:rPr>
                <w:rFonts w:eastAsia="Times New Roman" w:cs="Calibri"/>
                <w:b/>
                <w:bCs/>
                <w:color w:val="000000"/>
                <w:sz w:val="18"/>
                <w:szCs w:val="18"/>
                <w:lang w:eastAsia="el-GR"/>
              </w:rPr>
            </w:pPr>
            <w:r w:rsidRPr="009741B0">
              <w:rPr>
                <w:rFonts w:eastAsia="Times New Roman" w:cs="Calibri"/>
                <w:b/>
                <w:bCs/>
                <w:color w:val="000000"/>
                <w:sz w:val="18"/>
                <w:szCs w:val="18"/>
                <w:lang w:eastAsia="el-GR"/>
              </w:rPr>
              <w:t>54.710</w:t>
            </w:r>
          </w:p>
        </w:tc>
        <w:tc>
          <w:tcPr>
            <w:tcW w:w="1645" w:type="dxa"/>
            <w:tcBorders>
              <w:top w:val="single" w:sz="12" w:space="0" w:color="auto"/>
              <w:left w:val="single" w:sz="4" w:space="0" w:color="auto"/>
              <w:bottom w:val="single" w:sz="4" w:space="0" w:color="auto"/>
              <w:right w:val="single" w:sz="4" w:space="0" w:color="auto"/>
            </w:tcBorders>
            <w:shd w:val="clear" w:color="000000" w:fill="D9D9D9"/>
            <w:noWrap/>
            <w:vAlign w:val="center"/>
            <w:hideMark/>
          </w:tcPr>
          <w:p w14:paraId="59CDDB8E" w14:textId="77777777" w:rsidR="00D07140" w:rsidRPr="009741B0" w:rsidRDefault="00D07140" w:rsidP="00D07140">
            <w:pPr>
              <w:spacing w:after="0" w:line="240" w:lineRule="auto"/>
              <w:jc w:val="center"/>
              <w:rPr>
                <w:rFonts w:eastAsia="Times New Roman" w:cs="Calibri"/>
                <w:b/>
                <w:bCs/>
                <w:color w:val="000000"/>
                <w:sz w:val="18"/>
                <w:szCs w:val="18"/>
                <w:lang w:eastAsia="el-GR"/>
              </w:rPr>
            </w:pPr>
            <w:r w:rsidRPr="009741B0">
              <w:rPr>
                <w:rFonts w:eastAsia="Times New Roman" w:cs="Calibri"/>
                <w:b/>
                <w:bCs/>
                <w:color w:val="000000"/>
                <w:sz w:val="18"/>
                <w:szCs w:val="18"/>
                <w:lang w:eastAsia="el-GR"/>
              </w:rPr>
              <w:t>-7.346</w:t>
            </w:r>
          </w:p>
        </w:tc>
        <w:tc>
          <w:tcPr>
            <w:tcW w:w="1224" w:type="dxa"/>
            <w:tcBorders>
              <w:top w:val="single" w:sz="12" w:space="0" w:color="auto"/>
              <w:left w:val="single" w:sz="4" w:space="0" w:color="auto"/>
              <w:bottom w:val="single" w:sz="4" w:space="0" w:color="auto"/>
              <w:right w:val="single" w:sz="4" w:space="0" w:color="auto"/>
            </w:tcBorders>
            <w:shd w:val="clear" w:color="000000" w:fill="D9D9D9"/>
            <w:noWrap/>
            <w:vAlign w:val="center"/>
            <w:hideMark/>
          </w:tcPr>
          <w:p w14:paraId="496CB60B" w14:textId="77777777" w:rsidR="00D07140" w:rsidRPr="009741B0" w:rsidRDefault="00D07140" w:rsidP="00D07140">
            <w:pPr>
              <w:spacing w:after="0" w:line="240" w:lineRule="auto"/>
              <w:jc w:val="center"/>
              <w:rPr>
                <w:rFonts w:eastAsia="Times New Roman" w:cs="Calibri"/>
                <w:b/>
                <w:bCs/>
                <w:color w:val="000000"/>
                <w:sz w:val="18"/>
                <w:szCs w:val="18"/>
                <w:lang w:eastAsia="el-GR"/>
              </w:rPr>
            </w:pPr>
            <w:r w:rsidRPr="009741B0">
              <w:rPr>
                <w:rFonts w:eastAsia="Times New Roman" w:cs="Calibri"/>
                <w:b/>
                <w:bCs/>
                <w:color w:val="000000"/>
                <w:sz w:val="18"/>
                <w:szCs w:val="18"/>
                <w:lang w:eastAsia="el-GR"/>
              </w:rPr>
              <w:t>-7.733</w:t>
            </w:r>
          </w:p>
        </w:tc>
      </w:tr>
      <w:tr w:rsidR="00D07140" w:rsidRPr="009741B0" w14:paraId="7C5E03CF" w14:textId="77777777" w:rsidTr="00416466">
        <w:trPr>
          <w:trHeight w:val="223"/>
        </w:trPr>
        <w:tc>
          <w:tcPr>
            <w:tcW w:w="21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5F9141" w14:textId="77777777" w:rsidR="00D07140" w:rsidRPr="009741B0" w:rsidRDefault="00D07140" w:rsidP="00D07140">
            <w:pPr>
              <w:spacing w:after="0" w:line="240" w:lineRule="auto"/>
              <w:jc w:val="left"/>
              <w:rPr>
                <w:rFonts w:eastAsia="Times New Roman" w:cs="Calibri"/>
                <w:color w:val="000000"/>
                <w:sz w:val="18"/>
                <w:szCs w:val="18"/>
                <w:lang w:eastAsia="el-GR"/>
              </w:rPr>
            </w:pPr>
            <w:r w:rsidRPr="009741B0">
              <w:rPr>
                <w:rFonts w:eastAsia="Times New Roman" w:cs="Calibri"/>
                <w:color w:val="000000"/>
                <w:sz w:val="18"/>
                <w:szCs w:val="18"/>
                <w:lang w:eastAsia="el-GR"/>
              </w:rPr>
              <w:t>I.   Φόροι</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5454F0" w14:textId="77777777" w:rsidR="00D07140" w:rsidRPr="009741B0" w:rsidRDefault="00D07140" w:rsidP="00D07140">
            <w:pPr>
              <w:spacing w:after="0" w:line="240" w:lineRule="auto"/>
              <w:jc w:val="center"/>
              <w:rPr>
                <w:rFonts w:eastAsia="Times New Roman" w:cs="Calibri"/>
                <w:color w:val="000000"/>
                <w:sz w:val="18"/>
                <w:szCs w:val="18"/>
                <w:lang w:eastAsia="el-GR"/>
              </w:rPr>
            </w:pPr>
            <w:r w:rsidRPr="009741B0">
              <w:rPr>
                <w:rFonts w:eastAsia="Times New Roman" w:cs="Calibri"/>
                <w:color w:val="000000"/>
                <w:sz w:val="18"/>
                <w:szCs w:val="18"/>
                <w:lang w:eastAsia="el-GR"/>
              </w:rPr>
              <w:t>51.415</w:t>
            </w:r>
          </w:p>
        </w:tc>
        <w:tc>
          <w:tcPr>
            <w:tcW w:w="9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4B4B5D" w14:textId="77777777" w:rsidR="00D07140" w:rsidRPr="009741B0" w:rsidRDefault="00D07140" w:rsidP="00D07140">
            <w:pPr>
              <w:spacing w:after="0" w:line="240" w:lineRule="auto"/>
              <w:jc w:val="center"/>
              <w:rPr>
                <w:rFonts w:eastAsia="Times New Roman" w:cs="Calibri"/>
                <w:color w:val="000000"/>
                <w:sz w:val="18"/>
                <w:szCs w:val="18"/>
                <w:lang w:eastAsia="el-GR"/>
              </w:rPr>
            </w:pPr>
            <w:r w:rsidRPr="009741B0">
              <w:rPr>
                <w:rFonts w:eastAsia="Times New Roman" w:cs="Calibri"/>
                <w:color w:val="000000"/>
                <w:sz w:val="18"/>
                <w:szCs w:val="18"/>
                <w:lang w:eastAsia="el-GR"/>
              </w:rPr>
              <w:t>43.198</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96EFE5" w14:textId="77777777" w:rsidR="00D07140" w:rsidRPr="009741B0" w:rsidRDefault="00D07140" w:rsidP="00D07140">
            <w:pPr>
              <w:spacing w:after="0" w:line="240" w:lineRule="auto"/>
              <w:jc w:val="center"/>
              <w:rPr>
                <w:rFonts w:eastAsia="Times New Roman" w:cs="Calibri"/>
                <w:color w:val="000000"/>
                <w:sz w:val="18"/>
                <w:szCs w:val="18"/>
                <w:lang w:eastAsia="el-GR"/>
              </w:rPr>
            </w:pPr>
            <w:r w:rsidRPr="009741B0">
              <w:rPr>
                <w:rFonts w:eastAsia="Times New Roman" w:cs="Calibri"/>
                <w:color w:val="000000"/>
                <w:sz w:val="18"/>
                <w:szCs w:val="18"/>
                <w:lang w:eastAsia="el-GR"/>
              </w:rPr>
              <w:t>52.165</w:t>
            </w:r>
          </w:p>
        </w:tc>
        <w:tc>
          <w:tcPr>
            <w:tcW w:w="16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7E1E7A" w14:textId="77777777" w:rsidR="00D07140" w:rsidRPr="009741B0" w:rsidRDefault="00D07140" w:rsidP="00D07140">
            <w:pPr>
              <w:spacing w:after="0" w:line="240" w:lineRule="auto"/>
              <w:jc w:val="center"/>
              <w:rPr>
                <w:rFonts w:eastAsia="Times New Roman" w:cs="Calibri"/>
                <w:color w:val="000000"/>
                <w:sz w:val="18"/>
                <w:szCs w:val="18"/>
                <w:lang w:eastAsia="el-GR"/>
              </w:rPr>
            </w:pPr>
            <w:r w:rsidRPr="009741B0">
              <w:rPr>
                <w:rFonts w:eastAsia="Times New Roman" w:cs="Calibri"/>
                <w:color w:val="000000"/>
                <w:sz w:val="18"/>
                <w:szCs w:val="18"/>
                <w:lang w:eastAsia="el-GR"/>
              </w:rPr>
              <w:t>-8.967</w:t>
            </w:r>
          </w:p>
        </w:tc>
        <w:tc>
          <w:tcPr>
            <w:tcW w:w="12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63F295" w14:textId="77777777" w:rsidR="00D07140" w:rsidRPr="009741B0" w:rsidRDefault="00D07140" w:rsidP="00D07140">
            <w:pPr>
              <w:spacing w:after="0" w:line="240" w:lineRule="auto"/>
              <w:jc w:val="center"/>
              <w:rPr>
                <w:rFonts w:eastAsia="Times New Roman" w:cs="Calibri"/>
                <w:color w:val="000000"/>
                <w:sz w:val="18"/>
                <w:szCs w:val="18"/>
                <w:lang w:eastAsia="el-GR"/>
              </w:rPr>
            </w:pPr>
            <w:r w:rsidRPr="009741B0">
              <w:rPr>
                <w:rFonts w:eastAsia="Times New Roman" w:cs="Calibri"/>
                <w:color w:val="000000"/>
                <w:sz w:val="18"/>
                <w:szCs w:val="18"/>
                <w:lang w:eastAsia="el-GR"/>
              </w:rPr>
              <w:t>-8.217</w:t>
            </w:r>
          </w:p>
        </w:tc>
      </w:tr>
      <w:tr w:rsidR="00D07140" w:rsidRPr="009741B0" w14:paraId="33FB3B58" w14:textId="77777777" w:rsidTr="00416466">
        <w:trPr>
          <w:trHeight w:val="223"/>
        </w:trPr>
        <w:tc>
          <w:tcPr>
            <w:tcW w:w="21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C5198E" w14:textId="77777777" w:rsidR="00D07140" w:rsidRPr="009741B0" w:rsidRDefault="00D07140" w:rsidP="00D07140">
            <w:pPr>
              <w:spacing w:after="0" w:line="240" w:lineRule="auto"/>
              <w:jc w:val="left"/>
              <w:rPr>
                <w:rFonts w:eastAsia="Times New Roman" w:cs="Calibri"/>
                <w:color w:val="000000"/>
                <w:sz w:val="18"/>
                <w:szCs w:val="18"/>
                <w:lang w:eastAsia="el-GR"/>
              </w:rPr>
            </w:pPr>
            <w:r w:rsidRPr="009741B0">
              <w:rPr>
                <w:rFonts w:eastAsia="Times New Roman" w:cs="Calibri"/>
                <w:color w:val="000000"/>
                <w:sz w:val="18"/>
                <w:szCs w:val="18"/>
                <w:lang w:eastAsia="el-GR"/>
              </w:rPr>
              <w:t>II.  Κοινωνικές εισφορές</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723214" w14:textId="77777777" w:rsidR="00D07140" w:rsidRPr="009741B0" w:rsidRDefault="00D07140" w:rsidP="00D07140">
            <w:pPr>
              <w:spacing w:after="0" w:line="240" w:lineRule="auto"/>
              <w:jc w:val="center"/>
              <w:rPr>
                <w:rFonts w:eastAsia="Times New Roman" w:cs="Calibri"/>
                <w:color w:val="000000"/>
                <w:sz w:val="18"/>
                <w:szCs w:val="18"/>
                <w:lang w:eastAsia="el-GR"/>
              </w:rPr>
            </w:pPr>
            <w:r w:rsidRPr="009741B0">
              <w:rPr>
                <w:rFonts w:eastAsia="Times New Roman" w:cs="Calibri"/>
                <w:color w:val="000000"/>
                <w:sz w:val="18"/>
                <w:szCs w:val="18"/>
                <w:lang w:eastAsia="el-GR"/>
              </w:rPr>
              <w:t>55</w:t>
            </w:r>
          </w:p>
        </w:tc>
        <w:tc>
          <w:tcPr>
            <w:tcW w:w="9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F80CC6" w14:textId="77777777" w:rsidR="00D07140" w:rsidRPr="009741B0" w:rsidRDefault="00D07140" w:rsidP="00D07140">
            <w:pPr>
              <w:spacing w:after="0" w:line="240" w:lineRule="auto"/>
              <w:jc w:val="center"/>
              <w:rPr>
                <w:rFonts w:eastAsia="Times New Roman" w:cs="Calibri"/>
                <w:color w:val="000000"/>
                <w:sz w:val="18"/>
                <w:szCs w:val="18"/>
                <w:lang w:eastAsia="el-GR"/>
              </w:rPr>
            </w:pPr>
            <w:r w:rsidRPr="009741B0">
              <w:rPr>
                <w:rFonts w:eastAsia="Times New Roman" w:cs="Calibri"/>
                <w:color w:val="000000"/>
                <w:sz w:val="18"/>
                <w:szCs w:val="18"/>
                <w:lang w:eastAsia="el-GR"/>
              </w:rPr>
              <w:t>54</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0EC3CC" w14:textId="77777777" w:rsidR="00D07140" w:rsidRPr="009741B0" w:rsidRDefault="00D07140" w:rsidP="00D07140">
            <w:pPr>
              <w:spacing w:after="0" w:line="240" w:lineRule="auto"/>
              <w:jc w:val="center"/>
              <w:rPr>
                <w:rFonts w:eastAsia="Times New Roman" w:cs="Calibri"/>
                <w:color w:val="000000"/>
                <w:sz w:val="18"/>
                <w:szCs w:val="18"/>
                <w:lang w:eastAsia="el-GR"/>
              </w:rPr>
            </w:pPr>
            <w:r w:rsidRPr="009741B0">
              <w:rPr>
                <w:rFonts w:eastAsia="Times New Roman" w:cs="Calibri"/>
                <w:color w:val="000000"/>
                <w:sz w:val="18"/>
                <w:szCs w:val="18"/>
                <w:lang w:eastAsia="el-GR"/>
              </w:rPr>
              <w:t>55</w:t>
            </w:r>
          </w:p>
        </w:tc>
        <w:tc>
          <w:tcPr>
            <w:tcW w:w="16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7A47F8" w14:textId="77777777" w:rsidR="00D07140" w:rsidRPr="009741B0" w:rsidRDefault="00D07140" w:rsidP="00D07140">
            <w:pPr>
              <w:spacing w:after="0" w:line="240" w:lineRule="auto"/>
              <w:jc w:val="center"/>
              <w:rPr>
                <w:rFonts w:eastAsia="Times New Roman" w:cs="Calibri"/>
                <w:color w:val="000000"/>
                <w:sz w:val="18"/>
                <w:szCs w:val="18"/>
                <w:lang w:eastAsia="el-GR"/>
              </w:rPr>
            </w:pPr>
            <w:r w:rsidRPr="009741B0">
              <w:rPr>
                <w:rFonts w:eastAsia="Times New Roman" w:cs="Calibri"/>
                <w:color w:val="000000"/>
                <w:sz w:val="18"/>
                <w:szCs w:val="18"/>
                <w:lang w:eastAsia="el-GR"/>
              </w:rPr>
              <w:t>-1</w:t>
            </w:r>
          </w:p>
        </w:tc>
        <w:tc>
          <w:tcPr>
            <w:tcW w:w="12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27CD4A" w14:textId="77777777" w:rsidR="00D07140" w:rsidRPr="009741B0" w:rsidRDefault="00D07140" w:rsidP="00D07140">
            <w:pPr>
              <w:spacing w:after="0" w:line="240" w:lineRule="auto"/>
              <w:jc w:val="center"/>
              <w:rPr>
                <w:rFonts w:eastAsia="Times New Roman" w:cs="Calibri"/>
                <w:color w:val="000000"/>
                <w:sz w:val="18"/>
                <w:szCs w:val="18"/>
                <w:lang w:eastAsia="el-GR"/>
              </w:rPr>
            </w:pPr>
            <w:r w:rsidRPr="009741B0">
              <w:rPr>
                <w:rFonts w:eastAsia="Times New Roman" w:cs="Calibri"/>
                <w:color w:val="000000"/>
                <w:sz w:val="18"/>
                <w:szCs w:val="18"/>
                <w:lang w:eastAsia="el-GR"/>
              </w:rPr>
              <w:t>-1</w:t>
            </w:r>
          </w:p>
        </w:tc>
      </w:tr>
      <w:tr w:rsidR="00D07140" w:rsidRPr="009741B0" w14:paraId="31C8D12F" w14:textId="77777777" w:rsidTr="00416466">
        <w:trPr>
          <w:trHeight w:val="223"/>
        </w:trPr>
        <w:tc>
          <w:tcPr>
            <w:tcW w:w="21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205FEE" w14:textId="77777777" w:rsidR="00D07140" w:rsidRPr="009741B0" w:rsidRDefault="00D07140" w:rsidP="00D07140">
            <w:pPr>
              <w:spacing w:after="0" w:line="240" w:lineRule="auto"/>
              <w:jc w:val="left"/>
              <w:rPr>
                <w:rFonts w:eastAsia="Times New Roman" w:cs="Calibri"/>
                <w:color w:val="000000"/>
                <w:sz w:val="18"/>
                <w:szCs w:val="18"/>
                <w:lang w:eastAsia="el-GR"/>
              </w:rPr>
            </w:pPr>
            <w:r w:rsidRPr="009741B0">
              <w:rPr>
                <w:rFonts w:eastAsia="Times New Roman" w:cs="Calibri"/>
                <w:color w:val="000000"/>
                <w:sz w:val="18"/>
                <w:szCs w:val="18"/>
                <w:lang w:eastAsia="el-GR"/>
              </w:rPr>
              <w:t>III. Μεταβιβάσεις</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0D19CF" w14:textId="77777777" w:rsidR="00D07140" w:rsidRPr="009741B0" w:rsidRDefault="00D07140" w:rsidP="00D07140">
            <w:pPr>
              <w:spacing w:after="0" w:line="240" w:lineRule="auto"/>
              <w:jc w:val="center"/>
              <w:rPr>
                <w:rFonts w:eastAsia="Times New Roman" w:cs="Calibri"/>
                <w:color w:val="000000"/>
                <w:sz w:val="18"/>
                <w:szCs w:val="18"/>
                <w:lang w:eastAsia="el-GR"/>
              </w:rPr>
            </w:pPr>
            <w:r w:rsidRPr="009741B0">
              <w:rPr>
                <w:rFonts w:eastAsia="Times New Roman" w:cs="Calibri"/>
                <w:color w:val="000000"/>
                <w:sz w:val="18"/>
                <w:szCs w:val="18"/>
                <w:lang w:eastAsia="el-GR"/>
              </w:rPr>
              <w:t>4.407</w:t>
            </w:r>
          </w:p>
        </w:tc>
        <w:tc>
          <w:tcPr>
            <w:tcW w:w="9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A3E6B4" w14:textId="77777777" w:rsidR="00D07140" w:rsidRPr="009741B0" w:rsidRDefault="00D07140" w:rsidP="00D07140">
            <w:pPr>
              <w:spacing w:after="0" w:line="240" w:lineRule="auto"/>
              <w:jc w:val="center"/>
              <w:rPr>
                <w:rFonts w:eastAsia="Times New Roman" w:cs="Calibri"/>
                <w:color w:val="000000"/>
                <w:sz w:val="18"/>
                <w:szCs w:val="18"/>
                <w:lang w:eastAsia="el-GR"/>
              </w:rPr>
            </w:pPr>
            <w:r w:rsidRPr="009741B0">
              <w:rPr>
                <w:rFonts w:eastAsia="Times New Roman" w:cs="Calibri"/>
                <w:color w:val="000000"/>
                <w:sz w:val="18"/>
                <w:szCs w:val="18"/>
                <w:lang w:eastAsia="el-GR"/>
              </w:rPr>
              <w:t>6.537</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D64C54" w14:textId="77777777" w:rsidR="00D07140" w:rsidRPr="009741B0" w:rsidRDefault="00D07140" w:rsidP="00D07140">
            <w:pPr>
              <w:spacing w:after="0" w:line="240" w:lineRule="auto"/>
              <w:jc w:val="center"/>
              <w:rPr>
                <w:rFonts w:eastAsia="Times New Roman" w:cs="Calibri"/>
                <w:color w:val="000000"/>
                <w:sz w:val="18"/>
                <w:szCs w:val="18"/>
                <w:lang w:eastAsia="el-GR"/>
              </w:rPr>
            </w:pPr>
            <w:r w:rsidRPr="009741B0">
              <w:rPr>
                <w:rFonts w:eastAsia="Times New Roman" w:cs="Calibri"/>
                <w:color w:val="000000"/>
                <w:sz w:val="18"/>
                <w:szCs w:val="18"/>
                <w:lang w:eastAsia="el-GR"/>
              </w:rPr>
              <w:t>4.592</w:t>
            </w:r>
          </w:p>
        </w:tc>
        <w:tc>
          <w:tcPr>
            <w:tcW w:w="16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3AEA2F" w14:textId="77777777" w:rsidR="00D07140" w:rsidRPr="009741B0" w:rsidRDefault="00D07140" w:rsidP="00D07140">
            <w:pPr>
              <w:spacing w:after="0" w:line="240" w:lineRule="auto"/>
              <w:jc w:val="center"/>
              <w:rPr>
                <w:rFonts w:eastAsia="Times New Roman" w:cs="Calibri"/>
                <w:color w:val="000000"/>
                <w:sz w:val="18"/>
                <w:szCs w:val="18"/>
                <w:lang w:eastAsia="el-GR"/>
              </w:rPr>
            </w:pPr>
            <w:r w:rsidRPr="009741B0">
              <w:rPr>
                <w:rFonts w:eastAsia="Times New Roman" w:cs="Calibri"/>
                <w:color w:val="000000"/>
                <w:sz w:val="18"/>
                <w:szCs w:val="18"/>
                <w:lang w:eastAsia="el-GR"/>
              </w:rPr>
              <w:t>1.945</w:t>
            </w:r>
          </w:p>
        </w:tc>
        <w:tc>
          <w:tcPr>
            <w:tcW w:w="12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370BB4" w14:textId="77777777" w:rsidR="00D07140" w:rsidRPr="009741B0" w:rsidRDefault="00D07140" w:rsidP="00D07140">
            <w:pPr>
              <w:spacing w:after="0" w:line="240" w:lineRule="auto"/>
              <w:jc w:val="center"/>
              <w:rPr>
                <w:rFonts w:eastAsia="Times New Roman" w:cs="Calibri"/>
                <w:color w:val="000000"/>
                <w:sz w:val="18"/>
                <w:szCs w:val="18"/>
                <w:lang w:eastAsia="el-GR"/>
              </w:rPr>
            </w:pPr>
            <w:r w:rsidRPr="009741B0">
              <w:rPr>
                <w:rFonts w:eastAsia="Times New Roman" w:cs="Calibri"/>
                <w:color w:val="000000"/>
                <w:sz w:val="18"/>
                <w:szCs w:val="18"/>
                <w:lang w:eastAsia="el-GR"/>
              </w:rPr>
              <w:t>2.130</w:t>
            </w:r>
          </w:p>
        </w:tc>
      </w:tr>
      <w:tr w:rsidR="00D07140" w:rsidRPr="009741B0" w14:paraId="362F313A" w14:textId="77777777" w:rsidTr="00416466">
        <w:trPr>
          <w:trHeight w:val="415"/>
        </w:trPr>
        <w:tc>
          <w:tcPr>
            <w:tcW w:w="21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0DB4EC" w14:textId="77777777" w:rsidR="00D07140" w:rsidRPr="009741B0" w:rsidRDefault="00D07140" w:rsidP="00D07140">
            <w:pPr>
              <w:spacing w:after="0" w:line="240" w:lineRule="auto"/>
              <w:jc w:val="left"/>
              <w:rPr>
                <w:rFonts w:eastAsia="Times New Roman" w:cs="Calibri"/>
                <w:color w:val="000000"/>
                <w:sz w:val="18"/>
                <w:szCs w:val="18"/>
                <w:lang w:eastAsia="el-GR"/>
              </w:rPr>
            </w:pPr>
            <w:r w:rsidRPr="009741B0">
              <w:rPr>
                <w:rFonts w:eastAsia="Times New Roman" w:cs="Calibri"/>
                <w:color w:val="000000"/>
                <w:sz w:val="18"/>
                <w:szCs w:val="18"/>
                <w:lang w:eastAsia="el-GR"/>
              </w:rPr>
              <w:t>IV. Πωλήσεις αγαθών και υπηρεσιών</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E261BB" w14:textId="77777777" w:rsidR="00D07140" w:rsidRPr="009741B0" w:rsidRDefault="00D07140" w:rsidP="00D07140">
            <w:pPr>
              <w:spacing w:after="0" w:line="240" w:lineRule="auto"/>
              <w:jc w:val="center"/>
              <w:rPr>
                <w:rFonts w:eastAsia="Times New Roman" w:cs="Calibri"/>
                <w:color w:val="000000"/>
                <w:sz w:val="18"/>
                <w:szCs w:val="18"/>
                <w:lang w:eastAsia="el-GR"/>
              </w:rPr>
            </w:pPr>
            <w:r w:rsidRPr="009741B0">
              <w:rPr>
                <w:rFonts w:eastAsia="Times New Roman" w:cs="Calibri"/>
                <w:color w:val="000000"/>
                <w:sz w:val="18"/>
                <w:szCs w:val="18"/>
                <w:lang w:eastAsia="el-GR"/>
              </w:rPr>
              <w:t>1.728</w:t>
            </w:r>
          </w:p>
        </w:tc>
        <w:tc>
          <w:tcPr>
            <w:tcW w:w="9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CC0BEB" w14:textId="77777777" w:rsidR="00D07140" w:rsidRPr="009741B0" w:rsidRDefault="00D07140" w:rsidP="00D07140">
            <w:pPr>
              <w:spacing w:after="0" w:line="240" w:lineRule="auto"/>
              <w:jc w:val="center"/>
              <w:rPr>
                <w:rFonts w:eastAsia="Times New Roman" w:cs="Calibri"/>
                <w:color w:val="000000"/>
                <w:sz w:val="18"/>
                <w:szCs w:val="18"/>
                <w:lang w:eastAsia="el-GR"/>
              </w:rPr>
            </w:pPr>
            <w:r w:rsidRPr="009741B0">
              <w:rPr>
                <w:rFonts w:eastAsia="Times New Roman" w:cs="Calibri"/>
                <w:color w:val="000000"/>
                <w:sz w:val="18"/>
                <w:szCs w:val="18"/>
                <w:lang w:eastAsia="el-GR"/>
              </w:rPr>
              <w:t>507</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F1F457" w14:textId="77777777" w:rsidR="00D07140" w:rsidRPr="009741B0" w:rsidRDefault="00D07140" w:rsidP="00D07140">
            <w:pPr>
              <w:spacing w:after="0" w:line="240" w:lineRule="auto"/>
              <w:jc w:val="center"/>
              <w:rPr>
                <w:rFonts w:eastAsia="Times New Roman" w:cs="Calibri"/>
                <w:color w:val="000000"/>
                <w:sz w:val="18"/>
                <w:szCs w:val="18"/>
                <w:lang w:eastAsia="el-GR"/>
              </w:rPr>
            </w:pPr>
            <w:r w:rsidRPr="009741B0">
              <w:rPr>
                <w:rFonts w:eastAsia="Times New Roman" w:cs="Calibri"/>
                <w:color w:val="000000"/>
                <w:sz w:val="18"/>
                <w:szCs w:val="18"/>
                <w:lang w:eastAsia="el-GR"/>
              </w:rPr>
              <w:t>687</w:t>
            </w:r>
          </w:p>
        </w:tc>
        <w:tc>
          <w:tcPr>
            <w:tcW w:w="16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376966" w14:textId="77777777" w:rsidR="00D07140" w:rsidRPr="009741B0" w:rsidRDefault="00D07140" w:rsidP="00D07140">
            <w:pPr>
              <w:spacing w:after="0" w:line="240" w:lineRule="auto"/>
              <w:jc w:val="center"/>
              <w:rPr>
                <w:rFonts w:eastAsia="Times New Roman" w:cs="Calibri"/>
                <w:color w:val="000000"/>
                <w:sz w:val="18"/>
                <w:szCs w:val="18"/>
                <w:lang w:eastAsia="el-GR"/>
              </w:rPr>
            </w:pPr>
            <w:r w:rsidRPr="009741B0">
              <w:rPr>
                <w:rFonts w:eastAsia="Times New Roman" w:cs="Calibri"/>
                <w:color w:val="000000"/>
                <w:sz w:val="18"/>
                <w:szCs w:val="18"/>
                <w:lang w:eastAsia="el-GR"/>
              </w:rPr>
              <w:t>-180</w:t>
            </w:r>
          </w:p>
        </w:tc>
        <w:tc>
          <w:tcPr>
            <w:tcW w:w="12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D345F3" w14:textId="77777777" w:rsidR="00D07140" w:rsidRPr="009741B0" w:rsidRDefault="00D07140" w:rsidP="00D07140">
            <w:pPr>
              <w:spacing w:after="0" w:line="240" w:lineRule="auto"/>
              <w:jc w:val="center"/>
              <w:rPr>
                <w:rFonts w:eastAsia="Times New Roman" w:cs="Calibri"/>
                <w:color w:val="000000"/>
                <w:sz w:val="18"/>
                <w:szCs w:val="18"/>
                <w:lang w:eastAsia="el-GR"/>
              </w:rPr>
            </w:pPr>
            <w:r w:rsidRPr="009741B0">
              <w:rPr>
                <w:rFonts w:eastAsia="Times New Roman" w:cs="Calibri"/>
                <w:color w:val="000000"/>
                <w:sz w:val="18"/>
                <w:szCs w:val="18"/>
                <w:lang w:eastAsia="el-GR"/>
              </w:rPr>
              <w:t>-1.221</w:t>
            </w:r>
          </w:p>
        </w:tc>
      </w:tr>
      <w:tr w:rsidR="00D07140" w:rsidRPr="009741B0" w14:paraId="51C1DCB3" w14:textId="77777777" w:rsidTr="00416466">
        <w:trPr>
          <w:trHeight w:val="571"/>
        </w:trPr>
        <w:tc>
          <w:tcPr>
            <w:tcW w:w="21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804F84" w14:textId="77777777" w:rsidR="00D07140" w:rsidRPr="009741B0" w:rsidRDefault="00D07140" w:rsidP="00D07140">
            <w:pPr>
              <w:spacing w:after="0" w:line="240" w:lineRule="auto"/>
              <w:jc w:val="left"/>
              <w:rPr>
                <w:rFonts w:eastAsia="Times New Roman" w:cs="Calibri"/>
                <w:color w:val="000000"/>
                <w:sz w:val="18"/>
                <w:szCs w:val="18"/>
                <w:lang w:eastAsia="el-GR"/>
              </w:rPr>
            </w:pPr>
            <w:r w:rsidRPr="009741B0">
              <w:rPr>
                <w:rFonts w:eastAsia="Times New Roman" w:cs="Calibri"/>
                <w:color w:val="000000"/>
                <w:sz w:val="18"/>
                <w:szCs w:val="18"/>
                <w:lang w:eastAsia="el-GR"/>
              </w:rPr>
              <w:t>V.  Λοιπά τρέχοντα έσοδα (συμπ/νων πωλήσεων παγίων και τιμαλφών)</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7765CE" w14:textId="77777777" w:rsidR="00D07140" w:rsidRPr="009741B0" w:rsidRDefault="00D07140" w:rsidP="00D07140">
            <w:pPr>
              <w:spacing w:after="0" w:line="240" w:lineRule="auto"/>
              <w:jc w:val="center"/>
              <w:rPr>
                <w:rFonts w:eastAsia="Times New Roman" w:cs="Calibri"/>
                <w:color w:val="000000"/>
                <w:sz w:val="18"/>
                <w:szCs w:val="18"/>
                <w:lang w:eastAsia="el-GR"/>
              </w:rPr>
            </w:pPr>
            <w:r w:rsidRPr="009741B0">
              <w:rPr>
                <w:rFonts w:eastAsia="Times New Roman" w:cs="Calibri"/>
                <w:color w:val="000000"/>
                <w:sz w:val="18"/>
                <w:szCs w:val="18"/>
                <w:lang w:eastAsia="el-GR"/>
              </w:rPr>
              <w:t>2537</w:t>
            </w:r>
          </w:p>
        </w:tc>
        <w:tc>
          <w:tcPr>
            <w:tcW w:w="9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894410" w14:textId="77777777" w:rsidR="00D07140" w:rsidRPr="009741B0" w:rsidRDefault="00D07140" w:rsidP="00D07140">
            <w:pPr>
              <w:spacing w:after="0" w:line="240" w:lineRule="auto"/>
              <w:jc w:val="center"/>
              <w:rPr>
                <w:rFonts w:eastAsia="Times New Roman" w:cs="Calibri"/>
                <w:color w:val="000000"/>
                <w:sz w:val="18"/>
                <w:szCs w:val="18"/>
                <w:lang w:eastAsia="el-GR"/>
              </w:rPr>
            </w:pPr>
            <w:r w:rsidRPr="009741B0">
              <w:rPr>
                <w:rFonts w:eastAsia="Times New Roman" w:cs="Calibri"/>
                <w:color w:val="000000"/>
                <w:sz w:val="18"/>
                <w:szCs w:val="18"/>
                <w:lang w:eastAsia="el-GR"/>
              </w:rPr>
              <w:t>2731</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04E472" w14:textId="77777777" w:rsidR="00D07140" w:rsidRPr="009741B0" w:rsidRDefault="00D07140" w:rsidP="00D07140">
            <w:pPr>
              <w:spacing w:after="0" w:line="240" w:lineRule="auto"/>
              <w:jc w:val="center"/>
              <w:rPr>
                <w:rFonts w:eastAsia="Times New Roman" w:cs="Calibri"/>
                <w:color w:val="000000"/>
                <w:sz w:val="18"/>
                <w:szCs w:val="18"/>
                <w:lang w:eastAsia="el-GR"/>
              </w:rPr>
            </w:pPr>
            <w:r w:rsidRPr="009741B0">
              <w:rPr>
                <w:rFonts w:eastAsia="Times New Roman" w:cs="Calibri"/>
                <w:color w:val="000000"/>
                <w:sz w:val="18"/>
                <w:szCs w:val="18"/>
                <w:lang w:eastAsia="el-GR"/>
              </w:rPr>
              <w:t>1806</w:t>
            </w:r>
          </w:p>
        </w:tc>
        <w:tc>
          <w:tcPr>
            <w:tcW w:w="16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C9998" w14:textId="77777777" w:rsidR="00D07140" w:rsidRPr="009741B0" w:rsidRDefault="00D07140" w:rsidP="00D07140">
            <w:pPr>
              <w:spacing w:after="0" w:line="240" w:lineRule="auto"/>
              <w:jc w:val="center"/>
              <w:rPr>
                <w:rFonts w:eastAsia="Times New Roman" w:cs="Calibri"/>
                <w:color w:val="000000"/>
                <w:sz w:val="18"/>
                <w:szCs w:val="18"/>
                <w:lang w:eastAsia="el-GR"/>
              </w:rPr>
            </w:pPr>
            <w:r w:rsidRPr="009741B0">
              <w:rPr>
                <w:rFonts w:eastAsia="Times New Roman" w:cs="Calibri"/>
                <w:color w:val="000000"/>
                <w:sz w:val="18"/>
                <w:szCs w:val="18"/>
                <w:lang w:eastAsia="el-GR"/>
              </w:rPr>
              <w:t>925</w:t>
            </w:r>
          </w:p>
        </w:tc>
        <w:tc>
          <w:tcPr>
            <w:tcW w:w="12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5D2E31" w14:textId="77777777" w:rsidR="00D07140" w:rsidRPr="009741B0" w:rsidRDefault="00D07140" w:rsidP="00D07140">
            <w:pPr>
              <w:spacing w:after="0" w:line="240" w:lineRule="auto"/>
              <w:jc w:val="center"/>
              <w:rPr>
                <w:rFonts w:eastAsia="Times New Roman" w:cs="Calibri"/>
                <w:color w:val="000000"/>
                <w:sz w:val="18"/>
                <w:szCs w:val="18"/>
                <w:lang w:eastAsia="el-GR"/>
              </w:rPr>
            </w:pPr>
            <w:r w:rsidRPr="009741B0">
              <w:rPr>
                <w:rFonts w:eastAsia="Times New Roman" w:cs="Calibri"/>
                <w:color w:val="000000"/>
                <w:sz w:val="18"/>
                <w:szCs w:val="18"/>
                <w:lang w:eastAsia="el-GR"/>
              </w:rPr>
              <w:t>194</w:t>
            </w:r>
          </w:p>
        </w:tc>
      </w:tr>
      <w:tr w:rsidR="00D07140" w:rsidRPr="009741B0" w14:paraId="2C632B16" w14:textId="77777777" w:rsidTr="00416466">
        <w:trPr>
          <w:trHeight w:val="72"/>
        </w:trPr>
        <w:tc>
          <w:tcPr>
            <w:tcW w:w="21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3CA322" w14:textId="77777777" w:rsidR="00D07140" w:rsidRPr="009741B0" w:rsidRDefault="00D07140" w:rsidP="00D07140">
            <w:pPr>
              <w:spacing w:after="0" w:line="240" w:lineRule="auto"/>
              <w:jc w:val="left"/>
              <w:rPr>
                <w:rFonts w:eastAsia="Times New Roman" w:cs="Calibri"/>
                <w:color w:val="000000"/>
                <w:sz w:val="18"/>
                <w:szCs w:val="18"/>
                <w:lang w:eastAsia="el-GR"/>
              </w:rPr>
            </w:pPr>
            <w:r w:rsidRPr="009741B0">
              <w:rPr>
                <w:rFonts w:eastAsia="Times New Roman" w:cs="Calibri"/>
                <w:color w:val="000000"/>
                <w:sz w:val="18"/>
                <w:szCs w:val="18"/>
                <w:lang w:eastAsia="el-GR"/>
              </w:rPr>
              <w:t xml:space="preserve">β.   Επιστροφές φόρων </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4B1C9A" w14:textId="77777777" w:rsidR="00D07140" w:rsidRPr="009741B0" w:rsidRDefault="00D07140" w:rsidP="00D07140">
            <w:pPr>
              <w:spacing w:after="0" w:line="240" w:lineRule="auto"/>
              <w:jc w:val="center"/>
              <w:rPr>
                <w:rFonts w:eastAsia="Times New Roman" w:cs="Calibri"/>
                <w:color w:val="000000"/>
                <w:sz w:val="18"/>
                <w:szCs w:val="18"/>
                <w:lang w:eastAsia="el-GR"/>
              </w:rPr>
            </w:pPr>
            <w:r w:rsidRPr="009741B0">
              <w:rPr>
                <w:rFonts w:eastAsia="Times New Roman" w:cs="Calibri"/>
                <w:color w:val="000000"/>
                <w:sz w:val="18"/>
                <w:szCs w:val="18"/>
                <w:lang w:eastAsia="el-GR"/>
              </w:rPr>
              <w:t>5.044</w:t>
            </w:r>
          </w:p>
        </w:tc>
        <w:tc>
          <w:tcPr>
            <w:tcW w:w="9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952434" w14:textId="77777777" w:rsidR="00D07140" w:rsidRPr="009741B0" w:rsidRDefault="00D07140" w:rsidP="00D07140">
            <w:pPr>
              <w:spacing w:after="0" w:line="240" w:lineRule="auto"/>
              <w:jc w:val="center"/>
              <w:rPr>
                <w:rFonts w:eastAsia="Times New Roman" w:cs="Calibri"/>
                <w:color w:val="000000"/>
                <w:sz w:val="18"/>
                <w:szCs w:val="18"/>
                <w:lang w:eastAsia="el-GR"/>
              </w:rPr>
            </w:pPr>
            <w:r w:rsidRPr="009741B0">
              <w:rPr>
                <w:rFonts w:eastAsia="Times New Roman" w:cs="Calibri"/>
                <w:color w:val="000000"/>
                <w:sz w:val="18"/>
                <w:szCs w:val="18"/>
                <w:lang w:eastAsia="el-GR"/>
              </w:rPr>
              <w:t>5.672</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9A93B7" w14:textId="77777777" w:rsidR="00D07140" w:rsidRPr="009741B0" w:rsidRDefault="00D07140" w:rsidP="00D07140">
            <w:pPr>
              <w:spacing w:after="0" w:line="240" w:lineRule="auto"/>
              <w:jc w:val="center"/>
              <w:rPr>
                <w:rFonts w:eastAsia="Times New Roman" w:cs="Calibri"/>
                <w:color w:val="000000"/>
                <w:sz w:val="18"/>
                <w:szCs w:val="18"/>
                <w:lang w:eastAsia="el-GR"/>
              </w:rPr>
            </w:pPr>
            <w:r w:rsidRPr="009741B0">
              <w:rPr>
                <w:rFonts w:eastAsia="Times New Roman" w:cs="Calibri"/>
                <w:color w:val="000000"/>
                <w:sz w:val="18"/>
                <w:szCs w:val="18"/>
                <w:lang w:eastAsia="el-GR"/>
              </w:rPr>
              <w:t>4.926</w:t>
            </w:r>
          </w:p>
        </w:tc>
        <w:tc>
          <w:tcPr>
            <w:tcW w:w="16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21AF7E" w14:textId="77777777" w:rsidR="00D07140" w:rsidRPr="009741B0" w:rsidRDefault="00D07140" w:rsidP="00D07140">
            <w:pPr>
              <w:spacing w:after="0" w:line="240" w:lineRule="auto"/>
              <w:jc w:val="center"/>
              <w:rPr>
                <w:rFonts w:eastAsia="Times New Roman" w:cs="Calibri"/>
                <w:color w:val="000000"/>
                <w:sz w:val="18"/>
                <w:szCs w:val="18"/>
                <w:lang w:eastAsia="el-GR"/>
              </w:rPr>
            </w:pPr>
            <w:r w:rsidRPr="009741B0">
              <w:rPr>
                <w:rFonts w:eastAsia="Times New Roman" w:cs="Calibri"/>
                <w:color w:val="000000"/>
                <w:sz w:val="18"/>
                <w:szCs w:val="18"/>
                <w:lang w:eastAsia="el-GR"/>
              </w:rPr>
              <w:t>746</w:t>
            </w:r>
          </w:p>
        </w:tc>
        <w:tc>
          <w:tcPr>
            <w:tcW w:w="12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5650B7" w14:textId="77777777" w:rsidR="00D07140" w:rsidRPr="009741B0" w:rsidRDefault="00D07140" w:rsidP="00D07140">
            <w:pPr>
              <w:spacing w:after="0" w:line="240" w:lineRule="auto"/>
              <w:jc w:val="center"/>
              <w:rPr>
                <w:rFonts w:eastAsia="Times New Roman" w:cs="Calibri"/>
                <w:color w:val="000000"/>
                <w:sz w:val="18"/>
                <w:szCs w:val="18"/>
                <w:lang w:eastAsia="el-GR"/>
              </w:rPr>
            </w:pPr>
            <w:r w:rsidRPr="009741B0">
              <w:rPr>
                <w:rFonts w:eastAsia="Times New Roman" w:cs="Calibri"/>
                <w:color w:val="000000"/>
                <w:sz w:val="18"/>
                <w:szCs w:val="18"/>
                <w:lang w:eastAsia="el-GR"/>
              </w:rPr>
              <w:t>628</w:t>
            </w:r>
          </w:p>
        </w:tc>
      </w:tr>
      <w:tr w:rsidR="00D07140" w:rsidRPr="009741B0" w14:paraId="45B11FB4" w14:textId="77777777" w:rsidTr="00416466">
        <w:trPr>
          <w:trHeight w:val="380"/>
        </w:trPr>
        <w:tc>
          <w:tcPr>
            <w:tcW w:w="216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378C414" w14:textId="77777777" w:rsidR="00D07140" w:rsidRPr="009741B0" w:rsidRDefault="00D07140" w:rsidP="00D07140">
            <w:pPr>
              <w:spacing w:after="0" w:line="240" w:lineRule="auto"/>
              <w:jc w:val="left"/>
              <w:rPr>
                <w:rFonts w:eastAsia="Times New Roman" w:cs="Calibri"/>
                <w:b/>
                <w:bCs/>
                <w:color w:val="000000"/>
                <w:sz w:val="18"/>
                <w:szCs w:val="18"/>
                <w:lang w:eastAsia="el-GR"/>
              </w:rPr>
            </w:pPr>
            <w:r w:rsidRPr="009741B0">
              <w:rPr>
                <w:rFonts w:eastAsia="Times New Roman" w:cs="Calibri"/>
                <w:b/>
                <w:bCs/>
                <w:color w:val="000000"/>
                <w:sz w:val="18"/>
                <w:szCs w:val="18"/>
                <w:lang w:eastAsia="el-GR"/>
              </w:rPr>
              <w:t>2. Δαπάνες Κρατικού Προϋπολογισμού</w:t>
            </w:r>
          </w:p>
        </w:tc>
        <w:tc>
          <w:tcPr>
            <w:tcW w:w="100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B073257" w14:textId="77777777" w:rsidR="00D07140" w:rsidRPr="009741B0" w:rsidRDefault="00D07140" w:rsidP="00D07140">
            <w:pPr>
              <w:spacing w:after="0" w:line="240" w:lineRule="auto"/>
              <w:jc w:val="center"/>
              <w:rPr>
                <w:rFonts w:eastAsia="Times New Roman" w:cs="Calibri"/>
                <w:b/>
                <w:bCs/>
                <w:color w:val="000000"/>
                <w:sz w:val="18"/>
                <w:szCs w:val="18"/>
                <w:lang w:eastAsia="el-GR"/>
              </w:rPr>
            </w:pPr>
            <w:r w:rsidRPr="009741B0">
              <w:rPr>
                <w:rFonts w:eastAsia="Times New Roman" w:cs="Calibri"/>
                <w:b/>
                <w:bCs/>
                <w:color w:val="000000"/>
                <w:sz w:val="18"/>
                <w:szCs w:val="18"/>
                <w:lang w:eastAsia="el-GR"/>
              </w:rPr>
              <w:t>55.265</w:t>
            </w:r>
          </w:p>
        </w:tc>
        <w:tc>
          <w:tcPr>
            <w:tcW w:w="98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E233634" w14:textId="77777777" w:rsidR="00D07140" w:rsidRPr="009741B0" w:rsidRDefault="00D07140" w:rsidP="00D07140">
            <w:pPr>
              <w:spacing w:after="0" w:line="240" w:lineRule="auto"/>
              <w:jc w:val="center"/>
              <w:rPr>
                <w:rFonts w:eastAsia="Times New Roman" w:cs="Calibri"/>
                <w:b/>
                <w:bCs/>
                <w:color w:val="000000"/>
                <w:sz w:val="18"/>
                <w:szCs w:val="18"/>
                <w:lang w:eastAsia="el-GR"/>
              </w:rPr>
            </w:pPr>
            <w:r w:rsidRPr="009741B0">
              <w:rPr>
                <w:rFonts w:eastAsia="Times New Roman" w:cs="Calibri"/>
                <w:b/>
                <w:bCs/>
                <w:color w:val="000000"/>
                <w:sz w:val="18"/>
                <w:szCs w:val="18"/>
                <w:lang w:eastAsia="el-GR"/>
              </w:rPr>
              <w:t>70.169</w:t>
            </w:r>
          </w:p>
        </w:tc>
        <w:tc>
          <w:tcPr>
            <w:tcW w:w="160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7E359D0" w14:textId="77777777" w:rsidR="00D07140" w:rsidRPr="009741B0" w:rsidRDefault="00D07140" w:rsidP="00D07140">
            <w:pPr>
              <w:spacing w:after="0" w:line="240" w:lineRule="auto"/>
              <w:jc w:val="center"/>
              <w:rPr>
                <w:rFonts w:eastAsia="Times New Roman" w:cs="Calibri"/>
                <w:b/>
                <w:bCs/>
                <w:color w:val="000000"/>
                <w:sz w:val="18"/>
                <w:szCs w:val="18"/>
                <w:lang w:eastAsia="el-GR"/>
              </w:rPr>
            </w:pPr>
            <w:r w:rsidRPr="009741B0">
              <w:rPr>
                <w:rFonts w:eastAsia="Times New Roman" w:cs="Calibri"/>
                <w:b/>
                <w:bCs/>
                <w:color w:val="000000"/>
                <w:sz w:val="18"/>
                <w:szCs w:val="18"/>
                <w:lang w:eastAsia="el-GR"/>
              </w:rPr>
              <w:t>56.037</w:t>
            </w:r>
          </w:p>
        </w:tc>
        <w:tc>
          <w:tcPr>
            <w:tcW w:w="164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7F929C6" w14:textId="77777777" w:rsidR="00D07140" w:rsidRPr="009741B0" w:rsidRDefault="00D07140" w:rsidP="00D07140">
            <w:pPr>
              <w:spacing w:after="0" w:line="240" w:lineRule="auto"/>
              <w:jc w:val="center"/>
              <w:rPr>
                <w:rFonts w:eastAsia="Times New Roman" w:cs="Calibri"/>
                <w:b/>
                <w:bCs/>
                <w:color w:val="000000"/>
                <w:sz w:val="18"/>
                <w:szCs w:val="18"/>
                <w:lang w:eastAsia="el-GR"/>
              </w:rPr>
            </w:pPr>
            <w:r w:rsidRPr="009741B0">
              <w:rPr>
                <w:rFonts w:eastAsia="Times New Roman" w:cs="Calibri"/>
                <w:b/>
                <w:bCs/>
                <w:color w:val="000000"/>
                <w:sz w:val="18"/>
                <w:szCs w:val="18"/>
                <w:lang w:eastAsia="el-GR"/>
              </w:rPr>
              <w:t>125%</w:t>
            </w:r>
          </w:p>
        </w:tc>
        <w:tc>
          <w:tcPr>
            <w:tcW w:w="122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CC46705" w14:textId="77777777" w:rsidR="00D07140" w:rsidRPr="009741B0" w:rsidRDefault="00D07140" w:rsidP="00D07140">
            <w:pPr>
              <w:spacing w:after="0" w:line="240" w:lineRule="auto"/>
              <w:jc w:val="center"/>
              <w:rPr>
                <w:rFonts w:eastAsia="Times New Roman" w:cs="Calibri"/>
                <w:b/>
                <w:bCs/>
                <w:color w:val="000000"/>
                <w:sz w:val="18"/>
                <w:szCs w:val="18"/>
                <w:lang w:eastAsia="el-GR"/>
              </w:rPr>
            </w:pPr>
            <w:r w:rsidRPr="009741B0">
              <w:rPr>
                <w:rFonts w:eastAsia="Times New Roman" w:cs="Calibri"/>
                <w:b/>
                <w:bCs/>
                <w:color w:val="000000"/>
                <w:sz w:val="18"/>
                <w:szCs w:val="18"/>
                <w:lang w:eastAsia="el-GR"/>
              </w:rPr>
              <w:t>14.904</w:t>
            </w:r>
          </w:p>
        </w:tc>
      </w:tr>
      <w:tr w:rsidR="00D07140" w:rsidRPr="009741B0" w14:paraId="2F1589B3" w14:textId="77777777" w:rsidTr="00416466">
        <w:trPr>
          <w:trHeight w:val="257"/>
        </w:trPr>
        <w:tc>
          <w:tcPr>
            <w:tcW w:w="21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71A2404" w14:textId="77777777" w:rsidR="00D07140" w:rsidRPr="009741B0" w:rsidRDefault="00D07140" w:rsidP="00D07140">
            <w:pPr>
              <w:spacing w:after="0" w:line="240" w:lineRule="auto"/>
              <w:jc w:val="left"/>
              <w:rPr>
                <w:rFonts w:eastAsia="Times New Roman" w:cs="Calibri"/>
                <w:color w:val="000000"/>
                <w:sz w:val="18"/>
                <w:szCs w:val="18"/>
                <w:lang w:eastAsia="el-GR"/>
              </w:rPr>
            </w:pPr>
            <w:r w:rsidRPr="009741B0">
              <w:rPr>
                <w:rFonts w:eastAsia="Times New Roman" w:cs="Calibri"/>
                <w:color w:val="000000"/>
                <w:sz w:val="18"/>
                <w:szCs w:val="18"/>
                <w:lang w:eastAsia="el-GR"/>
              </w:rPr>
              <w:t xml:space="preserve">Ι. Παροχές σε εργαζομένους </w:t>
            </w:r>
          </w:p>
        </w:tc>
        <w:tc>
          <w:tcPr>
            <w:tcW w:w="100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E48F50" w14:textId="77777777" w:rsidR="00D07140" w:rsidRPr="009741B0" w:rsidRDefault="00D07140" w:rsidP="00D07140">
            <w:pPr>
              <w:spacing w:after="0" w:line="240" w:lineRule="auto"/>
              <w:jc w:val="center"/>
              <w:rPr>
                <w:rFonts w:eastAsia="Times New Roman" w:cs="Calibri"/>
                <w:color w:val="000000"/>
                <w:sz w:val="18"/>
                <w:szCs w:val="18"/>
                <w:lang w:eastAsia="el-GR"/>
              </w:rPr>
            </w:pPr>
            <w:r w:rsidRPr="009741B0">
              <w:rPr>
                <w:rFonts w:eastAsia="Times New Roman" w:cs="Calibri"/>
                <w:color w:val="000000"/>
                <w:sz w:val="18"/>
                <w:szCs w:val="18"/>
                <w:lang w:eastAsia="el-GR"/>
              </w:rPr>
              <w:t>13.247</w:t>
            </w:r>
          </w:p>
        </w:tc>
        <w:tc>
          <w:tcPr>
            <w:tcW w:w="98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B5AAC14" w14:textId="77777777" w:rsidR="00D07140" w:rsidRPr="009741B0" w:rsidRDefault="00D07140" w:rsidP="00D07140">
            <w:pPr>
              <w:spacing w:after="0" w:line="240" w:lineRule="auto"/>
              <w:jc w:val="center"/>
              <w:rPr>
                <w:rFonts w:eastAsia="Times New Roman" w:cs="Calibri"/>
                <w:color w:val="000000"/>
                <w:sz w:val="18"/>
                <w:szCs w:val="18"/>
                <w:lang w:eastAsia="el-GR"/>
              </w:rPr>
            </w:pPr>
            <w:r w:rsidRPr="009741B0">
              <w:rPr>
                <w:rFonts w:eastAsia="Times New Roman" w:cs="Calibri"/>
                <w:color w:val="000000"/>
                <w:sz w:val="18"/>
                <w:szCs w:val="18"/>
                <w:lang w:eastAsia="el-GR"/>
              </w:rPr>
              <w:t>13.335</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886810" w14:textId="77777777" w:rsidR="00D07140" w:rsidRPr="009741B0" w:rsidRDefault="00D07140" w:rsidP="00D07140">
            <w:pPr>
              <w:spacing w:after="0" w:line="240" w:lineRule="auto"/>
              <w:jc w:val="center"/>
              <w:rPr>
                <w:rFonts w:eastAsia="Times New Roman" w:cs="Calibri"/>
                <w:color w:val="000000"/>
                <w:sz w:val="18"/>
                <w:szCs w:val="18"/>
                <w:lang w:eastAsia="el-GR"/>
              </w:rPr>
            </w:pPr>
            <w:r w:rsidRPr="009741B0">
              <w:rPr>
                <w:rFonts w:eastAsia="Times New Roman" w:cs="Calibri"/>
                <w:color w:val="000000"/>
                <w:sz w:val="18"/>
                <w:szCs w:val="18"/>
                <w:lang w:eastAsia="el-GR"/>
              </w:rPr>
              <w:t>13.403</w:t>
            </w:r>
          </w:p>
        </w:tc>
        <w:tc>
          <w:tcPr>
            <w:tcW w:w="16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0D0939" w14:textId="77777777" w:rsidR="00D07140" w:rsidRPr="009741B0" w:rsidRDefault="00D07140" w:rsidP="00D07140">
            <w:pPr>
              <w:spacing w:after="0" w:line="240" w:lineRule="auto"/>
              <w:jc w:val="center"/>
              <w:rPr>
                <w:rFonts w:eastAsia="Times New Roman" w:cs="Calibri"/>
                <w:color w:val="000000"/>
                <w:sz w:val="18"/>
                <w:szCs w:val="18"/>
                <w:lang w:eastAsia="el-GR"/>
              </w:rPr>
            </w:pPr>
            <w:r w:rsidRPr="009741B0">
              <w:rPr>
                <w:rFonts w:eastAsia="Times New Roman" w:cs="Calibri"/>
                <w:color w:val="000000"/>
                <w:sz w:val="18"/>
                <w:szCs w:val="18"/>
                <w:lang w:eastAsia="el-GR"/>
              </w:rPr>
              <w:t>99%</w:t>
            </w:r>
          </w:p>
        </w:tc>
        <w:tc>
          <w:tcPr>
            <w:tcW w:w="12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27C0A0" w14:textId="77777777" w:rsidR="00D07140" w:rsidRPr="009741B0" w:rsidRDefault="00D07140" w:rsidP="00D07140">
            <w:pPr>
              <w:spacing w:after="0" w:line="240" w:lineRule="auto"/>
              <w:jc w:val="center"/>
              <w:rPr>
                <w:rFonts w:eastAsia="Times New Roman" w:cs="Calibri"/>
                <w:b/>
                <w:bCs/>
                <w:color w:val="000000"/>
                <w:sz w:val="18"/>
                <w:szCs w:val="18"/>
                <w:lang w:eastAsia="el-GR"/>
              </w:rPr>
            </w:pPr>
            <w:r w:rsidRPr="009741B0">
              <w:rPr>
                <w:rFonts w:eastAsia="Times New Roman" w:cs="Calibri"/>
                <w:b/>
                <w:bCs/>
                <w:color w:val="000000"/>
                <w:sz w:val="18"/>
                <w:szCs w:val="18"/>
                <w:lang w:eastAsia="el-GR"/>
              </w:rPr>
              <w:t>88</w:t>
            </w:r>
          </w:p>
        </w:tc>
      </w:tr>
      <w:tr w:rsidR="00D07140" w:rsidRPr="009741B0" w14:paraId="41C74F68" w14:textId="77777777" w:rsidTr="00416466">
        <w:trPr>
          <w:trHeight w:val="290"/>
        </w:trPr>
        <w:tc>
          <w:tcPr>
            <w:tcW w:w="21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8506E1E" w14:textId="77777777" w:rsidR="00D07140" w:rsidRPr="009741B0" w:rsidRDefault="00D07140" w:rsidP="00D07140">
            <w:pPr>
              <w:spacing w:after="0" w:line="240" w:lineRule="auto"/>
              <w:jc w:val="left"/>
              <w:rPr>
                <w:rFonts w:eastAsia="Times New Roman" w:cs="Calibri"/>
                <w:color w:val="000000"/>
                <w:sz w:val="18"/>
                <w:szCs w:val="18"/>
                <w:lang w:eastAsia="el-GR"/>
              </w:rPr>
            </w:pPr>
            <w:r w:rsidRPr="009741B0">
              <w:rPr>
                <w:rFonts w:eastAsia="Times New Roman" w:cs="Calibri"/>
                <w:color w:val="000000"/>
                <w:sz w:val="18"/>
                <w:szCs w:val="18"/>
                <w:lang w:eastAsia="el-GR"/>
              </w:rPr>
              <w:t>ΙΙ. Κοινωνικές Παροχές</w:t>
            </w:r>
          </w:p>
        </w:tc>
        <w:tc>
          <w:tcPr>
            <w:tcW w:w="100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9D69C9" w14:textId="77777777" w:rsidR="00D07140" w:rsidRPr="009741B0" w:rsidRDefault="00D07140" w:rsidP="00D07140">
            <w:pPr>
              <w:spacing w:after="0" w:line="240" w:lineRule="auto"/>
              <w:jc w:val="center"/>
              <w:rPr>
                <w:rFonts w:eastAsia="Times New Roman" w:cs="Calibri"/>
                <w:color w:val="000000"/>
                <w:sz w:val="18"/>
                <w:szCs w:val="18"/>
                <w:lang w:eastAsia="el-GR"/>
              </w:rPr>
            </w:pPr>
            <w:r w:rsidRPr="009741B0">
              <w:rPr>
                <w:rFonts w:eastAsia="Times New Roman" w:cs="Calibri"/>
                <w:color w:val="000000"/>
                <w:sz w:val="18"/>
                <w:szCs w:val="18"/>
                <w:lang w:eastAsia="el-GR"/>
              </w:rPr>
              <w:t>653</w:t>
            </w:r>
          </w:p>
        </w:tc>
        <w:tc>
          <w:tcPr>
            <w:tcW w:w="98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F02BA5" w14:textId="77777777" w:rsidR="00D07140" w:rsidRPr="009741B0" w:rsidRDefault="00D07140" w:rsidP="00D07140">
            <w:pPr>
              <w:spacing w:after="0" w:line="240" w:lineRule="auto"/>
              <w:jc w:val="center"/>
              <w:rPr>
                <w:rFonts w:eastAsia="Times New Roman" w:cs="Calibri"/>
                <w:color w:val="000000"/>
                <w:sz w:val="18"/>
                <w:szCs w:val="18"/>
                <w:lang w:eastAsia="el-GR"/>
              </w:rPr>
            </w:pPr>
            <w:r w:rsidRPr="009741B0">
              <w:rPr>
                <w:rFonts w:eastAsia="Times New Roman" w:cs="Calibri"/>
                <w:color w:val="000000"/>
                <w:sz w:val="18"/>
                <w:szCs w:val="18"/>
                <w:lang w:eastAsia="el-GR"/>
              </w:rPr>
              <w:t>137</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C73ADF" w14:textId="77777777" w:rsidR="00D07140" w:rsidRPr="009741B0" w:rsidRDefault="00D07140" w:rsidP="00D07140">
            <w:pPr>
              <w:spacing w:after="0" w:line="240" w:lineRule="auto"/>
              <w:jc w:val="center"/>
              <w:rPr>
                <w:rFonts w:eastAsia="Times New Roman" w:cs="Calibri"/>
                <w:color w:val="000000"/>
                <w:sz w:val="18"/>
                <w:szCs w:val="18"/>
                <w:lang w:eastAsia="el-GR"/>
              </w:rPr>
            </w:pPr>
            <w:r w:rsidRPr="009741B0">
              <w:rPr>
                <w:rFonts w:eastAsia="Times New Roman" w:cs="Calibri"/>
                <w:color w:val="000000"/>
                <w:sz w:val="18"/>
                <w:szCs w:val="18"/>
                <w:lang w:eastAsia="el-GR"/>
              </w:rPr>
              <w:t>134</w:t>
            </w:r>
          </w:p>
        </w:tc>
        <w:tc>
          <w:tcPr>
            <w:tcW w:w="16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2A665C" w14:textId="77777777" w:rsidR="00D07140" w:rsidRPr="009741B0" w:rsidRDefault="00D07140" w:rsidP="00D07140">
            <w:pPr>
              <w:spacing w:after="0" w:line="240" w:lineRule="auto"/>
              <w:jc w:val="center"/>
              <w:rPr>
                <w:rFonts w:eastAsia="Times New Roman" w:cs="Calibri"/>
                <w:color w:val="000000"/>
                <w:sz w:val="18"/>
                <w:szCs w:val="18"/>
                <w:lang w:eastAsia="el-GR"/>
              </w:rPr>
            </w:pPr>
            <w:r w:rsidRPr="009741B0">
              <w:rPr>
                <w:rFonts w:eastAsia="Times New Roman" w:cs="Calibri"/>
                <w:color w:val="000000"/>
                <w:sz w:val="18"/>
                <w:szCs w:val="18"/>
                <w:lang w:eastAsia="el-GR"/>
              </w:rPr>
              <w:t>102%</w:t>
            </w:r>
          </w:p>
        </w:tc>
        <w:tc>
          <w:tcPr>
            <w:tcW w:w="12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A5C01A" w14:textId="77777777" w:rsidR="00D07140" w:rsidRPr="009741B0" w:rsidRDefault="00D07140" w:rsidP="00D07140">
            <w:pPr>
              <w:spacing w:after="0" w:line="240" w:lineRule="auto"/>
              <w:jc w:val="center"/>
              <w:rPr>
                <w:rFonts w:eastAsia="Times New Roman" w:cs="Calibri"/>
                <w:b/>
                <w:bCs/>
                <w:color w:val="000000"/>
                <w:sz w:val="18"/>
                <w:szCs w:val="18"/>
                <w:lang w:eastAsia="el-GR"/>
              </w:rPr>
            </w:pPr>
            <w:r w:rsidRPr="009741B0">
              <w:rPr>
                <w:rFonts w:eastAsia="Times New Roman" w:cs="Calibri"/>
                <w:b/>
                <w:bCs/>
                <w:color w:val="000000"/>
                <w:sz w:val="18"/>
                <w:szCs w:val="18"/>
                <w:lang w:eastAsia="el-GR"/>
              </w:rPr>
              <w:t>-516</w:t>
            </w:r>
          </w:p>
        </w:tc>
      </w:tr>
      <w:tr w:rsidR="00D07140" w:rsidRPr="009741B0" w14:paraId="48F76367" w14:textId="77777777" w:rsidTr="00416466">
        <w:trPr>
          <w:trHeight w:val="200"/>
        </w:trPr>
        <w:tc>
          <w:tcPr>
            <w:tcW w:w="21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63E17D5" w14:textId="77777777" w:rsidR="00D07140" w:rsidRPr="009741B0" w:rsidRDefault="00D07140" w:rsidP="00D07140">
            <w:pPr>
              <w:spacing w:after="0" w:line="240" w:lineRule="auto"/>
              <w:jc w:val="left"/>
              <w:rPr>
                <w:rFonts w:eastAsia="Times New Roman" w:cs="Calibri"/>
                <w:color w:val="000000"/>
                <w:sz w:val="18"/>
                <w:szCs w:val="18"/>
                <w:lang w:eastAsia="el-GR"/>
              </w:rPr>
            </w:pPr>
            <w:r w:rsidRPr="009741B0">
              <w:rPr>
                <w:rFonts w:eastAsia="Times New Roman" w:cs="Calibri"/>
                <w:color w:val="000000"/>
                <w:sz w:val="18"/>
                <w:szCs w:val="18"/>
                <w:lang w:eastAsia="el-GR"/>
              </w:rPr>
              <w:t>ΙΙΙ. Μεταβιβάσεις</w:t>
            </w:r>
          </w:p>
        </w:tc>
        <w:tc>
          <w:tcPr>
            <w:tcW w:w="100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725120E" w14:textId="77777777" w:rsidR="00D07140" w:rsidRPr="009741B0" w:rsidRDefault="00D07140" w:rsidP="00D07140">
            <w:pPr>
              <w:spacing w:after="0" w:line="240" w:lineRule="auto"/>
              <w:jc w:val="center"/>
              <w:rPr>
                <w:rFonts w:eastAsia="Times New Roman" w:cs="Calibri"/>
                <w:color w:val="000000"/>
                <w:sz w:val="18"/>
                <w:szCs w:val="18"/>
                <w:lang w:eastAsia="el-GR"/>
              </w:rPr>
            </w:pPr>
            <w:r w:rsidRPr="009741B0">
              <w:rPr>
                <w:rFonts w:eastAsia="Times New Roman" w:cs="Calibri"/>
                <w:color w:val="000000"/>
                <w:sz w:val="18"/>
                <w:szCs w:val="18"/>
                <w:lang w:eastAsia="el-GR"/>
              </w:rPr>
              <w:t>28.205</w:t>
            </w:r>
          </w:p>
        </w:tc>
        <w:tc>
          <w:tcPr>
            <w:tcW w:w="98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4328E76" w14:textId="77777777" w:rsidR="00D07140" w:rsidRPr="009741B0" w:rsidRDefault="00D07140" w:rsidP="00D07140">
            <w:pPr>
              <w:spacing w:after="0" w:line="240" w:lineRule="auto"/>
              <w:jc w:val="center"/>
              <w:rPr>
                <w:rFonts w:eastAsia="Times New Roman" w:cs="Calibri"/>
                <w:color w:val="000000"/>
                <w:sz w:val="18"/>
                <w:szCs w:val="18"/>
                <w:lang w:eastAsia="el-GR"/>
              </w:rPr>
            </w:pPr>
            <w:r w:rsidRPr="009741B0">
              <w:rPr>
                <w:rFonts w:eastAsia="Times New Roman" w:cs="Calibri"/>
                <w:color w:val="000000"/>
                <w:sz w:val="18"/>
                <w:szCs w:val="18"/>
                <w:lang w:eastAsia="el-GR"/>
              </w:rPr>
              <w:t>38.751</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900381" w14:textId="77777777" w:rsidR="00D07140" w:rsidRPr="009741B0" w:rsidRDefault="00D07140" w:rsidP="00D07140">
            <w:pPr>
              <w:spacing w:after="0" w:line="240" w:lineRule="auto"/>
              <w:jc w:val="center"/>
              <w:rPr>
                <w:rFonts w:eastAsia="Times New Roman" w:cs="Calibri"/>
                <w:color w:val="000000"/>
                <w:sz w:val="18"/>
                <w:szCs w:val="18"/>
                <w:lang w:eastAsia="el-GR"/>
              </w:rPr>
            </w:pPr>
            <w:r w:rsidRPr="009741B0">
              <w:rPr>
                <w:rFonts w:eastAsia="Times New Roman" w:cs="Calibri"/>
                <w:color w:val="000000"/>
                <w:sz w:val="18"/>
                <w:szCs w:val="18"/>
                <w:lang w:eastAsia="el-GR"/>
              </w:rPr>
              <w:t>27.824</w:t>
            </w:r>
          </w:p>
        </w:tc>
        <w:tc>
          <w:tcPr>
            <w:tcW w:w="16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E36660" w14:textId="77777777" w:rsidR="00D07140" w:rsidRPr="009741B0" w:rsidRDefault="00D07140" w:rsidP="00D07140">
            <w:pPr>
              <w:spacing w:after="0" w:line="240" w:lineRule="auto"/>
              <w:jc w:val="center"/>
              <w:rPr>
                <w:rFonts w:eastAsia="Times New Roman" w:cs="Calibri"/>
                <w:color w:val="000000"/>
                <w:sz w:val="18"/>
                <w:szCs w:val="18"/>
                <w:lang w:eastAsia="el-GR"/>
              </w:rPr>
            </w:pPr>
            <w:r w:rsidRPr="009741B0">
              <w:rPr>
                <w:rFonts w:eastAsia="Times New Roman" w:cs="Calibri"/>
                <w:color w:val="000000"/>
                <w:sz w:val="18"/>
                <w:szCs w:val="18"/>
                <w:lang w:eastAsia="el-GR"/>
              </w:rPr>
              <w:t>139%</w:t>
            </w:r>
          </w:p>
        </w:tc>
        <w:tc>
          <w:tcPr>
            <w:tcW w:w="12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DB23C0" w14:textId="77777777" w:rsidR="00D07140" w:rsidRPr="009741B0" w:rsidRDefault="00D07140" w:rsidP="00D07140">
            <w:pPr>
              <w:spacing w:after="0" w:line="240" w:lineRule="auto"/>
              <w:jc w:val="center"/>
              <w:rPr>
                <w:rFonts w:eastAsia="Times New Roman" w:cs="Calibri"/>
                <w:b/>
                <w:bCs/>
                <w:color w:val="000000"/>
                <w:sz w:val="18"/>
                <w:szCs w:val="18"/>
                <w:lang w:eastAsia="el-GR"/>
              </w:rPr>
            </w:pPr>
            <w:r w:rsidRPr="009741B0">
              <w:rPr>
                <w:rFonts w:eastAsia="Times New Roman" w:cs="Calibri"/>
                <w:b/>
                <w:bCs/>
                <w:color w:val="000000"/>
                <w:sz w:val="18"/>
                <w:szCs w:val="18"/>
                <w:lang w:eastAsia="el-GR"/>
              </w:rPr>
              <w:t>10.546</w:t>
            </w:r>
          </w:p>
        </w:tc>
      </w:tr>
      <w:tr w:rsidR="00D07140" w:rsidRPr="009741B0" w14:paraId="4B37B2D8" w14:textId="77777777" w:rsidTr="00416466">
        <w:trPr>
          <w:trHeight w:val="257"/>
        </w:trPr>
        <w:tc>
          <w:tcPr>
            <w:tcW w:w="21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5AD3A69" w14:textId="77777777" w:rsidR="00D07140" w:rsidRPr="009741B0" w:rsidRDefault="00D07140" w:rsidP="00D07140">
            <w:pPr>
              <w:spacing w:after="0" w:line="240" w:lineRule="auto"/>
              <w:jc w:val="left"/>
              <w:rPr>
                <w:rFonts w:eastAsia="Times New Roman" w:cs="Calibri"/>
                <w:color w:val="000000"/>
                <w:sz w:val="18"/>
                <w:szCs w:val="18"/>
                <w:lang w:eastAsia="el-GR"/>
              </w:rPr>
            </w:pPr>
            <w:r w:rsidRPr="009741B0">
              <w:rPr>
                <w:rFonts w:eastAsia="Times New Roman" w:cs="Calibri"/>
                <w:color w:val="000000"/>
                <w:sz w:val="18"/>
                <w:szCs w:val="18"/>
                <w:lang w:eastAsia="el-GR"/>
              </w:rPr>
              <w:t>ΙV. Λοιπές δαπάνες</w:t>
            </w:r>
          </w:p>
        </w:tc>
        <w:tc>
          <w:tcPr>
            <w:tcW w:w="100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1A6BFBC" w14:textId="77777777" w:rsidR="00D07140" w:rsidRPr="009741B0" w:rsidRDefault="00D07140" w:rsidP="00D07140">
            <w:pPr>
              <w:spacing w:after="0" w:line="240" w:lineRule="auto"/>
              <w:jc w:val="center"/>
              <w:rPr>
                <w:rFonts w:eastAsia="Times New Roman" w:cs="Calibri"/>
                <w:color w:val="000000"/>
                <w:sz w:val="18"/>
                <w:szCs w:val="18"/>
                <w:lang w:eastAsia="el-GR"/>
              </w:rPr>
            </w:pPr>
            <w:r w:rsidRPr="009741B0">
              <w:rPr>
                <w:rFonts w:eastAsia="Times New Roman" w:cs="Calibri"/>
                <w:color w:val="000000"/>
                <w:sz w:val="18"/>
                <w:szCs w:val="18"/>
                <w:lang w:eastAsia="el-GR"/>
              </w:rPr>
              <w:t>2.293</w:t>
            </w:r>
          </w:p>
        </w:tc>
        <w:tc>
          <w:tcPr>
            <w:tcW w:w="98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5167739" w14:textId="77777777" w:rsidR="00D07140" w:rsidRPr="009741B0" w:rsidRDefault="00D07140" w:rsidP="00D07140">
            <w:pPr>
              <w:spacing w:after="0" w:line="240" w:lineRule="auto"/>
              <w:jc w:val="center"/>
              <w:rPr>
                <w:rFonts w:eastAsia="Times New Roman" w:cs="Calibri"/>
                <w:color w:val="000000"/>
                <w:sz w:val="18"/>
                <w:szCs w:val="18"/>
                <w:lang w:eastAsia="el-GR"/>
              </w:rPr>
            </w:pPr>
            <w:r w:rsidRPr="009741B0">
              <w:rPr>
                <w:rFonts w:eastAsia="Times New Roman" w:cs="Calibri"/>
                <w:color w:val="000000"/>
                <w:sz w:val="18"/>
                <w:szCs w:val="18"/>
                <w:lang w:eastAsia="el-GR"/>
              </w:rPr>
              <w:t>2.525</w:t>
            </w:r>
          </w:p>
        </w:tc>
        <w:tc>
          <w:tcPr>
            <w:tcW w:w="16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9E89D25" w14:textId="77777777" w:rsidR="00D07140" w:rsidRPr="009741B0" w:rsidRDefault="00D07140" w:rsidP="00D07140">
            <w:pPr>
              <w:spacing w:after="0" w:line="240" w:lineRule="auto"/>
              <w:jc w:val="center"/>
              <w:rPr>
                <w:rFonts w:eastAsia="Times New Roman" w:cs="Calibri"/>
                <w:color w:val="000000"/>
                <w:sz w:val="18"/>
                <w:szCs w:val="18"/>
                <w:lang w:eastAsia="el-GR"/>
              </w:rPr>
            </w:pPr>
            <w:r w:rsidRPr="009741B0">
              <w:rPr>
                <w:rFonts w:eastAsia="Times New Roman" w:cs="Calibri"/>
                <w:color w:val="000000"/>
                <w:sz w:val="18"/>
                <w:szCs w:val="18"/>
                <w:lang w:eastAsia="el-GR"/>
              </w:rPr>
              <w:t>3.426</w:t>
            </w:r>
          </w:p>
        </w:tc>
        <w:tc>
          <w:tcPr>
            <w:tcW w:w="16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E193AC" w14:textId="77777777" w:rsidR="00D07140" w:rsidRPr="009741B0" w:rsidRDefault="00D07140" w:rsidP="00D07140">
            <w:pPr>
              <w:spacing w:after="0" w:line="240" w:lineRule="auto"/>
              <w:jc w:val="center"/>
              <w:rPr>
                <w:rFonts w:eastAsia="Times New Roman" w:cs="Calibri"/>
                <w:color w:val="000000"/>
                <w:sz w:val="18"/>
                <w:szCs w:val="18"/>
                <w:lang w:eastAsia="el-GR"/>
              </w:rPr>
            </w:pPr>
            <w:r w:rsidRPr="009741B0">
              <w:rPr>
                <w:rFonts w:eastAsia="Times New Roman" w:cs="Calibri"/>
                <w:color w:val="000000"/>
                <w:sz w:val="18"/>
                <w:szCs w:val="18"/>
                <w:lang w:eastAsia="el-GR"/>
              </w:rPr>
              <w:t>74%</w:t>
            </w:r>
          </w:p>
        </w:tc>
        <w:tc>
          <w:tcPr>
            <w:tcW w:w="12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EAF14C" w14:textId="77777777" w:rsidR="00D07140" w:rsidRPr="009741B0" w:rsidRDefault="00D07140" w:rsidP="00D07140">
            <w:pPr>
              <w:spacing w:after="0" w:line="240" w:lineRule="auto"/>
              <w:jc w:val="center"/>
              <w:rPr>
                <w:rFonts w:eastAsia="Times New Roman" w:cs="Calibri"/>
                <w:b/>
                <w:bCs/>
                <w:color w:val="000000"/>
                <w:sz w:val="18"/>
                <w:szCs w:val="18"/>
                <w:lang w:eastAsia="el-GR"/>
              </w:rPr>
            </w:pPr>
            <w:r w:rsidRPr="009741B0">
              <w:rPr>
                <w:rFonts w:eastAsia="Times New Roman" w:cs="Calibri"/>
                <w:b/>
                <w:bCs/>
                <w:color w:val="000000"/>
                <w:sz w:val="18"/>
                <w:szCs w:val="18"/>
                <w:lang w:eastAsia="el-GR"/>
              </w:rPr>
              <w:t>232</w:t>
            </w:r>
          </w:p>
        </w:tc>
      </w:tr>
      <w:tr w:rsidR="00D07140" w:rsidRPr="009741B0" w14:paraId="05337F11" w14:textId="77777777" w:rsidTr="00416466">
        <w:trPr>
          <w:trHeight w:val="257"/>
        </w:trPr>
        <w:tc>
          <w:tcPr>
            <w:tcW w:w="21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2D4F830" w14:textId="77777777" w:rsidR="00D07140" w:rsidRPr="009741B0" w:rsidRDefault="00D07140" w:rsidP="00D07140">
            <w:pPr>
              <w:spacing w:after="0" w:line="240" w:lineRule="auto"/>
              <w:jc w:val="left"/>
              <w:rPr>
                <w:rFonts w:eastAsia="Times New Roman" w:cs="Calibri"/>
                <w:color w:val="000000"/>
                <w:sz w:val="18"/>
                <w:szCs w:val="18"/>
                <w:lang w:eastAsia="el-GR"/>
              </w:rPr>
            </w:pPr>
            <w:r w:rsidRPr="009741B0">
              <w:rPr>
                <w:rFonts w:eastAsia="Times New Roman" w:cs="Calibri"/>
                <w:color w:val="000000"/>
                <w:sz w:val="18"/>
                <w:szCs w:val="18"/>
                <w:lang w:eastAsia="el-GR"/>
              </w:rPr>
              <w:t>V. Τόκοι (σε ακαθάριστη βάση)</w:t>
            </w:r>
          </w:p>
        </w:tc>
        <w:tc>
          <w:tcPr>
            <w:tcW w:w="100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F421C9C" w14:textId="77777777" w:rsidR="00D07140" w:rsidRPr="009741B0" w:rsidRDefault="00D07140" w:rsidP="00D07140">
            <w:pPr>
              <w:spacing w:after="0" w:line="240" w:lineRule="auto"/>
              <w:jc w:val="center"/>
              <w:rPr>
                <w:rFonts w:eastAsia="Times New Roman" w:cs="Calibri"/>
                <w:color w:val="000000"/>
                <w:sz w:val="18"/>
                <w:szCs w:val="18"/>
                <w:lang w:eastAsia="el-GR"/>
              </w:rPr>
            </w:pPr>
            <w:r w:rsidRPr="009741B0">
              <w:rPr>
                <w:rFonts w:eastAsia="Times New Roman" w:cs="Calibri"/>
                <w:color w:val="000000"/>
                <w:sz w:val="18"/>
                <w:szCs w:val="18"/>
                <w:lang w:eastAsia="el-GR"/>
              </w:rPr>
              <w:t>5.225</w:t>
            </w:r>
          </w:p>
        </w:tc>
        <w:tc>
          <w:tcPr>
            <w:tcW w:w="98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65057FA" w14:textId="77777777" w:rsidR="00D07140" w:rsidRPr="009741B0" w:rsidRDefault="00D07140" w:rsidP="00D07140">
            <w:pPr>
              <w:spacing w:after="0" w:line="240" w:lineRule="auto"/>
              <w:jc w:val="center"/>
              <w:rPr>
                <w:rFonts w:eastAsia="Times New Roman" w:cs="Calibri"/>
                <w:color w:val="000000"/>
                <w:sz w:val="18"/>
                <w:szCs w:val="18"/>
                <w:lang w:eastAsia="el-GR"/>
              </w:rPr>
            </w:pPr>
            <w:r w:rsidRPr="009741B0">
              <w:rPr>
                <w:rFonts w:eastAsia="Times New Roman" w:cs="Calibri"/>
                <w:color w:val="000000"/>
                <w:sz w:val="18"/>
                <w:szCs w:val="18"/>
                <w:lang w:eastAsia="el-GR"/>
              </w:rPr>
              <w:t>4.774</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4BDA5A" w14:textId="77777777" w:rsidR="00D07140" w:rsidRPr="009741B0" w:rsidRDefault="00D07140" w:rsidP="00D07140">
            <w:pPr>
              <w:spacing w:after="0" w:line="240" w:lineRule="auto"/>
              <w:jc w:val="center"/>
              <w:rPr>
                <w:rFonts w:eastAsia="Times New Roman" w:cs="Calibri"/>
                <w:color w:val="000000"/>
                <w:sz w:val="18"/>
                <w:szCs w:val="18"/>
                <w:lang w:eastAsia="el-GR"/>
              </w:rPr>
            </w:pPr>
            <w:r w:rsidRPr="009741B0">
              <w:rPr>
                <w:rFonts w:eastAsia="Times New Roman" w:cs="Calibri"/>
                <w:color w:val="000000"/>
                <w:sz w:val="18"/>
                <w:szCs w:val="18"/>
                <w:lang w:eastAsia="el-GR"/>
              </w:rPr>
              <w:t>4.500</w:t>
            </w:r>
          </w:p>
        </w:tc>
        <w:tc>
          <w:tcPr>
            <w:tcW w:w="16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0481F1" w14:textId="77777777" w:rsidR="00D07140" w:rsidRPr="009741B0" w:rsidRDefault="00D07140" w:rsidP="00D07140">
            <w:pPr>
              <w:spacing w:after="0" w:line="240" w:lineRule="auto"/>
              <w:jc w:val="center"/>
              <w:rPr>
                <w:rFonts w:eastAsia="Times New Roman" w:cs="Calibri"/>
                <w:color w:val="000000"/>
                <w:sz w:val="18"/>
                <w:szCs w:val="18"/>
                <w:lang w:eastAsia="el-GR"/>
              </w:rPr>
            </w:pPr>
            <w:r w:rsidRPr="009741B0">
              <w:rPr>
                <w:rFonts w:eastAsia="Times New Roman" w:cs="Calibri"/>
                <w:color w:val="000000"/>
                <w:sz w:val="18"/>
                <w:szCs w:val="18"/>
                <w:lang w:eastAsia="el-GR"/>
              </w:rPr>
              <w:t>106%</w:t>
            </w:r>
          </w:p>
        </w:tc>
        <w:tc>
          <w:tcPr>
            <w:tcW w:w="12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F9CCD3" w14:textId="77777777" w:rsidR="00D07140" w:rsidRPr="009741B0" w:rsidRDefault="00D07140" w:rsidP="00D07140">
            <w:pPr>
              <w:spacing w:after="0" w:line="240" w:lineRule="auto"/>
              <w:jc w:val="center"/>
              <w:rPr>
                <w:rFonts w:eastAsia="Times New Roman" w:cs="Calibri"/>
                <w:b/>
                <w:bCs/>
                <w:color w:val="000000"/>
                <w:sz w:val="18"/>
                <w:szCs w:val="18"/>
                <w:lang w:eastAsia="el-GR"/>
              </w:rPr>
            </w:pPr>
            <w:r w:rsidRPr="009741B0">
              <w:rPr>
                <w:rFonts w:eastAsia="Times New Roman" w:cs="Calibri"/>
                <w:b/>
                <w:bCs/>
                <w:color w:val="000000"/>
                <w:sz w:val="18"/>
                <w:szCs w:val="18"/>
                <w:lang w:eastAsia="el-GR"/>
              </w:rPr>
              <w:t>-451</w:t>
            </w:r>
          </w:p>
        </w:tc>
      </w:tr>
      <w:tr w:rsidR="00D07140" w:rsidRPr="009741B0" w14:paraId="437B0DBC" w14:textId="77777777" w:rsidTr="00416466">
        <w:trPr>
          <w:trHeight w:val="481"/>
        </w:trPr>
        <w:tc>
          <w:tcPr>
            <w:tcW w:w="21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39E5C6F" w14:textId="77777777" w:rsidR="00D07140" w:rsidRPr="009741B0" w:rsidRDefault="00D07140" w:rsidP="00D07140">
            <w:pPr>
              <w:spacing w:after="0" w:line="240" w:lineRule="auto"/>
              <w:jc w:val="left"/>
              <w:rPr>
                <w:rFonts w:eastAsia="Times New Roman" w:cs="Calibri"/>
                <w:color w:val="000000"/>
                <w:sz w:val="18"/>
                <w:szCs w:val="18"/>
                <w:lang w:eastAsia="el-GR"/>
              </w:rPr>
            </w:pPr>
            <w:r w:rsidRPr="009741B0">
              <w:rPr>
                <w:rFonts w:eastAsia="Times New Roman" w:cs="Calibri"/>
                <w:color w:val="000000"/>
                <w:sz w:val="18"/>
                <w:szCs w:val="18"/>
                <w:lang w:eastAsia="el-GR"/>
              </w:rPr>
              <w:t>VI. Δαπάνες Προγράμματος Δημοσίων Επενδύσεων</w:t>
            </w:r>
          </w:p>
        </w:tc>
        <w:tc>
          <w:tcPr>
            <w:tcW w:w="100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4CDD14" w14:textId="77777777" w:rsidR="00D07140" w:rsidRPr="009741B0" w:rsidRDefault="00D07140" w:rsidP="00D07140">
            <w:pPr>
              <w:spacing w:after="0" w:line="240" w:lineRule="auto"/>
              <w:jc w:val="center"/>
              <w:rPr>
                <w:rFonts w:eastAsia="Times New Roman" w:cs="Calibri"/>
                <w:color w:val="000000"/>
                <w:sz w:val="18"/>
                <w:szCs w:val="18"/>
                <w:lang w:eastAsia="el-GR"/>
              </w:rPr>
            </w:pPr>
            <w:r w:rsidRPr="009741B0">
              <w:rPr>
                <w:rFonts w:eastAsia="Times New Roman" w:cs="Calibri"/>
                <w:color w:val="000000"/>
                <w:sz w:val="18"/>
                <w:szCs w:val="18"/>
                <w:lang w:eastAsia="el-GR"/>
              </w:rPr>
              <w:t>5642</w:t>
            </w:r>
          </w:p>
        </w:tc>
        <w:tc>
          <w:tcPr>
            <w:tcW w:w="98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8C9F812" w14:textId="77777777" w:rsidR="00D07140" w:rsidRPr="009741B0" w:rsidRDefault="00D07140" w:rsidP="00D07140">
            <w:pPr>
              <w:spacing w:after="0" w:line="240" w:lineRule="auto"/>
              <w:jc w:val="center"/>
              <w:rPr>
                <w:rFonts w:eastAsia="Times New Roman" w:cs="Calibri"/>
                <w:color w:val="000000"/>
                <w:sz w:val="18"/>
                <w:szCs w:val="18"/>
                <w:lang w:eastAsia="el-GR"/>
              </w:rPr>
            </w:pPr>
            <w:r w:rsidRPr="009741B0">
              <w:rPr>
                <w:rFonts w:eastAsia="Times New Roman" w:cs="Calibri"/>
                <w:color w:val="000000"/>
                <w:sz w:val="18"/>
                <w:szCs w:val="18"/>
                <w:lang w:eastAsia="el-GR"/>
              </w:rPr>
              <w:t>10.647</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3EA008" w14:textId="77777777" w:rsidR="00D07140" w:rsidRPr="009741B0" w:rsidRDefault="00D07140" w:rsidP="00D07140">
            <w:pPr>
              <w:spacing w:after="0" w:line="240" w:lineRule="auto"/>
              <w:jc w:val="center"/>
              <w:rPr>
                <w:rFonts w:eastAsia="Times New Roman" w:cs="Calibri"/>
                <w:color w:val="000000"/>
                <w:sz w:val="18"/>
                <w:szCs w:val="18"/>
                <w:lang w:eastAsia="el-GR"/>
              </w:rPr>
            </w:pPr>
            <w:r w:rsidRPr="009741B0">
              <w:rPr>
                <w:rFonts w:eastAsia="Times New Roman" w:cs="Calibri"/>
                <w:color w:val="000000"/>
                <w:sz w:val="18"/>
                <w:szCs w:val="18"/>
                <w:lang w:eastAsia="el-GR"/>
              </w:rPr>
              <w:t>6.750</w:t>
            </w:r>
          </w:p>
        </w:tc>
        <w:tc>
          <w:tcPr>
            <w:tcW w:w="16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8E366A" w14:textId="77777777" w:rsidR="00D07140" w:rsidRPr="009741B0" w:rsidRDefault="00D07140" w:rsidP="00D07140">
            <w:pPr>
              <w:spacing w:after="0" w:line="240" w:lineRule="auto"/>
              <w:jc w:val="center"/>
              <w:rPr>
                <w:rFonts w:eastAsia="Times New Roman" w:cs="Calibri"/>
                <w:color w:val="000000"/>
                <w:sz w:val="18"/>
                <w:szCs w:val="18"/>
                <w:lang w:eastAsia="el-GR"/>
              </w:rPr>
            </w:pPr>
            <w:r w:rsidRPr="009741B0">
              <w:rPr>
                <w:rFonts w:eastAsia="Times New Roman" w:cs="Calibri"/>
                <w:color w:val="000000"/>
                <w:sz w:val="18"/>
                <w:szCs w:val="18"/>
                <w:lang w:eastAsia="el-GR"/>
              </w:rPr>
              <w:t>158%</w:t>
            </w:r>
          </w:p>
        </w:tc>
        <w:tc>
          <w:tcPr>
            <w:tcW w:w="12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CA3C61" w14:textId="77777777" w:rsidR="00D07140" w:rsidRPr="009741B0" w:rsidRDefault="00D07140" w:rsidP="00D07140">
            <w:pPr>
              <w:spacing w:after="0" w:line="240" w:lineRule="auto"/>
              <w:jc w:val="center"/>
              <w:rPr>
                <w:rFonts w:eastAsia="Times New Roman" w:cs="Calibri"/>
                <w:b/>
                <w:bCs/>
                <w:color w:val="000000"/>
                <w:sz w:val="18"/>
                <w:szCs w:val="18"/>
                <w:lang w:eastAsia="el-GR"/>
              </w:rPr>
            </w:pPr>
            <w:r w:rsidRPr="009741B0">
              <w:rPr>
                <w:rFonts w:eastAsia="Times New Roman" w:cs="Calibri"/>
                <w:b/>
                <w:bCs/>
                <w:color w:val="000000"/>
                <w:sz w:val="18"/>
                <w:szCs w:val="18"/>
                <w:lang w:eastAsia="el-GR"/>
              </w:rPr>
              <w:t>5.005</w:t>
            </w:r>
          </w:p>
        </w:tc>
      </w:tr>
      <w:tr w:rsidR="009741B0" w:rsidRPr="009741B0" w14:paraId="2A529F44" w14:textId="77777777" w:rsidTr="00416466">
        <w:trPr>
          <w:trHeight w:val="503"/>
        </w:trPr>
        <w:tc>
          <w:tcPr>
            <w:tcW w:w="2161" w:type="dxa"/>
            <w:tcBorders>
              <w:top w:val="single" w:sz="4" w:space="0" w:color="auto"/>
              <w:left w:val="single" w:sz="4" w:space="0" w:color="auto"/>
              <w:bottom w:val="single" w:sz="12" w:space="0" w:color="auto"/>
              <w:right w:val="single" w:sz="4" w:space="0" w:color="auto"/>
            </w:tcBorders>
            <w:shd w:val="clear" w:color="000000" w:fill="D9D9D9"/>
            <w:vAlign w:val="center"/>
            <w:hideMark/>
          </w:tcPr>
          <w:p w14:paraId="62CABD7C" w14:textId="77777777" w:rsidR="00D07140" w:rsidRPr="009741B0" w:rsidRDefault="00D07140" w:rsidP="00D07140">
            <w:pPr>
              <w:spacing w:after="0" w:line="240" w:lineRule="auto"/>
              <w:jc w:val="left"/>
              <w:rPr>
                <w:rFonts w:eastAsia="Times New Roman" w:cs="Calibri"/>
                <w:b/>
                <w:bCs/>
                <w:color w:val="000000"/>
                <w:sz w:val="18"/>
                <w:szCs w:val="18"/>
                <w:lang w:eastAsia="el-GR"/>
              </w:rPr>
            </w:pPr>
            <w:r w:rsidRPr="009741B0">
              <w:rPr>
                <w:rFonts w:eastAsia="Times New Roman" w:cs="Calibri"/>
                <w:b/>
                <w:bCs/>
                <w:color w:val="000000"/>
                <w:sz w:val="18"/>
                <w:szCs w:val="18"/>
                <w:lang w:eastAsia="el-GR"/>
              </w:rPr>
              <w:t>3. Ισοζύγιο Κρατικού Προϋπολογισμού  (1-2)</w:t>
            </w:r>
          </w:p>
        </w:tc>
        <w:tc>
          <w:tcPr>
            <w:tcW w:w="1005" w:type="dxa"/>
            <w:tcBorders>
              <w:top w:val="single" w:sz="4" w:space="0" w:color="auto"/>
              <w:left w:val="single" w:sz="4" w:space="0" w:color="auto"/>
              <w:bottom w:val="single" w:sz="12" w:space="0" w:color="auto"/>
              <w:right w:val="single" w:sz="4" w:space="0" w:color="auto"/>
            </w:tcBorders>
            <w:shd w:val="clear" w:color="000000" w:fill="D9D9D9"/>
            <w:noWrap/>
            <w:vAlign w:val="center"/>
            <w:hideMark/>
          </w:tcPr>
          <w:p w14:paraId="16D4363C" w14:textId="77777777" w:rsidR="00D07140" w:rsidRPr="009741B0" w:rsidRDefault="00D07140" w:rsidP="00D07140">
            <w:pPr>
              <w:spacing w:after="0" w:line="240" w:lineRule="auto"/>
              <w:jc w:val="center"/>
              <w:rPr>
                <w:rFonts w:eastAsia="Times New Roman" w:cs="Calibri"/>
                <w:b/>
                <w:bCs/>
                <w:color w:val="000000"/>
                <w:sz w:val="18"/>
                <w:szCs w:val="18"/>
                <w:lang w:eastAsia="el-GR"/>
              </w:rPr>
            </w:pPr>
            <w:r w:rsidRPr="009741B0">
              <w:rPr>
                <w:rFonts w:eastAsia="Times New Roman" w:cs="Calibri"/>
                <w:b/>
                <w:bCs/>
                <w:color w:val="000000"/>
                <w:sz w:val="18"/>
                <w:szCs w:val="18"/>
                <w:lang w:eastAsia="el-GR"/>
              </w:rPr>
              <w:t>-168</w:t>
            </w:r>
          </w:p>
        </w:tc>
        <w:tc>
          <w:tcPr>
            <w:tcW w:w="981" w:type="dxa"/>
            <w:tcBorders>
              <w:top w:val="single" w:sz="4" w:space="0" w:color="auto"/>
              <w:left w:val="single" w:sz="4" w:space="0" w:color="auto"/>
              <w:bottom w:val="single" w:sz="12" w:space="0" w:color="auto"/>
              <w:right w:val="single" w:sz="4" w:space="0" w:color="auto"/>
            </w:tcBorders>
            <w:shd w:val="clear" w:color="000000" w:fill="D9D9D9"/>
            <w:noWrap/>
            <w:vAlign w:val="center"/>
            <w:hideMark/>
          </w:tcPr>
          <w:p w14:paraId="66315CC2" w14:textId="77777777" w:rsidR="00D07140" w:rsidRPr="009741B0" w:rsidRDefault="00D07140" w:rsidP="00D07140">
            <w:pPr>
              <w:spacing w:after="0" w:line="240" w:lineRule="auto"/>
              <w:jc w:val="center"/>
              <w:rPr>
                <w:rFonts w:eastAsia="Times New Roman" w:cs="Calibri"/>
                <w:b/>
                <w:bCs/>
                <w:color w:val="000000"/>
                <w:sz w:val="18"/>
                <w:szCs w:val="18"/>
                <w:lang w:eastAsia="el-GR"/>
              </w:rPr>
            </w:pPr>
            <w:r w:rsidRPr="009741B0">
              <w:rPr>
                <w:rFonts w:eastAsia="Times New Roman" w:cs="Calibri"/>
                <w:b/>
                <w:bCs/>
                <w:color w:val="000000"/>
                <w:sz w:val="18"/>
                <w:szCs w:val="18"/>
                <w:lang w:eastAsia="el-GR"/>
              </w:rPr>
              <w:t>-22.805</w:t>
            </w:r>
          </w:p>
        </w:tc>
        <w:tc>
          <w:tcPr>
            <w:tcW w:w="1601" w:type="dxa"/>
            <w:tcBorders>
              <w:top w:val="single" w:sz="4" w:space="0" w:color="auto"/>
              <w:left w:val="single" w:sz="4" w:space="0" w:color="auto"/>
              <w:bottom w:val="single" w:sz="12" w:space="0" w:color="auto"/>
              <w:right w:val="single" w:sz="4" w:space="0" w:color="auto"/>
            </w:tcBorders>
            <w:shd w:val="clear" w:color="000000" w:fill="D9D9D9"/>
            <w:noWrap/>
            <w:vAlign w:val="center"/>
            <w:hideMark/>
          </w:tcPr>
          <w:p w14:paraId="0EC06AD4" w14:textId="77777777" w:rsidR="00D07140" w:rsidRPr="009741B0" w:rsidRDefault="00D07140" w:rsidP="00D07140">
            <w:pPr>
              <w:spacing w:after="0" w:line="240" w:lineRule="auto"/>
              <w:jc w:val="center"/>
              <w:rPr>
                <w:rFonts w:eastAsia="Times New Roman" w:cs="Calibri"/>
                <w:b/>
                <w:bCs/>
                <w:color w:val="000000"/>
                <w:sz w:val="18"/>
                <w:szCs w:val="18"/>
                <w:lang w:eastAsia="el-GR"/>
              </w:rPr>
            </w:pPr>
            <w:r w:rsidRPr="009741B0">
              <w:rPr>
                <w:rFonts w:eastAsia="Times New Roman" w:cs="Calibri"/>
                <w:b/>
                <w:bCs/>
                <w:color w:val="000000"/>
                <w:sz w:val="18"/>
                <w:szCs w:val="18"/>
                <w:lang w:eastAsia="el-GR"/>
              </w:rPr>
              <w:t> </w:t>
            </w:r>
          </w:p>
        </w:tc>
        <w:tc>
          <w:tcPr>
            <w:tcW w:w="1645" w:type="dxa"/>
            <w:tcBorders>
              <w:top w:val="single" w:sz="4" w:space="0" w:color="auto"/>
              <w:left w:val="single" w:sz="4" w:space="0" w:color="auto"/>
              <w:bottom w:val="single" w:sz="12" w:space="0" w:color="auto"/>
              <w:right w:val="single" w:sz="4" w:space="0" w:color="auto"/>
            </w:tcBorders>
            <w:shd w:val="clear" w:color="000000" w:fill="D9D9D9"/>
            <w:noWrap/>
            <w:vAlign w:val="center"/>
            <w:hideMark/>
          </w:tcPr>
          <w:p w14:paraId="06CEED28" w14:textId="77777777" w:rsidR="00D07140" w:rsidRPr="009741B0" w:rsidRDefault="00D07140" w:rsidP="00D07140">
            <w:pPr>
              <w:spacing w:after="0" w:line="240" w:lineRule="auto"/>
              <w:jc w:val="center"/>
              <w:rPr>
                <w:rFonts w:eastAsia="Times New Roman" w:cs="Calibri"/>
                <w:b/>
                <w:bCs/>
                <w:color w:val="000000"/>
                <w:sz w:val="18"/>
                <w:szCs w:val="18"/>
                <w:lang w:eastAsia="el-GR"/>
              </w:rPr>
            </w:pPr>
            <w:r w:rsidRPr="009741B0">
              <w:rPr>
                <w:rFonts w:eastAsia="Times New Roman" w:cs="Calibri"/>
                <w:b/>
                <w:bCs/>
                <w:color w:val="000000"/>
                <w:sz w:val="18"/>
                <w:szCs w:val="18"/>
                <w:lang w:eastAsia="el-GR"/>
              </w:rPr>
              <w:t> </w:t>
            </w:r>
          </w:p>
        </w:tc>
        <w:tc>
          <w:tcPr>
            <w:tcW w:w="1224" w:type="dxa"/>
            <w:tcBorders>
              <w:top w:val="single" w:sz="4" w:space="0" w:color="auto"/>
              <w:left w:val="single" w:sz="4" w:space="0" w:color="auto"/>
              <w:bottom w:val="single" w:sz="12" w:space="0" w:color="auto"/>
              <w:right w:val="single" w:sz="4" w:space="0" w:color="auto"/>
            </w:tcBorders>
            <w:shd w:val="clear" w:color="000000" w:fill="D9D9D9"/>
            <w:noWrap/>
            <w:vAlign w:val="center"/>
            <w:hideMark/>
          </w:tcPr>
          <w:p w14:paraId="4B6CDC77" w14:textId="77777777" w:rsidR="00D07140" w:rsidRPr="009741B0" w:rsidRDefault="00D07140" w:rsidP="00D07140">
            <w:pPr>
              <w:spacing w:after="0" w:line="240" w:lineRule="auto"/>
              <w:jc w:val="center"/>
              <w:rPr>
                <w:rFonts w:eastAsia="Times New Roman" w:cs="Calibri"/>
                <w:b/>
                <w:bCs/>
                <w:color w:val="000000"/>
                <w:sz w:val="18"/>
                <w:szCs w:val="18"/>
                <w:lang w:eastAsia="el-GR"/>
              </w:rPr>
            </w:pPr>
            <w:r w:rsidRPr="009741B0">
              <w:rPr>
                <w:rFonts w:eastAsia="Times New Roman" w:cs="Calibri"/>
                <w:b/>
                <w:bCs/>
                <w:color w:val="000000"/>
                <w:sz w:val="18"/>
                <w:szCs w:val="18"/>
                <w:lang w:eastAsia="el-GR"/>
              </w:rPr>
              <w:t> </w:t>
            </w:r>
          </w:p>
        </w:tc>
      </w:tr>
      <w:tr w:rsidR="009741B0" w:rsidRPr="009741B0" w14:paraId="27050752" w14:textId="77777777" w:rsidTr="00416466">
        <w:trPr>
          <w:trHeight w:val="448"/>
        </w:trPr>
        <w:tc>
          <w:tcPr>
            <w:tcW w:w="2161" w:type="dxa"/>
            <w:tcBorders>
              <w:top w:val="single" w:sz="12" w:space="0" w:color="auto"/>
              <w:left w:val="single" w:sz="4" w:space="0" w:color="auto"/>
              <w:bottom w:val="single" w:sz="4" w:space="0" w:color="auto"/>
              <w:right w:val="single" w:sz="4" w:space="0" w:color="auto"/>
            </w:tcBorders>
            <w:shd w:val="clear" w:color="000000" w:fill="FFFFFF"/>
            <w:vAlign w:val="center"/>
            <w:hideMark/>
          </w:tcPr>
          <w:p w14:paraId="3EB4CBF8" w14:textId="77777777" w:rsidR="00D07140" w:rsidRPr="00416466" w:rsidRDefault="00D07140" w:rsidP="00D07140">
            <w:pPr>
              <w:spacing w:after="0" w:line="240" w:lineRule="auto"/>
              <w:jc w:val="left"/>
              <w:rPr>
                <w:rFonts w:eastAsia="Times New Roman" w:cs="Calibri"/>
                <w:b/>
                <w:color w:val="000000"/>
                <w:sz w:val="18"/>
                <w:szCs w:val="18"/>
                <w:lang w:eastAsia="el-GR"/>
              </w:rPr>
            </w:pPr>
            <w:r w:rsidRPr="00416466">
              <w:rPr>
                <w:rFonts w:eastAsia="Times New Roman" w:cs="Calibri"/>
                <w:b/>
                <w:color w:val="000000"/>
                <w:sz w:val="18"/>
                <w:szCs w:val="18"/>
                <w:lang w:eastAsia="el-GR"/>
              </w:rPr>
              <w:t xml:space="preserve">Πρωτογενές αποτέλεσμα ΚΠ </w:t>
            </w:r>
          </w:p>
        </w:tc>
        <w:tc>
          <w:tcPr>
            <w:tcW w:w="1005" w:type="dxa"/>
            <w:tcBorders>
              <w:top w:val="single" w:sz="12" w:space="0" w:color="auto"/>
              <w:left w:val="single" w:sz="4" w:space="0" w:color="auto"/>
              <w:bottom w:val="single" w:sz="4" w:space="0" w:color="auto"/>
              <w:right w:val="single" w:sz="4" w:space="0" w:color="auto"/>
            </w:tcBorders>
            <w:shd w:val="clear" w:color="000000" w:fill="FFFFFF"/>
            <w:noWrap/>
            <w:vAlign w:val="center"/>
            <w:hideMark/>
          </w:tcPr>
          <w:p w14:paraId="3901C1E2" w14:textId="77777777" w:rsidR="00D07140" w:rsidRPr="00416466" w:rsidRDefault="00D07140" w:rsidP="00D07140">
            <w:pPr>
              <w:spacing w:after="0" w:line="240" w:lineRule="auto"/>
              <w:jc w:val="center"/>
              <w:rPr>
                <w:rFonts w:eastAsia="Times New Roman" w:cs="Calibri"/>
                <w:b/>
                <w:color w:val="000000"/>
                <w:sz w:val="18"/>
                <w:szCs w:val="18"/>
                <w:lang w:eastAsia="el-GR"/>
              </w:rPr>
            </w:pPr>
            <w:r w:rsidRPr="00416466">
              <w:rPr>
                <w:rFonts w:eastAsia="Times New Roman" w:cs="Calibri"/>
                <w:b/>
                <w:color w:val="000000"/>
                <w:sz w:val="18"/>
                <w:szCs w:val="18"/>
                <w:lang w:eastAsia="el-GR"/>
              </w:rPr>
              <w:t>5.057</w:t>
            </w:r>
          </w:p>
        </w:tc>
        <w:tc>
          <w:tcPr>
            <w:tcW w:w="981" w:type="dxa"/>
            <w:tcBorders>
              <w:top w:val="single" w:sz="12" w:space="0" w:color="auto"/>
              <w:left w:val="single" w:sz="4" w:space="0" w:color="auto"/>
              <w:bottom w:val="single" w:sz="4" w:space="0" w:color="auto"/>
              <w:right w:val="single" w:sz="4" w:space="0" w:color="auto"/>
            </w:tcBorders>
            <w:shd w:val="clear" w:color="000000" w:fill="FFFFFF"/>
            <w:noWrap/>
            <w:vAlign w:val="center"/>
            <w:hideMark/>
          </w:tcPr>
          <w:p w14:paraId="1377DE4F" w14:textId="77777777" w:rsidR="00D07140" w:rsidRPr="00416466" w:rsidRDefault="00D07140" w:rsidP="00D07140">
            <w:pPr>
              <w:spacing w:after="0" w:line="240" w:lineRule="auto"/>
              <w:jc w:val="center"/>
              <w:rPr>
                <w:rFonts w:eastAsia="Times New Roman" w:cs="Calibri"/>
                <w:b/>
                <w:color w:val="000000"/>
                <w:sz w:val="18"/>
                <w:szCs w:val="18"/>
                <w:lang w:eastAsia="el-GR"/>
              </w:rPr>
            </w:pPr>
            <w:r w:rsidRPr="00416466">
              <w:rPr>
                <w:rFonts w:eastAsia="Times New Roman" w:cs="Calibri"/>
                <w:b/>
                <w:color w:val="000000"/>
                <w:sz w:val="18"/>
                <w:szCs w:val="18"/>
                <w:lang w:eastAsia="el-GR"/>
              </w:rPr>
              <w:t>-18.031</w:t>
            </w:r>
          </w:p>
        </w:tc>
        <w:tc>
          <w:tcPr>
            <w:tcW w:w="1601" w:type="dxa"/>
            <w:tcBorders>
              <w:top w:val="single" w:sz="12" w:space="0" w:color="auto"/>
              <w:left w:val="single" w:sz="4" w:space="0" w:color="auto"/>
              <w:bottom w:val="single" w:sz="4" w:space="0" w:color="auto"/>
              <w:right w:val="single" w:sz="4" w:space="0" w:color="auto"/>
            </w:tcBorders>
            <w:shd w:val="clear" w:color="000000" w:fill="FFFFFF"/>
            <w:noWrap/>
            <w:vAlign w:val="center"/>
            <w:hideMark/>
          </w:tcPr>
          <w:p w14:paraId="7898430E" w14:textId="77777777" w:rsidR="00D07140" w:rsidRPr="00416466" w:rsidRDefault="00D07140" w:rsidP="00D07140">
            <w:pPr>
              <w:spacing w:after="0" w:line="240" w:lineRule="auto"/>
              <w:jc w:val="center"/>
              <w:rPr>
                <w:rFonts w:eastAsia="Times New Roman" w:cs="Calibri"/>
                <w:b/>
                <w:color w:val="000000"/>
                <w:sz w:val="18"/>
                <w:szCs w:val="18"/>
                <w:lang w:eastAsia="el-GR"/>
              </w:rPr>
            </w:pPr>
            <w:r w:rsidRPr="00416466">
              <w:rPr>
                <w:rFonts w:eastAsia="Times New Roman" w:cs="Calibri"/>
                <w:b/>
                <w:color w:val="000000"/>
                <w:sz w:val="18"/>
                <w:szCs w:val="18"/>
                <w:lang w:eastAsia="el-GR"/>
              </w:rPr>
              <w:t> </w:t>
            </w:r>
          </w:p>
        </w:tc>
        <w:tc>
          <w:tcPr>
            <w:tcW w:w="1645" w:type="dxa"/>
            <w:tcBorders>
              <w:top w:val="single" w:sz="12" w:space="0" w:color="auto"/>
              <w:left w:val="single" w:sz="4" w:space="0" w:color="auto"/>
              <w:bottom w:val="single" w:sz="4" w:space="0" w:color="auto"/>
              <w:right w:val="single" w:sz="4" w:space="0" w:color="auto"/>
            </w:tcBorders>
            <w:shd w:val="clear" w:color="000000" w:fill="FFFFFF"/>
            <w:noWrap/>
            <w:vAlign w:val="center"/>
            <w:hideMark/>
          </w:tcPr>
          <w:p w14:paraId="04515F6F" w14:textId="77777777" w:rsidR="00D07140" w:rsidRPr="00416466" w:rsidRDefault="00D07140" w:rsidP="00D07140">
            <w:pPr>
              <w:spacing w:after="0" w:line="240" w:lineRule="auto"/>
              <w:jc w:val="center"/>
              <w:rPr>
                <w:rFonts w:eastAsia="Times New Roman" w:cs="Calibri"/>
                <w:b/>
                <w:color w:val="000000"/>
                <w:sz w:val="18"/>
                <w:szCs w:val="18"/>
                <w:lang w:eastAsia="el-GR"/>
              </w:rPr>
            </w:pPr>
            <w:r w:rsidRPr="00416466">
              <w:rPr>
                <w:rFonts w:eastAsia="Times New Roman" w:cs="Calibri"/>
                <w:b/>
                <w:color w:val="000000"/>
                <w:sz w:val="18"/>
                <w:szCs w:val="18"/>
                <w:lang w:eastAsia="el-GR"/>
              </w:rPr>
              <w:t> </w:t>
            </w:r>
          </w:p>
        </w:tc>
        <w:tc>
          <w:tcPr>
            <w:tcW w:w="1224" w:type="dxa"/>
            <w:tcBorders>
              <w:top w:val="single" w:sz="12" w:space="0" w:color="auto"/>
              <w:left w:val="single" w:sz="4" w:space="0" w:color="auto"/>
              <w:bottom w:val="single" w:sz="4" w:space="0" w:color="auto"/>
              <w:right w:val="single" w:sz="4" w:space="0" w:color="auto"/>
            </w:tcBorders>
            <w:shd w:val="clear" w:color="000000" w:fill="FFFFFF"/>
            <w:noWrap/>
            <w:vAlign w:val="center"/>
            <w:hideMark/>
          </w:tcPr>
          <w:p w14:paraId="40C6D5CE" w14:textId="77777777" w:rsidR="00D07140" w:rsidRPr="00416466" w:rsidRDefault="00D07140" w:rsidP="00D07140">
            <w:pPr>
              <w:spacing w:after="0" w:line="240" w:lineRule="auto"/>
              <w:jc w:val="center"/>
              <w:rPr>
                <w:rFonts w:eastAsia="Times New Roman" w:cs="Calibri"/>
                <w:b/>
                <w:color w:val="000000"/>
                <w:sz w:val="18"/>
                <w:szCs w:val="18"/>
                <w:lang w:eastAsia="el-GR"/>
              </w:rPr>
            </w:pPr>
            <w:r w:rsidRPr="00416466">
              <w:rPr>
                <w:rFonts w:eastAsia="Times New Roman" w:cs="Calibri"/>
                <w:b/>
                <w:color w:val="000000"/>
                <w:sz w:val="18"/>
                <w:szCs w:val="18"/>
                <w:lang w:eastAsia="el-GR"/>
              </w:rPr>
              <w:t> </w:t>
            </w:r>
          </w:p>
        </w:tc>
      </w:tr>
      <w:tr w:rsidR="009741B0" w:rsidRPr="009741B0" w14:paraId="55CA0D4E" w14:textId="77777777" w:rsidTr="00416466">
        <w:trPr>
          <w:trHeight w:val="156"/>
        </w:trPr>
        <w:tc>
          <w:tcPr>
            <w:tcW w:w="2161" w:type="dxa"/>
            <w:tcBorders>
              <w:top w:val="single" w:sz="4" w:space="0" w:color="auto"/>
              <w:left w:val="single" w:sz="4" w:space="0" w:color="auto"/>
              <w:bottom w:val="single" w:sz="12" w:space="0" w:color="auto"/>
              <w:right w:val="single" w:sz="4" w:space="0" w:color="auto"/>
            </w:tcBorders>
            <w:shd w:val="clear" w:color="000000" w:fill="FFFFFF"/>
            <w:vAlign w:val="center"/>
            <w:hideMark/>
          </w:tcPr>
          <w:p w14:paraId="06F69335" w14:textId="77777777" w:rsidR="00D07140" w:rsidRPr="009741B0" w:rsidRDefault="00D07140" w:rsidP="00D07140">
            <w:pPr>
              <w:spacing w:after="0" w:line="240" w:lineRule="auto"/>
              <w:jc w:val="left"/>
              <w:rPr>
                <w:rFonts w:eastAsia="Times New Roman" w:cs="Calibri"/>
                <w:color w:val="000000"/>
                <w:sz w:val="18"/>
                <w:szCs w:val="18"/>
                <w:lang w:eastAsia="el-GR"/>
              </w:rPr>
            </w:pPr>
            <w:r w:rsidRPr="009741B0">
              <w:rPr>
                <w:rFonts w:eastAsia="Times New Roman" w:cs="Calibri"/>
                <w:color w:val="000000"/>
                <w:sz w:val="18"/>
                <w:szCs w:val="18"/>
                <w:lang w:eastAsia="el-GR"/>
              </w:rPr>
              <w:t xml:space="preserve">Έσοδα από το ΠΔΕ </w:t>
            </w:r>
          </w:p>
        </w:tc>
        <w:tc>
          <w:tcPr>
            <w:tcW w:w="1005" w:type="dxa"/>
            <w:tcBorders>
              <w:top w:val="single" w:sz="4" w:space="0" w:color="auto"/>
              <w:left w:val="single" w:sz="4" w:space="0" w:color="auto"/>
              <w:bottom w:val="single" w:sz="12" w:space="0" w:color="auto"/>
              <w:right w:val="single" w:sz="4" w:space="0" w:color="auto"/>
            </w:tcBorders>
            <w:shd w:val="clear" w:color="000000" w:fill="FFFFFF"/>
            <w:noWrap/>
            <w:vAlign w:val="center"/>
            <w:hideMark/>
          </w:tcPr>
          <w:p w14:paraId="3C7A177E" w14:textId="77777777" w:rsidR="00D07140" w:rsidRPr="009741B0" w:rsidRDefault="00D07140" w:rsidP="00D07140">
            <w:pPr>
              <w:spacing w:after="0" w:line="240" w:lineRule="auto"/>
              <w:jc w:val="center"/>
              <w:rPr>
                <w:rFonts w:eastAsia="Times New Roman" w:cs="Calibri"/>
                <w:color w:val="000000"/>
                <w:sz w:val="18"/>
                <w:szCs w:val="18"/>
                <w:lang w:eastAsia="el-GR"/>
              </w:rPr>
            </w:pPr>
            <w:r w:rsidRPr="009741B0">
              <w:rPr>
                <w:rFonts w:eastAsia="Times New Roman" w:cs="Calibri"/>
                <w:color w:val="000000"/>
                <w:sz w:val="18"/>
                <w:szCs w:val="18"/>
                <w:lang w:eastAsia="el-GR"/>
              </w:rPr>
              <w:t>2857</w:t>
            </w:r>
          </w:p>
        </w:tc>
        <w:tc>
          <w:tcPr>
            <w:tcW w:w="981" w:type="dxa"/>
            <w:tcBorders>
              <w:top w:val="single" w:sz="4" w:space="0" w:color="auto"/>
              <w:left w:val="single" w:sz="4" w:space="0" w:color="auto"/>
              <w:bottom w:val="single" w:sz="12" w:space="0" w:color="auto"/>
              <w:right w:val="single" w:sz="4" w:space="0" w:color="auto"/>
            </w:tcBorders>
            <w:shd w:val="clear" w:color="000000" w:fill="FFFFFF"/>
            <w:noWrap/>
            <w:vAlign w:val="center"/>
            <w:hideMark/>
          </w:tcPr>
          <w:p w14:paraId="32E4224D" w14:textId="77777777" w:rsidR="00D07140" w:rsidRPr="009741B0" w:rsidRDefault="00D07140" w:rsidP="00D07140">
            <w:pPr>
              <w:spacing w:after="0" w:line="240" w:lineRule="auto"/>
              <w:jc w:val="center"/>
              <w:rPr>
                <w:rFonts w:eastAsia="Times New Roman" w:cs="Calibri"/>
                <w:color w:val="000000"/>
                <w:sz w:val="18"/>
                <w:szCs w:val="18"/>
                <w:lang w:eastAsia="el-GR"/>
              </w:rPr>
            </w:pPr>
            <w:r w:rsidRPr="009741B0">
              <w:rPr>
                <w:rFonts w:eastAsia="Times New Roman" w:cs="Calibri"/>
                <w:color w:val="000000"/>
                <w:sz w:val="18"/>
                <w:szCs w:val="18"/>
                <w:lang w:eastAsia="el-GR"/>
              </w:rPr>
              <w:t>5.542</w:t>
            </w:r>
          </w:p>
        </w:tc>
        <w:tc>
          <w:tcPr>
            <w:tcW w:w="1601" w:type="dxa"/>
            <w:tcBorders>
              <w:top w:val="single" w:sz="4" w:space="0" w:color="auto"/>
              <w:left w:val="single" w:sz="4" w:space="0" w:color="auto"/>
              <w:bottom w:val="single" w:sz="12" w:space="0" w:color="auto"/>
              <w:right w:val="single" w:sz="4" w:space="0" w:color="auto"/>
            </w:tcBorders>
            <w:shd w:val="clear" w:color="000000" w:fill="FFFFFF"/>
            <w:noWrap/>
            <w:vAlign w:val="center"/>
            <w:hideMark/>
          </w:tcPr>
          <w:p w14:paraId="7504C287" w14:textId="77777777" w:rsidR="00D07140" w:rsidRPr="009741B0" w:rsidRDefault="00D07140" w:rsidP="00D07140">
            <w:pPr>
              <w:spacing w:after="0" w:line="240" w:lineRule="auto"/>
              <w:jc w:val="center"/>
              <w:rPr>
                <w:rFonts w:eastAsia="Times New Roman" w:cs="Calibri"/>
                <w:color w:val="000000"/>
                <w:sz w:val="18"/>
                <w:szCs w:val="18"/>
                <w:lang w:eastAsia="el-GR"/>
              </w:rPr>
            </w:pPr>
            <w:r w:rsidRPr="009741B0">
              <w:rPr>
                <w:rFonts w:eastAsia="Times New Roman" w:cs="Calibri"/>
                <w:color w:val="000000"/>
                <w:sz w:val="18"/>
                <w:szCs w:val="18"/>
                <w:lang w:eastAsia="el-GR"/>
              </w:rPr>
              <w:t>4.100</w:t>
            </w:r>
          </w:p>
        </w:tc>
        <w:tc>
          <w:tcPr>
            <w:tcW w:w="1645"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52A7BE16" w14:textId="77777777" w:rsidR="00D07140" w:rsidRPr="009741B0" w:rsidRDefault="00D07140" w:rsidP="00D07140">
            <w:pPr>
              <w:spacing w:after="0" w:line="240" w:lineRule="auto"/>
              <w:jc w:val="center"/>
              <w:rPr>
                <w:rFonts w:eastAsia="Times New Roman" w:cs="Calibri"/>
                <w:color w:val="000000"/>
                <w:sz w:val="18"/>
                <w:szCs w:val="18"/>
                <w:lang w:eastAsia="el-GR"/>
              </w:rPr>
            </w:pPr>
            <w:r w:rsidRPr="009741B0">
              <w:rPr>
                <w:rFonts w:eastAsia="Times New Roman" w:cs="Calibri"/>
                <w:color w:val="000000"/>
                <w:sz w:val="18"/>
                <w:szCs w:val="18"/>
                <w:lang w:eastAsia="el-GR"/>
              </w:rPr>
              <w:t> </w:t>
            </w:r>
          </w:p>
        </w:tc>
        <w:tc>
          <w:tcPr>
            <w:tcW w:w="1224"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08343460" w14:textId="77777777" w:rsidR="00D07140" w:rsidRPr="009741B0" w:rsidRDefault="00D07140" w:rsidP="00D07140">
            <w:pPr>
              <w:spacing w:after="0" w:line="240" w:lineRule="auto"/>
              <w:jc w:val="center"/>
              <w:rPr>
                <w:rFonts w:eastAsia="Times New Roman" w:cs="Calibri"/>
                <w:color w:val="000000"/>
                <w:sz w:val="18"/>
                <w:szCs w:val="18"/>
                <w:lang w:eastAsia="el-GR"/>
              </w:rPr>
            </w:pPr>
            <w:r w:rsidRPr="009741B0">
              <w:rPr>
                <w:rFonts w:eastAsia="Times New Roman" w:cs="Calibri"/>
                <w:color w:val="000000"/>
                <w:sz w:val="18"/>
                <w:szCs w:val="18"/>
                <w:lang w:eastAsia="el-GR"/>
              </w:rPr>
              <w:t> </w:t>
            </w:r>
          </w:p>
        </w:tc>
      </w:tr>
    </w:tbl>
    <w:p w14:paraId="436D5FA6" w14:textId="77777777" w:rsidR="00D07140" w:rsidRPr="00D07140" w:rsidRDefault="00D07140" w:rsidP="00D07140">
      <w:pPr>
        <w:spacing w:after="240"/>
        <w:rPr>
          <w:color w:val="00B0F0"/>
          <w:sz w:val="16"/>
          <w:szCs w:val="16"/>
        </w:rPr>
      </w:pPr>
      <w:r w:rsidRPr="00D07140">
        <w:rPr>
          <w:b/>
          <w:color w:val="auto"/>
          <w:sz w:val="16"/>
          <w:szCs w:val="16"/>
        </w:rPr>
        <w:t>Πηγή:</w:t>
      </w:r>
      <w:r w:rsidRPr="00D07140">
        <w:rPr>
          <w:color w:val="auto"/>
          <w:sz w:val="16"/>
          <w:szCs w:val="16"/>
        </w:rPr>
        <w:t xml:space="preserve"> </w:t>
      </w:r>
      <w:r w:rsidRPr="00D07140">
        <w:rPr>
          <w:color w:val="00B0F0"/>
          <w:sz w:val="16"/>
          <w:szCs w:val="16"/>
        </w:rPr>
        <w:t>Υπουργείο Οικονομικών - Δελτίο Εκτέλεσης Προϋπολογισμού , επεξεργασία ΕΔΣ</w:t>
      </w:r>
    </w:p>
    <w:p w14:paraId="55FB35E0" w14:textId="2AF03523" w:rsidR="00D07140" w:rsidRPr="00D07140" w:rsidRDefault="00D07140" w:rsidP="00D07140">
      <w:pPr>
        <w:spacing w:after="160"/>
        <w:rPr>
          <w:color w:val="auto"/>
        </w:rPr>
      </w:pPr>
      <w:r w:rsidRPr="00D07140">
        <w:rPr>
          <w:color w:val="auto"/>
        </w:rPr>
        <w:t>Τα καθαρά έσοδα</w:t>
      </w:r>
      <w:r w:rsidRPr="00D07140">
        <w:rPr>
          <w:color w:val="auto"/>
          <w:vertAlign w:val="superscript"/>
        </w:rPr>
        <w:footnoteReference w:id="13"/>
      </w:r>
      <w:r w:rsidRPr="00D07140">
        <w:rPr>
          <w:color w:val="auto"/>
        </w:rPr>
        <w:t xml:space="preserve"> του ΚΠ για το 2020 διαμορφώθηκαν σε 47,3 δισ. ευρώ περίπου, μειωμένα κατά 7,7 δισ. ευρώ σε σχέση με το 2020. Πιο συγκεκριμένα, η υστέρηση σε σχέση με πέρυσι προήλθε κυρίως λόγω: </w:t>
      </w:r>
      <w:r w:rsidR="006814B0">
        <w:rPr>
          <w:color w:val="auto"/>
        </w:rPr>
        <w:t>α)</w:t>
      </w:r>
      <w:r w:rsidRPr="00D07140">
        <w:rPr>
          <w:color w:val="auto"/>
        </w:rPr>
        <w:t xml:space="preserve"> </w:t>
      </w:r>
      <w:r w:rsidR="00434786">
        <w:rPr>
          <w:color w:val="auto"/>
        </w:rPr>
        <w:t xml:space="preserve">των </w:t>
      </w:r>
      <w:r w:rsidRPr="00D07140">
        <w:rPr>
          <w:color w:val="auto"/>
        </w:rPr>
        <w:t xml:space="preserve">μειωμένων εισπράξεων φορολογικών εσόδων (-8.217 εκατ. ευρώ), </w:t>
      </w:r>
      <w:r w:rsidR="006814B0">
        <w:rPr>
          <w:color w:val="auto"/>
        </w:rPr>
        <w:t>β)</w:t>
      </w:r>
      <w:r w:rsidRPr="00D07140">
        <w:rPr>
          <w:color w:val="auto"/>
        </w:rPr>
        <w:t xml:space="preserve"> </w:t>
      </w:r>
      <w:r w:rsidR="00434786">
        <w:rPr>
          <w:color w:val="auto"/>
        </w:rPr>
        <w:t xml:space="preserve">της </w:t>
      </w:r>
      <w:r w:rsidRPr="00D07140">
        <w:rPr>
          <w:color w:val="auto"/>
        </w:rPr>
        <w:t xml:space="preserve">μείωσης των πωλήσεων αγαθών και υπηρεσιών (-1.221 εκατ. ευρώ) και </w:t>
      </w:r>
      <w:r w:rsidR="006814B0">
        <w:rPr>
          <w:color w:val="auto"/>
        </w:rPr>
        <w:t>γ)</w:t>
      </w:r>
      <w:r w:rsidRPr="00D07140">
        <w:rPr>
          <w:color w:val="auto"/>
        </w:rPr>
        <w:t xml:space="preserve"> </w:t>
      </w:r>
      <w:r w:rsidR="00434786">
        <w:rPr>
          <w:color w:val="auto"/>
        </w:rPr>
        <w:t xml:space="preserve">των </w:t>
      </w:r>
      <w:r w:rsidRPr="00D07140">
        <w:rPr>
          <w:color w:val="auto"/>
        </w:rPr>
        <w:t xml:space="preserve">αυξημένων επιστροφών φόρων (+628 εκατ. ευρώ). Αύξηση σε σχέση με πέρυσι παρουσίασαν οι μεταβιβάσεις (1.130 εκατ. ευρώ) και τα λοιπά τρέχοντα έσοδα (+194 εκατ. ευρώ), η οποία οφείλεται στα αυξημένα έσοδα από το Πρόγραμμα Δημοσίων Επενδύσεων (ΠΔΕ). </w:t>
      </w:r>
    </w:p>
    <w:p w14:paraId="214EB2A9" w14:textId="46C738E3" w:rsidR="00D07140" w:rsidRPr="00D07140" w:rsidRDefault="00D07140" w:rsidP="00D07140">
      <w:pPr>
        <w:spacing w:after="160"/>
        <w:rPr>
          <w:color w:val="auto"/>
        </w:rPr>
      </w:pPr>
      <w:r w:rsidRPr="00D07140">
        <w:rPr>
          <w:color w:val="auto"/>
        </w:rPr>
        <w:t xml:space="preserve">Όλες σχεδόν, οι κατηγορίες φορολογικών εσόδων κατέγραψαν πτώση εισπράξεων τόσο σε σχέση με </w:t>
      </w:r>
      <w:r w:rsidRPr="004D2790">
        <w:rPr>
          <w:color w:val="auto"/>
        </w:rPr>
        <w:t>πέρυσι όσο και σε σχέση με το</w:t>
      </w:r>
      <w:r w:rsidR="00E10F7A">
        <w:rPr>
          <w:color w:val="auto"/>
        </w:rPr>
        <w:t>ν</w:t>
      </w:r>
      <w:r w:rsidRPr="004D2790">
        <w:rPr>
          <w:color w:val="auto"/>
        </w:rPr>
        <w:t xml:space="preserve"> στόχο, με βασική πηγή απώλειας τους έμμεσους φόρους, τους φόρους εισοδήματος και τους τακτικούς φόρους ακίνητης περιουσίας (</w:t>
      </w:r>
      <w:r w:rsidRPr="004D2790">
        <w:rPr>
          <w:i/>
          <w:color w:val="auto"/>
        </w:rPr>
        <w:fldChar w:fldCharType="begin"/>
      </w:r>
      <w:r w:rsidRPr="004D2790">
        <w:rPr>
          <w:i/>
          <w:color w:val="auto"/>
        </w:rPr>
        <w:instrText xml:space="preserve"> REF _Ref56163523 \h  \* MERGEFORMAT </w:instrText>
      </w:r>
      <w:r w:rsidRPr="004D2790">
        <w:rPr>
          <w:i/>
          <w:color w:val="auto"/>
        </w:rPr>
      </w:r>
      <w:r w:rsidRPr="004D2790">
        <w:rPr>
          <w:i/>
          <w:color w:val="auto"/>
        </w:rPr>
        <w:fldChar w:fldCharType="separate"/>
      </w:r>
      <w:r w:rsidR="00CC05A7" w:rsidRPr="00CC05A7">
        <w:rPr>
          <w:i/>
          <w:color w:val="auto"/>
        </w:rPr>
        <w:t xml:space="preserve">Πίνακας </w:t>
      </w:r>
      <w:r w:rsidR="00CC05A7" w:rsidRPr="00CC05A7">
        <w:rPr>
          <w:i/>
          <w:noProof/>
          <w:color w:val="auto"/>
        </w:rPr>
        <w:t>13</w:t>
      </w:r>
      <w:r w:rsidRPr="004D2790">
        <w:rPr>
          <w:i/>
          <w:color w:val="auto"/>
        </w:rPr>
        <w:fldChar w:fldCharType="end"/>
      </w:r>
      <w:r w:rsidRPr="004D2790">
        <w:rPr>
          <w:color w:val="auto"/>
        </w:rPr>
        <w:t>). Ειδικότερα, σε σχέση με πέρυσι, οι εισπράξεις ΦΠΑ κατέγραψαν σημαντική πτώση κατά</w:t>
      </w:r>
      <w:r w:rsidRPr="00D07140">
        <w:rPr>
          <w:color w:val="auto"/>
        </w:rPr>
        <w:t>, περίπου, 2,</w:t>
      </w:r>
      <w:r w:rsidR="00F5434A">
        <w:rPr>
          <w:color w:val="auto"/>
        </w:rPr>
        <w:t>8</w:t>
      </w:r>
      <w:r w:rsidRPr="00D07140">
        <w:rPr>
          <w:color w:val="auto"/>
        </w:rPr>
        <w:t xml:space="preserve"> δισ. ευρώ (-15,6%), οι εισπράξεις ειδικών φόρων κατανάλωσης (ΕΦΚ) μειώθηκαν κατά 698 εκατ. ευρώ (-9,8%), οι φόροι εισοδήματος μειώθηκαν κατά 3,1 δισ. ευρώ, οι φόροι περιουσίας κατά 234 εκ. ευρώ και οι λοιποί φόροι επί αγαθών και υπηρεσιών περιορίστηκαν κατά 587 εκατ. ευρώ. </w:t>
      </w:r>
    </w:p>
    <w:p w14:paraId="2D6EF1A8" w14:textId="74E08CF8" w:rsidR="00D07140" w:rsidRPr="007D6510" w:rsidRDefault="00D07140" w:rsidP="00D07140">
      <w:pPr>
        <w:spacing w:after="0"/>
        <w:rPr>
          <w:iCs/>
          <w:color w:val="00B0F0"/>
          <w:sz w:val="20"/>
          <w:szCs w:val="20"/>
        </w:rPr>
      </w:pPr>
      <w:bookmarkStart w:id="149" w:name="_Ref56163523"/>
      <w:bookmarkStart w:id="150" w:name="_Toc56167270"/>
      <w:bookmarkStart w:id="151" w:name="_Toc73435774"/>
      <w:r w:rsidRPr="007D6510">
        <w:rPr>
          <w:sz w:val="20"/>
          <w:szCs w:val="20"/>
        </w:rPr>
        <w:t xml:space="preserve">Πίνακας </w:t>
      </w:r>
      <w:r w:rsidRPr="007D6510">
        <w:rPr>
          <w:i/>
          <w:sz w:val="20"/>
          <w:szCs w:val="20"/>
        </w:rPr>
        <w:fldChar w:fldCharType="begin"/>
      </w:r>
      <w:r w:rsidRPr="007D6510">
        <w:rPr>
          <w:sz w:val="20"/>
          <w:szCs w:val="20"/>
        </w:rPr>
        <w:instrText xml:space="preserve"> SEQ Πίνακας \* ARABIC </w:instrText>
      </w:r>
      <w:r w:rsidRPr="007D6510">
        <w:rPr>
          <w:i/>
          <w:sz w:val="20"/>
          <w:szCs w:val="20"/>
        </w:rPr>
        <w:fldChar w:fldCharType="separate"/>
      </w:r>
      <w:r w:rsidR="00CC05A7">
        <w:rPr>
          <w:noProof/>
          <w:sz w:val="20"/>
          <w:szCs w:val="20"/>
        </w:rPr>
        <w:t>13</w:t>
      </w:r>
      <w:r w:rsidRPr="007D6510">
        <w:rPr>
          <w:i/>
          <w:sz w:val="20"/>
          <w:szCs w:val="20"/>
        </w:rPr>
        <w:fldChar w:fldCharType="end"/>
      </w:r>
      <w:bookmarkEnd w:id="149"/>
      <w:r w:rsidRPr="007D6510">
        <w:rPr>
          <w:color w:val="00B0F0"/>
          <w:sz w:val="20"/>
          <w:szCs w:val="20"/>
        </w:rPr>
        <w:t>:</w:t>
      </w:r>
      <w:r w:rsidRPr="007D6510">
        <w:rPr>
          <w:iCs/>
          <w:color w:val="00B0F0"/>
          <w:sz w:val="20"/>
          <w:szCs w:val="20"/>
        </w:rPr>
        <w:t xml:space="preserve"> Φορολογικά Έσοδα Κρατικού Προϋπολογισμού 2019- 2020 (εκατ. ευρώ)</w:t>
      </w:r>
      <w:bookmarkEnd w:id="150"/>
      <w:bookmarkEnd w:id="151"/>
    </w:p>
    <w:tbl>
      <w:tblPr>
        <w:tblW w:w="9071" w:type="dxa"/>
        <w:tblInd w:w="-405" w:type="dxa"/>
        <w:tblBorders>
          <w:top w:val="single" w:sz="4" w:space="0" w:color="auto"/>
          <w:bottom w:val="single" w:sz="8" w:space="0" w:color="auto"/>
        </w:tblBorders>
        <w:tblLayout w:type="fixed"/>
        <w:tblLook w:val="04A0" w:firstRow="1" w:lastRow="0" w:firstColumn="1" w:lastColumn="0" w:noHBand="0" w:noVBand="1"/>
      </w:tblPr>
      <w:tblGrid>
        <w:gridCol w:w="3621"/>
        <w:gridCol w:w="850"/>
        <w:gridCol w:w="1007"/>
        <w:gridCol w:w="1305"/>
        <w:gridCol w:w="1033"/>
        <w:gridCol w:w="1255"/>
      </w:tblGrid>
      <w:tr w:rsidR="00D07140" w:rsidRPr="00D07140" w14:paraId="7E4D5E4D" w14:textId="77777777" w:rsidTr="009741B0">
        <w:trPr>
          <w:trHeight w:val="220"/>
        </w:trPr>
        <w:tc>
          <w:tcPr>
            <w:tcW w:w="3621" w:type="dxa"/>
            <w:vMerge w:val="restart"/>
            <w:shd w:val="clear" w:color="000000" w:fill="C1EFFF"/>
            <w:vAlign w:val="center"/>
            <w:hideMark/>
          </w:tcPr>
          <w:p w14:paraId="1439821E" w14:textId="77777777" w:rsidR="00D07140" w:rsidRPr="00D07140" w:rsidRDefault="00D07140" w:rsidP="009741B0">
            <w:pPr>
              <w:spacing w:after="0" w:line="240" w:lineRule="auto"/>
              <w:jc w:val="left"/>
              <w:rPr>
                <w:rFonts w:eastAsia="Times New Roman" w:cs="Calibri"/>
                <w:color w:val="000000"/>
                <w:sz w:val="18"/>
                <w:szCs w:val="18"/>
                <w:lang w:eastAsia="el-GR"/>
              </w:rPr>
            </w:pPr>
            <w:r w:rsidRPr="00D07140">
              <w:rPr>
                <w:rFonts w:eastAsia="Times New Roman" w:cs="Calibri"/>
                <w:color w:val="000000"/>
                <w:sz w:val="18"/>
                <w:szCs w:val="18"/>
                <w:lang w:eastAsia="el-GR"/>
              </w:rPr>
              <w:t> </w:t>
            </w:r>
          </w:p>
        </w:tc>
        <w:tc>
          <w:tcPr>
            <w:tcW w:w="1857" w:type="dxa"/>
            <w:gridSpan w:val="2"/>
            <w:shd w:val="clear" w:color="000000" w:fill="C1EFFF"/>
            <w:noWrap/>
            <w:vAlign w:val="center"/>
            <w:hideMark/>
          </w:tcPr>
          <w:p w14:paraId="7D416255" w14:textId="77777777" w:rsidR="00D07140" w:rsidRPr="00D07140" w:rsidRDefault="00D07140" w:rsidP="009741B0">
            <w:pPr>
              <w:spacing w:after="0" w:line="240" w:lineRule="auto"/>
              <w:jc w:val="center"/>
              <w:rPr>
                <w:rFonts w:eastAsia="Times New Roman" w:cs="Calibri"/>
                <w:b/>
                <w:bCs/>
                <w:color w:val="000000"/>
                <w:sz w:val="18"/>
                <w:szCs w:val="18"/>
                <w:lang w:eastAsia="el-GR"/>
              </w:rPr>
            </w:pPr>
            <w:r w:rsidRPr="00D07140">
              <w:rPr>
                <w:rFonts w:eastAsia="Times New Roman" w:cs="Calibri"/>
                <w:b/>
                <w:bCs/>
                <w:color w:val="000000"/>
                <w:sz w:val="18"/>
                <w:szCs w:val="18"/>
                <w:lang w:eastAsia="el-GR"/>
              </w:rPr>
              <w:t>Πραγματοποιήσεις</w:t>
            </w:r>
          </w:p>
        </w:tc>
        <w:tc>
          <w:tcPr>
            <w:tcW w:w="1305" w:type="dxa"/>
            <w:shd w:val="clear" w:color="000000" w:fill="C1EFFF"/>
            <w:noWrap/>
            <w:vAlign w:val="center"/>
            <w:hideMark/>
          </w:tcPr>
          <w:p w14:paraId="506641E0" w14:textId="77777777" w:rsidR="00D07140" w:rsidRPr="00D07140" w:rsidRDefault="00D07140" w:rsidP="009741B0">
            <w:pPr>
              <w:spacing w:after="0" w:line="240" w:lineRule="auto"/>
              <w:jc w:val="center"/>
              <w:rPr>
                <w:rFonts w:eastAsia="Times New Roman" w:cs="Calibri"/>
                <w:b/>
                <w:bCs/>
                <w:color w:val="000000"/>
                <w:sz w:val="18"/>
                <w:szCs w:val="18"/>
                <w:lang w:eastAsia="el-GR"/>
              </w:rPr>
            </w:pPr>
            <w:r w:rsidRPr="00D07140">
              <w:rPr>
                <w:rFonts w:eastAsia="Times New Roman" w:cs="Calibri"/>
                <w:b/>
                <w:bCs/>
                <w:color w:val="000000"/>
                <w:sz w:val="18"/>
                <w:szCs w:val="18"/>
                <w:lang w:eastAsia="el-GR"/>
              </w:rPr>
              <w:t xml:space="preserve"> </w:t>
            </w:r>
          </w:p>
        </w:tc>
        <w:tc>
          <w:tcPr>
            <w:tcW w:w="2288" w:type="dxa"/>
            <w:gridSpan w:val="2"/>
            <w:shd w:val="clear" w:color="000000" w:fill="C1EFFF"/>
            <w:noWrap/>
            <w:vAlign w:val="center"/>
            <w:hideMark/>
          </w:tcPr>
          <w:p w14:paraId="7DFA16E6" w14:textId="77777777" w:rsidR="00D07140" w:rsidRPr="00D07140" w:rsidRDefault="00D07140" w:rsidP="009741B0">
            <w:pPr>
              <w:spacing w:after="0" w:line="240" w:lineRule="auto"/>
              <w:jc w:val="center"/>
              <w:rPr>
                <w:rFonts w:eastAsia="Times New Roman" w:cs="Calibri"/>
                <w:b/>
                <w:bCs/>
                <w:color w:val="000000"/>
                <w:sz w:val="18"/>
                <w:szCs w:val="18"/>
                <w:lang w:eastAsia="el-GR"/>
              </w:rPr>
            </w:pPr>
            <w:r w:rsidRPr="00D07140">
              <w:rPr>
                <w:rFonts w:eastAsia="Times New Roman" w:cs="Calibri"/>
                <w:b/>
                <w:bCs/>
                <w:color w:val="000000"/>
                <w:sz w:val="18"/>
                <w:szCs w:val="18"/>
                <w:lang w:eastAsia="el-GR"/>
              </w:rPr>
              <w:t>% Μεταβολής</w:t>
            </w:r>
          </w:p>
        </w:tc>
      </w:tr>
      <w:tr w:rsidR="00D07140" w:rsidRPr="00D07140" w14:paraId="4E18DE7B" w14:textId="77777777" w:rsidTr="009741B0">
        <w:trPr>
          <w:trHeight w:val="376"/>
        </w:trPr>
        <w:tc>
          <w:tcPr>
            <w:tcW w:w="3621" w:type="dxa"/>
            <w:vMerge/>
            <w:tcBorders>
              <w:bottom w:val="single" w:sz="4" w:space="0" w:color="auto"/>
            </w:tcBorders>
            <w:vAlign w:val="center"/>
            <w:hideMark/>
          </w:tcPr>
          <w:p w14:paraId="7927ADC6" w14:textId="77777777" w:rsidR="00D07140" w:rsidRPr="00D07140" w:rsidRDefault="00D07140" w:rsidP="009741B0">
            <w:pPr>
              <w:spacing w:after="0" w:line="240" w:lineRule="auto"/>
              <w:jc w:val="left"/>
              <w:rPr>
                <w:rFonts w:eastAsia="Times New Roman" w:cs="Calibri"/>
                <w:color w:val="000000"/>
                <w:sz w:val="18"/>
                <w:szCs w:val="18"/>
                <w:lang w:eastAsia="el-GR"/>
              </w:rPr>
            </w:pPr>
          </w:p>
        </w:tc>
        <w:tc>
          <w:tcPr>
            <w:tcW w:w="850" w:type="dxa"/>
            <w:tcBorders>
              <w:bottom w:val="single" w:sz="4" w:space="0" w:color="auto"/>
            </w:tcBorders>
            <w:shd w:val="clear" w:color="000000" w:fill="C1EFFF"/>
            <w:noWrap/>
            <w:vAlign w:val="center"/>
            <w:hideMark/>
          </w:tcPr>
          <w:p w14:paraId="0242843D" w14:textId="77777777" w:rsidR="00D07140" w:rsidRPr="00D07140" w:rsidRDefault="00D07140" w:rsidP="009741B0">
            <w:pPr>
              <w:spacing w:after="0" w:line="240" w:lineRule="auto"/>
              <w:jc w:val="center"/>
              <w:rPr>
                <w:rFonts w:eastAsia="Times New Roman" w:cs="Calibri"/>
                <w:b/>
                <w:bCs/>
                <w:color w:val="000000"/>
                <w:sz w:val="18"/>
                <w:szCs w:val="18"/>
                <w:lang w:eastAsia="el-GR"/>
              </w:rPr>
            </w:pPr>
            <w:r w:rsidRPr="00D07140">
              <w:rPr>
                <w:rFonts w:eastAsia="Times New Roman" w:cs="Calibri"/>
                <w:b/>
                <w:bCs/>
                <w:color w:val="000000"/>
                <w:sz w:val="18"/>
                <w:szCs w:val="18"/>
                <w:lang w:eastAsia="el-GR"/>
              </w:rPr>
              <w:t>2019</w:t>
            </w:r>
          </w:p>
        </w:tc>
        <w:tc>
          <w:tcPr>
            <w:tcW w:w="1007" w:type="dxa"/>
            <w:tcBorders>
              <w:bottom w:val="single" w:sz="4" w:space="0" w:color="auto"/>
            </w:tcBorders>
            <w:shd w:val="clear" w:color="000000" w:fill="C1EFFF"/>
            <w:noWrap/>
            <w:vAlign w:val="center"/>
            <w:hideMark/>
          </w:tcPr>
          <w:p w14:paraId="4CD7BCA6" w14:textId="77777777" w:rsidR="00D07140" w:rsidRPr="00D07140" w:rsidRDefault="00D07140" w:rsidP="009741B0">
            <w:pPr>
              <w:spacing w:after="0" w:line="240" w:lineRule="auto"/>
              <w:jc w:val="center"/>
              <w:rPr>
                <w:rFonts w:eastAsia="Times New Roman" w:cs="Calibri"/>
                <w:b/>
                <w:bCs/>
                <w:color w:val="000000"/>
                <w:sz w:val="18"/>
                <w:szCs w:val="18"/>
                <w:lang w:eastAsia="el-GR"/>
              </w:rPr>
            </w:pPr>
            <w:r w:rsidRPr="00D07140">
              <w:rPr>
                <w:rFonts w:eastAsia="Times New Roman" w:cs="Calibri"/>
                <w:b/>
                <w:bCs/>
                <w:color w:val="000000"/>
                <w:sz w:val="18"/>
                <w:szCs w:val="18"/>
                <w:lang w:eastAsia="el-GR"/>
              </w:rPr>
              <w:t>2020</w:t>
            </w:r>
          </w:p>
        </w:tc>
        <w:tc>
          <w:tcPr>
            <w:tcW w:w="1305" w:type="dxa"/>
            <w:tcBorders>
              <w:bottom w:val="single" w:sz="4" w:space="0" w:color="auto"/>
            </w:tcBorders>
            <w:shd w:val="clear" w:color="000000" w:fill="C1EFFF"/>
            <w:vAlign w:val="center"/>
            <w:hideMark/>
          </w:tcPr>
          <w:p w14:paraId="0B6D17C2" w14:textId="77777777" w:rsidR="00D07140" w:rsidRPr="00D07140" w:rsidRDefault="00D07140" w:rsidP="009741B0">
            <w:pPr>
              <w:spacing w:after="0" w:line="240" w:lineRule="auto"/>
              <w:jc w:val="center"/>
              <w:rPr>
                <w:rFonts w:eastAsia="Times New Roman" w:cs="Calibri"/>
                <w:b/>
                <w:bCs/>
                <w:color w:val="000000"/>
                <w:sz w:val="18"/>
                <w:szCs w:val="18"/>
                <w:lang w:eastAsia="el-GR"/>
              </w:rPr>
            </w:pPr>
            <w:r w:rsidRPr="00D07140">
              <w:rPr>
                <w:rFonts w:eastAsia="Times New Roman" w:cs="Calibri"/>
                <w:b/>
                <w:bCs/>
                <w:color w:val="000000"/>
                <w:sz w:val="18"/>
                <w:szCs w:val="18"/>
                <w:lang w:eastAsia="el-GR"/>
              </w:rPr>
              <w:t>Εκτιμήσεις Π/Υ 2020</w:t>
            </w:r>
          </w:p>
        </w:tc>
        <w:tc>
          <w:tcPr>
            <w:tcW w:w="1033" w:type="dxa"/>
            <w:tcBorders>
              <w:bottom w:val="single" w:sz="4" w:space="0" w:color="auto"/>
            </w:tcBorders>
            <w:shd w:val="clear" w:color="000000" w:fill="C1EFFF"/>
            <w:vAlign w:val="center"/>
            <w:hideMark/>
          </w:tcPr>
          <w:p w14:paraId="733523B9" w14:textId="77777777" w:rsidR="00D07140" w:rsidRPr="00D07140" w:rsidRDefault="00D07140" w:rsidP="009741B0">
            <w:pPr>
              <w:spacing w:after="0" w:line="240" w:lineRule="auto"/>
              <w:jc w:val="center"/>
              <w:rPr>
                <w:rFonts w:eastAsia="Times New Roman" w:cs="Calibri"/>
                <w:b/>
                <w:bCs/>
                <w:color w:val="000000"/>
                <w:sz w:val="18"/>
                <w:szCs w:val="18"/>
                <w:lang w:eastAsia="el-GR"/>
              </w:rPr>
            </w:pPr>
            <w:r w:rsidRPr="00D07140">
              <w:rPr>
                <w:rFonts w:eastAsia="Times New Roman" w:cs="Calibri"/>
                <w:b/>
                <w:bCs/>
                <w:color w:val="000000"/>
                <w:sz w:val="18"/>
                <w:szCs w:val="18"/>
                <w:lang w:eastAsia="el-GR"/>
              </w:rPr>
              <w:t>2019-2020</w:t>
            </w:r>
          </w:p>
        </w:tc>
        <w:tc>
          <w:tcPr>
            <w:tcW w:w="1255" w:type="dxa"/>
            <w:tcBorders>
              <w:bottom w:val="single" w:sz="4" w:space="0" w:color="auto"/>
            </w:tcBorders>
            <w:shd w:val="clear" w:color="000000" w:fill="C1EFFF"/>
            <w:noWrap/>
            <w:vAlign w:val="center"/>
            <w:hideMark/>
          </w:tcPr>
          <w:p w14:paraId="58A85D87" w14:textId="77777777" w:rsidR="00D07140" w:rsidRPr="00D07140" w:rsidRDefault="00D07140" w:rsidP="009741B0">
            <w:pPr>
              <w:spacing w:after="0" w:line="240" w:lineRule="auto"/>
              <w:jc w:val="center"/>
              <w:rPr>
                <w:rFonts w:eastAsia="Times New Roman" w:cs="Calibri"/>
                <w:b/>
                <w:bCs/>
                <w:color w:val="000000"/>
                <w:sz w:val="18"/>
                <w:szCs w:val="18"/>
                <w:lang w:eastAsia="el-GR"/>
              </w:rPr>
            </w:pPr>
            <w:r w:rsidRPr="00D07140">
              <w:rPr>
                <w:rFonts w:eastAsia="Times New Roman" w:cs="Calibri"/>
                <w:b/>
                <w:bCs/>
                <w:color w:val="000000"/>
                <w:sz w:val="18"/>
                <w:szCs w:val="18"/>
                <w:lang w:eastAsia="el-GR"/>
              </w:rPr>
              <w:t>2020- Εκτιμήσεις</w:t>
            </w:r>
          </w:p>
        </w:tc>
      </w:tr>
      <w:tr w:rsidR="00D07140" w:rsidRPr="00D07140" w14:paraId="69F64612" w14:textId="77777777" w:rsidTr="009741B0">
        <w:trPr>
          <w:trHeight w:val="376"/>
        </w:trPr>
        <w:tc>
          <w:tcPr>
            <w:tcW w:w="3621" w:type="dxa"/>
            <w:tcBorders>
              <w:top w:val="single" w:sz="4" w:space="0" w:color="auto"/>
              <w:left w:val="single" w:sz="4" w:space="0" w:color="auto"/>
              <w:bottom w:val="single" w:sz="4" w:space="0" w:color="auto"/>
              <w:right w:val="single" w:sz="4" w:space="0" w:color="auto"/>
            </w:tcBorders>
            <w:shd w:val="clear" w:color="000000" w:fill="C9C9C9"/>
            <w:vAlign w:val="center"/>
            <w:hideMark/>
          </w:tcPr>
          <w:p w14:paraId="2B1BF7BE" w14:textId="77777777" w:rsidR="00D07140" w:rsidRPr="00D07140" w:rsidRDefault="00D07140" w:rsidP="009741B0">
            <w:pPr>
              <w:spacing w:after="0" w:line="240" w:lineRule="auto"/>
              <w:jc w:val="left"/>
              <w:rPr>
                <w:rFonts w:eastAsia="Times New Roman" w:cs="Calibri"/>
                <w:b/>
                <w:bCs/>
                <w:color w:val="000000"/>
                <w:sz w:val="18"/>
                <w:szCs w:val="18"/>
                <w:lang w:eastAsia="el-GR"/>
              </w:rPr>
            </w:pPr>
            <w:r w:rsidRPr="00D07140">
              <w:rPr>
                <w:rFonts w:eastAsia="Times New Roman" w:cs="Calibri"/>
                <w:b/>
                <w:bCs/>
                <w:color w:val="000000"/>
                <w:sz w:val="18"/>
                <w:szCs w:val="18"/>
                <w:lang w:eastAsia="el-GR"/>
              </w:rPr>
              <w:t xml:space="preserve">Φορολογικά Έσοδα </w:t>
            </w:r>
            <w:r w:rsidRPr="00D07140">
              <w:rPr>
                <w:rFonts w:ascii="Calibri" w:eastAsia="Times New Roman" w:hAnsi="Calibri" w:cs="Calibri"/>
                <w:b/>
                <w:bCs/>
                <w:color w:val="000000"/>
                <w:sz w:val="20"/>
                <w:szCs w:val="20"/>
                <w:lang w:eastAsia="el-GR"/>
              </w:rPr>
              <w:t>(Α+Β+Γ+Δ+Ε+ΣΤ+Ζ)</w:t>
            </w:r>
          </w:p>
        </w:tc>
        <w:tc>
          <w:tcPr>
            <w:tcW w:w="850" w:type="dxa"/>
            <w:tcBorders>
              <w:top w:val="single" w:sz="4" w:space="0" w:color="auto"/>
              <w:left w:val="single" w:sz="4" w:space="0" w:color="auto"/>
              <w:bottom w:val="single" w:sz="4" w:space="0" w:color="auto"/>
              <w:right w:val="single" w:sz="4" w:space="0" w:color="auto"/>
            </w:tcBorders>
            <w:shd w:val="clear" w:color="000000" w:fill="C9C9C9"/>
            <w:vAlign w:val="center"/>
            <w:hideMark/>
          </w:tcPr>
          <w:p w14:paraId="6AFBEC71" w14:textId="77777777" w:rsidR="00D07140" w:rsidRPr="00D07140" w:rsidRDefault="00D07140" w:rsidP="009741B0">
            <w:pPr>
              <w:spacing w:after="0" w:line="240" w:lineRule="auto"/>
              <w:jc w:val="center"/>
              <w:rPr>
                <w:rFonts w:eastAsia="Times New Roman" w:cs="Calibri"/>
                <w:b/>
                <w:bCs/>
                <w:color w:val="000000"/>
                <w:sz w:val="18"/>
                <w:szCs w:val="18"/>
                <w:lang w:eastAsia="el-GR"/>
              </w:rPr>
            </w:pPr>
            <w:r w:rsidRPr="00D07140">
              <w:rPr>
                <w:rFonts w:eastAsia="Times New Roman" w:cs="Calibri"/>
                <w:b/>
                <w:bCs/>
                <w:color w:val="000000"/>
                <w:sz w:val="18"/>
                <w:szCs w:val="18"/>
                <w:lang w:eastAsia="el-GR"/>
              </w:rPr>
              <w:t>51.415</w:t>
            </w:r>
          </w:p>
        </w:tc>
        <w:tc>
          <w:tcPr>
            <w:tcW w:w="1007" w:type="dxa"/>
            <w:tcBorders>
              <w:top w:val="single" w:sz="4" w:space="0" w:color="auto"/>
              <w:left w:val="single" w:sz="4" w:space="0" w:color="auto"/>
              <w:bottom w:val="single" w:sz="4" w:space="0" w:color="auto"/>
              <w:right w:val="single" w:sz="4" w:space="0" w:color="auto"/>
            </w:tcBorders>
            <w:shd w:val="clear" w:color="000000" w:fill="C9C9C9"/>
            <w:vAlign w:val="center"/>
            <w:hideMark/>
          </w:tcPr>
          <w:p w14:paraId="5DAAA2A3" w14:textId="77777777" w:rsidR="00D07140" w:rsidRPr="00D07140" w:rsidRDefault="00D07140" w:rsidP="009741B0">
            <w:pPr>
              <w:spacing w:after="0" w:line="240" w:lineRule="auto"/>
              <w:jc w:val="center"/>
              <w:rPr>
                <w:rFonts w:eastAsia="Times New Roman" w:cs="Calibri"/>
                <w:b/>
                <w:bCs/>
                <w:color w:val="000000"/>
                <w:sz w:val="18"/>
                <w:szCs w:val="18"/>
                <w:lang w:eastAsia="el-GR"/>
              </w:rPr>
            </w:pPr>
            <w:r w:rsidRPr="00D07140">
              <w:rPr>
                <w:rFonts w:eastAsia="Times New Roman" w:cs="Calibri"/>
                <w:b/>
                <w:bCs/>
                <w:color w:val="000000"/>
                <w:sz w:val="18"/>
                <w:szCs w:val="18"/>
                <w:lang w:eastAsia="el-GR"/>
              </w:rPr>
              <w:t>43.198</w:t>
            </w:r>
          </w:p>
        </w:tc>
        <w:tc>
          <w:tcPr>
            <w:tcW w:w="1305" w:type="dxa"/>
            <w:tcBorders>
              <w:top w:val="single" w:sz="4" w:space="0" w:color="auto"/>
              <w:left w:val="single" w:sz="4" w:space="0" w:color="auto"/>
              <w:bottom w:val="single" w:sz="4" w:space="0" w:color="auto"/>
              <w:right w:val="single" w:sz="4" w:space="0" w:color="auto"/>
            </w:tcBorders>
            <w:shd w:val="clear" w:color="000000" w:fill="C9C9C9"/>
            <w:vAlign w:val="center"/>
            <w:hideMark/>
          </w:tcPr>
          <w:p w14:paraId="762E1D28" w14:textId="77777777" w:rsidR="00D07140" w:rsidRPr="00D07140" w:rsidRDefault="00D07140" w:rsidP="009741B0">
            <w:pPr>
              <w:spacing w:after="0" w:line="240" w:lineRule="auto"/>
              <w:jc w:val="center"/>
              <w:rPr>
                <w:rFonts w:eastAsia="Times New Roman" w:cs="Calibri"/>
                <w:b/>
                <w:bCs/>
                <w:color w:val="000000"/>
                <w:sz w:val="18"/>
                <w:szCs w:val="18"/>
                <w:lang w:eastAsia="el-GR"/>
              </w:rPr>
            </w:pPr>
            <w:r w:rsidRPr="00D07140">
              <w:rPr>
                <w:rFonts w:eastAsia="Times New Roman" w:cs="Calibri"/>
                <w:b/>
                <w:bCs/>
                <w:color w:val="000000"/>
                <w:sz w:val="18"/>
                <w:szCs w:val="18"/>
                <w:lang w:eastAsia="el-GR"/>
              </w:rPr>
              <w:t>52.165</w:t>
            </w:r>
          </w:p>
        </w:tc>
        <w:tc>
          <w:tcPr>
            <w:tcW w:w="1033" w:type="dxa"/>
            <w:tcBorders>
              <w:top w:val="single" w:sz="4" w:space="0" w:color="auto"/>
              <w:left w:val="single" w:sz="4" w:space="0" w:color="auto"/>
              <w:bottom w:val="single" w:sz="4" w:space="0" w:color="auto"/>
              <w:right w:val="single" w:sz="4" w:space="0" w:color="auto"/>
            </w:tcBorders>
            <w:shd w:val="clear" w:color="000000" w:fill="C9C9C9"/>
            <w:vAlign w:val="center"/>
            <w:hideMark/>
          </w:tcPr>
          <w:p w14:paraId="62216E7B" w14:textId="6AC22187" w:rsidR="00D07140" w:rsidRPr="00D07140" w:rsidRDefault="00114A26" w:rsidP="009741B0">
            <w:pPr>
              <w:spacing w:after="0" w:line="240" w:lineRule="auto"/>
              <w:jc w:val="center"/>
              <w:rPr>
                <w:rFonts w:eastAsia="Times New Roman" w:cs="Calibri"/>
                <w:b/>
                <w:bCs/>
                <w:color w:val="000000"/>
                <w:sz w:val="18"/>
                <w:szCs w:val="18"/>
                <w:lang w:eastAsia="el-GR"/>
              </w:rPr>
            </w:pPr>
            <w:r>
              <w:rPr>
                <w:rFonts w:eastAsia="Times New Roman" w:cs="Calibri"/>
                <w:b/>
                <w:bCs/>
                <w:color w:val="000000"/>
                <w:sz w:val="18"/>
                <w:szCs w:val="18"/>
                <w:lang w:eastAsia="el-GR"/>
              </w:rPr>
              <w:t>-15,9</w:t>
            </w:r>
            <w:r w:rsidR="00D07140" w:rsidRPr="00D07140">
              <w:rPr>
                <w:rFonts w:eastAsia="Times New Roman" w:cs="Calibri"/>
                <w:b/>
                <w:bCs/>
                <w:color w:val="000000"/>
                <w:sz w:val="18"/>
                <w:szCs w:val="18"/>
                <w:lang w:eastAsia="el-GR"/>
              </w:rPr>
              <w:t>%</w:t>
            </w:r>
          </w:p>
        </w:tc>
        <w:tc>
          <w:tcPr>
            <w:tcW w:w="1255" w:type="dxa"/>
            <w:tcBorders>
              <w:top w:val="single" w:sz="4" w:space="0" w:color="auto"/>
              <w:left w:val="single" w:sz="4" w:space="0" w:color="auto"/>
              <w:bottom w:val="single" w:sz="4" w:space="0" w:color="auto"/>
              <w:right w:val="single" w:sz="4" w:space="0" w:color="auto"/>
            </w:tcBorders>
            <w:shd w:val="clear" w:color="000000" w:fill="C9C9C9"/>
            <w:vAlign w:val="center"/>
            <w:hideMark/>
          </w:tcPr>
          <w:p w14:paraId="379854B4" w14:textId="0710528F" w:rsidR="00D07140" w:rsidRPr="00D07140" w:rsidRDefault="00114A26" w:rsidP="009741B0">
            <w:pPr>
              <w:spacing w:after="0" w:line="240" w:lineRule="auto"/>
              <w:jc w:val="center"/>
              <w:rPr>
                <w:rFonts w:eastAsia="Times New Roman" w:cs="Calibri"/>
                <w:b/>
                <w:bCs/>
                <w:color w:val="000000"/>
                <w:sz w:val="18"/>
                <w:szCs w:val="18"/>
                <w:lang w:eastAsia="el-GR"/>
              </w:rPr>
            </w:pPr>
            <w:r>
              <w:rPr>
                <w:rFonts w:eastAsia="Times New Roman" w:cs="Calibri"/>
                <w:b/>
                <w:bCs/>
                <w:color w:val="000000"/>
                <w:sz w:val="18"/>
                <w:szCs w:val="18"/>
                <w:lang w:eastAsia="el-GR"/>
              </w:rPr>
              <w:t>-17,2</w:t>
            </w:r>
            <w:r w:rsidR="00D07140" w:rsidRPr="00D07140">
              <w:rPr>
                <w:rFonts w:eastAsia="Times New Roman" w:cs="Calibri"/>
                <w:b/>
                <w:bCs/>
                <w:color w:val="000000"/>
                <w:sz w:val="18"/>
                <w:szCs w:val="18"/>
                <w:lang w:eastAsia="el-GR"/>
              </w:rPr>
              <w:t>%</w:t>
            </w:r>
          </w:p>
        </w:tc>
      </w:tr>
      <w:tr w:rsidR="00D07140" w:rsidRPr="00D07140" w14:paraId="7ED72B0E" w14:textId="77777777" w:rsidTr="009741B0">
        <w:trPr>
          <w:trHeight w:val="554"/>
        </w:trPr>
        <w:tc>
          <w:tcPr>
            <w:tcW w:w="362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7EB01B9" w14:textId="77777777" w:rsidR="00D07140" w:rsidRPr="00D07140" w:rsidRDefault="00D07140" w:rsidP="009741B0">
            <w:pPr>
              <w:spacing w:after="0" w:line="240" w:lineRule="auto"/>
              <w:jc w:val="left"/>
              <w:rPr>
                <w:rFonts w:eastAsia="Times New Roman" w:cs="Calibri"/>
                <w:b/>
                <w:bCs/>
                <w:color w:val="000000"/>
                <w:sz w:val="18"/>
                <w:szCs w:val="18"/>
                <w:lang w:eastAsia="el-GR"/>
              </w:rPr>
            </w:pPr>
            <w:r w:rsidRPr="00D07140">
              <w:rPr>
                <w:rFonts w:eastAsia="Times New Roman" w:cs="Calibri"/>
                <w:b/>
                <w:bCs/>
                <w:color w:val="000000"/>
                <w:sz w:val="18"/>
                <w:szCs w:val="18"/>
                <w:lang w:eastAsia="el-GR"/>
              </w:rPr>
              <w:t xml:space="preserve">Α. Φόροι επί αγαθών και υπηρεσιών </w:t>
            </w:r>
          </w:p>
        </w:tc>
        <w:tc>
          <w:tcPr>
            <w:tcW w:w="85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DADE03C" w14:textId="77777777" w:rsidR="00D07140" w:rsidRPr="00D07140" w:rsidRDefault="00D07140" w:rsidP="009741B0">
            <w:pPr>
              <w:spacing w:after="0" w:line="240" w:lineRule="auto"/>
              <w:jc w:val="center"/>
              <w:rPr>
                <w:rFonts w:eastAsia="Times New Roman" w:cs="Calibri"/>
                <w:b/>
                <w:bCs/>
                <w:color w:val="000000"/>
                <w:sz w:val="18"/>
                <w:szCs w:val="18"/>
                <w:lang w:eastAsia="el-GR"/>
              </w:rPr>
            </w:pPr>
            <w:r w:rsidRPr="00D07140">
              <w:rPr>
                <w:rFonts w:eastAsia="Times New Roman" w:cs="Calibri"/>
                <w:b/>
                <w:bCs/>
                <w:color w:val="000000"/>
                <w:sz w:val="18"/>
                <w:szCs w:val="18"/>
                <w:lang w:eastAsia="el-GR"/>
              </w:rPr>
              <w:t>28.014</w:t>
            </w:r>
          </w:p>
        </w:tc>
        <w:tc>
          <w:tcPr>
            <w:tcW w:w="1007"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2804952" w14:textId="77777777" w:rsidR="00D07140" w:rsidRPr="00D07140" w:rsidRDefault="00D07140" w:rsidP="009741B0">
            <w:pPr>
              <w:spacing w:after="0" w:line="240" w:lineRule="auto"/>
              <w:jc w:val="center"/>
              <w:rPr>
                <w:rFonts w:eastAsia="Times New Roman" w:cs="Calibri"/>
                <w:b/>
                <w:bCs/>
                <w:color w:val="000000"/>
                <w:sz w:val="18"/>
                <w:szCs w:val="18"/>
                <w:lang w:eastAsia="el-GR"/>
              </w:rPr>
            </w:pPr>
            <w:r w:rsidRPr="00D07140">
              <w:rPr>
                <w:rFonts w:eastAsia="Times New Roman" w:cs="Calibri"/>
                <w:b/>
                <w:bCs/>
                <w:color w:val="000000"/>
                <w:sz w:val="18"/>
                <w:szCs w:val="18"/>
                <w:lang w:eastAsia="el-GR"/>
              </w:rPr>
              <w:t>23.945</w:t>
            </w:r>
          </w:p>
        </w:tc>
        <w:tc>
          <w:tcPr>
            <w:tcW w:w="130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E899B70" w14:textId="77777777" w:rsidR="00D07140" w:rsidRPr="00D07140" w:rsidRDefault="00D07140" w:rsidP="009741B0">
            <w:pPr>
              <w:spacing w:after="0" w:line="240" w:lineRule="auto"/>
              <w:jc w:val="center"/>
              <w:rPr>
                <w:rFonts w:eastAsia="Times New Roman" w:cs="Calibri"/>
                <w:b/>
                <w:bCs/>
                <w:color w:val="000000"/>
                <w:sz w:val="18"/>
                <w:szCs w:val="18"/>
                <w:lang w:eastAsia="el-GR"/>
              </w:rPr>
            </w:pPr>
            <w:r w:rsidRPr="00D07140">
              <w:rPr>
                <w:rFonts w:eastAsia="Times New Roman" w:cs="Calibri"/>
                <w:b/>
                <w:bCs/>
                <w:color w:val="000000"/>
                <w:sz w:val="18"/>
                <w:szCs w:val="18"/>
                <w:lang w:eastAsia="el-GR"/>
              </w:rPr>
              <w:t>28.557</w:t>
            </w:r>
          </w:p>
        </w:tc>
        <w:tc>
          <w:tcPr>
            <w:tcW w:w="1033"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01D10EB" w14:textId="4F2CEBE4" w:rsidR="00D07140" w:rsidRPr="00D07140" w:rsidRDefault="00114A26" w:rsidP="009741B0">
            <w:pPr>
              <w:spacing w:after="0" w:line="240" w:lineRule="auto"/>
              <w:jc w:val="center"/>
              <w:rPr>
                <w:rFonts w:eastAsia="Times New Roman" w:cs="Calibri"/>
                <w:b/>
                <w:bCs/>
                <w:color w:val="000000"/>
                <w:sz w:val="18"/>
                <w:szCs w:val="18"/>
                <w:lang w:eastAsia="el-GR"/>
              </w:rPr>
            </w:pPr>
            <w:r>
              <w:rPr>
                <w:rFonts w:eastAsia="Times New Roman" w:cs="Calibri"/>
                <w:b/>
                <w:bCs/>
                <w:color w:val="000000"/>
                <w:sz w:val="18"/>
                <w:szCs w:val="18"/>
                <w:lang w:eastAsia="el-GR"/>
              </w:rPr>
              <w:t>-14,5</w:t>
            </w:r>
            <w:r w:rsidR="00D07140" w:rsidRPr="00D07140">
              <w:rPr>
                <w:rFonts w:eastAsia="Times New Roman" w:cs="Calibri"/>
                <w:b/>
                <w:bCs/>
                <w:color w:val="000000"/>
                <w:sz w:val="18"/>
                <w:szCs w:val="18"/>
                <w:lang w:eastAsia="el-GR"/>
              </w:rPr>
              <w:t>%</w:t>
            </w:r>
          </w:p>
        </w:tc>
        <w:tc>
          <w:tcPr>
            <w:tcW w:w="125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61F0387" w14:textId="23CD5F8C" w:rsidR="00D07140" w:rsidRPr="00D07140" w:rsidRDefault="00114A26" w:rsidP="009741B0">
            <w:pPr>
              <w:spacing w:after="0" w:line="240" w:lineRule="auto"/>
              <w:jc w:val="center"/>
              <w:rPr>
                <w:rFonts w:eastAsia="Times New Roman" w:cs="Calibri"/>
                <w:b/>
                <w:bCs/>
                <w:color w:val="000000"/>
                <w:sz w:val="18"/>
                <w:szCs w:val="18"/>
                <w:lang w:eastAsia="el-GR"/>
              </w:rPr>
            </w:pPr>
            <w:r>
              <w:rPr>
                <w:rFonts w:eastAsia="Times New Roman" w:cs="Calibri"/>
                <w:b/>
                <w:bCs/>
                <w:color w:val="000000"/>
                <w:sz w:val="18"/>
                <w:szCs w:val="18"/>
                <w:lang w:eastAsia="el-GR"/>
              </w:rPr>
              <w:t>-16,1</w:t>
            </w:r>
            <w:r w:rsidR="00D07140" w:rsidRPr="00D07140">
              <w:rPr>
                <w:rFonts w:eastAsia="Times New Roman" w:cs="Calibri"/>
                <w:b/>
                <w:bCs/>
                <w:color w:val="000000"/>
                <w:sz w:val="18"/>
                <w:szCs w:val="18"/>
                <w:lang w:eastAsia="el-GR"/>
              </w:rPr>
              <w:t>%</w:t>
            </w:r>
          </w:p>
        </w:tc>
      </w:tr>
      <w:tr w:rsidR="00D07140" w:rsidRPr="00D07140" w14:paraId="59DB70B3" w14:textId="77777777" w:rsidTr="009741B0">
        <w:trPr>
          <w:trHeight w:val="220"/>
        </w:trPr>
        <w:tc>
          <w:tcPr>
            <w:tcW w:w="362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9BB033" w14:textId="77777777" w:rsidR="00D07140" w:rsidRPr="00D07140" w:rsidRDefault="00D07140" w:rsidP="009741B0">
            <w:pPr>
              <w:spacing w:after="0" w:line="240" w:lineRule="auto"/>
              <w:jc w:val="left"/>
              <w:rPr>
                <w:rFonts w:eastAsia="Times New Roman" w:cs="Calibri"/>
                <w:color w:val="000000"/>
                <w:sz w:val="18"/>
                <w:szCs w:val="18"/>
                <w:lang w:eastAsia="el-GR"/>
              </w:rPr>
            </w:pPr>
            <w:r w:rsidRPr="00D07140">
              <w:rPr>
                <w:rFonts w:eastAsia="Times New Roman" w:cs="Calibri"/>
                <w:color w:val="000000"/>
                <w:sz w:val="18"/>
                <w:szCs w:val="18"/>
                <w:lang w:eastAsia="el-GR"/>
              </w:rPr>
              <w:t xml:space="preserve">       </w:t>
            </w:r>
            <w:r w:rsidRPr="00D07140">
              <w:rPr>
                <w:rFonts w:eastAsia="Times New Roman" w:cs="Calibri"/>
                <w:i/>
                <w:iCs/>
                <w:color w:val="000000"/>
                <w:sz w:val="18"/>
                <w:szCs w:val="18"/>
                <w:lang w:eastAsia="el-GR"/>
              </w:rPr>
              <w:t>εκ των οποίων</w:t>
            </w:r>
            <w:r w:rsidRPr="00D07140">
              <w:rPr>
                <w:rFonts w:eastAsia="Times New Roman" w:cs="Calibri"/>
                <w:color w:val="000000"/>
                <w:sz w:val="18"/>
                <w:szCs w:val="18"/>
                <w:lang w:eastAsia="el-GR"/>
              </w:rPr>
              <w:t xml:space="preserve"> : ΦΠΑ </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2C34E99" w14:textId="77777777" w:rsidR="00D07140" w:rsidRPr="00D07140" w:rsidRDefault="00D07140" w:rsidP="009741B0">
            <w:pPr>
              <w:spacing w:after="0" w:line="240" w:lineRule="auto"/>
              <w:jc w:val="center"/>
              <w:rPr>
                <w:rFonts w:eastAsia="Times New Roman" w:cs="Calibri"/>
                <w:color w:val="000000"/>
                <w:sz w:val="18"/>
                <w:szCs w:val="18"/>
                <w:lang w:eastAsia="el-GR"/>
              </w:rPr>
            </w:pPr>
            <w:r w:rsidRPr="00D07140">
              <w:rPr>
                <w:rFonts w:eastAsia="Times New Roman" w:cs="Calibri"/>
                <w:color w:val="000000"/>
                <w:sz w:val="18"/>
                <w:szCs w:val="18"/>
                <w:lang w:eastAsia="el-GR"/>
              </w:rPr>
              <w:t>17.792</w:t>
            </w:r>
          </w:p>
        </w:tc>
        <w:tc>
          <w:tcPr>
            <w:tcW w:w="100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9AB14A8" w14:textId="77777777" w:rsidR="00D07140" w:rsidRPr="00D07140" w:rsidRDefault="00D07140" w:rsidP="009741B0">
            <w:pPr>
              <w:spacing w:after="0" w:line="240" w:lineRule="auto"/>
              <w:jc w:val="center"/>
              <w:rPr>
                <w:rFonts w:eastAsia="Times New Roman" w:cs="Calibri"/>
                <w:color w:val="000000"/>
                <w:sz w:val="18"/>
                <w:szCs w:val="18"/>
                <w:lang w:eastAsia="el-GR"/>
              </w:rPr>
            </w:pPr>
            <w:r w:rsidRPr="00D07140">
              <w:rPr>
                <w:rFonts w:eastAsia="Times New Roman" w:cs="Calibri"/>
                <w:color w:val="000000"/>
                <w:sz w:val="18"/>
                <w:szCs w:val="18"/>
                <w:lang w:eastAsia="el-GR"/>
              </w:rPr>
              <w:t>15.008</w:t>
            </w:r>
          </w:p>
        </w:tc>
        <w:tc>
          <w:tcPr>
            <w:tcW w:w="13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344390B" w14:textId="77777777" w:rsidR="00D07140" w:rsidRPr="00D07140" w:rsidRDefault="00D07140" w:rsidP="009741B0">
            <w:pPr>
              <w:spacing w:after="0" w:line="240" w:lineRule="auto"/>
              <w:jc w:val="center"/>
              <w:rPr>
                <w:rFonts w:eastAsia="Times New Roman" w:cs="Calibri"/>
                <w:color w:val="000000"/>
                <w:sz w:val="18"/>
                <w:szCs w:val="18"/>
                <w:lang w:eastAsia="el-GR"/>
              </w:rPr>
            </w:pPr>
            <w:r w:rsidRPr="00D07140">
              <w:rPr>
                <w:rFonts w:eastAsia="Times New Roman" w:cs="Calibri"/>
                <w:color w:val="000000"/>
                <w:sz w:val="18"/>
                <w:szCs w:val="18"/>
                <w:lang w:eastAsia="el-GR"/>
              </w:rPr>
              <w:t>18.276</w:t>
            </w:r>
          </w:p>
        </w:tc>
        <w:tc>
          <w:tcPr>
            <w:tcW w:w="103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4CFD76" w14:textId="3E7B09BB" w:rsidR="00D07140" w:rsidRPr="00D07140" w:rsidRDefault="00114A26" w:rsidP="009741B0">
            <w:pPr>
              <w:spacing w:after="0" w:line="240" w:lineRule="auto"/>
              <w:jc w:val="center"/>
              <w:rPr>
                <w:rFonts w:eastAsia="Times New Roman" w:cs="Calibri"/>
                <w:color w:val="000000"/>
                <w:sz w:val="18"/>
                <w:szCs w:val="18"/>
                <w:lang w:eastAsia="el-GR"/>
              </w:rPr>
            </w:pPr>
            <w:r>
              <w:rPr>
                <w:rFonts w:eastAsia="Times New Roman" w:cs="Calibri"/>
                <w:color w:val="000000"/>
                <w:sz w:val="18"/>
                <w:szCs w:val="18"/>
                <w:lang w:eastAsia="el-GR"/>
              </w:rPr>
              <w:t>-15,6</w:t>
            </w:r>
            <w:r w:rsidR="00D07140" w:rsidRPr="00D07140">
              <w:rPr>
                <w:rFonts w:eastAsia="Times New Roman" w:cs="Calibri"/>
                <w:color w:val="000000"/>
                <w:sz w:val="18"/>
                <w:szCs w:val="18"/>
                <w:lang w:eastAsia="el-GR"/>
              </w:rPr>
              <w:t>%</w:t>
            </w:r>
          </w:p>
        </w:tc>
        <w:tc>
          <w:tcPr>
            <w:tcW w:w="125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3A486FE" w14:textId="1FB1678B" w:rsidR="00D07140" w:rsidRPr="00D07140" w:rsidRDefault="00114A26" w:rsidP="009741B0">
            <w:pPr>
              <w:spacing w:after="0" w:line="240" w:lineRule="auto"/>
              <w:jc w:val="center"/>
              <w:rPr>
                <w:rFonts w:eastAsia="Times New Roman" w:cs="Calibri"/>
                <w:color w:val="000000"/>
                <w:sz w:val="18"/>
                <w:szCs w:val="18"/>
                <w:lang w:eastAsia="el-GR"/>
              </w:rPr>
            </w:pPr>
            <w:r>
              <w:rPr>
                <w:rFonts w:eastAsia="Times New Roman" w:cs="Calibri"/>
                <w:color w:val="000000"/>
                <w:sz w:val="18"/>
                <w:szCs w:val="18"/>
                <w:lang w:eastAsia="el-GR"/>
              </w:rPr>
              <w:t>-17,8</w:t>
            </w:r>
            <w:r w:rsidR="00D07140" w:rsidRPr="00D07140">
              <w:rPr>
                <w:rFonts w:eastAsia="Times New Roman" w:cs="Calibri"/>
                <w:color w:val="000000"/>
                <w:sz w:val="18"/>
                <w:szCs w:val="18"/>
                <w:lang w:eastAsia="el-GR"/>
              </w:rPr>
              <w:t>%</w:t>
            </w:r>
          </w:p>
        </w:tc>
      </w:tr>
      <w:tr w:rsidR="00D07140" w:rsidRPr="00D07140" w14:paraId="7CC804A3" w14:textId="77777777" w:rsidTr="009741B0">
        <w:trPr>
          <w:trHeight w:val="220"/>
        </w:trPr>
        <w:tc>
          <w:tcPr>
            <w:tcW w:w="362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7F663B" w14:textId="77777777" w:rsidR="00D07140" w:rsidRPr="00D07140" w:rsidRDefault="00D07140" w:rsidP="009741B0">
            <w:pPr>
              <w:spacing w:after="0" w:line="240" w:lineRule="auto"/>
              <w:jc w:val="left"/>
              <w:rPr>
                <w:rFonts w:eastAsia="Times New Roman" w:cs="Calibri"/>
                <w:i/>
                <w:iCs/>
                <w:color w:val="000000"/>
                <w:sz w:val="18"/>
                <w:szCs w:val="18"/>
                <w:lang w:eastAsia="el-GR"/>
              </w:rPr>
            </w:pPr>
            <w:r w:rsidRPr="00D07140">
              <w:rPr>
                <w:rFonts w:eastAsia="Times New Roman" w:cs="Calibri"/>
                <w:i/>
                <w:iCs/>
                <w:color w:val="000000"/>
                <w:sz w:val="18"/>
                <w:szCs w:val="18"/>
                <w:lang w:eastAsia="el-GR"/>
              </w:rPr>
              <w:t xml:space="preserve">       εκ των </w:t>
            </w:r>
            <w:r w:rsidRPr="004D2790">
              <w:rPr>
                <w:rFonts w:eastAsia="Times New Roman" w:cs="Calibri"/>
                <w:iCs/>
                <w:color w:val="000000"/>
                <w:sz w:val="18"/>
                <w:szCs w:val="18"/>
                <w:lang w:eastAsia="el-GR"/>
              </w:rPr>
              <w:t xml:space="preserve">οποίων : </w:t>
            </w:r>
            <w:r w:rsidRPr="004D2790">
              <w:rPr>
                <w:rFonts w:eastAsia="Times New Roman" w:cs="Calibri"/>
                <w:color w:val="000000"/>
                <w:sz w:val="18"/>
                <w:szCs w:val="18"/>
                <w:lang w:eastAsia="el-GR"/>
              </w:rPr>
              <w:t>Ειδικοί Φόροι Κατανάλωσης</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81D227" w14:textId="77777777" w:rsidR="00D07140" w:rsidRPr="00D07140" w:rsidRDefault="00D07140" w:rsidP="009741B0">
            <w:pPr>
              <w:spacing w:after="0" w:line="240" w:lineRule="auto"/>
              <w:jc w:val="center"/>
              <w:rPr>
                <w:rFonts w:eastAsia="Times New Roman" w:cs="Calibri"/>
                <w:i/>
                <w:iCs/>
                <w:color w:val="000000"/>
                <w:sz w:val="18"/>
                <w:szCs w:val="18"/>
                <w:lang w:eastAsia="el-GR"/>
              </w:rPr>
            </w:pPr>
            <w:r w:rsidRPr="00D07140">
              <w:rPr>
                <w:rFonts w:eastAsia="Times New Roman" w:cs="Calibri"/>
                <w:i/>
                <w:iCs/>
                <w:color w:val="000000"/>
                <w:sz w:val="18"/>
                <w:szCs w:val="18"/>
                <w:lang w:eastAsia="el-GR"/>
              </w:rPr>
              <w:t>7.125</w:t>
            </w:r>
          </w:p>
        </w:tc>
        <w:tc>
          <w:tcPr>
            <w:tcW w:w="100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681184" w14:textId="77777777" w:rsidR="00D07140" w:rsidRPr="00D07140" w:rsidRDefault="00D07140" w:rsidP="009741B0">
            <w:pPr>
              <w:spacing w:after="0" w:line="240" w:lineRule="auto"/>
              <w:jc w:val="center"/>
              <w:rPr>
                <w:rFonts w:eastAsia="Times New Roman" w:cs="Calibri"/>
                <w:color w:val="000000"/>
                <w:sz w:val="18"/>
                <w:szCs w:val="18"/>
                <w:lang w:eastAsia="el-GR"/>
              </w:rPr>
            </w:pPr>
            <w:r w:rsidRPr="00D07140">
              <w:rPr>
                <w:rFonts w:eastAsia="Times New Roman" w:cs="Calibri"/>
                <w:color w:val="000000"/>
                <w:sz w:val="18"/>
                <w:szCs w:val="18"/>
                <w:lang w:eastAsia="el-GR"/>
              </w:rPr>
              <w:t>6.427</w:t>
            </w:r>
          </w:p>
        </w:tc>
        <w:tc>
          <w:tcPr>
            <w:tcW w:w="13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274A570" w14:textId="77777777" w:rsidR="00D07140" w:rsidRPr="00D07140" w:rsidRDefault="00D07140" w:rsidP="009741B0">
            <w:pPr>
              <w:spacing w:after="0" w:line="240" w:lineRule="auto"/>
              <w:jc w:val="center"/>
              <w:rPr>
                <w:rFonts w:eastAsia="Times New Roman" w:cs="Calibri"/>
                <w:color w:val="000000"/>
                <w:sz w:val="18"/>
                <w:szCs w:val="18"/>
                <w:lang w:eastAsia="el-GR"/>
              </w:rPr>
            </w:pPr>
            <w:r w:rsidRPr="00D07140">
              <w:rPr>
                <w:rFonts w:eastAsia="Times New Roman" w:cs="Calibri"/>
                <w:color w:val="000000"/>
                <w:sz w:val="18"/>
                <w:szCs w:val="18"/>
                <w:lang w:eastAsia="el-GR"/>
              </w:rPr>
              <w:t>7.214</w:t>
            </w:r>
          </w:p>
        </w:tc>
        <w:tc>
          <w:tcPr>
            <w:tcW w:w="103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FB5ACE" w14:textId="261E240A" w:rsidR="00D07140" w:rsidRPr="00D07140" w:rsidRDefault="00114A26" w:rsidP="009741B0">
            <w:pPr>
              <w:spacing w:after="0" w:line="240" w:lineRule="auto"/>
              <w:jc w:val="center"/>
              <w:rPr>
                <w:rFonts w:eastAsia="Times New Roman" w:cs="Calibri"/>
                <w:color w:val="000000"/>
                <w:sz w:val="18"/>
                <w:szCs w:val="18"/>
                <w:lang w:eastAsia="el-GR"/>
              </w:rPr>
            </w:pPr>
            <w:r>
              <w:rPr>
                <w:rFonts w:eastAsia="Times New Roman" w:cs="Calibri"/>
                <w:color w:val="000000"/>
                <w:sz w:val="18"/>
                <w:szCs w:val="18"/>
                <w:lang w:eastAsia="el-GR"/>
              </w:rPr>
              <w:t>-9,8</w:t>
            </w:r>
            <w:r w:rsidR="00D07140" w:rsidRPr="00D07140">
              <w:rPr>
                <w:rFonts w:eastAsia="Times New Roman" w:cs="Calibri"/>
                <w:color w:val="000000"/>
                <w:sz w:val="18"/>
                <w:szCs w:val="18"/>
                <w:lang w:eastAsia="el-GR"/>
              </w:rPr>
              <w:t>%</w:t>
            </w:r>
          </w:p>
        </w:tc>
        <w:tc>
          <w:tcPr>
            <w:tcW w:w="125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8D7759D" w14:textId="71892CBF" w:rsidR="00D07140" w:rsidRPr="00D07140" w:rsidRDefault="00114A26" w:rsidP="009741B0">
            <w:pPr>
              <w:spacing w:after="0" w:line="240" w:lineRule="auto"/>
              <w:jc w:val="center"/>
              <w:rPr>
                <w:rFonts w:eastAsia="Times New Roman" w:cs="Calibri"/>
                <w:color w:val="000000"/>
                <w:sz w:val="18"/>
                <w:szCs w:val="18"/>
                <w:lang w:eastAsia="el-GR"/>
              </w:rPr>
            </w:pPr>
            <w:r>
              <w:rPr>
                <w:rFonts w:eastAsia="Times New Roman" w:cs="Calibri"/>
                <w:color w:val="000000"/>
                <w:sz w:val="18"/>
                <w:szCs w:val="18"/>
                <w:lang w:eastAsia="el-GR"/>
              </w:rPr>
              <w:t>-10,9</w:t>
            </w:r>
            <w:r w:rsidR="00D07140" w:rsidRPr="00D07140">
              <w:rPr>
                <w:rFonts w:eastAsia="Times New Roman" w:cs="Calibri"/>
                <w:color w:val="000000"/>
                <w:sz w:val="18"/>
                <w:szCs w:val="18"/>
                <w:lang w:eastAsia="el-GR"/>
              </w:rPr>
              <w:t>%</w:t>
            </w:r>
          </w:p>
        </w:tc>
      </w:tr>
      <w:tr w:rsidR="00D07140" w:rsidRPr="00D07140" w14:paraId="68606072" w14:textId="77777777" w:rsidTr="009741B0">
        <w:trPr>
          <w:trHeight w:val="243"/>
        </w:trPr>
        <w:tc>
          <w:tcPr>
            <w:tcW w:w="362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066E41E" w14:textId="77777777" w:rsidR="00D07140" w:rsidRPr="00D07140" w:rsidRDefault="00D07140" w:rsidP="009741B0">
            <w:pPr>
              <w:spacing w:after="0" w:line="240" w:lineRule="auto"/>
              <w:jc w:val="left"/>
              <w:rPr>
                <w:rFonts w:eastAsia="Times New Roman" w:cs="Calibri"/>
                <w:b/>
                <w:bCs/>
                <w:color w:val="000000"/>
                <w:sz w:val="18"/>
                <w:szCs w:val="18"/>
                <w:lang w:eastAsia="el-GR"/>
              </w:rPr>
            </w:pPr>
            <w:r w:rsidRPr="00D07140">
              <w:rPr>
                <w:rFonts w:eastAsia="Times New Roman" w:cs="Calibri"/>
                <w:b/>
                <w:bCs/>
                <w:color w:val="000000"/>
                <w:sz w:val="18"/>
                <w:szCs w:val="18"/>
                <w:lang w:eastAsia="el-GR"/>
              </w:rPr>
              <w:t>Β. Φόροι και δασμοί επί εισαγωγών</w:t>
            </w:r>
          </w:p>
        </w:tc>
        <w:tc>
          <w:tcPr>
            <w:tcW w:w="85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64A12F7" w14:textId="77777777" w:rsidR="00D07140" w:rsidRPr="00D07140" w:rsidRDefault="00D07140" w:rsidP="009741B0">
            <w:pPr>
              <w:spacing w:after="0" w:line="240" w:lineRule="auto"/>
              <w:jc w:val="center"/>
              <w:rPr>
                <w:rFonts w:eastAsia="Times New Roman" w:cs="Calibri"/>
                <w:b/>
                <w:bCs/>
                <w:color w:val="000000"/>
                <w:sz w:val="18"/>
                <w:szCs w:val="18"/>
                <w:lang w:eastAsia="el-GR"/>
              </w:rPr>
            </w:pPr>
            <w:r w:rsidRPr="00D07140">
              <w:rPr>
                <w:rFonts w:eastAsia="Times New Roman" w:cs="Calibri"/>
                <w:b/>
                <w:bCs/>
                <w:color w:val="000000"/>
                <w:sz w:val="18"/>
                <w:szCs w:val="18"/>
                <w:lang w:eastAsia="el-GR"/>
              </w:rPr>
              <w:t>298</w:t>
            </w:r>
          </w:p>
        </w:tc>
        <w:tc>
          <w:tcPr>
            <w:tcW w:w="1007"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2C64CD3" w14:textId="77777777" w:rsidR="00D07140" w:rsidRPr="00D07140" w:rsidRDefault="00D07140" w:rsidP="009741B0">
            <w:pPr>
              <w:spacing w:after="0" w:line="240" w:lineRule="auto"/>
              <w:jc w:val="center"/>
              <w:rPr>
                <w:rFonts w:eastAsia="Times New Roman" w:cs="Calibri"/>
                <w:b/>
                <w:bCs/>
                <w:color w:val="000000"/>
                <w:sz w:val="18"/>
                <w:szCs w:val="18"/>
                <w:lang w:eastAsia="el-GR"/>
              </w:rPr>
            </w:pPr>
            <w:r w:rsidRPr="00D07140">
              <w:rPr>
                <w:rFonts w:eastAsia="Times New Roman" w:cs="Calibri"/>
                <w:b/>
                <w:bCs/>
                <w:color w:val="000000"/>
                <w:sz w:val="18"/>
                <w:szCs w:val="18"/>
                <w:lang w:eastAsia="el-GR"/>
              </w:rPr>
              <w:t>245</w:t>
            </w:r>
          </w:p>
        </w:tc>
        <w:tc>
          <w:tcPr>
            <w:tcW w:w="130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C7DEBE2" w14:textId="77777777" w:rsidR="00D07140" w:rsidRPr="00D07140" w:rsidRDefault="00D07140" w:rsidP="009741B0">
            <w:pPr>
              <w:spacing w:after="0" w:line="240" w:lineRule="auto"/>
              <w:jc w:val="center"/>
              <w:rPr>
                <w:rFonts w:eastAsia="Times New Roman" w:cs="Calibri"/>
                <w:b/>
                <w:bCs/>
                <w:color w:val="000000"/>
                <w:sz w:val="18"/>
                <w:szCs w:val="18"/>
                <w:lang w:eastAsia="el-GR"/>
              </w:rPr>
            </w:pPr>
            <w:r w:rsidRPr="00D07140">
              <w:rPr>
                <w:rFonts w:eastAsia="Times New Roman" w:cs="Calibri"/>
                <w:b/>
                <w:bCs/>
                <w:color w:val="000000"/>
                <w:sz w:val="18"/>
                <w:szCs w:val="18"/>
                <w:lang w:eastAsia="el-GR"/>
              </w:rPr>
              <w:t>322</w:t>
            </w:r>
          </w:p>
        </w:tc>
        <w:tc>
          <w:tcPr>
            <w:tcW w:w="1033"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5CEFD8B" w14:textId="078F02D2" w:rsidR="00D07140" w:rsidRPr="00D07140" w:rsidRDefault="00114A26" w:rsidP="009741B0">
            <w:pPr>
              <w:spacing w:after="0" w:line="240" w:lineRule="auto"/>
              <w:jc w:val="center"/>
              <w:rPr>
                <w:rFonts w:eastAsia="Times New Roman" w:cs="Calibri"/>
                <w:b/>
                <w:bCs/>
                <w:color w:val="000000"/>
                <w:sz w:val="18"/>
                <w:szCs w:val="18"/>
                <w:lang w:eastAsia="el-GR"/>
              </w:rPr>
            </w:pPr>
            <w:r>
              <w:rPr>
                <w:rFonts w:eastAsia="Times New Roman" w:cs="Calibri"/>
                <w:b/>
                <w:bCs/>
                <w:color w:val="000000"/>
                <w:sz w:val="18"/>
                <w:szCs w:val="18"/>
                <w:lang w:eastAsia="el-GR"/>
              </w:rPr>
              <w:t>-17,8</w:t>
            </w:r>
            <w:r w:rsidR="00D07140" w:rsidRPr="00D07140">
              <w:rPr>
                <w:rFonts w:eastAsia="Times New Roman" w:cs="Calibri"/>
                <w:b/>
                <w:bCs/>
                <w:color w:val="000000"/>
                <w:sz w:val="18"/>
                <w:szCs w:val="18"/>
                <w:lang w:eastAsia="el-GR"/>
              </w:rPr>
              <w:t>%</w:t>
            </w:r>
          </w:p>
        </w:tc>
        <w:tc>
          <w:tcPr>
            <w:tcW w:w="125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0E19010" w14:textId="40031AF4" w:rsidR="00D07140" w:rsidRPr="00D07140" w:rsidRDefault="00114A26" w:rsidP="009741B0">
            <w:pPr>
              <w:spacing w:after="0" w:line="240" w:lineRule="auto"/>
              <w:jc w:val="center"/>
              <w:rPr>
                <w:rFonts w:eastAsia="Times New Roman" w:cs="Calibri"/>
                <w:b/>
                <w:bCs/>
                <w:color w:val="000000"/>
                <w:sz w:val="18"/>
                <w:szCs w:val="18"/>
                <w:lang w:eastAsia="el-GR"/>
              </w:rPr>
            </w:pPr>
            <w:r>
              <w:rPr>
                <w:rFonts w:eastAsia="Times New Roman" w:cs="Calibri"/>
                <w:b/>
                <w:bCs/>
                <w:color w:val="000000"/>
                <w:sz w:val="18"/>
                <w:szCs w:val="18"/>
                <w:lang w:eastAsia="el-GR"/>
              </w:rPr>
              <w:t>-23,9</w:t>
            </w:r>
            <w:r w:rsidR="00D07140" w:rsidRPr="00D07140">
              <w:rPr>
                <w:rFonts w:eastAsia="Times New Roman" w:cs="Calibri"/>
                <w:b/>
                <w:bCs/>
                <w:color w:val="000000"/>
                <w:sz w:val="18"/>
                <w:szCs w:val="18"/>
                <w:lang w:eastAsia="el-GR"/>
              </w:rPr>
              <w:t>%</w:t>
            </w:r>
          </w:p>
        </w:tc>
      </w:tr>
      <w:tr w:rsidR="00D07140" w:rsidRPr="00D07140" w14:paraId="31C7C205" w14:textId="77777777" w:rsidTr="009741B0">
        <w:trPr>
          <w:trHeight w:val="254"/>
        </w:trPr>
        <w:tc>
          <w:tcPr>
            <w:tcW w:w="362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460DCD1" w14:textId="77777777" w:rsidR="00D07140" w:rsidRPr="00D07140" w:rsidRDefault="00D07140" w:rsidP="009741B0">
            <w:pPr>
              <w:spacing w:after="0" w:line="240" w:lineRule="auto"/>
              <w:jc w:val="left"/>
              <w:rPr>
                <w:rFonts w:eastAsia="Times New Roman" w:cs="Calibri"/>
                <w:b/>
                <w:bCs/>
                <w:color w:val="000000"/>
                <w:sz w:val="18"/>
                <w:szCs w:val="18"/>
                <w:lang w:eastAsia="el-GR"/>
              </w:rPr>
            </w:pPr>
            <w:r w:rsidRPr="00D07140">
              <w:rPr>
                <w:rFonts w:eastAsia="Times New Roman" w:cs="Calibri"/>
                <w:b/>
                <w:bCs/>
                <w:color w:val="000000"/>
                <w:sz w:val="18"/>
                <w:szCs w:val="18"/>
                <w:lang w:eastAsia="el-GR"/>
              </w:rPr>
              <w:t>Γ. Τακτικοί φόροι ακίνητης περιουσίας</w:t>
            </w:r>
          </w:p>
        </w:tc>
        <w:tc>
          <w:tcPr>
            <w:tcW w:w="85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3041658" w14:textId="77777777" w:rsidR="00D07140" w:rsidRPr="00D07140" w:rsidRDefault="00D07140" w:rsidP="009741B0">
            <w:pPr>
              <w:spacing w:after="0" w:line="240" w:lineRule="auto"/>
              <w:jc w:val="center"/>
              <w:rPr>
                <w:rFonts w:eastAsia="Times New Roman" w:cs="Calibri"/>
                <w:b/>
                <w:bCs/>
                <w:color w:val="000000"/>
                <w:sz w:val="18"/>
                <w:szCs w:val="18"/>
                <w:lang w:eastAsia="el-GR"/>
              </w:rPr>
            </w:pPr>
            <w:r w:rsidRPr="00D07140">
              <w:rPr>
                <w:rFonts w:eastAsia="Times New Roman" w:cs="Calibri"/>
                <w:b/>
                <w:bCs/>
                <w:color w:val="000000"/>
                <w:sz w:val="18"/>
                <w:szCs w:val="18"/>
                <w:lang w:eastAsia="el-GR"/>
              </w:rPr>
              <w:t>2.786</w:t>
            </w:r>
          </w:p>
        </w:tc>
        <w:tc>
          <w:tcPr>
            <w:tcW w:w="1007"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ED9EE54" w14:textId="77777777" w:rsidR="00D07140" w:rsidRPr="00D07140" w:rsidRDefault="00D07140" w:rsidP="009741B0">
            <w:pPr>
              <w:spacing w:after="0" w:line="240" w:lineRule="auto"/>
              <w:jc w:val="center"/>
              <w:rPr>
                <w:rFonts w:eastAsia="Times New Roman" w:cs="Calibri"/>
                <w:b/>
                <w:bCs/>
                <w:color w:val="000000"/>
                <w:sz w:val="18"/>
                <w:szCs w:val="18"/>
                <w:lang w:eastAsia="el-GR"/>
              </w:rPr>
            </w:pPr>
            <w:r w:rsidRPr="00D07140">
              <w:rPr>
                <w:rFonts w:eastAsia="Times New Roman" w:cs="Calibri"/>
                <w:b/>
                <w:bCs/>
                <w:color w:val="000000"/>
                <w:sz w:val="18"/>
                <w:szCs w:val="18"/>
                <w:lang w:eastAsia="el-GR"/>
              </w:rPr>
              <w:t>2.552</w:t>
            </w:r>
          </w:p>
        </w:tc>
        <w:tc>
          <w:tcPr>
            <w:tcW w:w="130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9990DD8" w14:textId="77777777" w:rsidR="00D07140" w:rsidRPr="00D07140" w:rsidRDefault="00D07140" w:rsidP="009741B0">
            <w:pPr>
              <w:spacing w:after="0" w:line="240" w:lineRule="auto"/>
              <w:jc w:val="center"/>
              <w:rPr>
                <w:rFonts w:eastAsia="Times New Roman" w:cs="Calibri"/>
                <w:b/>
                <w:bCs/>
                <w:color w:val="000000"/>
                <w:sz w:val="18"/>
                <w:szCs w:val="18"/>
                <w:lang w:eastAsia="el-GR"/>
              </w:rPr>
            </w:pPr>
            <w:r w:rsidRPr="00D07140">
              <w:rPr>
                <w:rFonts w:eastAsia="Times New Roman" w:cs="Calibri"/>
                <w:b/>
                <w:bCs/>
                <w:color w:val="000000"/>
                <w:sz w:val="18"/>
                <w:szCs w:val="18"/>
                <w:lang w:eastAsia="el-GR"/>
              </w:rPr>
              <w:t>2.829</w:t>
            </w:r>
          </w:p>
        </w:tc>
        <w:tc>
          <w:tcPr>
            <w:tcW w:w="1033"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FB4DEBA" w14:textId="104FD628" w:rsidR="00D07140" w:rsidRPr="00D07140" w:rsidRDefault="00114A26" w:rsidP="009741B0">
            <w:pPr>
              <w:spacing w:after="0" w:line="240" w:lineRule="auto"/>
              <w:jc w:val="center"/>
              <w:rPr>
                <w:rFonts w:eastAsia="Times New Roman" w:cs="Calibri"/>
                <w:b/>
                <w:bCs/>
                <w:color w:val="000000"/>
                <w:sz w:val="18"/>
                <w:szCs w:val="18"/>
                <w:lang w:eastAsia="el-GR"/>
              </w:rPr>
            </w:pPr>
            <w:r>
              <w:rPr>
                <w:rFonts w:eastAsia="Times New Roman" w:cs="Calibri"/>
                <w:b/>
                <w:bCs/>
                <w:color w:val="000000"/>
                <w:sz w:val="18"/>
                <w:szCs w:val="18"/>
                <w:lang w:eastAsia="el-GR"/>
              </w:rPr>
              <w:t>-8,4</w:t>
            </w:r>
            <w:r w:rsidR="00D07140" w:rsidRPr="00D07140">
              <w:rPr>
                <w:rFonts w:eastAsia="Times New Roman" w:cs="Calibri"/>
                <w:b/>
                <w:bCs/>
                <w:color w:val="000000"/>
                <w:sz w:val="18"/>
                <w:szCs w:val="18"/>
                <w:lang w:eastAsia="el-GR"/>
              </w:rPr>
              <w:t>%</w:t>
            </w:r>
          </w:p>
        </w:tc>
        <w:tc>
          <w:tcPr>
            <w:tcW w:w="125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8D15572" w14:textId="46C8DF4A" w:rsidR="00D07140" w:rsidRPr="00D07140" w:rsidRDefault="00114A26" w:rsidP="009741B0">
            <w:pPr>
              <w:spacing w:after="0" w:line="240" w:lineRule="auto"/>
              <w:jc w:val="center"/>
              <w:rPr>
                <w:rFonts w:eastAsia="Times New Roman" w:cs="Calibri"/>
                <w:b/>
                <w:bCs/>
                <w:color w:val="000000"/>
                <w:sz w:val="18"/>
                <w:szCs w:val="18"/>
                <w:lang w:eastAsia="el-GR"/>
              </w:rPr>
            </w:pPr>
            <w:r>
              <w:rPr>
                <w:rFonts w:eastAsia="Times New Roman" w:cs="Calibri"/>
                <w:b/>
                <w:bCs/>
                <w:color w:val="000000"/>
                <w:sz w:val="18"/>
                <w:szCs w:val="18"/>
                <w:lang w:eastAsia="el-GR"/>
              </w:rPr>
              <w:t>-9,8</w:t>
            </w:r>
            <w:r w:rsidR="00D07140" w:rsidRPr="00D07140">
              <w:rPr>
                <w:rFonts w:eastAsia="Times New Roman" w:cs="Calibri"/>
                <w:b/>
                <w:bCs/>
                <w:color w:val="000000"/>
                <w:sz w:val="18"/>
                <w:szCs w:val="18"/>
                <w:lang w:eastAsia="el-GR"/>
              </w:rPr>
              <w:t>%</w:t>
            </w:r>
          </w:p>
        </w:tc>
      </w:tr>
      <w:tr w:rsidR="00D07140" w:rsidRPr="00D07140" w14:paraId="6C75FA59" w14:textId="77777777" w:rsidTr="009741B0">
        <w:trPr>
          <w:trHeight w:val="220"/>
        </w:trPr>
        <w:tc>
          <w:tcPr>
            <w:tcW w:w="362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76AF7DB" w14:textId="77777777" w:rsidR="00D07140" w:rsidRPr="00D07140" w:rsidRDefault="00D07140" w:rsidP="009741B0">
            <w:pPr>
              <w:spacing w:after="0" w:line="240" w:lineRule="auto"/>
              <w:jc w:val="left"/>
              <w:rPr>
                <w:rFonts w:eastAsia="Times New Roman" w:cs="Calibri"/>
                <w:b/>
                <w:bCs/>
                <w:color w:val="000000"/>
                <w:sz w:val="18"/>
                <w:szCs w:val="18"/>
                <w:lang w:eastAsia="el-GR"/>
              </w:rPr>
            </w:pPr>
            <w:r w:rsidRPr="00D07140">
              <w:rPr>
                <w:rFonts w:eastAsia="Times New Roman" w:cs="Calibri"/>
                <w:b/>
                <w:bCs/>
                <w:color w:val="000000"/>
                <w:sz w:val="18"/>
                <w:szCs w:val="18"/>
                <w:lang w:eastAsia="el-GR"/>
              </w:rPr>
              <w:t>Δ. Λοιποί φόροι επί παραγωγής</w:t>
            </w:r>
          </w:p>
        </w:tc>
        <w:tc>
          <w:tcPr>
            <w:tcW w:w="85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DB375AF" w14:textId="77777777" w:rsidR="00D07140" w:rsidRPr="00D07140" w:rsidRDefault="00D07140" w:rsidP="009741B0">
            <w:pPr>
              <w:spacing w:after="0" w:line="240" w:lineRule="auto"/>
              <w:jc w:val="center"/>
              <w:rPr>
                <w:rFonts w:eastAsia="Times New Roman" w:cs="Calibri"/>
                <w:b/>
                <w:bCs/>
                <w:color w:val="000000"/>
                <w:sz w:val="18"/>
                <w:szCs w:val="18"/>
                <w:lang w:eastAsia="el-GR"/>
              </w:rPr>
            </w:pPr>
            <w:r w:rsidRPr="00D07140">
              <w:rPr>
                <w:rFonts w:eastAsia="Times New Roman" w:cs="Calibri"/>
                <w:b/>
                <w:bCs/>
                <w:color w:val="000000"/>
                <w:sz w:val="18"/>
                <w:szCs w:val="18"/>
                <w:lang w:eastAsia="el-GR"/>
              </w:rPr>
              <w:t>991</w:t>
            </w:r>
          </w:p>
        </w:tc>
        <w:tc>
          <w:tcPr>
            <w:tcW w:w="1007"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8B68E59" w14:textId="77777777" w:rsidR="00D07140" w:rsidRPr="00D07140" w:rsidRDefault="00D07140" w:rsidP="009741B0">
            <w:pPr>
              <w:spacing w:after="0" w:line="240" w:lineRule="auto"/>
              <w:jc w:val="center"/>
              <w:rPr>
                <w:rFonts w:eastAsia="Times New Roman" w:cs="Calibri"/>
                <w:b/>
                <w:bCs/>
                <w:color w:val="000000"/>
                <w:sz w:val="18"/>
                <w:szCs w:val="18"/>
                <w:lang w:eastAsia="el-GR"/>
              </w:rPr>
            </w:pPr>
            <w:r w:rsidRPr="00D07140">
              <w:rPr>
                <w:rFonts w:eastAsia="Times New Roman" w:cs="Calibri"/>
                <w:b/>
                <w:bCs/>
                <w:color w:val="000000"/>
                <w:sz w:val="18"/>
                <w:szCs w:val="18"/>
                <w:lang w:eastAsia="el-GR"/>
              </w:rPr>
              <w:t>1.069</w:t>
            </w:r>
          </w:p>
        </w:tc>
        <w:tc>
          <w:tcPr>
            <w:tcW w:w="130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E7FA2A7" w14:textId="77777777" w:rsidR="00D07140" w:rsidRPr="00D07140" w:rsidRDefault="00D07140" w:rsidP="009741B0">
            <w:pPr>
              <w:spacing w:after="0" w:line="240" w:lineRule="auto"/>
              <w:jc w:val="center"/>
              <w:rPr>
                <w:rFonts w:eastAsia="Times New Roman" w:cs="Calibri"/>
                <w:b/>
                <w:bCs/>
                <w:color w:val="000000"/>
                <w:sz w:val="18"/>
                <w:szCs w:val="18"/>
                <w:lang w:eastAsia="el-GR"/>
              </w:rPr>
            </w:pPr>
            <w:r w:rsidRPr="00D07140">
              <w:rPr>
                <w:rFonts w:eastAsia="Times New Roman" w:cs="Calibri"/>
                <w:b/>
                <w:bCs/>
                <w:color w:val="000000"/>
                <w:sz w:val="18"/>
                <w:szCs w:val="18"/>
                <w:lang w:eastAsia="el-GR"/>
              </w:rPr>
              <w:t>1.130</w:t>
            </w:r>
          </w:p>
        </w:tc>
        <w:tc>
          <w:tcPr>
            <w:tcW w:w="1033"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18FD4F6" w14:textId="7DA85726" w:rsidR="00D07140" w:rsidRPr="00D07140" w:rsidRDefault="00114A26" w:rsidP="009741B0">
            <w:pPr>
              <w:spacing w:after="0" w:line="240" w:lineRule="auto"/>
              <w:jc w:val="center"/>
              <w:rPr>
                <w:rFonts w:eastAsia="Times New Roman" w:cs="Calibri"/>
                <w:b/>
                <w:bCs/>
                <w:color w:val="000000"/>
                <w:sz w:val="18"/>
                <w:szCs w:val="18"/>
                <w:lang w:eastAsia="el-GR"/>
              </w:rPr>
            </w:pPr>
            <w:r>
              <w:rPr>
                <w:rFonts w:eastAsia="Times New Roman" w:cs="Calibri"/>
                <w:b/>
                <w:bCs/>
                <w:color w:val="000000"/>
                <w:sz w:val="18"/>
                <w:szCs w:val="18"/>
                <w:lang w:eastAsia="el-GR"/>
              </w:rPr>
              <w:t>7,9</w:t>
            </w:r>
            <w:r w:rsidR="00D07140" w:rsidRPr="00D07140">
              <w:rPr>
                <w:rFonts w:eastAsia="Times New Roman" w:cs="Calibri"/>
                <w:b/>
                <w:bCs/>
                <w:color w:val="000000"/>
                <w:sz w:val="18"/>
                <w:szCs w:val="18"/>
                <w:lang w:eastAsia="el-GR"/>
              </w:rPr>
              <w:t>%</w:t>
            </w:r>
          </w:p>
        </w:tc>
        <w:tc>
          <w:tcPr>
            <w:tcW w:w="125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5E99140" w14:textId="2739856D" w:rsidR="00D07140" w:rsidRPr="00D07140" w:rsidRDefault="00114A26" w:rsidP="009741B0">
            <w:pPr>
              <w:spacing w:after="0" w:line="240" w:lineRule="auto"/>
              <w:jc w:val="center"/>
              <w:rPr>
                <w:rFonts w:eastAsia="Times New Roman" w:cs="Calibri"/>
                <w:b/>
                <w:bCs/>
                <w:color w:val="000000"/>
                <w:sz w:val="18"/>
                <w:szCs w:val="18"/>
                <w:lang w:eastAsia="el-GR"/>
              </w:rPr>
            </w:pPr>
            <w:r>
              <w:rPr>
                <w:rFonts w:eastAsia="Times New Roman" w:cs="Calibri"/>
                <w:b/>
                <w:bCs/>
                <w:color w:val="000000"/>
                <w:sz w:val="18"/>
                <w:szCs w:val="18"/>
                <w:lang w:eastAsia="el-GR"/>
              </w:rPr>
              <w:t>-5,4</w:t>
            </w:r>
            <w:r w:rsidR="00D07140" w:rsidRPr="00D07140">
              <w:rPr>
                <w:rFonts w:eastAsia="Times New Roman" w:cs="Calibri"/>
                <w:b/>
                <w:bCs/>
                <w:color w:val="000000"/>
                <w:sz w:val="18"/>
                <w:szCs w:val="18"/>
                <w:lang w:eastAsia="el-GR"/>
              </w:rPr>
              <w:t>%</w:t>
            </w:r>
          </w:p>
        </w:tc>
      </w:tr>
      <w:tr w:rsidR="00D07140" w:rsidRPr="00D07140" w14:paraId="257AAD7D" w14:textId="77777777" w:rsidTr="009741B0">
        <w:trPr>
          <w:trHeight w:val="320"/>
        </w:trPr>
        <w:tc>
          <w:tcPr>
            <w:tcW w:w="362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5121337" w14:textId="77777777" w:rsidR="00D07140" w:rsidRPr="00D07140" w:rsidRDefault="00D07140" w:rsidP="009741B0">
            <w:pPr>
              <w:spacing w:after="0" w:line="240" w:lineRule="auto"/>
              <w:jc w:val="left"/>
              <w:rPr>
                <w:rFonts w:eastAsia="Times New Roman" w:cs="Calibri"/>
                <w:b/>
                <w:bCs/>
                <w:color w:val="000000"/>
                <w:sz w:val="18"/>
                <w:szCs w:val="18"/>
                <w:lang w:eastAsia="el-GR"/>
              </w:rPr>
            </w:pPr>
            <w:r w:rsidRPr="00D07140">
              <w:rPr>
                <w:rFonts w:eastAsia="Times New Roman" w:cs="Calibri"/>
                <w:b/>
                <w:bCs/>
                <w:color w:val="000000"/>
                <w:sz w:val="18"/>
                <w:szCs w:val="18"/>
                <w:lang w:eastAsia="el-GR"/>
              </w:rPr>
              <w:t xml:space="preserve">Ε. Φόρος εισοδήματος </w:t>
            </w:r>
          </w:p>
        </w:tc>
        <w:tc>
          <w:tcPr>
            <w:tcW w:w="85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177E858" w14:textId="77777777" w:rsidR="00D07140" w:rsidRPr="00D07140" w:rsidRDefault="00D07140" w:rsidP="009741B0">
            <w:pPr>
              <w:spacing w:after="0" w:line="240" w:lineRule="auto"/>
              <w:jc w:val="center"/>
              <w:rPr>
                <w:rFonts w:eastAsia="Times New Roman" w:cs="Calibri"/>
                <w:b/>
                <w:bCs/>
                <w:color w:val="000000"/>
                <w:sz w:val="18"/>
                <w:szCs w:val="18"/>
                <w:lang w:eastAsia="el-GR"/>
              </w:rPr>
            </w:pPr>
            <w:r w:rsidRPr="00D07140">
              <w:rPr>
                <w:rFonts w:eastAsia="Times New Roman" w:cs="Calibri"/>
                <w:b/>
                <w:bCs/>
                <w:color w:val="000000"/>
                <w:sz w:val="18"/>
                <w:szCs w:val="18"/>
                <w:lang w:eastAsia="el-GR"/>
              </w:rPr>
              <w:t>16.716</w:t>
            </w:r>
          </w:p>
        </w:tc>
        <w:tc>
          <w:tcPr>
            <w:tcW w:w="1007"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01936C3" w14:textId="77777777" w:rsidR="00D07140" w:rsidRPr="00D07140" w:rsidRDefault="00D07140" w:rsidP="009741B0">
            <w:pPr>
              <w:spacing w:after="0" w:line="240" w:lineRule="auto"/>
              <w:jc w:val="center"/>
              <w:rPr>
                <w:rFonts w:eastAsia="Times New Roman" w:cs="Calibri"/>
                <w:b/>
                <w:bCs/>
                <w:color w:val="000000"/>
                <w:sz w:val="18"/>
                <w:szCs w:val="18"/>
                <w:lang w:eastAsia="el-GR"/>
              </w:rPr>
            </w:pPr>
            <w:r w:rsidRPr="00D07140">
              <w:rPr>
                <w:rFonts w:eastAsia="Times New Roman" w:cs="Calibri"/>
                <w:b/>
                <w:bCs/>
                <w:color w:val="000000"/>
                <w:sz w:val="18"/>
                <w:szCs w:val="18"/>
                <w:lang w:eastAsia="el-GR"/>
              </w:rPr>
              <w:t>13.589</w:t>
            </w:r>
          </w:p>
        </w:tc>
        <w:tc>
          <w:tcPr>
            <w:tcW w:w="130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256928F" w14:textId="77777777" w:rsidR="00D07140" w:rsidRPr="00D07140" w:rsidRDefault="00D07140" w:rsidP="009741B0">
            <w:pPr>
              <w:spacing w:after="0" w:line="240" w:lineRule="auto"/>
              <w:jc w:val="center"/>
              <w:rPr>
                <w:rFonts w:eastAsia="Times New Roman" w:cs="Calibri"/>
                <w:b/>
                <w:bCs/>
                <w:color w:val="000000"/>
                <w:sz w:val="18"/>
                <w:szCs w:val="18"/>
                <w:lang w:eastAsia="el-GR"/>
              </w:rPr>
            </w:pPr>
            <w:r w:rsidRPr="00D07140">
              <w:rPr>
                <w:rFonts w:eastAsia="Times New Roman" w:cs="Calibri"/>
                <w:b/>
                <w:bCs/>
                <w:color w:val="000000"/>
                <w:sz w:val="18"/>
                <w:szCs w:val="18"/>
                <w:lang w:eastAsia="el-GR"/>
              </w:rPr>
              <w:t>16.663</w:t>
            </w:r>
          </w:p>
        </w:tc>
        <w:tc>
          <w:tcPr>
            <w:tcW w:w="1033"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E4148DF" w14:textId="00210CBD" w:rsidR="00D07140" w:rsidRPr="00D07140" w:rsidRDefault="00114A26" w:rsidP="009741B0">
            <w:pPr>
              <w:spacing w:after="0" w:line="240" w:lineRule="auto"/>
              <w:jc w:val="center"/>
              <w:rPr>
                <w:rFonts w:eastAsia="Times New Roman" w:cs="Calibri"/>
                <w:b/>
                <w:bCs/>
                <w:color w:val="000000"/>
                <w:sz w:val="18"/>
                <w:szCs w:val="18"/>
                <w:lang w:eastAsia="el-GR"/>
              </w:rPr>
            </w:pPr>
            <w:r>
              <w:rPr>
                <w:rFonts w:eastAsia="Times New Roman" w:cs="Calibri"/>
                <w:b/>
                <w:bCs/>
                <w:color w:val="000000"/>
                <w:sz w:val="18"/>
                <w:szCs w:val="18"/>
                <w:lang w:eastAsia="el-GR"/>
              </w:rPr>
              <w:t>-18,7</w:t>
            </w:r>
            <w:r w:rsidR="00D07140" w:rsidRPr="00D07140">
              <w:rPr>
                <w:rFonts w:eastAsia="Times New Roman" w:cs="Calibri"/>
                <w:b/>
                <w:bCs/>
                <w:color w:val="000000"/>
                <w:sz w:val="18"/>
                <w:szCs w:val="18"/>
                <w:lang w:eastAsia="el-GR"/>
              </w:rPr>
              <w:t>%</w:t>
            </w:r>
          </w:p>
        </w:tc>
        <w:tc>
          <w:tcPr>
            <w:tcW w:w="125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9957371" w14:textId="66985C62" w:rsidR="00D07140" w:rsidRPr="00D07140" w:rsidRDefault="00114A26" w:rsidP="009741B0">
            <w:pPr>
              <w:spacing w:after="0" w:line="240" w:lineRule="auto"/>
              <w:jc w:val="center"/>
              <w:rPr>
                <w:rFonts w:eastAsia="Times New Roman" w:cs="Calibri"/>
                <w:b/>
                <w:bCs/>
                <w:color w:val="000000"/>
                <w:sz w:val="18"/>
                <w:szCs w:val="18"/>
                <w:lang w:eastAsia="el-GR"/>
              </w:rPr>
            </w:pPr>
            <w:r>
              <w:rPr>
                <w:rFonts w:eastAsia="Times New Roman" w:cs="Calibri"/>
                <w:b/>
                <w:bCs/>
                <w:color w:val="000000"/>
                <w:sz w:val="18"/>
                <w:szCs w:val="18"/>
                <w:lang w:eastAsia="el-GR"/>
              </w:rPr>
              <w:t>-18,</w:t>
            </w:r>
            <w:r w:rsidR="00D07140" w:rsidRPr="00D07140">
              <w:rPr>
                <w:rFonts w:eastAsia="Times New Roman" w:cs="Calibri"/>
                <w:b/>
                <w:bCs/>
                <w:color w:val="000000"/>
                <w:sz w:val="18"/>
                <w:szCs w:val="18"/>
                <w:lang w:eastAsia="el-GR"/>
              </w:rPr>
              <w:t>5%</w:t>
            </w:r>
          </w:p>
        </w:tc>
      </w:tr>
      <w:tr w:rsidR="00D07140" w:rsidRPr="00D07140" w14:paraId="069527BD" w14:textId="77777777" w:rsidTr="009741B0">
        <w:trPr>
          <w:trHeight w:val="398"/>
        </w:trPr>
        <w:tc>
          <w:tcPr>
            <w:tcW w:w="362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5E5C6A" w14:textId="77777777" w:rsidR="00D07140" w:rsidRPr="00D07140" w:rsidRDefault="00D07140" w:rsidP="009741B0">
            <w:pPr>
              <w:spacing w:after="0" w:line="240" w:lineRule="auto"/>
              <w:jc w:val="left"/>
              <w:rPr>
                <w:rFonts w:eastAsia="Times New Roman" w:cs="Calibri"/>
                <w:color w:val="000000"/>
                <w:sz w:val="18"/>
                <w:szCs w:val="18"/>
                <w:lang w:eastAsia="el-GR"/>
              </w:rPr>
            </w:pPr>
            <w:r w:rsidRPr="00D07140">
              <w:rPr>
                <w:rFonts w:eastAsia="Times New Roman" w:cs="Calibri"/>
                <w:color w:val="000000"/>
                <w:sz w:val="18"/>
                <w:szCs w:val="18"/>
                <w:lang w:eastAsia="el-GR"/>
              </w:rPr>
              <w:t>εκ των οποίων : Φόρος εισοδήματος φυσικών προσώπων</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50C3DB4" w14:textId="44F98A64" w:rsidR="00D07140" w:rsidRPr="00D07140" w:rsidRDefault="00D07140" w:rsidP="009741B0">
            <w:pPr>
              <w:spacing w:after="0" w:line="240" w:lineRule="auto"/>
              <w:jc w:val="center"/>
              <w:rPr>
                <w:rFonts w:eastAsia="Times New Roman" w:cs="Calibri"/>
                <w:color w:val="000000"/>
                <w:sz w:val="18"/>
                <w:szCs w:val="18"/>
                <w:lang w:eastAsia="el-GR"/>
              </w:rPr>
            </w:pPr>
            <w:r w:rsidRPr="00D07140">
              <w:rPr>
                <w:rFonts w:eastAsia="Times New Roman" w:cs="Calibri"/>
                <w:color w:val="000000"/>
                <w:sz w:val="18"/>
                <w:szCs w:val="18"/>
                <w:lang w:eastAsia="el-GR"/>
              </w:rPr>
              <w:t>11</w:t>
            </w:r>
            <w:r w:rsidR="004D2790">
              <w:rPr>
                <w:rFonts w:eastAsia="Times New Roman" w:cs="Calibri"/>
                <w:color w:val="000000"/>
                <w:sz w:val="18"/>
                <w:szCs w:val="18"/>
                <w:lang w:eastAsia="el-GR"/>
              </w:rPr>
              <w:t>.</w:t>
            </w:r>
            <w:r w:rsidRPr="00D07140">
              <w:rPr>
                <w:rFonts w:eastAsia="Times New Roman" w:cs="Calibri"/>
                <w:color w:val="000000"/>
                <w:sz w:val="18"/>
                <w:szCs w:val="18"/>
                <w:lang w:eastAsia="el-GR"/>
              </w:rPr>
              <w:t>029</w:t>
            </w:r>
          </w:p>
        </w:tc>
        <w:tc>
          <w:tcPr>
            <w:tcW w:w="100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1A7EB26" w14:textId="77777777" w:rsidR="00D07140" w:rsidRPr="00D07140" w:rsidRDefault="00D07140" w:rsidP="009741B0">
            <w:pPr>
              <w:spacing w:after="0" w:line="240" w:lineRule="auto"/>
              <w:jc w:val="center"/>
              <w:rPr>
                <w:rFonts w:eastAsia="Times New Roman" w:cs="Calibri"/>
                <w:color w:val="000000"/>
                <w:sz w:val="18"/>
                <w:szCs w:val="18"/>
                <w:lang w:eastAsia="el-GR"/>
              </w:rPr>
            </w:pPr>
            <w:r w:rsidRPr="00D07140">
              <w:rPr>
                <w:rFonts w:eastAsia="Times New Roman" w:cs="Calibri"/>
                <w:color w:val="000000"/>
                <w:sz w:val="18"/>
                <w:szCs w:val="18"/>
                <w:lang w:eastAsia="el-GR"/>
              </w:rPr>
              <w:t>10.155</w:t>
            </w:r>
          </w:p>
        </w:tc>
        <w:tc>
          <w:tcPr>
            <w:tcW w:w="13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F4D298" w14:textId="77777777" w:rsidR="00D07140" w:rsidRPr="00D07140" w:rsidRDefault="00D07140" w:rsidP="009741B0">
            <w:pPr>
              <w:spacing w:after="0" w:line="240" w:lineRule="auto"/>
              <w:jc w:val="center"/>
              <w:rPr>
                <w:rFonts w:eastAsia="Times New Roman" w:cs="Calibri"/>
                <w:color w:val="000000"/>
                <w:sz w:val="18"/>
                <w:szCs w:val="18"/>
                <w:lang w:eastAsia="el-GR"/>
              </w:rPr>
            </w:pPr>
            <w:r w:rsidRPr="00D07140">
              <w:rPr>
                <w:rFonts w:eastAsia="Times New Roman" w:cs="Calibri"/>
                <w:color w:val="000000"/>
                <w:sz w:val="18"/>
                <w:szCs w:val="18"/>
                <w:lang w:eastAsia="el-GR"/>
              </w:rPr>
              <w:t>11.415</w:t>
            </w:r>
          </w:p>
        </w:tc>
        <w:tc>
          <w:tcPr>
            <w:tcW w:w="103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83FD720" w14:textId="47A840FB" w:rsidR="00D07140" w:rsidRPr="00D07140" w:rsidRDefault="00114A26" w:rsidP="009741B0">
            <w:pPr>
              <w:spacing w:after="0" w:line="240" w:lineRule="auto"/>
              <w:jc w:val="center"/>
              <w:rPr>
                <w:rFonts w:eastAsia="Times New Roman" w:cs="Calibri"/>
                <w:color w:val="000000"/>
                <w:sz w:val="18"/>
                <w:szCs w:val="18"/>
                <w:lang w:eastAsia="el-GR"/>
              </w:rPr>
            </w:pPr>
            <w:r>
              <w:rPr>
                <w:rFonts w:eastAsia="Times New Roman" w:cs="Calibri"/>
                <w:color w:val="000000"/>
                <w:sz w:val="18"/>
                <w:szCs w:val="18"/>
                <w:lang w:eastAsia="el-GR"/>
              </w:rPr>
              <w:t>-7,9</w:t>
            </w:r>
            <w:r w:rsidR="00D07140" w:rsidRPr="00D07140">
              <w:rPr>
                <w:rFonts w:eastAsia="Times New Roman" w:cs="Calibri"/>
                <w:color w:val="000000"/>
                <w:sz w:val="18"/>
                <w:szCs w:val="18"/>
                <w:lang w:eastAsia="el-GR"/>
              </w:rPr>
              <w:t>%</w:t>
            </w:r>
          </w:p>
        </w:tc>
        <w:tc>
          <w:tcPr>
            <w:tcW w:w="125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42CD286" w14:textId="5C3887D2" w:rsidR="00D07140" w:rsidRPr="00D07140" w:rsidRDefault="00114A26" w:rsidP="009741B0">
            <w:pPr>
              <w:spacing w:after="0" w:line="240" w:lineRule="auto"/>
              <w:jc w:val="center"/>
              <w:rPr>
                <w:rFonts w:eastAsia="Times New Roman" w:cs="Calibri"/>
                <w:color w:val="000000"/>
                <w:sz w:val="18"/>
                <w:szCs w:val="18"/>
                <w:lang w:eastAsia="el-GR"/>
              </w:rPr>
            </w:pPr>
            <w:r>
              <w:rPr>
                <w:rFonts w:eastAsia="Times New Roman" w:cs="Calibri"/>
                <w:color w:val="000000"/>
                <w:sz w:val="18"/>
                <w:szCs w:val="18"/>
                <w:lang w:eastAsia="el-GR"/>
              </w:rPr>
              <w:t>-11,1</w:t>
            </w:r>
            <w:r w:rsidR="00D07140" w:rsidRPr="00D07140">
              <w:rPr>
                <w:rFonts w:eastAsia="Times New Roman" w:cs="Calibri"/>
                <w:color w:val="000000"/>
                <w:sz w:val="18"/>
                <w:szCs w:val="18"/>
                <w:lang w:eastAsia="el-GR"/>
              </w:rPr>
              <w:t>%</w:t>
            </w:r>
          </w:p>
        </w:tc>
      </w:tr>
      <w:tr w:rsidR="00D07140" w:rsidRPr="00D07140" w14:paraId="40ADF66F" w14:textId="77777777" w:rsidTr="009741B0">
        <w:trPr>
          <w:trHeight w:val="254"/>
        </w:trPr>
        <w:tc>
          <w:tcPr>
            <w:tcW w:w="362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32234F6" w14:textId="77777777" w:rsidR="00D07140" w:rsidRPr="00D07140" w:rsidRDefault="00D07140" w:rsidP="009741B0">
            <w:pPr>
              <w:spacing w:after="0" w:line="240" w:lineRule="auto"/>
              <w:jc w:val="left"/>
              <w:rPr>
                <w:rFonts w:eastAsia="Times New Roman" w:cs="Calibri"/>
                <w:i/>
                <w:iCs/>
                <w:color w:val="000000"/>
                <w:sz w:val="18"/>
                <w:szCs w:val="18"/>
                <w:lang w:eastAsia="el-GR"/>
              </w:rPr>
            </w:pPr>
            <w:r w:rsidRPr="00D07140">
              <w:rPr>
                <w:rFonts w:eastAsia="Times New Roman" w:cs="Calibri"/>
                <w:i/>
                <w:iCs/>
                <w:color w:val="000000"/>
                <w:sz w:val="18"/>
                <w:szCs w:val="18"/>
                <w:lang w:eastAsia="el-GR"/>
              </w:rPr>
              <w:t>εκ των οποίων : Φόρος εισοδήματος νομικών προσώπων</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5676CA" w14:textId="09842C4A" w:rsidR="00D07140" w:rsidRPr="00D07140" w:rsidRDefault="00D07140" w:rsidP="009741B0">
            <w:pPr>
              <w:spacing w:after="0" w:line="240" w:lineRule="auto"/>
              <w:jc w:val="center"/>
              <w:rPr>
                <w:rFonts w:eastAsia="Times New Roman" w:cs="Calibri"/>
                <w:i/>
                <w:iCs/>
                <w:color w:val="000000"/>
                <w:sz w:val="18"/>
                <w:szCs w:val="18"/>
                <w:lang w:eastAsia="el-GR"/>
              </w:rPr>
            </w:pPr>
            <w:r w:rsidRPr="00D07140">
              <w:rPr>
                <w:rFonts w:eastAsia="Times New Roman" w:cs="Calibri"/>
                <w:i/>
                <w:iCs/>
                <w:color w:val="000000"/>
                <w:sz w:val="18"/>
                <w:szCs w:val="18"/>
                <w:lang w:eastAsia="el-GR"/>
              </w:rPr>
              <w:t>4</w:t>
            </w:r>
            <w:r w:rsidR="004D2790">
              <w:rPr>
                <w:rFonts w:eastAsia="Times New Roman" w:cs="Calibri"/>
                <w:i/>
                <w:iCs/>
                <w:color w:val="000000"/>
                <w:sz w:val="18"/>
                <w:szCs w:val="18"/>
                <w:lang w:eastAsia="el-GR"/>
              </w:rPr>
              <w:t>.</w:t>
            </w:r>
            <w:r w:rsidRPr="00D07140">
              <w:rPr>
                <w:rFonts w:eastAsia="Times New Roman" w:cs="Calibri"/>
                <w:i/>
                <w:iCs/>
                <w:color w:val="000000"/>
                <w:sz w:val="18"/>
                <w:szCs w:val="18"/>
                <w:lang w:eastAsia="el-GR"/>
              </w:rPr>
              <w:t>512</w:t>
            </w:r>
          </w:p>
        </w:tc>
        <w:tc>
          <w:tcPr>
            <w:tcW w:w="100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A1810C6" w14:textId="77777777" w:rsidR="00D07140" w:rsidRPr="00D07140" w:rsidRDefault="00D07140" w:rsidP="009741B0">
            <w:pPr>
              <w:spacing w:after="0" w:line="240" w:lineRule="auto"/>
              <w:jc w:val="center"/>
              <w:rPr>
                <w:rFonts w:eastAsia="Times New Roman" w:cs="Calibri"/>
                <w:color w:val="000000"/>
                <w:sz w:val="18"/>
                <w:szCs w:val="18"/>
                <w:lang w:eastAsia="el-GR"/>
              </w:rPr>
            </w:pPr>
            <w:r w:rsidRPr="00D07140">
              <w:rPr>
                <w:rFonts w:eastAsia="Times New Roman" w:cs="Calibri"/>
                <w:color w:val="000000"/>
                <w:sz w:val="18"/>
                <w:szCs w:val="18"/>
                <w:lang w:eastAsia="el-GR"/>
              </w:rPr>
              <w:t>2.361</w:t>
            </w:r>
          </w:p>
        </w:tc>
        <w:tc>
          <w:tcPr>
            <w:tcW w:w="13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84883A1" w14:textId="77777777" w:rsidR="00D07140" w:rsidRPr="00D07140" w:rsidRDefault="00D07140" w:rsidP="009741B0">
            <w:pPr>
              <w:spacing w:after="0" w:line="240" w:lineRule="auto"/>
              <w:jc w:val="center"/>
              <w:rPr>
                <w:rFonts w:eastAsia="Times New Roman" w:cs="Calibri"/>
                <w:color w:val="000000"/>
                <w:sz w:val="18"/>
                <w:szCs w:val="18"/>
                <w:lang w:eastAsia="el-GR"/>
              </w:rPr>
            </w:pPr>
            <w:r w:rsidRPr="00D07140">
              <w:rPr>
                <w:rFonts w:eastAsia="Times New Roman" w:cs="Calibri"/>
                <w:color w:val="000000"/>
                <w:sz w:val="18"/>
                <w:szCs w:val="18"/>
                <w:lang w:eastAsia="el-GR"/>
              </w:rPr>
              <w:t>4.017</w:t>
            </w:r>
          </w:p>
        </w:tc>
        <w:tc>
          <w:tcPr>
            <w:tcW w:w="103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0EE692A" w14:textId="3394D31B" w:rsidR="00D07140" w:rsidRPr="00D07140" w:rsidRDefault="00114A26" w:rsidP="009741B0">
            <w:pPr>
              <w:spacing w:after="0" w:line="240" w:lineRule="auto"/>
              <w:jc w:val="center"/>
              <w:rPr>
                <w:rFonts w:eastAsia="Times New Roman" w:cs="Calibri"/>
                <w:color w:val="000000"/>
                <w:sz w:val="18"/>
                <w:szCs w:val="18"/>
                <w:lang w:eastAsia="el-GR"/>
              </w:rPr>
            </w:pPr>
            <w:r>
              <w:rPr>
                <w:rFonts w:eastAsia="Times New Roman" w:cs="Calibri"/>
                <w:color w:val="000000"/>
                <w:sz w:val="18"/>
                <w:szCs w:val="18"/>
                <w:lang w:eastAsia="el-GR"/>
              </w:rPr>
              <w:t>-47,7</w:t>
            </w:r>
            <w:r w:rsidR="00D07140" w:rsidRPr="00D07140">
              <w:rPr>
                <w:rFonts w:eastAsia="Times New Roman" w:cs="Calibri"/>
                <w:color w:val="000000"/>
                <w:sz w:val="18"/>
                <w:szCs w:val="18"/>
                <w:lang w:eastAsia="el-GR"/>
              </w:rPr>
              <w:t>%</w:t>
            </w:r>
          </w:p>
        </w:tc>
        <w:tc>
          <w:tcPr>
            <w:tcW w:w="125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5455A82" w14:textId="79FCBEB9" w:rsidR="00D07140" w:rsidRPr="00D07140" w:rsidRDefault="00114A26" w:rsidP="009741B0">
            <w:pPr>
              <w:spacing w:after="0" w:line="240" w:lineRule="auto"/>
              <w:jc w:val="center"/>
              <w:rPr>
                <w:rFonts w:eastAsia="Times New Roman" w:cs="Calibri"/>
                <w:color w:val="000000"/>
                <w:sz w:val="18"/>
                <w:szCs w:val="18"/>
                <w:lang w:eastAsia="el-GR"/>
              </w:rPr>
            </w:pPr>
            <w:r>
              <w:rPr>
                <w:rFonts w:eastAsia="Times New Roman" w:cs="Calibri"/>
                <w:color w:val="000000"/>
                <w:sz w:val="18"/>
                <w:szCs w:val="18"/>
                <w:lang w:eastAsia="el-GR"/>
              </w:rPr>
              <w:t>-41,2</w:t>
            </w:r>
            <w:r w:rsidR="00D07140" w:rsidRPr="00D07140">
              <w:rPr>
                <w:rFonts w:eastAsia="Times New Roman" w:cs="Calibri"/>
                <w:color w:val="000000"/>
                <w:sz w:val="18"/>
                <w:szCs w:val="18"/>
                <w:lang w:eastAsia="el-GR"/>
              </w:rPr>
              <w:t>%</w:t>
            </w:r>
          </w:p>
        </w:tc>
      </w:tr>
      <w:tr w:rsidR="00D07140" w:rsidRPr="00D07140" w14:paraId="0CEDE33E" w14:textId="77777777" w:rsidTr="009741B0">
        <w:trPr>
          <w:trHeight w:val="243"/>
        </w:trPr>
        <w:tc>
          <w:tcPr>
            <w:tcW w:w="362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CD3C58E" w14:textId="77777777" w:rsidR="00D07140" w:rsidRPr="00D07140" w:rsidRDefault="00D07140" w:rsidP="009741B0">
            <w:pPr>
              <w:spacing w:after="0" w:line="240" w:lineRule="auto"/>
              <w:jc w:val="left"/>
              <w:rPr>
                <w:rFonts w:eastAsia="Times New Roman" w:cs="Calibri"/>
                <w:b/>
                <w:bCs/>
                <w:color w:val="000000"/>
                <w:sz w:val="18"/>
                <w:szCs w:val="18"/>
                <w:lang w:eastAsia="el-GR"/>
              </w:rPr>
            </w:pPr>
            <w:r w:rsidRPr="00D07140">
              <w:rPr>
                <w:rFonts w:eastAsia="Times New Roman" w:cs="Calibri"/>
                <w:b/>
                <w:bCs/>
                <w:color w:val="000000"/>
                <w:sz w:val="18"/>
                <w:szCs w:val="18"/>
                <w:lang w:eastAsia="el-GR"/>
              </w:rPr>
              <w:t>ΣΤ. Φόροι κεφαλαίου</w:t>
            </w:r>
          </w:p>
        </w:tc>
        <w:tc>
          <w:tcPr>
            <w:tcW w:w="85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34ED27F" w14:textId="77777777" w:rsidR="00D07140" w:rsidRPr="00D07140" w:rsidRDefault="00D07140" w:rsidP="009741B0">
            <w:pPr>
              <w:spacing w:after="0" w:line="240" w:lineRule="auto"/>
              <w:jc w:val="center"/>
              <w:rPr>
                <w:rFonts w:eastAsia="Times New Roman" w:cs="Calibri"/>
                <w:b/>
                <w:bCs/>
                <w:color w:val="000000"/>
                <w:sz w:val="18"/>
                <w:szCs w:val="18"/>
                <w:lang w:eastAsia="el-GR"/>
              </w:rPr>
            </w:pPr>
            <w:r w:rsidRPr="00D07140">
              <w:rPr>
                <w:rFonts w:eastAsia="Times New Roman" w:cs="Calibri"/>
                <w:b/>
                <w:bCs/>
                <w:color w:val="000000"/>
                <w:sz w:val="18"/>
                <w:szCs w:val="18"/>
                <w:lang w:eastAsia="el-GR"/>
              </w:rPr>
              <w:t>245</w:t>
            </w:r>
          </w:p>
        </w:tc>
        <w:tc>
          <w:tcPr>
            <w:tcW w:w="1007"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1EE19FE" w14:textId="77777777" w:rsidR="00D07140" w:rsidRPr="00D07140" w:rsidRDefault="00D07140" w:rsidP="009741B0">
            <w:pPr>
              <w:spacing w:after="0" w:line="240" w:lineRule="auto"/>
              <w:jc w:val="center"/>
              <w:rPr>
                <w:rFonts w:eastAsia="Times New Roman" w:cs="Calibri"/>
                <w:b/>
                <w:bCs/>
                <w:color w:val="000000"/>
                <w:sz w:val="18"/>
                <w:szCs w:val="18"/>
                <w:lang w:eastAsia="el-GR"/>
              </w:rPr>
            </w:pPr>
            <w:r w:rsidRPr="00D07140">
              <w:rPr>
                <w:rFonts w:eastAsia="Times New Roman" w:cs="Calibri"/>
                <w:b/>
                <w:bCs/>
                <w:color w:val="000000"/>
                <w:sz w:val="18"/>
                <w:szCs w:val="18"/>
                <w:lang w:eastAsia="el-GR"/>
              </w:rPr>
              <w:t>180</w:t>
            </w:r>
          </w:p>
        </w:tc>
        <w:tc>
          <w:tcPr>
            <w:tcW w:w="130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6680688" w14:textId="77777777" w:rsidR="00D07140" w:rsidRPr="00D07140" w:rsidRDefault="00D07140" w:rsidP="009741B0">
            <w:pPr>
              <w:spacing w:after="0" w:line="240" w:lineRule="auto"/>
              <w:jc w:val="center"/>
              <w:rPr>
                <w:rFonts w:eastAsia="Times New Roman" w:cs="Calibri"/>
                <w:b/>
                <w:bCs/>
                <w:color w:val="000000"/>
                <w:sz w:val="18"/>
                <w:szCs w:val="18"/>
                <w:lang w:eastAsia="el-GR"/>
              </w:rPr>
            </w:pPr>
            <w:r w:rsidRPr="00D07140">
              <w:rPr>
                <w:rFonts w:eastAsia="Times New Roman" w:cs="Calibri"/>
                <w:b/>
                <w:bCs/>
                <w:color w:val="000000"/>
                <w:sz w:val="18"/>
                <w:szCs w:val="18"/>
                <w:lang w:eastAsia="el-GR"/>
              </w:rPr>
              <w:t>273</w:t>
            </w:r>
          </w:p>
        </w:tc>
        <w:tc>
          <w:tcPr>
            <w:tcW w:w="1033"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FCF6067" w14:textId="67AB0617" w:rsidR="00D07140" w:rsidRPr="00D07140" w:rsidRDefault="00114A26" w:rsidP="009741B0">
            <w:pPr>
              <w:spacing w:after="0" w:line="240" w:lineRule="auto"/>
              <w:jc w:val="center"/>
              <w:rPr>
                <w:rFonts w:eastAsia="Times New Roman" w:cs="Calibri"/>
                <w:b/>
                <w:bCs/>
                <w:color w:val="000000"/>
                <w:sz w:val="18"/>
                <w:szCs w:val="18"/>
                <w:lang w:eastAsia="el-GR"/>
              </w:rPr>
            </w:pPr>
            <w:r>
              <w:rPr>
                <w:rFonts w:eastAsia="Times New Roman" w:cs="Calibri"/>
                <w:b/>
                <w:bCs/>
                <w:color w:val="000000"/>
                <w:sz w:val="18"/>
                <w:szCs w:val="18"/>
                <w:lang w:eastAsia="el-GR"/>
              </w:rPr>
              <w:t>-26,5</w:t>
            </w:r>
            <w:r w:rsidR="00D07140" w:rsidRPr="00D07140">
              <w:rPr>
                <w:rFonts w:eastAsia="Times New Roman" w:cs="Calibri"/>
                <w:b/>
                <w:bCs/>
                <w:color w:val="000000"/>
                <w:sz w:val="18"/>
                <w:szCs w:val="18"/>
                <w:lang w:eastAsia="el-GR"/>
              </w:rPr>
              <w:t>%</w:t>
            </w:r>
          </w:p>
        </w:tc>
        <w:tc>
          <w:tcPr>
            <w:tcW w:w="125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1B236D1" w14:textId="4711507C" w:rsidR="00D07140" w:rsidRPr="00D07140" w:rsidRDefault="00114A26" w:rsidP="009741B0">
            <w:pPr>
              <w:spacing w:after="0" w:line="240" w:lineRule="auto"/>
              <w:jc w:val="center"/>
              <w:rPr>
                <w:rFonts w:eastAsia="Times New Roman" w:cs="Calibri"/>
                <w:b/>
                <w:bCs/>
                <w:color w:val="000000"/>
                <w:sz w:val="18"/>
                <w:szCs w:val="18"/>
                <w:lang w:eastAsia="el-GR"/>
              </w:rPr>
            </w:pPr>
            <w:r>
              <w:rPr>
                <w:rFonts w:eastAsia="Times New Roman" w:cs="Calibri"/>
                <w:b/>
                <w:bCs/>
                <w:color w:val="000000"/>
                <w:sz w:val="18"/>
                <w:szCs w:val="18"/>
                <w:lang w:eastAsia="el-GR"/>
              </w:rPr>
              <w:t>-34,1</w:t>
            </w:r>
            <w:r w:rsidR="00D07140" w:rsidRPr="00D07140">
              <w:rPr>
                <w:rFonts w:eastAsia="Times New Roman" w:cs="Calibri"/>
                <w:b/>
                <w:bCs/>
                <w:color w:val="000000"/>
                <w:sz w:val="18"/>
                <w:szCs w:val="18"/>
                <w:lang w:eastAsia="el-GR"/>
              </w:rPr>
              <w:t>%</w:t>
            </w:r>
          </w:p>
        </w:tc>
      </w:tr>
      <w:tr w:rsidR="00D07140" w:rsidRPr="00D07140" w14:paraId="4186E057" w14:textId="77777777" w:rsidTr="009741B0">
        <w:trPr>
          <w:trHeight w:val="298"/>
        </w:trPr>
        <w:tc>
          <w:tcPr>
            <w:tcW w:w="362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D3389E8" w14:textId="77777777" w:rsidR="00D07140" w:rsidRPr="00D07140" w:rsidRDefault="00D07140" w:rsidP="009741B0">
            <w:pPr>
              <w:spacing w:after="0" w:line="240" w:lineRule="auto"/>
              <w:jc w:val="left"/>
              <w:rPr>
                <w:rFonts w:eastAsia="Times New Roman" w:cs="Calibri"/>
                <w:b/>
                <w:bCs/>
                <w:color w:val="000000"/>
                <w:sz w:val="18"/>
                <w:szCs w:val="18"/>
                <w:lang w:eastAsia="el-GR"/>
              </w:rPr>
            </w:pPr>
            <w:r w:rsidRPr="00D07140">
              <w:rPr>
                <w:rFonts w:eastAsia="Times New Roman" w:cs="Calibri"/>
                <w:b/>
                <w:bCs/>
                <w:color w:val="000000"/>
                <w:sz w:val="18"/>
                <w:szCs w:val="18"/>
                <w:lang w:eastAsia="el-GR"/>
              </w:rPr>
              <w:t>Ζ. Λοιποί τρέχοντες φόροι</w:t>
            </w:r>
          </w:p>
        </w:tc>
        <w:tc>
          <w:tcPr>
            <w:tcW w:w="85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D3E4E97" w14:textId="77777777" w:rsidR="00D07140" w:rsidRPr="00D07140" w:rsidRDefault="00D07140" w:rsidP="009741B0">
            <w:pPr>
              <w:spacing w:after="0" w:line="240" w:lineRule="auto"/>
              <w:jc w:val="center"/>
              <w:rPr>
                <w:rFonts w:eastAsia="Times New Roman" w:cs="Calibri"/>
                <w:b/>
                <w:bCs/>
                <w:color w:val="000000"/>
                <w:sz w:val="18"/>
                <w:szCs w:val="18"/>
                <w:lang w:eastAsia="el-GR"/>
              </w:rPr>
            </w:pPr>
            <w:r w:rsidRPr="00D07140">
              <w:rPr>
                <w:rFonts w:eastAsia="Times New Roman" w:cs="Calibri"/>
                <w:b/>
                <w:bCs/>
                <w:color w:val="000000"/>
                <w:sz w:val="18"/>
                <w:szCs w:val="18"/>
                <w:lang w:eastAsia="el-GR"/>
              </w:rPr>
              <w:t>2.365</w:t>
            </w:r>
          </w:p>
        </w:tc>
        <w:tc>
          <w:tcPr>
            <w:tcW w:w="1007"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A59D15F" w14:textId="77777777" w:rsidR="00D07140" w:rsidRPr="00D07140" w:rsidRDefault="00D07140" w:rsidP="009741B0">
            <w:pPr>
              <w:spacing w:after="0" w:line="240" w:lineRule="auto"/>
              <w:jc w:val="center"/>
              <w:rPr>
                <w:rFonts w:eastAsia="Times New Roman" w:cs="Calibri"/>
                <w:b/>
                <w:bCs/>
                <w:color w:val="000000"/>
                <w:sz w:val="18"/>
                <w:szCs w:val="18"/>
                <w:lang w:eastAsia="el-GR"/>
              </w:rPr>
            </w:pPr>
            <w:r w:rsidRPr="00D07140">
              <w:rPr>
                <w:rFonts w:eastAsia="Times New Roman" w:cs="Calibri"/>
                <w:b/>
                <w:bCs/>
                <w:color w:val="000000"/>
                <w:sz w:val="18"/>
                <w:szCs w:val="18"/>
                <w:lang w:eastAsia="el-GR"/>
              </w:rPr>
              <w:t>1.618</w:t>
            </w:r>
          </w:p>
        </w:tc>
        <w:tc>
          <w:tcPr>
            <w:tcW w:w="130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2C1ED2D" w14:textId="77777777" w:rsidR="00D07140" w:rsidRPr="00D07140" w:rsidRDefault="00D07140" w:rsidP="009741B0">
            <w:pPr>
              <w:spacing w:after="0" w:line="240" w:lineRule="auto"/>
              <w:jc w:val="center"/>
              <w:rPr>
                <w:rFonts w:eastAsia="Times New Roman" w:cs="Calibri"/>
                <w:b/>
                <w:bCs/>
                <w:color w:val="000000"/>
                <w:sz w:val="18"/>
                <w:szCs w:val="18"/>
                <w:lang w:eastAsia="el-GR"/>
              </w:rPr>
            </w:pPr>
            <w:r w:rsidRPr="00D07140">
              <w:rPr>
                <w:rFonts w:eastAsia="Times New Roman" w:cs="Calibri"/>
                <w:b/>
                <w:bCs/>
                <w:color w:val="000000"/>
                <w:sz w:val="18"/>
                <w:szCs w:val="18"/>
                <w:lang w:eastAsia="el-GR"/>
              </w:rPr>
              <w:t>2.391</w:t>
            </w:r>
          </w:p>
        </w:tc>
        <w:tc>
          <w:tcPr>
            <w:tcW w:w="1033"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4B48BA7" w14:textId="26DA02DD" w:rsidR="00D07140" w:rsidRPr="00D07140" w:rsidRDefault="00114A26" w:rsidP="009741B0">
            <w:pPr>
              <w:spacing w:after="0" w:line="240" w:lineRule="auto"/>
              <w:jc w:val="center"/>
              <w:rPr>
                <w:rFonts w:eastAsia="Times New Roman" w:cs="Calibri"/>
                <w:b/>
                <w:bCs/>
                <w:color w:val="000000"/>
                <w:sz w:val="18"/>
                <w:szCs w:val="18"/>
                <w:lang w:eastAsia="el-GR"/>
              </w:rPr>
            </w:pPr>
            <w:r>
              <w:rPr>
                <w:rFonts w:eastAsia="Times New Roman" w:cs="Calibri"/>
                <w:b/>
                <w:bCs/>
                <w:color w:val="000000"/>
                <w:sz w:val="18"/>
                <w:szCs w:val="18"/>
                <w:lang w:eastAsia="el-GR"/>
              </w:rPr>
              <w:t>-31,6</w:t>
            </w:r>
            <w:r w:rsidR="00D07140" w:rsidRPr="00D07140">
              <w:rPr>
                <w:rFonts w:eastAsia="Times New Roman" w:cs="Calibri"/>
                <w:b/>
                <w:bCs/>
                <w:color w:val="000000"/>
                <w:sz w:val="18"/>
                <w:szCs w:val="18"/>
                <w:lang w:eastAsia="el-GR"/>
              </w:rPr>
              <w:t>%</w:t>
            </w:r>
          </w:p>
        </w:tc>
        <w:tc>
          <w:tcPr>
            <w:tcW w:w="125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D5E30E7" w14:textId="5615017F" w:rsidR="00D07140" w:rsidRPr="00D07140" w:rsidRDefault="00114A26" w:rsidP="009741B0">
            <w:pPr>
              <w:spacing w:after="0" w:line="240" w:lineRule="auto"/>
              <w:jc w:val="center"/>
              <w:rPr>
                <w:rFonts w:eastAsia="Times New Roman" w:cs="Calibri"/>
                <w:b/>
                <w:bCs/>
                <w:color w:val="000000"/>
                <w:sz w:val="18"/>
                <w:szCs w:val="18"/>
                <w:lang w:eastAsia="el-GR"/>
              </w:rPr>
            </w:pPr>
            <w:r>
              <w:rPr>
                <w:rFonts w:eastAsia="Times New Roman" w:cs="Calibri"/>
                <w:b/>
                <w:bCs/>
                <w:color w:val="000000"/>
                <w:sz w:val="18"/>
                <w:szCs w:val="18"/>
                <w:lang w:eastAsia="el-GR"/>
              </w:rPr>
              <w:t>-32,3</w:t>
            </w:r>
            <w:r w:rsidR="00D07140" w:rsidRPr="00D07140">
              <w:rPr>
                <w:rFonts w:eastAsia="Times New Roman" w:cs="Calibri"/>
                <w:b/>
                <w:bCs/>
                <w:color w:val="000000"/>
                <w:sz w:val="18"/>
                <w:szCs w:val="18"/>
                <w:lang w:eastAsia="el-GR"/>
              </w:rPr>
              <w:t>%</w:t>
            </w:r>
          </w:p>
        </w:tc>
      </w:tr>
    </w:tbl>
    <w:p w14:paraId="6E593BF3" w14:textId="77777777" w:rsidR="00D07140" w:rsidRPr="00D07140" w:rsidRDefault="00D07140" w:rsidP="00D07140">
      <w:pPr>
        <w:spacing w:after="360"/>
        <w:rPr>
          <w:color w:val="00B0F0"/>
        </w:rPr>
      </w:pPr>
      <w:r w:rsidRPr="00D07140">
        <w:rPr>
          <w:b/>
          <w:i/>
          <w:color w:val="auto"/>
          <w:sz w:val="16"/>
          <w:szCs w:val="16"/>
        </w:rPr>
        <w:t>Πηγή</w:t>
      </w:r>
      <w:r w:rsidRPr="00D07140">
        <w:rPr>
          <w:i/>
          <w:color w:val="00B0F0"/>
          <w:sz w:val="16"/>
          <w:szCs w:val="16"/>
        </w:rPr>
        <w:t xml:space="preserve">: </w:t>
      </w:r>
      <w:r w:rsidRPr="00D07140">
        <w:rPr>
          <w:rFonts w:eastAsia="Calibri" w:cs="Times New Roman"/>
          <w:iCs/>
          <w:color w:val="00B0F0"/>
          <w:sz w:val="16"/>
          <w:szCs w:val="16"/>
        </w:rPr>
        <w:t>Μηνιαίο Δελτίο Εκτέλεσης Κρατικού Προϋπολογισμού Δεκεμβρίου 2020 (τροποποιημένη ταμειακή βάση) – Επεξεργασία ΕΔΣ</w:t>
      </w:r>
    </w:p>
    <w:p w14:paraId="63134F6E" w14:textId="1659405B" w:rsidR="006814B0" w:rsidRPr="00D07140" w:rsidRDefault="006814B0" w:rsidP="006814B0">
      <w:pPr>
        <w:spacing w:after="160"/>
        <w:rPr>
          <w:color w:val="auto"/>
        </w:rPr>
      </w:pPr>
      <w:r w:rsidRPr="00D07140">
        <w:rPr>
          <w:color w:val="auto"/>
        </w:rPr>
        <w:t>Όπως προαναφέρθηκε</w:t>
      </w:r>
      <w:r>
        <w:rPr>
          <w:color w:val="auto"/>
        </w:rPr>
        <w:t>,</w:t>
      </w:r>
      <w:r w:rsidRPr="00D07140">
        <w:rPr>
          <w:color w:val="auto"/>
        </w:rPr>
        <w:t xml:space="preserve"> η σημαντική κάμψη της οικονομικής δραστηριότητας λόγω πανδημίας αποτελεί τον πρωταρχικό λόγο της σημαντικής υστέρησης των φορολογικών εσόδων. </w:t>
      </w:r>
      <w:r>
        <w:rPr>
          <w:color w:val="auto"/>
        </w:rPr>
        <w:t xml:space="preserve">Πρόσθετους </w:t>
      </w:r>
      <w:r w:rsidRPr="00D07140">
        <w:rPr>
          <w:color w:val="auto"/>
        </w:rPr>
        <w:t>λόγο</w:t>
      </w:r>
      <w:r>
        <w:rPr>
          <w:color w:val="auto"/>
        </w:rPr>
        <w:t>υς</w:t>
      </w:r>
      <w:r w:rsidRPr="00D07140">
        <w:rPr>
          <w:color w:val="auto"/>
        </w:rPr>
        <w:t xml:space="preserve"> υστέρησης των εσόδων α</w:t>
      </w:r>
      <w:r>
        <w:rPr>
          <w:color w:val="auto"/>
        </w:rPr>
        <w:t xml:space="preserve">ποτελούν </w:t>
      </w:r>
      <w:r w:rsidRPr="00D07140">
        <w:rPr>
          <w:color w:val="auto"/>
        </w:rPr>
        <w:t xml:space="preserve">η μείωση της προκαταβολής φόρου εισοδήματος νομικών προσώπων </w:t>
      </w:r>
      <w:r>
        <w:rPr>
          <w:color w:val="auto"/>
        </w:rPr>
        <w:t xml:space="preserve">τα οποία </w:t>
      </w:r>
      <w:r w:rsidRPr="00D07140">
        <w:rPr>
          <w:color w:val="auto"/>
        </w:rPr>
        <w:t xml:space="preserve"> επλήγησαν από την πανδημία, η αναστολή πληρωμών ΦΠΑ αλλά και ασφαλιστικών εισφορών από επιχειρήσεις, αυτοαπασχολούμενους και ελεύθερους επαγγελματίες,  η αναστολή πληρωμής δόσεων ρυθμισμένων φορολογικών και ασφαλιστικών οφειλών, η έκπτωση φόρου ιδιοκτητών ακινήτων για τη μη είσπραξη ενοικίων αλλά και τη μη απόδοση εκ μέρους των εργοδοτών ασφαλιστικών εισφορών που αφορούν υπαλλήλους των οποίων η σύμβαση τέθηκε σε αναστολή (καλύφθηκε από τον Κρατικό Προϋπολογισμό).  </w:t>
      </w:r>
    </w:p>
    <w:p w14:paraId="09F00533" w14:textId="66257AF1" w:rsidR="00D07140" w:rsidRPr="00660743" w:rsidRDefault="00D07140" w:rsidP="00660743">
      <w:pPr>
        <w:autoSpaceDE w:val="0"/>
        <w:autoSpaceDN w:val="0"/>
        <w:adjustRightInd w:val="0"/>
        <w:spacing w:after="240"/>
        <w:rPr>
          <w:color w:val="auto"/>
        </w:rPr>
      </w:pPr>
      <w:r w:rsidRPr="00D07140">
        <w:rPr>
          <w:color w:val="auto"/>
        </w:rPr>
        <w:t>Οι συνο</w:t>
      </w:r>
      <w:r w:rsidR="00E10F7A">
        <w:rPr>
          <w:color w:val="auto"/>
        </w:rPr>
        <w:t xml:space="preserve">λικές δαπάνες του ΚΠ αυξήθηκαν </w:t>
      </w:r>
      <w:r w:rsidRPr="00D07140">
        <w:rPr>
          <w:color w:val="auto"/>
        </w:rPr>
        <w:t>κατά 14,9 δισ. ευρώ σε σχέση με το προηγούμενο έτος, με την αύξηση να αφορά, τόσο τις δαπάνες του τακτικού προϋπολογισμού, όσο και του ΠΔΕ. Όπως προαναφέρθηκε</w:t>
      </w:r>
      <w:r w:rsidR="004D2790">
        <w:rPr>
          <w:color w:val="auto"/>
        </w:rPr>
        <w:t>,</w:t>
      </w:r>
      <w:r w:rsidRPr="00D07140">
        <w:rPr>
          <w:color w:val="auto"/>
        </w:rPr>
        <w:t xml:space="preserve"> η σημαντική αυτή απόκλιση σε συνδυασμό και με τη μείωση στα έσοδα, οφείλεται αποκλειστικά στις έκτακτες </w:t>
      </w:r>
      <w:r w:rsidRPr="00660743">
        <w:rPr>
          <w:color w:val="auto"/>
        </w:rPr>
        <w:t xml:space="preserve">δαπάνες για την αντιμετώπιση της πανδημίας. </w:t>
      </w:r>
    </w:p>
    <w:p w14:paraId="58042DDF" w14:textId="6912BBFD" w:rsidR="00D07140" w:rsidRPr="00D07140" w:rsidRDefault="00D07140" w:rsidP="00D07140">
      <w:pPr>
        <w:autoSpaceDE w:val="0"/>
        <w:autoSpaceDN w:val="0"/>
        <w:adjustRightInd w:val="0"/>
        <w:spacing w:after="0"/>
        <w:rPr>
          <w:iCs/>
          <w:color w:val="00B0F0"/>
          <w:sz w:val="20"/>
          <w:szCs w:val="20"/>
        </w:rPr>
      </w:pPr>
      <w:bookmarkStart w:id="152" w:name="_Toc42277322"/>
      <w:bookmarkStart w:id="153" w:name="_Toc56167271"/>
      <w:bookmarkStart w:id="154" w:name="_Toc73435775"/>
      <w:bookmarkStart w:id="155" w:name="_Hlk71976539"/>
      <w:r w:rsidRPr="007D6510">
        <w:rPr>
          <w:sz w:val="20"/>
          <w:szCs w:val="20"/>
        </w:rPr>
        <w:t xml:space="preserve">Πίνακας </w:t>
      </w:r>
      <w:r w:rsidRPr="007D6510">
        <w:rPr>
          <w:i/>
          <w:sz w:val="20"/>
          <w:szCs w:val="20"/>
        </w:rPr>
        <w:fldChar w:fldCharType="begin"/>
      </w:r>
      <w:r w:rsidRPr="007D6510">
        <w:rPr>
          <w:sz w:val="20"/>
          <w:szCs w:val="20"/>
        </w:rPr>
        <w:instrText xml:space="preserve"> SEQ Πίνακας \* ARABIC </w:instrText>
      </w:r>
      <w:r w:rsidRPr="007D6510">
        <w:rPr>
          <w:i/>
          <w:sz w:val="20"/>
          <w:szCs w:val="20"/>
        </w:rPr>
        <w:fldChar w:fldCharType="separate"/>
      </w:r>
      <w:r w:rsidR="00CC05A7">
        <w:rPr>
          <w:noProof/>
          <w:sz w:val="20"/>
          <w:szCs w:val="20"/>
        </w:rPr>
        <w:t>14</w:t>
      </w:r>
      <w:r w:rsidRPr="007D6510">
        <w:rPr>
          <w:i/>
          <w:sz w:val="20"/>
          <w:szCs w:val="20"/>
        </w:rPr>
        <w:fldChar w:fldCharType="end"/>
      </w:r>
      <w:r w:rsidRPr="007D6510">
        <w:rPr>
          <w:color w:val="00B0F0"/>
          <w:sz w:val="20"/>
          <w:szCs w:val="20"/>
        </w:rPr>
        <w:t>:</w:t>
      </w:r>
      <w:r w:rsidRPr="007D6510">
        <w:rPr>
          <w:iCs/>
          <w:color w:val="00B0F0"/>
          <w:sz w:val="20"/>
          <w:szCs w:val="20"/>
        </w:rPr>
        <w:t xml:space="preserve"> Δαπάνες Κρατικού Προϋπολογισμού περιόδου Ιανουαρίου-Σεπτεμβρίου 2020</w:t>
      </w:r>
      <w:r w:rsidRPr="00660743">
        <w:rPr>
          <w:iCs/>
          <w:color w:val="00B0F0"/>
          <w:sz w:val="20"/>
          <w:szCs w:val="20"/>
        </w:rPr>
        <w:t xml:space="preserve"> (εκατ. ευρώ)</w:t>
      </w:r>
      <w:bookmarkEnd w:id="152"/>
      <w:bookmarkEnd w:id="153"/>
      <w:bookmarkEnd w:id="154"/>
    </w:p>
    <w:tbl>
      <w:tblPr>
        <w:tblW w:w="8374" w:type="dxa"/>
        <w:tblLook w:val="04A0" w:firstRow="1" w:lastRow="0" w:firstColumn="1" w:lastColumn="0" w:noHBand="0" w:noVBand="1"/>
      </w:tblPr>
      <w:tblGrid>
        <w:gridCol w:w="3407"/>
        <w:gridCol w:w="1293"/>
        <w:gridCol w:w="1220"/>
        <w:gridCol w:w="1161"/>
        <w:gridCol w:w="1293"/>
      </w:tblGrid>
      <w:tr w:rsidR="00D07140" w:rsidRPr="00D07140" w14:paraId="0FAFDE81" w14:textId="77777777" w:rsidTr="00660743">
        <w:trPr>
          <w:trHeight w:val="245"/>
        </w:trPr>
        <w:tc>
          <w:tcPr>
            <w:tcW w:w="3407" w:type="dxa"/>
            <w:vMerge w:val="restart"/>
            <w:tcBorders>
              <w:top w:val="single" w:sz="12" w:space="0" w:color="auto"/>
              <w:left w:val="nil"/>
              <w:bottom w:val="nil"/>
              <w:right w:val="nil"/>
            </w:tcBorders>
            <w:shd w:val="clear" w:color="000000" w:fill="C1EFFF"/>
            <w:vAlign w:val="center"/>
            <w:hideMark/>
          </w:tcPr>
          <w:bookmarkEnd w:id="155"/>
          <w:p w14:paraId="3360B4A1" w14:textId="77777777" w:rsidR="00D07140" w:rsidRPr="00D07140" w:rsidRDefault="00D07140" w:rsidP="009741B0">
            <w:pPr>
              <w:spacing w:after="0" w:line="240" w:lineRule="auto"/>
              <w:jc w:val="left"/>
              <w:rPr>
                <w:rFonts w:eastAsia="Times New Roman" w:cs="Calibri"/>
                <w:color w:val="000000"/>
                <w:sz w:val="18"/>
                <w:szCs w:val="18"/>
                <w:lang w:eastAsia="el-GR"/>
              </w:rPr>
            </w:pPr>
            <w:r w:rsidRPr="00D07140">
              <w:rPr>
                <w:rFonts w:eastAsia="Times New Roman" w:cs="Calibri"/>
                <w:color w:val="000000"/>
                <w:sz w:val="18"/>
                <w:szCs w:val="18"/>
                <w:lang w:eastAsia="el-GR"/>
              </w:rPr>
              <w:t> </w:t>
            </w:r>
          </w:p>
        </w:tc>
        <w:tc>
          <w:tcPr>
            <w:tcW w:w="3674" w:type="dxa"/>
            <w:gridSpan w:val="3"/>
            <w:tcBorders>
              <w:top w:val="single" w:sz="12" w:space="0" w:color="auto"/>
              <w:left w:val="nil"/>
              <w:bottom w:val="nil"/>
              <w:right w:val="nil"/>
            </w:tcBorders>
            <w:shd w:val="clear" w:color="000000" w:fill="C1EFFF"/>
            <w:noWrap/>
            <w:vAlign w:val="center"/>
            <w:hideMark/>
          </w:tcPr>
          <w:p w14:paraId="1FFE5E8E" w14:textId="77777777" w:rsidR="00D07140" w:rsidRPr="00D07140" w:rsidRDefault="00D07140" w:rsidP="009741B0">
            <w:pPr>
              <w:spacing w:after="0" w:line="240" w:lineRule="auto"/>
              <w:jc w:val="center"/>
              <w:rPr>
                <w:rFonts w:eastAsia="Times New Roman" w:cs="Calibri"/>
                <w:b/>
                <w:bCs/>
                <w:color w:val="000000"/>
                <w:sz w:val="18"/>
                <w:szCs w:val="18"/>
                <w:lang w:eastAsia="el-GR"/>
              </w:rPr>
            </w:pPr>
          </w:p>
        </w:tc>
        <w:tc>
          <w:tcPr>
            <w:tcW w:w="1293" w:type="dxa"/>
            <w:tcBorders>
              <w:top w:val="single" w:sz="12" w:space="0" w:color="auto"/>
              <w:left w:val="nil"/>
              <w:bottom w:val="nil"/>
              <w:right w:val="nil"/>
            </w:tcBorders>
            <w:shd w:val="clear" w:color="000000" w:fill="C1EFFF"/>
            <w:noWrap/>
            <w:vAlign w:val="center"/>
            <w:hideMark/>
          </w:tcPr>
          <w:p w14:paraId="7C7E2DCC" w14:textId="77777777" w:rsidR="00D07140" w:rsidRPr="00D07140" w:rsidRDefault="00D07140" w:rsidP="009741B0">
            <w:pPr>
              <w:spacing w:after="0" w:line="240" w:lineRule="auto"/>
              <w:jc w:val="center"/>
              <w:rPr>
                <w:rFonts w:eastAsia="Times New Roman" w:cs="Calibri"/>
                <w:b/>
                <w:bCs/>
                <w:color w:val="000000"/>
                <w:sz w:val="18"/>
                <w:szCs w:val="18"/>
                <w:lang w:eastAsia="el-GR"/>
              </w:rPr>
            </w:pPr>
            <w:r w:rsidRPr="00D07140">
              <w:rPr>
                <w:rFonts w:eastAsia="Times New Roman" w:cs="Calibri"/>
                <w:b/>
                <w:bCs/>
                <w:color w:val="000000"/>
                <w:sz w:val="18"/>
                <w:szCs w:val="18"/>
                <w:lang w:eastAsia="el-GR"/>
              </w:rPr>
              <w:t> </w:t>
            </w:r>
          </w:p>
        </w:tc>
      </w:tr>
      <w:tr w:rsidR="00D07140" w:rsidRPr="00D07140" w14:paraId="781BBCEF" w14:textId="77777777" w:rsidTr="00660743">
        <w:trPr>
          <w:trHeight w:val="245"/>
        </w:trPr>
        <w:tc>
          <w:tcPr>
            <w:tcW w:w="3407" w:type="dxa"/>
            <w:vMerge/>
            <w:tcBorders>
              <w:top w:val="single" w:sz="8" w:space="0" w:color="auto"/>
              <w:left w:val="nil"/>
              <w:bottom w:val="nil"/>
              <w:right w:val="nil"/>
            </w:tcBorders>
            <w:vAlign w:val="center"/>
            <w:hideMark/>
          </w:tcPr>
          <w:p w14:paraId="68F7A3D9" w14:textId="77777777" w:rsidR="00D07140" w:rsidRPr="00D07140" w:rsidRDefault="00D07140" w:rsidP="009741B0">
            <w:pPr>
              <w:spacing w:after="0" w:line="240" w:lineRule="auto"/>
              <w:jc w:val="left"/>
              <w:rPr>
                <w:rFonts w:eastAsia="Times New Roman" w:cs="Calibri"/>
                <w:color w:val="000000"/>
                <w:sz w:val="18"/>
                <w:szCs w:val="18"/>
                <w:lang w:eastAsia="el-GR"/>
              </w:rPr>
            </w:pPr>
          </w:p>
        </w:tc>
        <w:tc>
          <w:tcPr>
            <w:tcW w:w="2513" w:type="dxa"/>
            <w:gridSpan w:val="2"/>
            <w:tcBorders>
              <w:top w:val="nil"/>
              <w:left w:val="nil"/>
              <w:bottom w:val="nil"/>
              <w:right w:val="nil"/>
            </w:tcBorders>
            <w:shd w:val="clear" w:color="000000" w:fill="C1EFFF"/>
            <w:noWrap/>
            <w:vAlign w:val="center"/>
            <w:hideMark/>
          </w:tcPr>
          <w:p w14:paraId="7F55A361" w14:textId="77777777" w:rsidR="00D07140" w:rsidRPr="00D07140" w:rsidRDefault="00D07140" w:rsidP="009741B0">
            <w:pPr>
              <w:spacing w:after="0" w:line="240" w:lineRule="auto"/>
              <w:jc w:val="center"/>
              <w:rPr>
                <w:rFonts w:eastAsia="Times New Roman" w:cs="Calibri"/>
                <w:b/>
                <w:bCs/>
                <w:color w:val="000000"/>
                <w:sz w:val="18"/>
                <w:szCs w:val="18"/>
                <w:lang w:eastAsia="el-GR"/>
              </w:rPr>
            </w:pPr>
            <w:r w:rsidRPr="00D07140">
              <w:rPr>
                <w:rFonts w:eastAsia="Times New Roman" w:cs="Calibri"/>
                <w:b/>
                <w:bCs/>
                <w:color w:val="000000"/>
                <w:sz w:val="18"/>
                <w:szCs w:val="18"/>
                <w:lang w:eastAsia="el-GR"/>
              </w:rPr>
              <w:t>Πραγματοποιήσεις</w:t>
            </w:r>
          </w:p>
        </w:tc>
        <w:tc>
          <w:tcPr>
            <w:tcW w:w="1161" w:type="dxa"/>
            <w:tcBorders>
              <w:top w:val="nil"/>
              <w:left w:val="nil"/>
              <w:bottom w:val="nil"/>
              <w:right w:val="nil"/>
            </w:tcBorders>
            <w:shd w:val="clear" w:color="000000" w:fill="C1EFFF"/>
            <w:noWrap/>
            <w:vAlign w:val="center"/>
            <w:hideMark/>
          </w:tcPr>
          <w:p w14:paraId="1369C17E" w14:textId="77777777" w:rsidR="00D07140" w:rsidRPr="00D07140" w:rsidRDefault="00D07140" w:rsidP="009741B0">
            <w:pPr>
              <w:spacing w:after="0" w:line="240" w:lineRule="auto"/>
              <w:jc w:val="center"/>
              <w:rPr>
                <w:rFonts w:eastAsia="Times New Roman" w:cs="Calibri"/>
                <w:b/>
                <w:bCs/>
                <w:color w:val="000000"/>
                <w:sz w:val="18"/>
                <w:szCs w:val="18"/>
                <w:lang w:eastAsia="el-GR"/>
              </w:rPr>
            </w:pPr>
            <w:r w:rsidRPr="00D07140">
              <w:rPr>
                <w:rFonts w:eastAsia="Times New Roman" w:cs="Calibri"/>
                <w:b/>
                <w:bCs/>
                <w:color w:val="000000"/>
                <w:sz w:val="18"/>
                <w:szCs w:val="18"/>
                <w:lang w:eastAsia="el-GR"/>
              </w:rPr>
              <w:t>% Μεταβολής</w:t>
            </w:r>
          </w:p>
        </w:tc>
        <w:tc>
          <w:tcPr>
            <w:tcW w:w="1293" w:type="dxa"/>
            <w:tcBorders>
              <w:top w:val="nil"/>
              <w:left w:val="nil"/>
              <w:bottom w:val="nil"/>
              <w:right w:val="nil"/>
            </w:tcBorders>
            <w:shd w:val="clear" w:color="000000" w:fill="C1EFFF"/>
            <w:noWrap/>
            <w:vAlign w:val="center"/>
            <w:hideMark/>
          </w:tcPr>
          <w:p w14:paraId="5B30BEFC" w14:textId="77777777" w:rsidR="00D07140" w:rsidRPr="00D07140" w:rsidRDefault="00D07140" w:rsidP="009741B0">
            <w:pPr>
              <w:spacing w:after="0" w:line="240" w:lineRule="auto"/>
              <w:jc w:val="center"/>
              <w:rPr>
                <w:rFonts w:eastAsia="Times New Roman" w:cs="Calibri"/>
                <w:b/>
                <w:bCs/>
                <w:color w:val="000000"/>
                <w:sz w:val="18"/>
                <w:szCs w:val="18"/>
                <w:lang w:eastAsia="el-GR"/>
              </w:rPr>
            </w:pPr>
            <w:r w:rsidRPr="00D07140">
              <w:rPr>
                <w:rFonts w:eastAsia="Times New Roman" w:cs="Calibri"/>
                <w:b/>
                <w:bCs/>
                <w:color w:val="000000"/>
                <w:sz w:val="18"/>
                <w:szCs w:val="18"/>
                <w:lang w:eastAsia="el-GR"/>
              </w:rPr>
              <w:t xml:space="preserve"> </w:t>
            </w:r>
          </w:p>
        </w:tc>
      </w:tr>
      <w:tr w:rsidR="00D07140" w:rsidRPr="00D07140" w14:paraId="1AFD18E7" w14:textId="77777777" w:rsidTr="00660743">
        <w:trPr>
          <w:trHeight w:val="57"/>
        </w:trPr>
        <w:tc>
          <w:tcPr>
            <w:tcW w:w="3407" w:type="dxa"/>
            <w:vMerge/>
            <w:tcBorders>
              <w:top w:val="single" w:sz="8" w:space="0" w:color="auto"/>
              <w:left w:val="nil"/>
              <w:bottom w:val="single" w:sz="12" w:space="0" w:color="auto"/>
              <w:right w:val="nil"/>
            </w:tcBorders>
            <w:vAlign w:val="center"/>
            <w:hideMark/>
          </w:tcPr>
          <w:p w14:paraId="5B2C1289" w14:textId="77777777" w:rsidR="00D07140" w:rsidRPr="00D07140" w:rsidRDefault="00D07140" w:rsidP="009741B0">
            <w:pPr>
              <w:spacing w:after="0" w:line="240" w:lineRule="auto"/>
              <w:jc w:val="left"/>
              <w:rPr>
                <w:rFonts w:eastAsia="Times New Roman" w:cs="Calibri"/>
                <w:color w:val="000000"/>
                <w:sz w:val="18"/>
                <w:szCs w:val="18"/>
                <w:lang w:eastAsia="el-GR"/>
              </w:rPr>
            </w:pPr>
          </w:p>
        </w:tc>
        <w:tc>
          <w:tcPr>
            <w:tcW w:w="1293" w:type="dxa"/>
            <w:tcBorders>
              <w:top w:val="nil"/>
              <w:left w:val="nil"/>
              <w:bottom w:val="single" w:sz="12" w:space="0" w:color="auto"/>
              <w:right w:val="nil"/>
            </w:tcBorders>
            <w:shd w:val="clear" w:color="000000" w:fill="C1EFFF"/>
            <w:noWrap/>
            <w:vAlign w:val="center"/>
            <w:hideMark/>
          </w:tcPr>
          <w:p w14:paraId="44CFF965" w14:textId="77777777" w:rsidR="00D07140" w:rsidRPr="00D07140" w:rsidRDefault="00D07140" w:rsidP="009741B0">
            <w:pPr>
              <w:spacing w:after="0" w:line="240" w:lineRule="auto"/>
              <w:jc w:val="center"/>
              <w:rPr>
                <w:rFonts w:eastAsia="Times New Roman" w:cs="Calibri"/>
                <w:b/>
                <w:bCs/>
                <w:color w:val="000000"/>
                <w:sz w:val="18"/>
                <w:szCs w:val="18"/>
                <w:lang w:eastAsia="el-GR"/>
              </w:rPr>
            </w:pPr>
            <w:r w:rsidRPr="00D07140">
              <w:rPr>
                <w:rFonts w:eastAsia="Times New Roman" w:cs="Calibri"/>
                <w:b/>
                <w:bCs/>
                <w:color w:val="000000"/>
                <w:sz w:val="18"/>
                <w:szCs w:val="18"/>
                <w:lang w:eastAsia="el-GR"/>
              </w:rPr>
              <w:t>2019</w:t>
            </w:r>
          </w:p>
        </w:tc>
        <w:tc>
          <w:tcPr>
            <w:tcW w:w="1219" w:type="dxa"/>
            <w:tcBorders>
              <w:top w:val="nil"/>
              <w:left w:val="nil"/>
              <w:bottom w:val="single" w:sz="12" w:space="0" w:color="auto"/>
              <w:right w:val="nil"/>
            </w:tcBorders>
            <w:shd w:val="clear" w:color="000000" w:fill="C1EFFF"/>
            <w:noWrap/>
            <w:vAlign w:val="center"/>
            <w:hideMark/>
          </w:tcPr>
          <w:p w14:paraId="799F798B" w14:textId="77777777" w:rsidR="00D07140" w:rsidRPr="00D07140" w:rsidRDefault="00D07140" w:rsidP="009741B0">
            <w:pPr>
              <w:spacing w:after="0" w:line="240" w:lineRule="auto"/>
              <w:jc w:val="center"/>
              <w:rPr>
                <w:rFonts w:eastAsia="Times New Roman" w:cs="Calibri"/>
                <w:b/>
                <w:bCs/>
                <w:color w:val="000000"/>
                <w:sz w:val="18"/>
                <w:szCs w:val="18"/>
                <w:lang w:eastAsia="el-GR"/>
              </w:rPr>
            </w:pPr>
            <w:r w:rsidRPr="00D07140">
              <w:rPr>
                <w:rFonts w:eastAsia="Times New Roman" w:cs="Calibri"/>
                <w:b/>
                <w:bCs/>
                <w:color w:val="000000"/>
                <w:sz w:val="18"/>
                <w:szCs w:val="18"/>
                <w:lang w:eastAsia="el-GR"/>
              </w:rPr>
              <w:t>2020</w:t>
            </w:r>
          </w:p>
        </w:tc>
        <w:tc>
          <w:tcPr>
            <w:tcW w:w="1161" w:type="dxa"/>
            <w:tcBorders>
              <w:top w:val="nil"/>
              <w:left w:val="nil"/>
              <w:bottom w:val="single" w:sz="12" w:space="0" w:color="auto"/>
              <w:right w:val="nil"/>
            </w:tcBorders>
            <w:shd w:val="clear" w:color="000000" w:fill="C1EFFF"/>
            <w:vAlign w:val="center"/>
            <w:hideMark/>
          </w:tcPr>
          <w:p w14:paraId="7606D23D" w14:textId="77777777" w:rsidR="00D07140" w:rsidRPr="00D07140" w:rsidRDefault="00D07140" w:rsidP="009741B0">
            <w:pPr>
              <w:spacing w:after="0" w:line="240" w:lineRule="auto"/>
              <w:jc w:val="center"/>
              <w:rPr>
                <w:rFonts w:eastAsia="Times New Roman" w:cs="Calibri"/>
                <w:b/>
                <w:bCs/>
                <w:color w:val="000000"/>
                <w:sz w:val="18"/>
                <w:szCs w:val="18"/>
                <w:lang w:eastAsia="el-GR"/>
              </w:rPr>
            </w:pPr>
            <w:r w:rsidRPr="00D07140">
              <w:rPr>
                <w:rFonts w:eastAsia="Times New Roman" w:cs="Calibri"/>
                <w:b/>
                <w:bCs/>
                <w:color w:val="000000"/>
                <w:sz w:val="18"/>
                <w:szCs w:val="18"/>
                <w:lang w:eastAsia="el-GR"/>
              </w:rPr>
              <w:t>2019-2020</w:t>
            </w:r>
          </w:p>
        </w:tc>
        <w:tc>
          <w:tcPr>
            <w:tcW w:w="1293" w:type="dxa"/>
            <w:tcBorders>
              <w:top w:val="nil"/>
              <w:left w:val="nil"/>
              <w:bottom w:val="single" w:sz="12" w:space="0" w:color="auto"/>
              <w:right w:val="nil"/>
            </w:tcBorders>
            <w:shd w:val="clear" w:color="000000" w:fill="C1EFFF"/>
            <w:vAlign w:val="center"/>
            <w:hideMark/>
          </w:tcPr>
          <w:p w14:paraId="7EBC5B07" w14:textId="77777777" w:rsidR="00D07140" w:rsidRPr="00D07140" w:rsidRDefault="00D07140" w:rsidP="009741B0">
            <w:pPr>
              <w:spacing w:after="0" w:line="240" w:lineRule="auto"/>
              <w:jc w:val="center"/>
              <w:rPr>
                <w:rFonts w:eastAsia="Times New Roman" w:cs="Calibri"/>
                <w:b/>
                <w:bCs/>
                <w:color w:val="000000"/>
                <w:sz w:val="18"/>
                <w:szCs w:val="18"/>
                <w:lang w:eastAsia="el-GR"/>
              </w:rPr>
            </w:pPr>
            <w:r w:rsidRPr="00D07140">
              <w:rPr>
                <w:rFonts w:eastAsia="Times New Roman" w:cs="Calibri"/>
                <w:b/>
                <w:bCs/>
                <w:color w:val="000000"/>
                <w:sz w:val="18"/>
                <w:szCs w:val="18"/>
                <w:lang w:eastAsia="el-GR"/>
              </w:rPr>
              <w:t>Εκτιμήσεις Π/Υ 2020</w:t>
            </w:r>
          </w:p>
        </w:tc>
      </w:tr>
      <w:tr w:rsidR="00D07140" w:rsidRPr="00D07140" w14:paraId="04E914D4" w14:textId="77777777" w:rsidTr="00660743">
        <w:trPr>
          <w:trHeight w:val="245"/>
        </w:trPr>
        <w:tc>
          <w:tcPr>
            <w:tcW w:w="3407" w:type="dxa"/>
            <w:tcBorders>
              <w:top w:val="single" w:sz="12" w:space="0" w:color="auto"/>
              <w:left w:val="single" w:sz="4" w:space="0" w:color="auto"/>
              <w:bottom w:val="single" w:sz="4" w:space="0" w:color="auto"/>
              <w:right w:val="single" w:sz="4" w:space="0" w:color="auto"/>
            </w:tcBorders>
            <w:shd w:val="clear" w:color="000000" w:fill="D9D9D9"/>
            <w:noWrap/>
            <w:vAlign w:val="center"/>
            <w:hideMark/>
          </w:tcPr>
          <w:p w14:paraId="7AB1050B" w14:textId="77777777" w:rsidR="00D07140" w:rsidRPr="00D07140" w:rsidRDefault="00D07140" w:rsidP="009741B0">
            <w:pPr>
              <w:spacing w:after="0" w:line="240" w:lineRule="auto"/>
              <w:jc w:val="left"/>
              <w:rPr>
                <w:rFonts w:eastAsia="Times New Roman" w:cs="Calibri"/>
                <w:b/>
                <w:bCs/>
                <w:color w:val="000000"/>
                <w:sz w:val="18"/>
                <w:szCs w:val="18"/>
                <w:lang w:eastAsia="el-GR"/>
              </w:rPr>
            </w:pPr>
            <w:r w:rsidRPr="00D07140">
              <w:rPr>
                <w:rFonts w:eastAsia="Times New Roman" w:cs="Calibri"/>
                <w:b/>
                <w:bCs/>
                <w:color w:val="000000"/>
                <w:sz w:val="18"/>
                <w:szCs w:val="18"/>
                <w:lang w:eastAsia="el-GR"/>
              </w:rPr>
              <w:t>Συνολικές Δαπάνες ΚΠ (I+II)</w:t>
            </w:r>
          </w:p>
        </w:tc>
        <w:tc>
          <w:tcPr>
            <w:tcW w:w="1293" w:type="dxa"/>
            <w:tcBorders>
              <w:top w:val="single" w:sz="12" w:space="0" w:color="auto"/>
              <w:left w:val="single" w:sz="4" w:space="0" w:color="auto"/>
              <w:bottom w:val="single" w:sz="4" w:space="0" w:color="auto"/>
              <w:right w:val="single" w:sz="4" w:space="0" w:color="auto"/>
            </w:tcBorders>
            <w:shd w:val="clear" w:color="000000" w:fill="D9D9D9"/>
            <w:vAlign w:val="center"/>
            <w:hideMark/>
          </w:tcPr>
          <w:p w14:paraId="741B80DC" w14:textId="77777777" w:rsidR="00D07140" w:rsidRPr="00D07140" w:rsidRDefault="00D07140" w:rsidP="009741B0">
            <w:pPr>
              <w:spacing w:after="0" w:line="240" w:lineRule="auto"/>
              <w:jc w:val="center"/>
              <w:rPr>
                <w:rFonts w:eastAsia="Times New Roman" w:cs="Calibri"/>
                <w:color w:val="000000"/>
                <w:sz w:val="18"/>
                <w:szCs w:val="18"/>
                <w:lang w:eastAsia="el-GR"/>
              </w:rPr>
            </w:pPr>
            <w:r w:rsidRPr="00D07140">
              <w:rPr>
                <w:rFonts w:eastAsia="Times New Roman" w:cs="Calibri"/>
                <w:color w:val="000000"/>
                <w:sz w:val="18"/>
                <w:szCs w:val="18"/>
                <w:lang w:eastAsia="el-GR"/>
              </w:rPr>
              <w:t>55.265</w:t>
            </w:r>
          </w:p>
        </w:tc>
        <w:tc>
          <w:tcPr>
            <w:tcW w:w="1219" w:type="dxa"/>
            <w:tcBorders>
              <w:top w:val="single" w:sz="12" w:space="0" w:color="auto"/>
              <w:left w:val="single" w:sz="4" w:space="0" w:color="auto"/>
              <w:bottom w:val="single" w:sz="4" w:space="0" w:color="auto"/>
              <w:right w:val="single" w:sz="4" w:space="0" w:color="auto"/>
            </w:tcBorders>
            <w:shd w:val="clear" w:color="000000" w:fill="D9D9D9"/>
            <w:vAlign w:val="center"/>
            <w:hideMark/>
          </w:tcPr>
          <w:p w14:paraId="5E2B8084" w14:textId="77777777" w:rsidR="00D07140" w:rsidRPr="00D07140" w:rsidRDefault="00D07140" w:rsidP="009741B0">
            <w:pPr>
              <w:spacing w:after="0" w:line="240" w:lineRule="auto"/>
              <w:jc w:val="center"/>
              <w:rPr>
                <w:rFonts w:eastAsia="Times New Roman" w:cs="Calibri"/>
                <w:color w:val="000000"/>
                <w:sz w:val="18"/>
                <w:szCs w:val="18"/>
                <w:lang w:eastAsia="el-GR"/>
              </w:rPr>
            </w:pPr>
            <w:r w:rsidRPr="00D07140">
              <w:rPr>
                <w:rFonts w:eastAsia="Times New Roman" w:cs="Calibri"/>
                <w:color w:val="000000"/>
                <w:sz w:val="18"/>
                <w:szCs w:val="18"/>
                <w:lang w:eastAsia="el-GR"/>
              </w:rPr>
              <w:t>70.169</w:t>
            </w:r>
          </w:p>
        </w:tc>
        <w:tc>
          <w:tcPr>
            <w:tcW w:w="1161" w:type="dxa"/>
            <w:tcBorders>
              <w:top w:val="single" w:sz="12" w:space="0" w:color="auto"/>
              <w:left w:val="single" w:sz="4" w:space="0" w:color="auto"/>
              <w:bottom w:val="single" w:sz="4" w:space="0" w:color="auto"/>
              <w:right w:val="single" w:sz="4" w:space="0" w:color="auto"/>
            </w:tcBorders>
            <w:shd w:val="clear" w:color="000000" w:fill="D9D9D9"/>
            <w:vAlign w:val="center"/>
            <w:hideMark/>
          </w:tcPr>
          <w:p w14:paraId="45EE26E3" w14:textId="77777777" w:rsidR="00D07140" w:rsidRPr="00D07140" w:rsidRDefault="00D07140" w:rsidP="009741B0">
            <w:pPr>
              <w:spacing w:after="0" w:line="240" w:lineRule="auto"/>
              <w:jc w:val="center"/>
              <w:rPr>
                <w:rFonts w:eastAsia="Times New Roman" w:cs="Calibri"/>
                <w:color w:val="000000"/>
                <w:sz w:val="18"/>
                <w:szCs w:val="18"/>
                <w:lang w:eastAsia="el-GR"/>
              </w:rPr>
            </w:pPr>
            <w:r w:rsidRPr="00D07140">
              <w:rPr>
                <w:rFonts w:eastAsia="Times New Roman" w:cs="Calibri"/>
                <w:color w:val="000000"/>
                <w:sz w:val="18"/>
                <w:szCs w:val="18"/>
                <w:lang w:eastAsia="el-GR"/>
              </w:rPr>
              <w:t>21,24%</w:t>
            </w:r>
          </w:p>
        </w:tc>
        <w:tc>
          <w:tcPr>
            <w:tcW w:w="1293" w:type="dxa"/>
            <w:tcBorders>
              <w:top w:val="single" w:sz="12" w:space="0" w:color="auto"/>
              <w:left w:val="single" w:sz="4" w:space="0" w:color="auto"/>
              <w:bottom w:val="single" w:sz="4" w:space="0" w:color="auto"/>
              <w:right w:val="single" w:sz="4" w:space="0" w:color="auto"/>
            </w:tcBorders>
            <w:shd w:val="clear" w:color="000000" w:fill="D9D9D9"/>
            <w:vAlign w:val="center"/>
            <w:hideMark/>
          </w:tcPr>
          <w:p w14:paraId="5C56B19F" w14:textId="77777777" w:rsidR="00D07140" w:rsidRPr="00D07140" w:rsidRDefault="00D07140" w:rsidP="009741B0">
            <w:pPr>
              <w:spacing w:after="0" w:line="240" w:lineRule="auto"/>
              <w:jc w:val="center"/>
              <w:rPr>
                <w:rFonts w:eastAsia="Times New Roman" w:cs="Calibri"/>
                <w:color w:val="000000"/>
                <w:sz w:val="18"/>
                <w:szCs w:val="18"/>
                <w:lang w:eastAsia="el-GR"/>
              </w:rPr>
            </w:pPr>
            <w:r w:rsidRPr="00D07140">
              <w:rPr>
                <w:rFonts w:eastAsia="Times New Roman" w:cs="Calibri"/>
                <w:color w:val="000000"/>
                <w:sz w:val="18"/>
                <w:szCs w:val="18"/>
                <w:lang w:eastAsia="el-GR"/>
              </w:rPr>
              <w:t>56.034</w:t>
            </w:r>
          </w:p>
        </w:tc>
      </w:tr>
      <w:tr w:rsidR="00D07140" w:rsidRPr="00D07140" w14:paraId="14241197" w14:textId="77777777" w:rsidTr="00660743">
        <w:trPr>
          <w:trHeight w:val="245"/>
        </w:trPr>
        <w:tc>
          <w:tcPr>
            <w:tcW w:w="340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CD0CA5A" w14:textId="77777777" w:rsidR="00D07140" w:rsidRPr="00D07140" w:rsidRDefault="00D07140" w:rsidP="009741B0">
            <w:pPr>
              <w:spacing w:after="0" w:line="240" w:lineRule="auto"/>
              <w:jc w:val="left"/>
              <w:rPr>
                <w:rFonts w:eastAsia="Times New Roman" w:cs="Calibri"/>
                <w:b/>
                <w:bCs/>
                <w:color w:val="000000"/>
                <w:sz w:val="18"/>
                <w:szCs w:val="18"/>
                <w:lang w:eastAsia="el-GR"/>
              </w:rPr>
            </w:pPr>
            <w:r w:rsidRPr="00D07140">
              <w:rPr>
                <w:rFonts w:eastAsia="Times New Roman" w:cs="Calibri"/>
                <w:b/>
                <w:bCs/>
                <w:color w:val="000000"/>
                <w:sz w:val="18"/>
                <w:szCs w:val="18"/>
                <w:lang w:eastAsia="el-GR"/>
              </w:rPr>
              <w:t>Πρωτογενείς δαπάνες</w:t>
            </w:r>
          </w:p>
        </w:tc>
        <w:tc>
          <w:tcPr>
            <w:tcW w:w="1293"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0EFC784" w14:textId="77777777" w:rsidR="00D07140" w:rsidRPr="00D07140" w:rsidRDefault="00D07140" w:rsidP="009741B0">
            <w:pPr>
              <w:spacing w:after="0" w:line="240" w:lineRule="auto"/>
              <w:jc w:val="center"/>
              <w:rPr>
                <w:rFonts w:eastAsia="Times New Roman" w:cs="Calibri"/>
                <w:color w:val="000000"/>
                <w:sz w:val="18"/>
                <w:szCs w:val="18"/>
                <w:lang w:eastAsia="el-GR"/>
              </w:rPr>
            </w:pPr>
            <w:r w:rsidRPr="00D07140">
              <w:rPr>
                <w:rFonts w:eastAsia="Times New Roman" w:cs="Calibri"/>
                <w:color w:val="000000"/>
                <w:sz w:val="18"/>
                <w:szCs w:val="18"/>
                <w:lang w:eastAsia="el-GR"/>
              </w:rPr>
              <w:t>50.041</w:t>
            </w:r>
          </w:p>
        </w:tc>
        <w:tc>
          <w:tcPr>
            <w:tcW w:w="121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9C617A7" w14:textId="77777777" w:rsidR="00D07140" w:rsidRPr="00D07140" w:rsidRDefault="00D07140" w:rsidP="009741B0">
            <w:pPr>
              <w:spacing w:after="0" w:line="240" w:lineRule="auto"/>
              <w:jc w:val="center"/>
              <w:rPr>
                <w:rFonts w:eastAsia="Times New Roman" w:cs="Calibri"/>
                <w:color w:val="000000"/>
                <w:sz w:val="18"/>
                <w:szCs w:val="18"/>
                <w:lang w:eastAsia="el-GR"/>
              </w:rPr>
            </w:pPr>
            <w:r w:rsidRPr="00D07140">
              <w:rPr>
                <w:rFonts w:eastAsia="Times New Roman" w:cs="Calibri"/>
                <w:color w:val="000000"/>
                <w:sz w:val="18"/>
                <w:szCs w:val="18"/>
                <w:lang w:eastAsia="el-GR"/>
              </w:rPr>
              <w:t>65.395</w:t>
            </w:r>
          </w:p>
        </w:tc>
        <w:tc>
          <w:tcPr>
            <w:tcW w:w="116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F862F84" w14:textId="77777777" w:rsidR="00D07140" w:rsidRPr="00D07140" w:rsidRDefault="00D07140" w:rsidP="009741B0">
            <w:pPr>
              <w:spacing w:after="0" w:line="240" w:lineRule="auto"/>
              <w:jc w:val="center"/>
              <w:rPr>
                <w:rFonts w:eastAsia="Times New Roman" w:cs="Calibri"/>
                <w:color w:val="000000"/>
                <w:sz w:val="18"/>
                <w:szCs w:val="18"/>
                <w:lang w:eastAsia="el-GR"/>
              </w:rPr>
            </w:pPr>
            <w:r w:rsidRPr="00D07140">
              <w:rPr>
                <w:rFonts w:eastAsia="Times New Roman" w:cs="Calibri"/>
                <w:color w:val="000000"/>
                <w:sz w:val="18"/>
                <w:szCs w:val="18"/>
                <w:lang w:eastAsia="el-GR"/>
              </w:rPr>
              <w:t>23,48%</w:t>
            </w:r>
          </w:p>
        </w:tc>
        <w:tc>
          <w:tcPr>
            <w:tcW w:w="1293"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9D9D097" w14:textId="77777777" w:rsidR="00D07140" w:rsidRPr="00D07140" w:rsidRDefault="00D07140" w:rsidP="009741B0">
            <w:pPr>
              <w:spacing w:after="0" w:line="240" w:lineRule="auto"/>
              <w:jc w:val="center"/>
              <w:rPr>
                <w:rFonts w:eastAsia="Times New Roman" w:cs="Calibri"/>
                <w:color w:val="000000"/>
                <w:sz w:val="18"/>
                <w:szCs w:val="18"/>
                <w:lang w:eastAsia="el-GR"/>
              </w:rPr>
            </w:pPr>
            <w:r w:rsidRPr="00D07140">
              <w:rPr>
                <w:rFonts w:eastAsia="Times New Roman" w:cs="Calibri"/>
                <w:color w:val="000000"/>
                <w:sz w:val="18"/>
                <w:szCs w:val="18"/>
                <w:lang w:eastAsia="el-GR"/>
              </w:rPr>
              <w:t>51.534</w:t>
            </w:r>
          </w:p>
        </w:tc>
      </w:tr>
      <w:tr w:rsidR="00D07140" w:rsidRPr="00D07140" w14:paraId="0DF7C1D8" w14:textId="77777777" w:rsidTr="00660743">
        <w:trPr>
          <w:trHeight w:val="245"/>
        </w:trPr>
        <w:tc>
          <w:tcPr>
            <w:tcW w:w="340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6C39470" w14:textId="77777777" w:rsidR="00D07140" w:rsidRPr="00D07140" w:rsidRDefault="00D07140" w:rsidP="009741B0">
            <w:pPr>
              <w:spacing w:after="0" w:line="240" w:lineRule="auto"/>
              <w:jc w:val="left"/>
              <w:rPr>
                <w:rFonts w:eastAsia="Times New Roman" w:cs="Calibri"/>
                <w:b/>
                <w:bCs/>
                <w:color w:val="000000"/>
                <w:sz w:val="18"/>
                <w:szCs w:val="18"/>
                <w:lang w:eastAsia="el-GR"/>
              </w:rPr>
            </w:pPr>
            <w:r w:rsidRPr="00D07140">
              <w:rPr>
                <w:rFonts w:eastAsia="Times New Roman" w:cs="Calibri"/>
                <w:b/>
                <w:bCs/>
                <w:color w:val="000000"/>
                <w:sz w:val="18"/>
                <w:szCs w:val="18"/>
                <w:lang w:eastAsia="el-GR"/>
              </w:rPr>
              <w:t>Ι Δαπάνες ΤΠ</w:t>
            </w:r>
          </w:p>
        </w:tc>
        <w:tc>
          <w:tcPr>
            <w:tcW w:w="1293"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8226A92" w14:textId="77777777" w:rsidR="00D07140" w:rsidRPr="00D07140" w:rsidRDefault="00D07140" w:rsidP="009741B0">
            <w:pPr>
              <w:spacing w:after="0" w:line="240" w:lineRule="auto"/>
              <w:jc w:val="center"/>
              <w:rPr>
                <w:rFonts w:eastAsia="Times New Roman" w:cs="Calibri"/>
                <w:color w:val="000000"/>
                <w:sz w:val="18"/>
                <w:szCs w:val="18"/>
                <w:lang w:eastAsia="el-GR"/>
              </w:rPr>
            </w:pPr>
            <w:r w:rsidRPr="00D07140">
              <w:rPr>
                <w:rFonts w:eastAsia="Times New Roman" w:cs="Calibri"/>
                <w:color w:val="000000"/>
                <w:sz w:val="18"/>
                <w:szCs w:val="18"/>
                <w:lang w:eastAsia="el-GR"/>
              </w:rPr>
              <w:t>49.624</w:t>
            </w:r>
          </w:p>
        </w:tc>
        <w:tc>
          <w:tcPr>
            <w:tcW w:w="121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B5F53BB" w14:textId="77777777" w:rsidR="00D07140" w:rsidRPr="00D07140" w:rsidRDefault="00D07140" w:rsidP="009741B0">
            <w:pPr>
              <w:spacing w:after="0" w:line="240" w:lineRule="auto"/>
              <w:jc w:val="center"/>
              <w:rPr>
                <w:rFonts w:eastAsia="Times New Roman" w:cs="Calibri"/>
                <w:color w:val="000000"/>
                <w:sz w:val="18"/>
                <w:szCs w:val="18"/>
                <w:lang w:eastAsia="el-GR"/>
              </w:rPr>
            </w:pPr>
            <w:r w:rsidRPr="00D07140">
              <w:rPr>
                <w:rFonts w:eastAsia="Times New Roman" w:cs="Calibri"/>
                <w:color w:val="000000"/>
                <w:sz w:val="18"/>
                <w:szCs w:val="18"/>
                <w:lang w:eastAsia="el-GR"/>
              </w:rPr>
              <w:t>59.523</w:t>
            </w:r>
          </w:p>
        </w:tc>
        <w:tc>
          <w:tcPr>
            <w:tcW w:w="116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31C0DF7" w14:textId="77777777" w:rsidR="00D07140" w:rsidRPr="00D07140" w:rsidRDefault="00D07140" w:rsidP="009741B0">
            <w:pPr>
              <w:spacing w:after="0" w:line="240" w:lineRule="auto"/>
              <w:jc w:val="center"/>
              <w:rPr>
                <w:rFonts w:eastAsia="Times New Roman" w:cs="Calibri"/>
                <w:color w:val="000000"/>
                <w:sz w:val="18"/>
                <w:szCs w:val="18"/>
                <w:lang w:eastAsia="el-GR"/>
              </w:rPr>
            </w:pPr>
            <w:r w:rsidRPr="00D07140">
              <w:rPr>
                <w:rFonts w:eastAsia="Times New Roman" w:cs="Calibri"/>
                <w:color w:val="000000"/>
                <w:sz w:val="18"/>
                <w:szCs w:val="18"/>
                <w:lang w:eastAsia="el-GR"/>
              </w:rPr>
              <w:t>16,63%</w:t>
            </w:r>
          </w:p>
        </w:tc>
        <w:tc>
          <w:tcPr>
            <w:tcW w:w="1293"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6509F2F" w14:textId="77777777" w:rsidR="00D07140" w:rsidRPr="00D07140" w:rsidRDefault="00D07140" w:rsidP="009741B0">
            <w:pPr>
              <w:spacing w:after="0" w:line="240" w:lineRule="auto"/>
              <w:jc w:val="center"/>
              <w:rPr>
                <w:rFonts w:eastAsia="Times New Roman" w:cs="Calibri"/>
                <w:color w:val="000000"/>
                <w:sz w:val="18"/>
                <w:szCs w:val="18"/>
                <w:lang w:eastAsia="el-GR"/>
              </w:rPr>
            </w:pPr>
            <w:r w:rsidRPr="00D07140">
              <w:rPr>
                <w:rFonts w:eastAsia="Times New Roman" w:cs="Calibri"/>
                <w:color w:val="000000"/>
                <w:sz w:val="18"/>
                <w:szCs w:val="18"/>
                <w:lang w:eastAsia="el-GR"/>
              </w:rPr>
              <w:t>49.284</w:t>
            </w:r>
          </w:p>
        </w:tc>
      </w:tr>
      <w:tr w:rsidR="00D07140" w:rsidRPr="00D07140" w14:paraId="18748673" w14:textId="77777777" w:rsidTr="00660743">
        <w:trPr>
          <w:trHeight w:val="245"/>
        </w:trPr>
        <w:tc>
          <w:tcPr>
            <w:tcW w:w="340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D42101" w14:textId="77777777" w:rsidR="00D07140" w:rsidRPr="00D07140" w:rsidRDefault="00D07140" w:rsidP="009741B0">
            <w:pPr>
              <w:spacing w:after="0" w:line="240" w:lineRule="auto"/>
              <w:jc w:val="left"/>
              <w:rPr>
                <w:rFonts w:eastAsia="Times New Roman" w:cs="Calibri"/>
                <w:color w:val="000000"/>
                <w:sz w:val="18"/>
                <w:szCs w:val="18"/>
                <w:lang w:eastAsia="el-GR"/>
              </w:rPr>
            </w:pPr>
            <w:r w:rsidRPr="00D07140">
              <w:rPr>
                <w:rFonts w:eastAsia="Times New Roman" w:cs="Calibri"/>
                <w:color w:val="000000"/>
                <w:sz w:val="18"/>
                <w:szCs w:val="18"/>
                <w:lang w:eastAsia="el-GR"/>
              </w:rPr>
              <w:t>Παροχές σε εργαζόμενους</w:t>
            </w:r>
          </w:p>
        </w:tc>
        <w:tc>
          <w:tcPr>
            <w:tcW w:w="129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90323A5" w14:textId="77777777" w:rsidR="00D07140" w:rsidRPr="00D07140" w:rsidRDefault="00D07140" w:rsidP="009741B0">
            <w:pPr>
              <w:spacing w:after="0" w:line="240" w:lineRule="auto"/>
              <w:jc w:val="center"/>
              <w:rPr>
                <w:rFonts w:eastAsia="Times New Roman" w:cs="Calibri"/>
                <w:color w:val="000000"/>
                <w:sz w:val="18"/>
                <w:szCs w:val="18"/>
                <w:lang w:eastAsia="el-GR"/>
              </w:rPr>
            </w:pPr>
            <w:r w:rsidRPr="00D07140">
              <w:rPr>
                <w:rFonts w:eastAsia="Times New Roman" w:cs="Calibri"/>
                <w:color w:val="000000"/>
                <w:sz w:val="18"/>
                <w:szCs w:val="18"/>
                <w:lang w:eastAsia="el-GR"/>
              </w:rPr>
              <w:t>13.247</w:t>
            </w:r>
          </w:p>
        </w:tc>
        <w:tc>
          <w:tcPr>
            <w:tcW w:w="12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87B2338" w14:textId="77777777" w:rsidR="00D07140" w:rsidRPr="00D07140" w:rsidRDefault="00D07140" w:rsidP="009741B0">
            <w:pPr>
              <w:spacing w:after="0" w:line="240" w:lineRule="auto"/>
              <w:jc w:val="center"/>
              <w:rPr>
                <w:rFonts w:eastAsia="Times New Roman" w:cs="Calibri"/>
                <w:color w:val="000000"/>
                <w:sz w:val="18"/>
                <w:szCs w:val="18"/>
                <w:lang w:eastAsia="el-GR"/>
              </w:rPr>
            </w:pPr>
            <w:r w:rsidRPr="00D07140">
              <w:rPr>
                <w:rFonts w:eastAsia="Times New Roman" w:cs="Calibri"/>
                <w:color w:val="000000"/>
                <w:sz w:val="18"/>
                <w:szCs w:val="18"/>
                <w:lang w:eastAsia="el-GR"/>
              </w:rPr>
              <w:t>13.335</w:t>
            </w:r>
          </w:p>
        </w:tc>
        <w:tc>
          <w:tcPr>
            <w:tcW w:w="11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702F09E" w14:textId="77777777" w:rsidR="00D07140" w:rsidRPr="00D07140" w:rsidRDefault="00D07140" w:rsidP="009741B0">
            <w:pPr>
              <w:spacing w:after="0" w:line="240" w:lineRule="auto"/>
              <w:jc w:val="center"/>
              <w:rPr>
                <w:rFonts w:eastAsia="Times New Roman" w:cs="Calibri"/>
                <w:color w:val="000000"/>
                <w:sz w:val="18"/>
                <w:szCs w:val="18"/>
                <w:lang w:eastAsia="el-GR"/>
              </w:rPr>
            </w:pPr>
            <w:r w:rsidRPr="00D07140">
              <w:rPr>
                <w:rFonts w:eastAsia="Times New Roman" w:cs="Calibri"/>
                <w:color w:val="000000"/>
                <w:sz w:val="18"/>
                <w:szCs w:val="18"/>
                <w:lang w:eastAsia="el-GR"/>
              </w:rPr>
              <w:t>0,66%</w:t>
            </w:r>
          </w:p>
        </w:tc>
        <w:tc>
          <w:tcPr>
            <w:tcW w:w="12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6D585A3" w14:textId="77777777" w:rsidR="00D07140" w:rsidRPr="00D07140" w:rsidRDefault="00D07140" w:rsidP="009741B0">
            <w:pPr>
              <w:spacing w:after="0" w:line="240" w:lineRule="auto"/>
              <w:jc w:val="center"/>
              <w:rPr>
                <w:rFonts w:eastAsia="Times New Roman" w:cs="Calibri"/>
                <w:color w:val="000000"/>
                <w:sz w:val="18"/>
                <w:szCs w:val="18"/>
                <w:lang w:eastAsia="el-GR"/>
              </w:rPr>
            </w:pPr>
            <w:r w:rsidRPr="00D07140">
              <w:rPr>
                <w:rFonts w:eastAsia="Times New Roman" w:cs="Calibri"/>
                <w:color w:val="000000"/>
                <w:sz w:val="18"/>
                <w:szCs w:val="18"/>
                <w:lang w:eastAsia="el-GR"/>
              </w:rPr>
              <w:t>13.403</w:t>
            </w:r>
          </w:p>
        </w:tc>
      </w:tr>
      <w:tr w:rsidR="00D07140" w:rsidRPr="00D07140" w14:paraId="75FADD50" w14:textId="77777777" w:rsidTr="00660743">
        <w:trPr>
          <w:trHeight w:val="245"/>
        </w:trPr>
        <w:tc>
          <w:tcPr>
            <w:tcW w:w="340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956A126" w14:textId="77777777" w:rsidR="00D07140" w:rsidRPr="00D07140" w:rsidRDefault="00D07140" w:rsidP="009741B0">
            <w:pPr>
              <w:spacing w:after="0" w:line="240" w:lineRule="auto"/>
              <w:jc w:val="center"/>
              <w:rPr>
                <w:rFonts w:eastAsia="Times New Roman" w:cs="Calibri"/>
                <w:i/>
                <w:iCs/>
                <w:color w:val="000000"/>
                <w:sz w:val="18"/>
                <w:szCs w:val="18"/>
                <w:lang w:eastAsia="el-GR"/>
              </w:rPr>
            </w:pPr>
            <w:r w:rsidRPr="00D07140">
              <w:rPr>
                <w:rFonts w:eastAsia="Times New Roman" w:cs="Calibri"/>
                <w:i/>
                <w:iCs/>
                <w:color w:val="000000"/>
                <w:sz w:val="18"/>
                <w:szCs w:val="18"/>
                <w:lang w:eastAsia="el-GR"/>
              </w:rPr>
              <w:t>εκ των οποίων: Μικτές αποδοχές</w:t>
            </w:r>
          </w:p>
        </w:tc>
        <w:tc>
          <w:tcPr>
            <w:tcW w:w="129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711190" w14:textId="77777777" w:rsidR="00D07140" w:rsidRPr="00D07140" w:rsidRDefault="00D07140" w:rsidP="009741B0">
            <w:pPr>
              <w:spacing w:after="0" w:line="240" w:lineRule="auto"/>
              <w:jc w:val="center"/>
              <w:rPr>
                <w:rFonts w:eastAsia="Times New Roman" w:cs="Calibri"/>
                <w:i/>
                <w:iCs/>
                <w:color w:val="000000"/>
                <w:sz w:val="18"/>
                <w:szCs w:val="18"/>
                <w:lang w:eastAsia="el-GR"/>
              </w:rPr>
            </w:pPr>
            <w:r w:rsidRPr="00D07140">
              <w:rPr>
                <w:rFonts w:eastAsia="Times New Roman" w:cs="Calibri"/>
                <w:i/>
                <w:iCs/>
                <w:color w:val="000000"/>
                <w:sz w:val="18"/>
                <w:szCs w:val="18"/>
                <w:lang w:eastAsia="el-GR"/>
              </w:rPr>
              <w:t>11.506</w:t>
            </w:r>
          </w:p>
        </w:tc>
        <w:tc>
          <w:tcPr>
            <w:tcW w:w="12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BBB8439" w14:textId="77777777" w:rsidR="00D07140" w:rsidRPr="00D07140" w:rsidRDefault="00D07140" w:rsidP="009741B0">
            <w:pPr>
              <w:spacing w:after="0" w:line="240" w:lineRule="auto"/>
              <w:jc w:val="center"/>
              <w:rPr>
                <w:rFonts w:eastAsia="Times New Roman" w:cs="Calibri"/>
                <w:i/>
                <w:iCs/>
                <w:color w:val="000000"/>
                <w:sz w:val="18"/>
                <w:szCs w:val="18"/>
                <w:lang w:eastAsia="el-GR"/>
              </w:rPr>
            </w:pPr>
            <w:r w:rsidRPr="00D07140">
              <w:rPr>
                <w:rFonts w:eastAsia="Times New Roman" w:cs="Calibri"/>
                <w:i/>
                <w:iCs/>
                <w:color w:val="000000"/>
                <w:sz w:val="18"/>
                <w:szCs w:val="18"/>
                <w:lang w:eastAsia="el-GR"/>
              </w:rPr>
              <w:t>11.294</w:t>
            </w:r>
          </w:p>
        </w:tc>
        <w:tc>
          <w:tcPr>
            <w:tcW w:w="11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3CC606A" w14:textId="77777777" w:rsidR="00D07140" w:rsidRPr="00D07140" w:rsidRDefault="00D07140" w:rsidP="009741B0">
            <w:pPr>
              <w:spacing w:after="0" w:line="240" w:lineRule="auto"/>
              <w:jc w:val="center"/>
              <w:rPr>
                <w:rFonts w:eastAsia="Times New Roman" w:cs="Calibri"/>
                <w:color w:val="000000"/>
                <w:sz w:val="18"/>
                <w:szCs w:val="18"/>
                <w:lang w:eastAsia="el-GR"/>
              </w:rPr>
            </w:pPr>
            <w:r w:rsidRPr="00D07140">
              <w:rPr>
                <w:rFonts w:eastAsia="Times New Roman" w:cs="Calibri"/>
                <w:color w:val="000000"/>
                <w:sz w:val="18"/>
                <w:szCs w:val="18"/>
                <w:lang w:eastAsia="el-GR"/>
              </w:rPr>
              <w:t>-1,84%</w:t>
            </w:r>
          </w:p>
        </w:tc>
        <w:tc>
          <w:tcPr>
            <w:tcW w:w="12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29B96F5" w14:textId="77777777" w:rsidR="00D07140" w:rsidRPr="00D07140" w:rsidRDefault="00D07140" w:rsidP="009741B0">
            <w:pPr>
              <w:spacing w:after="0" w:line="240" w:lineRule="auto"/>
              <w:jc w:val="center"/>
              <w:rPr>
                <w:rFonts w:eastAsia="Times New Roman" w:cs="Calibri"/>
                <w:i/>
                <w:iCs/>
                <w:color w:val="000000"/>
                <w:sz w:val="18"/>
                <w:szCs w:val="18"/>
                <w:lang w:eastAsia="el-GR"/>
              </w:rPr>
            </w:pPr>
            <w:r w:rsidRPr="00D07140">
              <w:rPr>
                <w:rFonts w:eastAsia="Times New Roman" w:cs="Calibri"/>
                <w:i/>
                <w:iCs/>
                <w:color w:val="000000"/>
                <w:sz w:val="18"/>
                <w:szCs w:val="18"/>
                <w:lang w:eastAsia="el-GR"/>
              </w:rPr>
              <w:t>11.293</w:t>
            </w:r>
          </w:p>
        </w:tc>
      </w:tr>
      <w:tr w:rsidR="00D07140" w:rsidRPr="00D07140" w14:paraId="3DABAC9D" w14:textId="77777777" w:rsidTr="00660743">
        <w:trPr>
          <w:trHeight w:val="245"/>
        </w:trPr>
        <w:tc>
          <w:tcPr>
            <w:tcW w:w="340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4093BA0" w14:textId="77777777" w:rsidR="00D07140" w:rsidRPr="00D07140" w:rsidRDefault="00D07140" w:rsidP="009741B0">
            <w:pPr>
              <w:spacing w:after="0" w:line="240" w:lineRule="auto"/>
              <w:jc w:val="center"/>
              <w:rPr>
                <w:rFonts w:eastAsia="Times New Roman" w:cs="Calibri"/>
                <w:i/>
                <w:iCs/>
                <w:color w:val="000000"/>
                <w:sz w:val="18"/>
                <w:szCs w:val="18"/>
                <w:lang w:eastAsia="el-GR"/>
              </w:rPr>
            </w:pPr>
            <w:r w:rsidRPr="00D07140">
              <w:rPr>
                <w:rFonts w:eastAsia="Times New Roman" w:cs="Calibri"/>
                <w:i/>
                <w:iCs/>
                <w:color w:val="000000"/>
                <w:sz w:val="18"/>
                <w:szCs w:val="18"/>
                <w:lang w:eastAsia="el-GR"/>
              </w:rPr>
              <w:t xml:space="preserve">       εκ των οποίων: Εργοδοτικές Εισφορές</w:t>
            </w:r>
          </w:p>
        </w:tc>
        <w:tc>
          <w:tcPr>
            <w:tcW w:w="129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14142D0" w14:textId="77777777" w:rsidR="00D07140" w:rsidRPr="00D07140" w:rsidRDefault="00D07140" w:rsidP="009741B0">
            <w:pPr>
              <w:spacing w:after="0" w:line="240" w:lineRule="auto"/>
              <w:jc w:val="center"/>
              <w:rPr>
                <w:rFonts w:eastAsia="Times New Roman" w:cs="Calibri"/>
                <w:i/>
                <w:iCs/>
                <w:color w:val="000000"/>
                <w:sz w:val="18"/>
                <w:szCs w:val="18"/>
                <w:lang w:eastAsia="el-GR"/>
              </w:rPr>
            </w:pPr>
            <w:r w:rsidRPr="00D07140">
              <w:rPr>
                <w:rFonts w:eastAsia="Times New Roman" w:cs="Calibri"/>
                <w:i/>
                <w:iCs/>
                <w:color w:val="000000"/>
                <w:sz w:val="18"/>
                <w:szCs w:val="18"/>
                <w:lang w:eastAsia="el-GR"/>
              </w:rPr>
              <w:t>1.741</w:t>
            </w:r>
          </w:p>
        </w:tc>
        <w:tc>
          <w:tcPr>
            <w:tcW w:w="12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AD0FAA" w14:textId="77777777" w:rsidR="00D07140" w:rsidRPr="00D07140" w:rsidRDefault="00D07140" w:rsidP="009741B0">
            <w:pPr>
              <w:spacing w:after="0" w:line="240" w:lineRule="auto"/>
              <w:jc w:val="center"/>
              <w:rPr>
                <w:rFonts w:eastAsia="Times New Roman" w:cs="Calibri"/>
                <w:i/>
                <w:iCs/>
                <w:color w:val="000000"/>
                <w:sz w:val="18"/>
                <w:szCs w:val="18"/>
                <w:lang w:eastAsia="el-GR"/>
              </w:rPr>
            </w:pPr>
            <w:r w:rsidRPr="00D07140">
              <w:rPr>
                <w:rFonts w:eastAsia="Times New Roman" w:cs="Calibri"/>
                <w:i/>
                <w:iCs/>
                <w:color w:val="000000"/>
                <w:sz w:val="18"/>
                <w:szCs w:val="18"/>
                <w:lang w:eastAsia="el-GR"/>
              </w:rPr>
              <w:t>2.041</w:t>
            </w:r>
          </w:p>
        </w:tc>
        <w:tc>
          <w:tcPr>
            <w:tcW w:w="11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D3EA807" w14:textId="77777777" w:rsidR="00D07140" w:rsidRPr="00D07140" w:rsidRDefault="00D07140" w:rsidP="009741B0">
            <w:pPr>
              <w:spacing w:after="0" w:line="240" w:lineRule="auto"/>
              <w:jc w:val="center"/>
              <w:rPr>
                <w:rFonts w:eastAsia="Times New Roman" w:cs="Calibri"/>
                <w:color w:val="000000"/>
                <w:sz w:val="18"/>
                <w:szCs w:val="18"/>
                <w:lang w:eastAsia="el-GR"/>
              </w:rPr>
            </w:pPr>
            <w:r w:rsidRPr="00D07140">
              <w:rPr>
                <w:rFonts w:eastAsia="Times New Roman" w:cs="Calibri"/>
                <w:color w:val="000000"/>
                <w:sz w:val="18"/>
                <w:szCs w:val="18"/>
                <w:lang w:eastAsia="el-GR"/>
              </w:rPr>
              <w:t>17,23%</w:t>
            </w:r>
          </w:p>
        </w:tc>
        <w:tc>
          <w:tcPr>
            <w:tcW w:w="12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C0E204" w14:textId="77777777" w:rsidR="00D07140" w:rsidRPr="00D07140" w:rsidRDefault="00D07140" w:rsidP="009741B0">
            <w:pPr>
              <w:spacing w:after="0" w:line="240" w:lineRule="auto"/>
              <w:jc w:val="center"/>
              <w:rPr>
                <w:rFonts w:eastAsia="Times New Roman" w:cs="Calibri"/>
                <w:i/>
                <w:iCs/>
                <w:color w:val="000000"/>
                <w:sz w:val="18"/>
                <w:szCs w:val="18"/>
                <w:lang w:eastAsia="el-GR"/>
              </w:rPr>
            </w:pPr>
            <w:r w:rsidRPr="00D07140">
              <w:rPr>
                <w:rFonts w:eastAsia="Times New Roman" w:cs="Calibri"/>
                <w:i/>
                <w:iCs/>
                <w:color w:val="000000"/>
                <w:sz w:val="18"/>
                <w:szCs w:val="18"/>
                <w:lang w:eastAsia="el-GR"/>
              </w:rPr>
              <w:t>2.110</w:t>
            </w:r>
          </w:p>
        </w:tc>
      </w:tr>
      <w:tr w:rsidR="00D07140" w:rsidRPr="00D07140" w14:paraId="009FC80B" w14:textId="77777777" w:rsidTr="00660743">
        <w:trPr>
          <w:trHeight w:val="296"/>
        </w:trPr>
        <w:tc>
          <w:tcPr>
            <w:tcW w:w="340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E09D1EE" w14:textId="77777777" w:rsidR="00D07140" w:rsidRPr="00D07140" w:rsidRDefault="00D07140" w:rsidP="009741B0">
            <w:pPr>
              <w:spacing w:after="0" w:line="240" w:lineRule="auto"/>
              <w:jc w:val="left"/>
              <w:rPr>
                <w:rFonts w:eastAsia="Times New Roman" w:cs="Calibri"/>
                <w:color w:val="000000"/>
                <w:sz w:val="18"/>
                <w:szCs w:val="18"/>
                <w:lang w:eastAsia="el-GR"/>
              </w:rPr>
            </w:pPr>
            <w:r w:rsidRPr="00D07140">
              <w:rPr>
                <w:rFonts w:eastAsia="Times New Roman" w:cs="Calibri"/>
                <w:color w:val="000000"/>
                <w:sz w:val="18"/>
                <w:szCs w:val="18"/>
                <w:lang w:eastAsia="el-GR"/>
              </w:rPr>
              <w:t>Κοινωνικές Παροχές</w:t>
            </w:r>
          </w:p>
        </w:tc>
        <w:tc>
          <w:tcPr>
            <w:tcW w:w="129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9C7A1ED" w14:textId="77777777" w:rsidR="00D07140" w:rsidRPr="00D07140" w:rsidRDefault="00D07140" w:rsidP="009741B0">
            <w:pPr>
              <w:spacing w:after="0" w:line="240" w:lineRule="auto"/>
              <w:jc w:val="center"/>
              <w:rPr>
                <w:rFonts w:eastAsia="Times New Roman" w:cs="Calibri"/>
                <w:color w:val="000000"/>
                <w:sz w:val="18"/>
                <w:szCs w:val="18"/>
                <w:lang w:eastAsia="el-GR"/>
              </w:rPr>
            </w:pPr>
            <w:r w:rsidRPr="00D07140">
              <w:rPr>
                <w:rFonts w:eastAsia="Times New Roman" w:cs="Calibri"/>
                <w:color w:val="000000"/>
                <w:sz w:val="18"/>
                <w:szCs w:val="18"/>
                <w:lang w:eastAsia="el-GR"/>
              </w:rPr>
              <w:t>653</w:t>
            </w:r>
          </w:p>
        </w:tc>
        <w:tc>
          <w:tcPr>
            <w:tcW w:w="12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9BF4B6" w14:textId="77777777" w:rsidR="00D07140" w:rsidRPr="00D07140" w:rsidRDefault="00D07140" w:rsidP="009741B0">
            <w:pPr>
              <w:spacing w:after="0" w:line="240" w:lineRule="auto"/>
              <w:jc w:val="center"/>
              <w:rPr>
                <w:rFonts w:eastAsia="Times New Roman" w:cs="Calibri"/>
                <w:color w:val="000000"/>
                <w:sz w:val="18"/>
                <w:szCs w:val="18"/>
                <w:lang w:eastAsia="el-GR"/>
              </w:rPr>
            </w:pPr>
            <w:r w:rsidRPr="00D07140">
              <w:rPr>
                <w:rFonts w:eastAsia="Times New Roman" w:cs="Calibri"/>
                <w:color w:val="000000"/>
                <w:sz w:val="18"/>
                <w:szCs w:val="18"/>
                <w:lang w:eastAsia="el-GR"/>
              </w:rPr>
              <w:t>137</w:t>
            </w:r>
          </w:p>
        </w:tc>
        <w:tc>
          <w:tcPr>
            <w:tcW w:w="11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C07CE5F" w14:textId="77777777" w:rsidR="00D07140" w:rsidRPr="00D07140" w:rsidRDefault="00D07140" w:rsidP="009741B0">
            <w:pPr>
              <w:spacing w:after="0" w:line="240" w:lineRule="auto"/>
              <w:jc w:val="center"/>
              <w:rPr>
                <w:rFonts w:eastAsia="Times New Roman" w:cs="Calibri"/>
                <w:color w:val="000000"/>
                <w:sz w:val="18"/>
                <w:szCs w:val="18"/>
                <w:lang w:eastAsia="el-GR"/>
              </w:rPr>
            </w:pPr>
            <w:r w:rsidRPr="00D07140">
              <w:rPr>
                <w:rFonts w:eastAsia="Times New Roman" w:cs="Calibri"/>
                <w:color w:val="000000"/>
                <w:sz w:val="18"/>
                <w:szCs w:val="18"/>
                <w:lang w:eastAsia="el-GR"/>
              </w:rPr>
              <w:t>-79,02%</w:t>
            </w:r>
          </w:p>
        </w:tc>
        <w:tc>
          <w:tcPr>
            <w:tcW w:w="12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84EDB3" w14:textId="77777777" w:rsidR="00D07140" w:rsidRPr="00D07140" w:rsidRDefault="00D07140" w:rsidP="009741B0">
            <w:pPr>
              <w:spacing w:after="0" w:line="240" w:lineRule="auto"/>
              <w:jc w:val="center"/>
              <w:rPr>
                <w:rFonts w:eastAsia="Times New Roman" w:cs="Calibri"/>
                <w:color w:val="000000"/>
                <w:sz w:val="18"/>
                <w:szCs w:val="18"/>
                <w:lang w:eastAsia="el-GR"/>
              </w:rPr>
            </w:pPr>
            <w:r w:rsidRPr="00D07140">
              <w:rPr>
                <w:rFonts w:eastAsia="Times New Roman" w:cs="Calibri"/>
                <w:color w:val="000000"/>
                <w:sz w:val="18"/>
                <w:szCs w:val="18"/>
                <w:lang w:eastAsia="el-GR"/>
              </w:rPr>
              <w:t>134</w:t>
            </w:r>
          </w:p>
        </w:tc>
      </w:tr>
      <w:tr w:rsidR="00D07140" w:rsidRPr="00D07140" w14:paraId="2346CB7A" w14:textId="77777777" w:rsidTr="00660743">
        <w:trPr>
          <w:trHeight w:val="270"/>
        </w:trPr>
        <w:tc>
          <w:tcPr>
            <w:tcW w:w="340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CCA0393" w14:textId="77777777" w:rsidR="00D07140" w:rsidRPr="00D07140" w:rsidRDefault="00D07140" w:rsidP="009741B0">
            <w:pPr>
              <w:spacing w:after="0" w:line="240" w:lineRule="auto"/>
              <w:jc w:val="left"/>
              <w:rPr>
                <w:rFonts w:eastAsia="Times New Roman" w:cs="Calibri"/>
                <w:color w:val="000000"/>
                <w:sz w:val="18"/>
                <w:szCs w:val="18"/>
                <w:lang w:eastAsia="el-GR"/>
              </w:rPr>
            </w:pPr>
            <w:r w:rsidRPr="00D07140">
              <w:rPr>
                <w:rFonts w:eastAsia="Times New Roman" w:cs="Calibri"/>
                <w:color w:val="000000"/>
                <w:sz w:val="18"/>
                <w:szCs w:val="18"/>
                <w:lang w:eastAsia="el-GR"/>
              </w:rPr>
              <w:t xml:space="preserve">Μεταβιβάσεις   </w:t>
            </w:r>
          </w:p>
        </w:tc>
        <w:tc>
          <w:tcPr>
            <w:tcW w:w="129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CF7CD02" w14:textId="77777777" w:rsidR="00D07140" w:rsidRPr="00D07140" w:rsidRDefault="00D07140" w:rsidP="009741B0">
            <w:pPr>
              <w:spacing w:after="0" w:line="240" w:lineRule="auto"/>
              <w:jc w:val="center"/>
              <w:rPr>
                <w:rFonts w:eastAsia="Times New Roman" w:cs="Calibri"/>
                <w:color w:val="000000"/>
                <w:sz w:val="18"/>
                <w:szCs w:val="18"/>
                <w:lang w:eastAsia="el-GR"/>
              </w:rPr>
            </w:pPr>
            <w:r w:rsidRPr="00D07140">
              <w:rPr>
                <w:rFonts w:eastAsia="Times New Roman" w:cs="Calibri"/>
                <w:color w:val="000000"/>
                <w:sz w:val="18"/>
                <w:szCs w:val="18"/>
                <w:lang w:eastAsia="el-GR"/>
              </w:rPr>
              <w:t>28.205</w:t>
            </w:r>
          </w:p>
        </w:tc>
        <w:tc>
          <w:tcPr>
            <w:tcW w:w="12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980AA52" w14:textId="77777777" w:rsidR="00D07140" w:rsidRPr="00D07140" w:rsidRDefault="00D07140" w:rsidP="009741B0">
            <w:pPr>
              <w:spacing w:after="0" w:line="240" w:lineRule="auto"/>
              <w:jc w:val="center"/>
              <w:rPr>
                <w:rFonts w:eastAsia="Times New Roman" w:cs="Calibri"/>
                <w:color w:val="000000"/>
                <w:sz w:val="18"/>
                <w:szCs w:val="18"/>
                <w:lang w:eastAsia="el-GR"/>
              </w:rPr>
            </w:pPr>
            <w:r w:rsidRPr="00D07140">
              <w:rPr>
                <w:rFonts w:eastAsia="Times New Roman" w:cs="Calibri"/>
                <w:color w:val="000000"/>
                <w:sz w:val="18"/>
                <w:szCs w:val="18"/>
                <w:lang w:eastAsia="el-GR"/>
              </w:rPr>
              <w:t>38.751</w:t>
            </w:r>
          </w:p>
        </w:tc>
        <w:tc>
          <w:tcPr>
            <w:tcW w:w="11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812CCD4" w14:textId="77777777" w:rsidR="00D07140" w:rsidRPr="00D07140" w:rsidRDefault="00D07140" w:rsidP="009741B0">
            <w:pPr>
              <w:spacing w:after="0" w:line="240" w:lineRule="auto"/>
              <w:jc w:val="center"/>
              <w:rPr>
                <w:rFonts w:eastAsia="Times New Roman" w:cs="Calibri"/>
                <w:color w:val="000000"/>
                <w:sz w:val="18"/>
                <w:szCs w:val="18"/>
                <w:lang w:eastAsia="el-GR"/>
              </w:rPr>
            </w:pPr>
            <w:r w:rsidRPr="00D07140">
              <w:rPr>
                <w:rFonts w:eastAsia="Times New Roman" w:cs="Calibri"/>
                <w:color w:val="000000"/>
                <w:sz w:val="18"/>
                <w:szCs w:val="18"/>
                <w:lang w:eastAsia="el-GR"/>
              </w:rPr>
              <w:t>37,39%</w:t>
            </w:r>
          </w:p>
        </w:tc>
        <w:tc>
          <w:tcPr>
            <w:tcW w:w="12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48ADF7" w14:textId="77777777" w:rsidR="00D07140" w:rsidRPr="00D07140" w:rsidRDefault="00D07140" w:rsidP="009741B0">
            <w:pPr>
              <w:spacing w:after="0" w:line="240" w:lineRule="auto"/>
              <w:jc w:val="center"/>
              <w:rPr>
                <w:rFonts w:eastAsia="Times New Roman" w:cs="Calibri"/>
                <w:color w:val="000000"/>
                <w:sz w:val="18"/>
                <w:szCs w:val="18"/>
                <w:lang w:eastAsia="el-GR"/>
              </w:rPr>
            </w:pPr>
            <w:r w:rsidRPr="00D07140">
              <w:rPr>
                <w:rFonts w:eastAsia="Times New Roman" w:cs="Calibri"/>
                <w:color w:val="000000"/>
                <w:sz w:val="18"/>
                <w:szCs w:val="18"/>
                <w:lang w:eastAsia="el-GR"/>
              </w:rPr>
              <w:t>27.824</w:t>
            </w:r>
          </w:p>
        </w:tc>
      </w:tr>
      <w:tr w:rsidR="00D07140" w:rsidRPr="00D07140" w14:paraId="6D3477DA" w14:textId="77777777" w:rsidTr="00660743">
        <w:trPr>
          <w:trHeight w:val="669"/>
        </w:trPr>
        <w:tc>
          <w:tcPr>
            <w:tcW w:w="340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DF8CCC7" w14:textId="77777777" w:rsidR="00D07140" w:rsidRPr="00D07140" w:rsidRDefault="00D07140" w:rsidP="009741B0">
            <w:pPr>
              <w:spacing w:after="0" w:line="240" w:lineRule="auto"/>
              <w:rPr>
                <w:rFonts w:eastAsia="Times New Roman" w:cs="Calibri"/>
                <w:i/>
                <w:iCs/>
                <w:color w:val="000000"/>
                <w:sz w:val="18"/>
                <w:szCs w:val="18"/>
                <w:lang w:eastAsia="el-GR"/>
              </w:rPr>
            </w:pPr>
            <w:r w:rsidRPr="00D07140">
              <w:rPr>
                <w:rFonts w:eastAsia="Times New Roman" w:cs="Calibri"/>
                <w:i/>
                <w:iCs/>
                <w:color w:val="000000"/>
                <w:sz w:val="18"/>
                <w:szCs w:val="18"/>
                <w:lang w:eastAsia="el-GR"/>
              </w:rPr>
              <w:t xml:space="preserve">        εκ των οποίων: Εγχώριες Μεταβιβάσεις (Νοσοκομεία, ΟΤΑ, ΟΚΑ, ΝΠ)</w:t>
            </w:r>
          </w:p>
        </w:tc>
        <w:tc>
          <w:tcPr>
            <w:tcW w:w="129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D4D6BD" w14:textId="77777777" w:rsidR="00D07140" w:rsidRPr="00D07140" w:rsidRDefault="00D07140" w:rsidP="009741B0">
            <w:pPr>
              <w:spacing w:after="0" w:line="240" w:lineRule="auto"/>
              <w:jc w:val="center"/>
              <w:rPr>
                <w:rFonts w:eastAsia="Times New Roman" w:cs="Calibri"/>
                <w:i/>
                <w:iCs/>
                <w:color w:val="000000"/>
                <w:sz w:val="18"/>
                <w:szCs w:val="18"/>
                <w:lang w:eastAsia="el-GR"/>
              </w:rPr>
            </w:pPr>
            <w:r w:rsidRPr="00D07140">
              <w:rPr>
                <w:rFonts w:eastAsia="Times New Roman" w:cs="Calibri"/>
                <w:i/>
                <w:iCs/>
                <w:color w:val="000000"/>
                <w:sz w:val="18"/>
                <w:szCs w:val="18"/>
                <w:lang w:eastAsia="el-GR"/>
              </w:rPr>
              <w:t>24.925</w:t>
            </w:r>
          </w:p>
        </w:tc>
        <w:tc>
          <w:tcPr>
            <w:tcW w:w="12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C3F18F5" w14:textId="77777777" w:rsidR="00D07140" w:rsidRPr="00D07140" w:rsidRDefault="00D07140" w:rsidP="009741B0">
            <w:pPr>
              <w:spacing w:after="0" w:line="240" w:lineRule="auto"/>
              <w:jc w:val="center"/>
              <w:rPr>
                <w:rFonts w:eastAsia="Times New Roman" w:cs="Calibri"/>
                <w:i/>
                <w:iCs/>
                <w:color w:val="000000"/>
                <w:sz w:val="18"/>
                <w:szCs w:val="18"/>
                <w:lang w:eastAsia="el-GR"/>
              </w:rPr>
            </w:pPr>
            <w:r w:rsidRPr="00D07140">
              <w:rPr>
                <w:rFonts w:eastAsia="Times New Roman" w:cs="Calibri"/>
                <w:i/>
                <w:iCs/>
                <w:color w:val="000000"/>
                <w:sz w:val="18"/>
                <w:szCs w:val="18"/>
                <w:lang w:eastAsia="el-GR"/>
              </w:rPr>
              <w:t>32.872</w:t>
            </w:r>
          </w:p>
        </w:tc>
        <w:tc>
          <w:tcPr>
            <w:tcW w:w="11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AD3210" w14:textId="77777777" w:rsidR="00D07140" w:rsidRPr="00D07140" w:rsidRDefault="00D07140" w:rsidP="009741B0">
            <w:pPr>
              <w:spacing w:after="0" w:line="240" w:lineRule="auto"/>
              <w:jc w:val="center"/>
              <w:rPr>
                <w:rFonts w:eastAsia="Times New Roman" w:cs="Calibri"/>
                <w:color w:val="000000"/>
                <w:sz w:val="18"/>
                <w:szCs w:val="18"/>
                <w:lang w:eastAsia="el-GR"/>
              </w:rPr>
            </w:pPr>
            <w:r w:rsidRPr="00D07140">
              <w:rPr>
                <w:rFonts w:eastAsia="Times New Roman" w:cs="Calibri"/>
                <w:color w:val="000000"/>
                <w:sz w:val="18"/>
                <w:szCs w:val="18"/>
                <w:lang w:eastAsia="el-GR"/>
              </w:rPr>
              <w:t>31,88%</w:t>
            </w:r>
          </w:p>
        </w:tc>
        <w:tc>
          <w:tcPr>
            <w:tcW w:w="12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667F74" w14:textId="77777777" w:rsidR="00D07140" w:rsidRPr="00D07140" w:rsidRDefault="00D07140" w:rsidP="009741B0">
            <w:pPr>
              <w:spacing w:after="0" w:line="240" w:lineRule="auto"/>
              <w:jc w:val="center"/>
              <w:rPr>
                <w:rFonts w:eastAsia="Times New Roman" w:cs="Calibri"/>
                <w:i/>
                <w:iCs/>
                <w:color w:val="000000"/>
                <w:sz w:val="18"/>
                <w:szCs w:val="18"/>
                <w:lang w:eastAsia="el-GR"/>
              </w:rPr>
            </w:pPr>
            <w:r w:rsidRPr="00D07140">
              <w:rPr>
                <w:rFonts w:eastAsia="Times New Roman" w:cs="Calibri"/>
                <w:i/>
                <w:iCs/>
                <w:color w:val="000000"/>
                <w:sz w:val="18"/>
                <w:szCs w:val="18"/>
                <w:lang w:eastAsia="el-GR"/>
              </w:rPr>
              <w:t>24.525</w:t>
            </w:r>
          </w:p>
        </w:tc>
      </w:tr>
      <w:tr w:rsidR="00D07140" w:rsidRPr="00D07140" w14:paraId="2D738C50" w14:textId="77777777" w:rsidTr="00660743">
        <w:trPr>
          <w:trHeight w:val="506"/>
        </w:trPr>
        <w:tc>
          <w:tcPr>
            <w:tcW w:w="340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0E6E9FF" w14:textId="77777777" w:rsidR="00D07140" w:rsidRPr="00D07140" w:rsidRDefault="00D07140" w:rsidP="009741B0">
            <w:pPr>
              <w:spacing w:after="0" w:line="240" w:lineRule="auto"/>
              <w:jc w:val="left"/>
              <w:rPr>
                <w:rFonts w:eastAsia="Times New Roman" w:cs="Calibri"/>
                <w:i/>
                <w:iCs/>
                <w:color w:val="000000"/>
                <w:sz w:val="18"/>
                <w:szCs w:val="18"/>
                <w:lang w:eastAsia="el-GR"/>
              </w:rPr>
            </w:pPr>
            <w:r w:rsidRPr="00D07140">
              <w:rPr>
                <w:rFonts w:eastAsia="Times New Roman" w:cs="Calibri"/>
                <w:i/>
                <w:iCs/>
                <w:color w:val="000000"/>
                <w:sz w:val="18"/>
                <w:szCs w:val="18"/>
                <w:lang w:eastAsia="el-GR"/>
              </w:rPr>
              <w:t xml:space="preserve">        εκ των οποίων Μεταβιβάσεις προς το εξωτερικό </w:t>
            </w:r>
          </w:p>
        </w:tc>
        <w:tc>
          <w:tcPr>
            <w:tcW w:w="129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5ABA299" w14:textId="77777777" w:rsidR="00D07140" w:rsidRPr="00D07140" w:rsidRDefault="00D07140" w:rsidP="009741B0">
            <w:pPr>
              <w:spacing w:after="0" w:line="240" w:lineRule="auto"/>
              <w:jc w:val="center"/>
              <w:rPr>
                <w:rFonts w:eastAsia="Times New Roman" w:cs="Calibri"/>
                <w:i/>
                <w:iCs/>
                <w:color w:val="000000"/>
                <w:sz w:val="18"/>
                <w:szCs w:val="18"/>
                <w:lang w:eastAsia="el-GR"/>
              </w:rPr>
            </w:pPr>
            <w:r w:rsidRPr="00D07140">
              <w:rPr>
                <w:rFonts w:eastAsia="Times New Roman" w:cs="Calibri"/>
                <w:i/>
                <w:iCs/>
                <w:color w:val="000000"/>
                <w:sz w:val="18"/>
                <w:szCs w:val="18"/>
                <w:lang w:eastAsia="el-GR"/>
              </w:rPr>
              <w:t>2.077</w:t>
            </w:r>
          </w:p>
        </w:tc>
        <w:tc>
          <w:tcPr>
            <w:tcW w:w="12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4897B96" w14:textId="77777777" w:rsidR="00D07140" w:rsidRPr="00D07140" w:rsidRDefault="00D07140" w:rsidP="009741B0">
            <w:pPr>
              <w:spacing w:after="0" w:line="240" w:lineRule="auto"/>
              <w:jc w:val="center"/>
              <w:rPr>
                <w:rFonts w:eastAsia="Times New Roman" w:cs="Calibri"/>
                <w:i/>
                <w:iCs/>
                <w:color w:val="000000"/>
                <w:sz w:val="18"/>
                <w:szCs w:val="18"/>
                <w:lang w:eastAsia="el-GR"/>
              </w:rPr>
            </w:pPr>
            <w:r w:rsidRPr="00D07140">
              <w:rPr>
                <w:rFonts w:eastAsia="Times New Roman" w:cs="Calibri"/>
                <w:i/>
                <w:iCs/>
                <w:color w:val="000000"/>
                <w:sz w:val="18"/>
                <w:szCs w:val="18"/>
                <w:lang w:eastAsia="el-GR"/>
              </w:rPr>
              <w:t>2.162</w:t>
            </w:r>
          </w:p>
        </w:tc>
        <w:tc>
          <w:tcPr>
            <w:tcW w:w="11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956DF37" w14:textId="77777777" w:rsidR="00D07140" w:rsidRPr="00D07140" w:rsidRDefault="00D07140" w:rsidP="009741B0">
            <w:pPr>
              <w:spacing w:after="0" w:line="240" w:lineRule="auto"/>
              <w:jc w:val="center"/>
              <w:rPr>
                <w:rFonts w:eastAsia="Times New Roman" w:cs="Calibri"/>
                <w:color w:val="000000"/>
                <w:sz w:val="18"/>
                <w:szCs w:val="18"/>
                <w:lang w:eastAsia="el-GR"/>
              </w:rPr>
            </w:pPr>
            <w:r w:rsidRPr="00D07140">
              <w:rPr>
                <w:rFonts w:eastAsia="Times New Roman" w:cs="Calibri"/>
                <w:color w:val="000000"/>
                <w:sz w:val="18"/>
                <w:szCs w:val="18"/>
                <w:lang w:eastAsia="el-GR"/>
              </w:rPr>
              <w:t>4,09%</w:t>
            </w:r>
          </w:p>
        </w:tc>
        <w:tc>
          <w:tcPr>
            <w:tcW w:w="12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BE23E3" w14:textId="77777777" w:rsidR="00D07140" w:rsidRPr="00D07140" w:rsidRDefault="00D07140" w:rsidP="009741B0">
            <w:pPr>
              <w:spacing w:after="0" w:line="240" w:lineRule="auto"/>
              <w:jc w:val="center"/>
              <w:rPr>
                <w:rFonts w:eastAsia="Times New Roman" w:cs="Calibri"/>
                <w:i/>
                <w:iCs/>
                <w:color w:val="000000"/>
                <w:sz w:val="18"/>
                <w:szCs w:val="18"/>
                <w:lang w:eastAsia="el-GR"/>
              </w:rPr>
            </w:pPr>
            <w:r w:rsidRPr="00D07140">
              <w:rPr>
                <w:rFonts w:eastAsia="Times New Roman" w:cs="Calibri"/>
                <w:i/>
                <w:iCs/>
                <w:color w:val="000000"/>
                <w:sz w:val="18"/>
                <w:szCs w:val="18"/>
                <w:lang w:eastAsia="el-GR"/>
              </w:rPr>
              <w:t>2.187</w:t>
            </w:r>
          </w:p>
        </w:tc>
      </w:tr>
      <w:tr w:rsidR="00D07140" w:rsidRPr="00D07140" w14:paraId="0D37EA55" w14:textId="77777777" w:rsidTr="00660743">
        <w:trPr>
          <w:trHeight w:val="469"/>
        </w:trPr>
        <w:tc>
          <w:tcPr>
            <w:tcW w:w="340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4DAB287" w14:textId="77777777" w:rsidR="00D07140" w:rsidRPr="00D07140" w:rsidRDefault="00D07140" w:rsidP="009741B0">
            <w:pPr>
              <w:spacing w:after="0" w:line="240" w:lineRule="auto"/>
              <w:rPr>
                <w:rFonts w:eastAsia="Times New Roman" w:cs="Calibri"/>
                <w:i/>
                <w:iCs/>
                <w:color w:val="000000"/>
                <w:sz w:val="18"/>
                <w:szCs w:val="18"/>
                <w:lang w:eastAsia="el-GR"/>
              </w:rPr>
            </w:pPr>
            <w:r w:rsidRPr="00D07140">
              <w:rPr>
                <w:rFonts w:eastAsia="Times New Roman" w:cs="Calibri"/>
                <w:i/>
                <w:iCs/>
                <w:color w:val="000000"/>
                <w:sz w:val="18"/>
                <w:szCs w:val="18"/>
                <w:lang w:eastAsia="el-GR"/>
              </w:rPr>
              <w:t xml:space="preserve">       εκ των οποίων: Επιχορηγήσεις Επενδύσεων</w:t>
            </w:r>
          </w:p>
        </w:tc>
        <w:tc>
          <w:tcPr>
            <w:tcW w:w="129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4FFBA3D" w14:textId="77777777" w:rsidR="00D07140" w:rsidRPr="00D07140" w:rsidRDefault="00D07140" w:rsidP="009741B0">
            <w:pPr>
              <w:spacing w:after="0" w:line="240" w:lineRule="auto"/>
              <w:jc w:val="center"/>
              <w:rPr>
                <w:rFonts w:eastAsia="Times New Roman" w:cs="Calibri"/>
                <w:i/>
                <w:iCs/>
                <w:color w:val="000000"/>
                <w:sz w:val="18"/>
                <w:szCs w:val="18"/>
                <w:lang w:eastAsia="el-GR"/>
              </w:rPr>
            </w:pPr>
            <w:r w:rsidRPr="00D07140">
              <w:rPr>
                <w:rFonts w:eastAsia="Times New Roman" w:cs="Calibri"/>
                <w:i/>
                <w:iCs/>
                <w:color w:val="000000"/>
                <w:sz w:val="18"/>
                <w:szCs w:val="18"/>
                <w:lang w:eastAsia="el-GR"/>
              </w:rPr>
              <w:t>197</w:t>
            </w:r>
          </w:p>
        </w:tc>
        <w:tc>
          <w:tcPr>
            <w:tcW w:w="12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1987DCB" w14:textId="77777777" w:rsidR="00D07140" w:rsidRPr="00D07140" w:rsidRDefault="00D07140" w:rsidP="009741B0">
            <w:pPr>
              <w:spacing w:after="0" w:line="240" w:lineRule="auto"/>
              <w:jc w:val="center"/>
              <w:rPr>
                <w:rFonts w:eastAsia="Times New Roman" w:cs="Calibri"/>
                <w:i/>
                <w:iCs/>
                <w:color w:val="000000"/>
                <w:sz w:val="18"/>
                <w:szCs w:val="18"/>
                <w:lang w:eastAsia="el-GR"/>
              </w:rPr>
            </w:pPr>
            <w:r w:rsidRPr="00D07140">
              <w:rPr>
                <w:rFonts w:eastAsia="Times New Roman" w:cs="Calibri"/>
                <w:i/>
                <w:iCs/>
                <w:color w:val="000000"/>
                <w:sz w:val="18"/>
                <w:szCs w:val="18"/>
                <w:lang w:eastAsia="el-GR"/>
              </w:rPr>
              <w:t>216</w:t>
            </w:r>
          </w:p>
        </w:tc>
        <w:tc>
          <w:tcPr>
            <w:tcW w:w="11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21EA119" w14:textId="77777777" w:rsidR="00D07140" w:rsidRPr="00D07140" w:rsidRDefault="00D07140" w:rsidP="009741B0">
            <w:pPr>
              <w:spacing w:after="0" w:line="240" w:lineRule="auto"/>
              <w:jc w:val="center"/>
              <w:rPr>
                <w:rFonts w:eastAsia="Times New Roman" w:cs="Calibri"/>
                <w:color w:val="000000"/>
                <w:sz w:val="18"/>
                <w:szCs w:val="18"/>
                <w:lang w:eastAsia="el-GR"/>
              </w:rPr>
            </w:pPr>
            <w:r w:rsidRPr="00D07140">
              <w:rPr>
                <w:rFonts w:eastAsia="Times New Roman" w:cs="Calibri"/>
                <w:color w:val="000000"/>
                <w:sz w:val="18"/>
                <w:szCs w:val="18"/>
                <w:lang w:eastAsia="el-GR"/>
              </w:rPr>
              <w:t>9,64%</w:t>
            </w:r>
          </w:p>
        </w:tc>
        <w:tc>
          <w:tcPr>
            <w:tcW w:w="12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171972" w14:textId="77777777" w:rsidR="00D07140" w:rsidRPr="00D07140" w:rsidRDefault="00D07140" w:rsidP="009741B0">
            <w:pPr>
              <w:spacing w:after="0" w:line="240" w:lineRule="auto"/>
              <w:jc w:val="center"/>
              <w:rPr>
                <w:rFonts w:eastAsia="Times New Roman" w:cs="Calibri"/>
                <w:i/>
                <w:iCs/>
                <w:color w:val="000000"/>
                <w:sz w:val="18"/>
                <w:szCs w:val="18"/>
                <w:lang w:eastAsia="el-GR"/>
              </w:rPr>
            </w:pPr>
            <w:r w:rsidRPr="00D07140">
              <w:rPr>
                <w:rFonts w:eastAsia="Times New Roman" w:cs="Calibri"/>
                <w:i/>
                <w:iCs/>
                <w:color w:val="000000"/>
                <w:sz w:val="18"/>
                <w:szCs w:val="18"/>
                <w:lang w:eastAsia="el-GR"/>
              </w:rPr>
              <w:t>190</w:t>
            </w:r>
          </w:p>
        </w:tc>
      </w:tr>
      <w:tr w:rsidR="00D07140" w:rsidRPr="00D07140" w14:paraId="7E0940CD" w14:textId="77777777" w:rsidTr="00660743">
        <w:trPr>
          <w:trHeight w:val="469"/>
        </w:trPr>
        <w:tc>
          <w:tcPr>
            <w:tcW w:w="340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5257008" w14:textId="77777777" w:rsidR="00D07140" w:rsidRPr="00D07140" w:rsidRDefault="00D07140" w:rsidP="009741B0">
            <w:pPr>
              <w:spacing w:after="0" w:line="240" w:lineRule="auto"/>
              <w:jc w:val="left"/>
              <w:rPr>
                <w:rFonts w:eastAsia="Times New Roman" w:cs="Calibri"/>
                <w:i/>
                <w:iCs/>
                <w:color w:val="000000"/>
                <w:sz w:val="18"/>
                <w:szCs w:val="18"/>
                <w:lang w:eastAsia="el-GR"/>
              </w:rPr>
            </w:pPr>
            <w:r w:rsidRPr="00D07140">
              <w:rPr>
                <w:rFonts w:eastAsia="Times New Roman" w:cs="Calibri"/>
                <w:i/>
                <w:iCs/>
                <w:color w:val="000000"/>
                <w:sz w:val="18"/>
                <w:szCs w:val="18"/>
                <w:lang w:eastAsia="el-GR"/>
              </w:rPr>
              <w:t xml:space="preserve">       εκ των οποίων: Λοιπές κεφαλαιακές μεταβιβάσεις</w:t>
            </w:r>
          </w:p>
        </w:tc>
        <w:tc>
          <w:tcPr>
            <w:tcW w:w="129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847C2BD" w14:textId="77777777" w:rsidR="00D07140" w:rsidRPr="00D07140" w:rsidRDefault="00D07140" w:rsidP="009741B0">
            <w:pPr>
              <w:spacing w:after="0" w:line="240" w:lineRule="auto"/>
              <w:jc w:val="center"/>
              <w:rPr>
                <w:rFonts w:eastAsia="Times New Roman" w:cs="Calibri"/>
                <w:i/>
                <w:iCs/>
                <w:color w:val="000000"/>
                <w:sz w:val="18"/>
                <w:szCs w:val="18"/>
                <w:lang w:eastAsia="el-GR"/>
              </w:rPr>
            </w:pPr>
            <w:r w:rsidRPr="00D07140">
              <w:rPr>
                <w:rFonts w:eastAsia="Times New Roman" w:cs="Calibri"/>
                <w:i/>
                <w:iCs/>
                <w:color w:val="000000"/>
                <w:sz w:val="18"/>
                <w:szCs w:val="18"/>
                <w:lang w:eastAsia="el-GR"/>
              </w:rPr>
              <w:t>528</w:t>
            </w:r>
          </w:p>
        </w:tc>
        <w:tc>
          <w:tcPr>
            <w:tcW w:w="12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406B2B6" w14:textId="77777777" w:rsidR="00D07140" w:rsidRPr="00D07140" w:rsidRDefault="00D07140" w:rsidP="009741B0">
            <w:pPr>
              <w:spacing w:after="0" w:line="240" w:lineRule="auto"/>
              <w:jc w:val="center"/>
              <w:rPr>
                <w:rFonts w:eastAsia="Times New Roman" w:cs="Calibri"/>
                <w:i/>
                <w:iCs/>
                <w:color w:val="000000"/>
                <w:sz w:val="18"/>
                <w:szCs w:val="18"/>
                <w:lang w:eastAsia="el-GR"/>
              </w:rPr>
            </w:pPr>
            <w:r w:rsidRPr="00D07140">
              <w:rPr>
                <w:rFonts w:eastAsia="Times New Roman" w:cs="Calibri"/>
                <w:i/>
                <w:iCs/>
                <w:color w:val="000000"/>
                <w:sz w:val="18"/>
                <w:szCs w:val="18"/>
                <w:lang w:eastAsia="el-GR"/>
              </w:rPr>
              <w:t>498</w:t>
            </w:r>
          </w:p>
        </w:tc>
        <w:tc>
          <w:tcPr>
            <w:tcW w:w="11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002D93E" w14:textId="77777777" w:rsidR="00D07140" w:rsidRPr="00D07140" w:rsidRDefault="00D07140" w:rsidP="009741B0">
            <w:pPr>
              <w:spacing w:after="0" w:line="240" w:lineRule="auto"/>
              <w:jc w:val="center"/>
              <w:rPr>
                <w:rFonts w:eastAsia="Times New Roman" w:cs="Calibri"/>
                <w:color w:val="000000"/>
                <w:sz w:val="18"/>
                <w:szCs w:val="18"/>
                <w:lang w:eastAsia="el-GR"/>
              </w:rPr>
            </w:pPr>
            <w:r w:rsidRPr="00D07140">
              <w:rPr>
                <w:rFonts w:eastAsia="Times New Roman" w:cs="Calibri"/>
                <w:color w:val="000000"/>
                <w:sz w:val="18"/>
                <w:szCs w:val="18"/>
                <w:lang w:eastAsia="el-GR"/>
              </w:rPr>
              <w:t>-5,68%</w:t>
            </w:r>
          </w:p>
        </w:tc>
        <w:tc>
          <w:tcPr>
            <w:tcW w:w="12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854F35E" w14:textId="77777777" w:rsidR="00D07140" w:rsidRPr="00D07140" w:rsidRDefault="00D07140" w:rsidP="009741B0">
            <w:pPr>
              <w:spacing w:after="0" w:line="240" w:lineRule="auto"/>
              <w:jc w:val="center"/>
              <w:rPr>
                <w:rFonts w:eastAsia="Times New Roman" w:cs="Calibri"/>
                <w:i/>
                <w:iCs/>
                <w:color w:val="000000"/>
                <w:sz w:val="18"/>
                <w:szCs w:val="18"/>
                <w:lang w:eastAsia="el-GR"/>
              </w:rPr>
            </w:pPr>
            <w:r w:rsidRPr="00D07140">
              <w:rPr>
                <w:rFonts w:eastAsia="Times New Roman" w:cs="Calibri"/>
                <w:i/>
                <w:iCs/>
                <w:color w:val="000000"/>
                <w:sz w:val="18"/>
                <w:szCs w:val="18"/>
                <w:lang w:eastAsia="el-GR"/>
              </w:rPr>
              <w:t>228</w:t>
            </w:r>
          </w:p>
        </w:tc>
      </w:tr>
      <w:tr w:rsidR="00D07140" w:rsidRPr="00D07140" w14:paraId="2717228F" w14:textId="77777777" w:rsidTr="00660743">
        <w:trPr>
          <w:trHeight w:val="407"/>
        </w:trPr>
        <w:tc>
          <w:tcPr>
            <w:tcW w:w="340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407E8A4" w14:textId="77777777" w:rsidR="00D07140" w:rsidRPr="00D07140" w:rsidRDefault="00D07140" w:rsidP="009741B0">
            <w:pPr>
              <w:spacing w:after="0" w:line="240" w:lineRule="auto"/>
              <w:jc w:val="right"/>
              <w:rPr>
                <w:rFonts w:eastAsia="Times New Roman" w:cs="Calibri"/>
                <w:i/>
                <w:iCs/>
                <w:color w:val="000000"/>
                <w:sz w:val="16"/>
                <w:szCs w:val="16"/>
                <w:lang w:eastAsia="el-GR"/>
              </w:rPr>
            </w:pPr>
            <w:r w:rsidRPr="00D07140">
              <w:rPr>
                <w:rFonts w:eastAsia="Times New Roman" w:cs="Calibri"/>
                <w:i/>
                <w:iCs/>
                <w:color w:val="000000"/>
                <w:sz w:val="16"/>
                <w:szCs w:val="16"/>
                <w:lang w:eastAsia="el-GR"/>
              </w:rPr>
              <w:t xml:space="preserve">     εκ των οποίων: καταπτώσεις εγγυήσεων</w:t>
            </w:r>
          </w:p>
        </w:tc>
        <w:tc>
          <w:tcPr>
            <w:tcW w:w="129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E74B244" w14:textId="77777777" w:rsidR="00D07140" w:rsidRPr="00D07140" w:rsidRDefault="00D07140" w:rsidP="009741B0">
            <w:pPr>
              <w:spacing w:after="0" w:line="240" w:lineRule="auto"/>
              <w:jc w:val="center"/>
              <w:rPr>
                <w:rFonts w:eastAsia="Times New Roman" w:cs="Calibri"/>
                <w:i/>
                <w:iCs/>
                <w:color w:val="000000"/>
                <w:sz w:val="16"/>
                <w:szCs w:val="16"/>
                <w:lang w:eastAsia="el-GR"/>
              </w:rPr>
            </w:pPr>
            <w:r w:rsidRPr="00D07140">
              <w:rPr>
                <w:rFonts w:eastAsia="Times New Roman" w:cs="Calibri"/>
                <w:i/>
                <w:iCs/>
                <w:color w:val="000000"/>
                <w:sz w:val="16"/>
                <w:szCs w:val="16"/>
                <w:lang w:eastAsia="el-GR"/>
              </w:rPr>
              <w:t>379</w:t>
            </w:r>
          </w:p>
        </w:tc>
        <w:tc>
          <w:tcPr>
            <w:tcW w:w="12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DE7E0F9" w14:textId="77777777" w:rsidR="00D07140" w:rsidRPr="00D07140" w:rsidRDefault="00D07140" w:rsidP="009741B0">
            <w:pPr>
              <w:spacing w:after="0" w:line="240" w:lineRule="auto"/>
              <w:jc w:val="center"/>
              <w:rPr>
                <w:rFonts w:eastAsia="Times New Roman" w:cs="Calibri"/>
                <w:i/>
                <w:iCs/>
                <w:color w:val="000000"/>
                <w:sz w:val="16"/>
                <w:szCs w:val="16"/>
                <w:lang w:eastAsia="el-GR"/>
              </w:rPr>
            </w:pPr>
            <w:r w:rsidRPr="00D07140">
              <w:rPr>
                <w:rFonts w:eastAsia="Times New Roman" w:cs="Calibri"/>
                <w:i/>
                <w:iCs/>
                <w:color w:val="000000"/>
                <w:sz w:val="16"/>
                <w:szCs w:val="16"/>
                <w:lang w:eastAsia="el-GR"/>
              </w:rPr>
              <w:t>636</w:t>
            </w:r>
          </w:p>
        </w:tc>
        <w:tc>
          <w:tcPr>
            <w:tcW w:w="11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3AE9D7B" w14:textId="77777777" w:rsidR="00D07140" w:rsidRPr="00D07140" w:rsidRDefault="00D07140" w:rsidP="009741B0">
            <w:pPr>
              <w:spacing w:after="0" w:line="240" w:lineRule="auto"/>
              <w:jc w:val="center"/>
              <w:rPr>
                <w:rFonts w:eastAsia="Times New Roman" w:cs="Calibri"/>
                <w:color w:val="000000"/>
                <w:sz w:val="18"/>
                <w:szCs w:val="18"/>
                <w:lang w:eastAsia="el-GR"/>
              </w:rPr>
            </w:pPr>
            <w:r w:rsidRPr="00D07140">
              <w:rPr>
                <w:rFonts w:eastAsia="Times New Roman" w:cs="Calibri"/>
                <w:color w:val="000000"/>
                <w:sz w:val="18"/>
                <w:szCs w:val="18"/>
                <w:lang w:eastAsia="el-GR"/>
              </w:rPr>
              <w:t>67,81%</w:t>
            </w:r>
          </w:p>
        </w:tc>
        <w:tc>
          <w:tcPr>
            <w:tcW w:w="12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DC362C" w14:textId="77777777" w:rsidR="00D07140" w:rsidRPr="00D07140" w:rsidRDefault="00D07140" w:rsidP="009741B0">
            <w:pPr>
              <w:spacing w:after="0" w:line="240" w:lineRule="auto"/>
              <w:jc w:val="center"/>
              <w:rPr>
                <w:rFonts w:eastAsia="Times New Roman" w:cs="Calibri"/>
                <w:i/>
                <w:iCs/>
                <w:color w:val="000000"/>
                <w:sz w:val="16"/>
                <w:szCs w:val="16"/>
                <w:lang w:eastAsia="el-GR"/>
              </w:rPr>
            </w:pPr>
            <w:r w:rsidRPr="00D07140">
              <w:rPr>
                <w:rFonts w:eastAsia="Times New Roman" w:cs="Calibri"/>
                <w:i/>
                <w:iCs/>
                <w:color w:val="000000"/>
                <w:sz w:val="16"/>
                <w:szCs w:val="16"/>
                <w:lang w:eastAsia="el-GR"/>
              </w:rPr>
              <w:t>689</w:t>
            </w:r>
          </w:p>
        </w:tc>
      </w:tr>
      <w:tr w:rsidR="00D07140" w:rsidRPr="00D07140" w14:paraId="1137ED73" w14:textId="77777777" w:rsidTr="00660743">
        <w:trPr>
          <w:trHeight w:val="407"/>
        </w:trPr>
        <w:tc>
          <w:tcPr>
            <w:tcW w:w="340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D958311" w14:textId="77777777" w:rsidR="00D07140" w:rsidRPr="00D07140" w:rsidRDefault="00D07140" w:rsidP="009741B0">
            <w:pPr>
              <w:spacing w:after="0" w:line="240" w:lineRule="auto"/>
              <w:jc w:val="left"/>
              <w:rPr>
                <w:rFonts w:eastAsia="Times New Roman" w:cs="Calibri"/>
                <w:i/>
                <w:iCs/>
                <w:color w:val="000000"/>
                <w:sz w:val="16"/>
                <w:szCs w:val="16"/>
                <w:lang w:eastAsia="el-GR"/>
              </w:rPr>
            </w:pPr>
            <w:r w:rsidRPr="00D07140">
              <w:rPr>
                <w:rFonts w:eastAsia="Times New Roman" w:cs="Calibri"/>
                <w:i/>
                <w:iCs/>
                <w:color w:val="000000"/>
                <w:sz w:val="16"/>
                <w:szCs w:val="16"/>
                <w:lang w:eastAsia="el-GR"/>
              </w:rPr>
              <w:t xml:space="preserve">           εκ των οποίων: λοιπές μεταβιβάσεις</w:t>
            </w:r>
          </w:p>
        </w:tc>
        <w:tc>
          <w:tcPr>
            <w:tcW w:w="129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D20914" w14:textId="77777777" w:rsidR="00D07140" w:rsidRPr="00D07140" w:rsidRDefault="00D07140" w:rsidP="009741B0">
            <w:pPr>
              <w:spacing w:after="0" w:line="240" w:lineRule="auto"/>
              <w:jc w:val="center"/>
              <w:rPr>
                <w:rFonts w:eastAsia="Times New Roman" w:cs="Calibri"/>
                <w:i/>
                <w:iCs/>
                <w:color w:val="000000"/>
                <w:sz w:val="16"/>
                <w:szCs w:val="16"/>
                <w:lang w:eastAsia="el-GR"/>
              </w:rPr>
            </w:pPr>
            <w:r w:rsidRPr="00D07140">
              <w:rPr>
                <w:rFonts w:eastAsia="Times New Roman" w:cs="Calibri"/>
                <w:i/>
                <w:iCs/>
                <w:color w:val="000000"/>
                <w:sz w:val="16"/>
                <w:szCs w:val="16"/>
                <w:lang w:eastAsia="el-GR"/>
              </w:rPr>
              <w:t>99</w:t>
            </w:r>
          </w:p>
        </w:tc>
        <w:tc>
          <w:tcPr>
            <w:tcW w:w="12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3B31F4E" w14:textId="77777777" w:rsidR="00D07140" w:rsidRPr="00D07140" w:rsidRDefault="00D07140" w:rsidP="009741B0">
            <w:pPr>
              <w:spacing w:after="0" w:line="240" w:lineRule="auto"/>
              <w:jc w:val="center"/>
              <w:rPr>
                <w:rFonts w:eastAsia="Times New Roman" w:cs="Calibri"/>
                <w:i/>
                <w:iCs/>
                <w:color w:val="000000"/>
                <w:sz w:val="16"/>
                <w:szCs w:val="16"/>
                <w:lang w:eastAsia="el-GR"/>
              </w:rPr>
            </w:pPr>
            <w:r w:rsidRPr="00D07140">
              <w:rPr>
                <w:rFonts w:eastAsia="Times New Roman" w:cs="Calibri"/>
                <w:i/>
                <w:iCs/>
                <w:color w:val="000000"/>
                <w:sz w:val="16"/>
                <w:szCs w:val="16"/>
                <w:lang w:eastAsia="el-GR"/>
              </w:rPr>
              <w:t>2367</w:t>
            </w:r>
          </w:p>
        </w:tc>
        <w:tc>
          <w:tcPr>
            <w:tcW w:w="11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9C4C168" w14:textId="77777777" w:rsidR="00D07140" w:rsidRPr="00D07140" w:rsidRDefault="00D07140" w:rsidP="009741B0">
            <w:pPr>
              <w:spacing w:after="0" w:line="240" w:lineRule="auto"/>
              <w:jc w:val="center"/>
              <w:rPr>
                <w:rFonts w:eastAsia="Times New Roman" w:cs="Calibri"/>
                <w:color w:val="000000"/>
                <w:sz w:val="18"/>
                <w:szCs w:val="18"/>
                <w:lang w:eastAsia="el-GR"/>
              </w:rPr>
            </w:pPr>
            <w:r w:rsidRPr="00D07140">
              <w:rPr>
                <w:rFonts w:eastAsia="Times New Roman" w:cs="Calibri"/>
                <w:color w:val="000000"/>
                <w:sz w:val="18"/>
                <w:szCs w:val="18"/>
                <w:lang w:eastAsia="el-GR"/>
              </w:rPr>
              <w:t>2290,91%</w:t>
            </w:r>
          </w:p>
        </w:tc>
        <w:tc>
          <w:tcPr>
            <w:tcW w:w="12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3CBD54" w14:textId="77777777" w:rsidR="00D07140" w:rsidRPr="00D07140" w:rsidRDefault="00D07140" w:rsidP="009741B0">
            <w:pPr>
              <w:spacing w:after="0" w:line="240" w:lineRule="auto"/>
              <w:jc w:val="center"/>
              <w:rPr>
                <w:rFonts w:eastAsia="Times New Roman" w:cs="Calibri"/>
                <w:i/>
                <w:iCs/>
                <w:color w:val="000000"/>
                <w:sz w:val="16"/>
                <w:szCs w:val="16"/>
                <w:lang w:eastAsia="el-GR"/>
              </w:rPr>
            </w:pPr>
            <w:r w:rsidRPr="00D07140">
              <w:rPr>
                <w:rFonts w:eastAsia="Times New Roman" w:cs="Calibri"/>
                <w:i/>
                <w:iCs/>
                <w:color w:val="000000"/>
                <w:sz w:val="16"/>
                <w:szCs w:val="16"/>
                <w:lang w:eastAsia="el-GR"/>
              </w:rPr>
              <w:t>83</w:t>
            </w:r>
          </w:p>
        </w:tc>
      </w:tr>
      <w:tr w:rsidR="00D07140" w:rsidRPr="00D07140" w14:paraId="61AE979E" w14:textId="77777777" w:rsidTr="00660743">
        <w:trPr>
          <w:trHeight w:val="245"/>
        </w:trPr>
        <w:tc>
          <w:tcPr>
            <w:tcW w:w="340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9D1584" w14:textId="77777777" w:rsidR="00D07140" w:rsidRPr="00D07140" w:rsidRDefault="00D07140" w:rsidP="009741B0">
            <w:pPr>
              <w:spacing w:after="0" w:line="240" w:lineRule="auto"/>
              <w:jc w:val="left"/>
              <w:rPr>
                <w:rFonts w:eastAsia="Times New Roman" w:cs="Calibri"/>
                <w:color w:val="000000"/>
                <w:sz w:val="18"/>
                <w:szCs w:val="18"/>
                <w:lang w:eastAsia="el-GR"/>
              </w:rPr>
            </w:pPr>
            <w:r w:rsidRPr="00D07140">
              <w:rPr>
                <w:rFonts w:eastAsia="Times New Roman" w:cs="Calibri"/>
                <w:color w:val="000000"/>
                <w:sz w:val="18"/>
                <w:szCs w:val="18"/>
                <w:lang w:eastAsia="el-GR"/>
              </w:rPr>
              <w:t>Επιδοτήσεις</w:t>
            </w:r>
          </w:p>
        </w:tc>
        <w:tc>
          <w:tcPr>
            <w:tcW w:w="129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A4F4066" w14:textId="77777777" w:rsidR="00D07140" w:rsidRPr="00D07140" w:rsidRDefault="00D07140" w:rsidP="009741B0">
            <w:pPr>
              <w:spacing w:after="0" w:line="240" w:lineRule="auto"/>
              <w:jc w:val="center"/>
              <w:rPr>
                <w:rFonts w:eastAsia="Times New Roman" w:cs="Calibri"/>
                <w:color w:val="000000"/>
                <w:sz w:val="18"/>
                <w:szCs w:val="18"/>
                <w:lang w:eastAsia="el-GR"/>
              </w:rPr>
            </w:pPr>
            <w:r w:rsidRPr="00D07140">
              <w:rPr>
                <w:rFonts w:eastAsia="Times New Roman" w:cs="Calibri"/>
                <w:color w:val="000000"/>
                <w:sz w:val="18"/>
                <w:szCs w:val="18"/>
                <w:lang w:eastAsia="el-GR"/>
              </w:rPr>
              <w:t>224</w:t>
            </w:r>
          </w:p>
        </w:tc>
        <w:tc>
          <w:tcPr>
            <w:tcW w:w="12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D663B8F" w14:textId="77777777" w:rsidR="00D07140" w:rsidRPr="00D07140" w:rsidRDefault="00D07140" w:rsidP="009741B0">
            <w:pPr>
              <w:spacing w:after="0" w:line="240" w:lineRule="auto"/>
              <w:jc w:val="center"/>
              <w:rPr>
                <w:rFonts w:eastAsia="Times New Roman" w:cs="Calibri"/>
                <w:color w:val="000000"/>
                <w:sz w:val="18"/>
                <w:szCs w:val="18"/>
                <w:lang w:eastAsia="el-GR"/>
              </w:rPr>
            </w:pPr>
            <w:r w:rsidRPr="00D07140">
              <w:rPr>
                <w:rFonts w:eastAsia="Times New Roman" w:cs="Calibri"/>
                <w:color w:val="000000"/>
                <w:sz w:val="18"/>
                <w:szCs w:val="18"/>
                <w:lang w:eastAsia="el-GR"/>
              </w:rPr>
              <w:t>248</w:t>
            </w:r>
          </w:p>
        </w:tc>
        <w:tc>
          <w:tcPr>
            <w:tcW w:w="11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607A0C2" w14:textId="77777777" w:rsidR="00D07140" w:rsidRPr="00D07140" w:rsidRDefault="00D07140" w:rsidP="009741B0">
            <w:pPr>
              <w:spacing w:after="0" w:line="240" w:lineRule="auto"/>
              <w:jc w:val="center"/>
              <w:rPr>
                <w:rFonts w:eastAsia="Times New Roman" w:cs="Calibri"/>
                <w:color w:val="000000"/>
                <w:sz w:val="18"/>
                <w:szCs w:val="18"/>
                <w:lang w:eastAsia="el-GR"/>
              </w:rPr>
            </w:pPr>
            <w:r w:rsidRPr="00D07140">
              <w:rPr>
                <w:rFonts w:eastAsia="Times New Roman" w:cs="Calibri"/>
                <w:color w:val="000000"/>
                <w:sz w:val="18"/>
                <w:szCs w:val="18"/>
                <w:lang w:eastAsia="el-GR"/>
              </w:rPr>
              <w:t>10,71%</w:t>
            </w:r>
          </w:p>
        </w:tc>
        <w:tc>
          <w:tcPr>
            <w:tcW w:w="12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AF1B14" w14:textId="77777777" w:rsidR="00D07140" w:rsidRPr="00D07140" w:rsidRDefault="00D07140" w:rsidP="009741B0">
            <w:pPr>
              <w:spacing w:after="0" w:line="240" w:lineRule="auto"/>
              <w:jc w:val="center"/>
              <w:rPr>
                <w:rFonts w:eastAsia="Times New Roman" w:cs="Calibri"/>
                <w:color w:val="000000"/>
                <w:sz w:val="18"/>
                <w:szCs w:val="18"/>
                <w:lang w:eastAsia="el-GR"/>
              </w:rPr>
            </w:pPr>
            <w:r w:rsidRPr="00D07140">
              <w:rPr>
                <w:rFonts w:eastAsia="Times New Roman" w:cs="Calibri"/>
                <w:color w:val="000000"/>
                <w:sz w:val="18"/>
                <w:szCs w:val="18"/>
                <w:lang w:eastAsia="el-GR"/>
              </w:rPr>
              <w:t>89</w:t>
            </w:r>
          </w:p>
        </w:tc>
      </w:tr>
      <w:tr w:rsidR="00D07140" w:rsidRPr="00D07140" w14:paraId="711A3D55" w14:textId="77777777" w:rsidTr="00660743">
        <w:trPr>
          <w:trHeight w:val="296"/>
        </w:trPr>
        <w:tc>
          <w:tcPr>
            <w:tcW w:w="340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1FB81F0" w14:textId="77777777" w:rsidR="00D07140" w:rsidRPr="00D07140" w:rsidRDefault="00D07140" w:rsidP="009741B0">
            <w:pPr>
              <w:spacing w:after="0" w:line="240" w:lineRule="auto"/>
              <w:jc w:val="left"/>
              <w:rPr>
                <w:rFonts w:eastAsia="Times New Roman" w:cs="Calibri"/>
                <w:color w:val="000000"/>
                <w:sz w:val="18"/>
                <w:szCs w:val="18"/>
                <w:lang w:eastAsia="el-GR"/>
              </w:rPr>
            </w:pPr>
            <w:r w:rsidRPr="00D07140">
              <w:rPr>
                <w:rFonts w:eastAsia="Times New Roman" w:cs="Calibri"/>
                <w:color w:val="000000"/>
                <w:sz w:val="18"/>
                <w:szCs w:val="18"/>
                <w:lang w:eastAsia="el-GR"/>
              </w:rPr>
              <w:t>Αγορές Αγαθών και Υπηρεσιών</w:t>
            </w:r>
          </w:p>
        </w:tc>
        <w:tc>
          <w:tcPr>
            <w:tcW w:w="129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8B47921" w14:textId="77777777" w:rsidR="00D07140" w:rsidRPr="00D07140" w:rsidRDefault="00D07140" w:rsidP="009741B0">
            <w:pPr>
              <w:spacing w:after="0" w:line="240" w:lineRule="auto"/>
              <w:jc w:val="center"/>
              <w:rPr>
                <w:rFonts w:eastAsia="Times New Roman" w:cs="Calibri"/>
                <w:color w:val="000000"/>
                <w:sz w:val="18"/>
                <w:szCs w:val="18"/>
                <w:lang w:eastAsia="el-GR"/>
              </w:rPr>
            </w:pPr>
            <w:r w:rsidRPr="00D07140">
              <w:rPr>
                <w:rFonts w:eastAsia="Times New Roman" w:cs="Calibri"/>
                <w:color w:val="000000"/>
                <w:sz w:val="18"/>
                <w:szCs w:val="18"/>
                <w:lang w:eastAsia="el-GR"/>
              </w:rPr>
              <w:t>1.458</w:t>
            </w:r>
          </w:p>
        </w:tc>
        <w:tc>
          <w:tcPr>
            <w:tcW w:w="12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E97AF86" w14:textId="77777777" w:rsidR="00D07140" w:rsidRPr="00D07140" w:rsidRDefault="00D07140" w:rsidP="009741B0">
            <w:pPr>
              <w:spacing w:after="0" w:line="240" w:lineRule="auto"/>
              <w:jc w:val="center"/>
              <w:rPr>
                <w:rFonts w:eastAsia="Times New Roman" w:cs="Calibri"/>
                <w:color w:val="000000"/>
                <w:sz w:val="18"/>
                <w:szCs w:val="18"/>
                <w:lang w:eastAsia="el-GR"/>
              </w:rPr>
            </w:pPr>
            <w:r w:rsidRPr="00D07140">
              <w:rPr>
                <w:rFonts w:eastAsia="Times New Roman" w:cs="Calibri"/>
                <w:color w:val="000000"/>
                <w:sz w:val="18"/>
                <w:szCs w:val="18"/>
                <w:lang w:eastAsia="el-GR"/>
              </w:rPr>
              <w:t>1.618</w:t>
            </w:r>
          </w:p>
        </w:tc>
        <w:tc>
          <w:tcPr>
            <w:tcW w:w="11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C356B91" w14:textId="77777777" w:rsidR="00D07140" w:rsidRPr="00D07140" w:rsidRDefault="00D07140" w:rsidP="009741B0">
            <w:pPr>
              <w:spacing w:after="0" w:line="240" w:lineRule="auto"/>
              <w:jc w:val="center"/>
              <w:rPr>
                <w:rFonts w:eastAsia="Times New Roman" w:cs="Calibri"/>
                <w:color w:val="000000"/>
                <w:sz w:val="18"/>
                <w:szCs w:val="18"/>
                <w:lang w:eastAsia="el-GR"/>
              </w:rPr>
            </w:pPr>
            <w:r w:rsidRPr="00D07140">
              <w:rPr>
                <w:rFonts w:eastAsia="Times New Roman" w:cs="Calibri"/>
                <w:color w:val="000000"/>
                <w:sz w:val="18"/>
                <w:szCs w:val="18"/>
                <w:lang w:eastAsia="el-GR"/>
              </w:rPr>
              <w:t>10,97%</w:t>
            </w:r>
          </w:p>
        </w:tc>
        <w:tc>
          <w:tcPr>
            <w:tcW w:w="12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86C62E1" w14:textId="77777777" w:rsidR="00D07140" w:rsidRPr="00D07140" w:rsidRDefault="00D07140" w:rsidP="009741B0">
            <w:pPr>
              <w:spacing w:after="0" w:line="240" w:lineRule="auto"/>
              <w:jc w:val="center"/>
              <w:rPr>
                <w:rFonts w:eastAsia="Times New Roman" w:cs="Calibri"/>
                <w:color w:val="000000"/>
                <w:sz w:val="18"/>
                <w:szCs w:val="18"/>
                <w:lang w:eastAsia="el-GR"/>
              </w:rPr>
            </w:pPr>
            <w:r w:rsidRPr="00D07140">
              <w:rPr>
                <w:rFonts w:eastAsia="Times New Roman" w:cs="Calibri"/>
                <w:color w:val="000000"/>
                <w:sz w:val="18"/>
                <w:szCs w:val="18"/>
                <w:lang w:eastAsia="el-GR"/>
              </w:rPr>
              <w:t>1.145</w:t>
            </w:r>
          </w:p>
        </w:tc>
      </w:tr>
      <w:tr w:rsidR="00D07140" w:rsidRPr="00D07140" w14:paraId="64111974" w14:textId="77777777" w:rsidTr="00660743">
        <w:trPr>
          <w:trHeight w:val="233"/>
        </w:trPr>
        <w:tc>
          <w:tcPr>
            <w:tcW w:w="340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6AFDFCA" w14:textId="77777777" w:rsidR="00D07140" w:rsidRPr="00D07140" w:rsidRDefault="00D07140" w:rsidP="009741B0">
            <w:pPr>
              <w:spacing w:after="0" w:line="240" w:lineRule="auto"/>
              <w:jc w:val="left"/>
              <w:rPr>
                <w:rFonts w:eastAsia="Times New Roman" w:cs="Calibri"/>
                <w:color w:val="000000"/>
                <w:sz w:val="18"/>
                <w:szCs w:val="18"/>
                <w:lang w:eastAsia="el-GR"/>
              </w:rPr>
            </w:pPr>
            <w:r w:rsidRPr="00D07140">
              <w:rPr>
                <w:rFonts w:eastAsia="Times New Roman" w:cs="Calibri"/>
                <w:color w:val="000000"/>
                <w:sz w:val="18"/>
                <w:szCs w:val="18"/>
                <w:lang w:eastAsia="el-GR"/>
              </w:rPr>
              <w:t>Αποκτήσεις παγίων περιουσιακών στοιχείων και τιμαλφών</w:t>
            </w:r>
          </w:p>
        </w:tc>
        <w:tc>
          <w:tcPr>
            <w:tcW w:w="129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429103C" w14:textId="77777777" w:rsidR="00D07140" w:rsidRPr="00D07140" w:rsidRDefault="00D07140" w:rsidP="009741B0">
            <w:pPr>
              <w:spacing w:after="0" w:line="240" w:lineRule="auto"/>
              <w:jc w:val="center"/>
              <w:rPr>
                <w:rFonts w:eastAsia="Times New Roman" w:cs="Calibri"/>
                <w:color w:val="000000"/>
                <w:sz w:val="18"/>
                <w:szCs w:val="18"/>
                <w:lang w:eastAsia="el-GR"/>
              </w:rPr>
            </w:pPr>
            <w:r w:rsidRPr="00D07140">
              <w:rPr>
                <w:rFonts w:eastAsia="Times New Roman" w:cs="Calibri"/>
                <w:color w:val="000000"/>
                <w:sz w:val="18"/>
                <w:szCs w:val="18"/>
                <w:lang w:eastAsia="el-GR"/>
              </w:rPr>
              <w:t>562</w:t>
            </w:r>
          </w:p>
        </w:tc>
        <w:tc>
          <w:tcPr>
            <w:tcW w:w="12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660D56A" w14:textId="77777777" w:rsidR="00D07140" w:rsidRPr="00D07140" w:rsidRDefault="00D07140" w:rsidP="009741B0">
            <w:pPr>
              <w:spacing w:after="0" w:line="240" w:lineRule="auto"/>
              <w:jc w:val="center"/>
              <w:rPr>
                <w:rFonts w:eastAsia="Times New Roman" w:cs="Calibri"/>
                <w:color w:val="000000"/>
                <w:sz w:val="18"/>
                <w:szCs w:val="18"/>
                <w:lang w:eastAsia="el-GR"/>
              </w:rPr>
            </w:pPr>
            <w:r w:rsidRPr="00D07140">
              <w:rPr>
                <w:rFonts w:eastAsia="Times New Roman" w:cs="Calibri"/>
                <w:color w:val="000000"/>
                <w:sz w:val="18"/>
                <w:szCs w:val="18"/>
                <w:lang w:eastAsia="el-GR"/>
              </w:rPr>
              <w:t>631</w:t>
            </w:r>
          </w:p>
        </w:tc>
        <w:tc>
          <w:tcPr>
            <w:tcW w:w="11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E83B05" w14:textId="77777777" w:rsidR="00D07140" w:rsidRPr="00D07140" w:rsidRDefault="00D07140" w:rsidP="009741B0">
            <w:pPr>
              <w:spacing w:after="0" w:line="240" w:lineRule="auto"/>
              <w:jc w:val="center"/>
              <w:rPr>
                <w:rFonts w:eastAsia="Times New Roman" w:cs="Calibri"/>
                <w:color w:val="000000"/>
                <w:sz w:val="18"/>
                <w:szCs w:val="18"/>
                <w:lang w:eastAsia="el-GR"/>
              </w:rPr>
            </w:pPr>
            <w:r w:rsidRPr="00D07140">
              <w:rPr>
                <w:rFonts w:eastAsia="Times New Roman" w:cs="Calibri"/>
                <w:color w:val="000000"/>
                <w:sz w:val="18"/>
                <w:szCs w:val="18"/>
                <w:lang w:eastAsia="el-GR"/>
              </w:rPr>
              <w:t>12,28%</w:t>
            </w:r>
          </w:p>
        </w:tc>
        <w:tc>
          <w:tcPr>
            <w:tcW w:w="12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72CFDCB" w14:textId="77777777" w:rsidR="00D07140" w:rsidRPr="00D07140" w:rsidRDefault="00D07140" w:rsidP="009741B0">
            <w:pPr>
              <w:spacing w:after="0" w:line="240" w:lineRule="auto"/>
              <w:jc w:val="center"/>
              <w:rPr>
                <w:rFonts w:eastAsia="Times New Roman" w:cs="Calibri"/>
                <w:color w:val="000000"/>
                <w:sz w:val="18"/>
                <w:szCs w:val="18"/>
                <w:lang w:eastAsia="el-GR"/>
              </w:rPr>
            </w:pPr>
            <w:r w:rsidRPr="00D07140">
              <w:rPr>
                <w:rFonts w:eastAsia="Times New Roman" w:cs="Calibri"/>
                <w:color w:val="000000"/>
                <w:sz w:val="18"/>
                <w:szCs w:val="18"/>
                <w:lang w:eastAsia="el-GR"/>
              </w:rPr>
              <w:t>623</w:t>
            </w:r>
          </w:p>
        </w:tc>
      </w:tr>
      <w:tr w:rsidR="00D07140" w:rsidRPr="00D07140" w14:paraId="11B9308C" w14:textId="77777777" w:rsidTr="00660743">
        <w:trPr>
          <w:trHeight w:val="382"/>
        </w:trPr>
        <w:tc>
          <w:tcPr>
            <w:tcW w:w="340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F0A66A1" w14:textId="77777777" w:rsidR="00D07140" w:rsidRPr="00D07140" w:rsidRDefault="00D07140" w:rsidP="009741B0">
            <w:pPr>
              <w:spacing w:after="0" w:line="240" w:lineRule="auto"/>
              <w:jc w:val="right"/>
              <w:rPr>
                <w:rFonts w:eastAsia="Times New Roman" w:cs="Calibri"/>
                <w:i/>
                <w:iCs/>
                <w:color w:val="000000"/>
                <w:sz w:val="18"/>
                <w:szCs w:val="18"/>
                <w:lang w:eastAsia="el-GR"/>
              </w:rPr>
            </w:pPr>
            <w:r w:rsidRPr="00D07140">
              <w:rPr>
                <w:rFonts w:eastAsia="Times New Roman" w:cs="Calibri"/>
                <w:i/>
                <w:iCs/>
                <w:color w:val="000000"/>
                <w:sz w:val="18"/>
                <w:szCs w:val="18"/>
                <w:lang w:eastAsia="el-GR"/>
              </w:rPr>
              <w:t xml:space="preserve">εκ των οποίων: εξοπλιστικά προγράμματα </w:t>
            </w:r>
          </w:p>
        </w:tc>
        <w:tc>
          <w:tcPr>
            <w:tcW w:w="129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D10397B" w14:textId="77777777" w:rsidR="00D07140" w:rsidRPr="00D07140" w:rsidRDefault="00D07140" w:rsidP="009741B0">
            <w:pPr>
              <w:spacing w:after="0" w:line="240" w:lineRule="auto"/>
              <w:jc w:val="center"/>
              <w:rPr>
                <w:rFonts w:eastAsia="Times New Roman" w:cs="Calibri"/>
                <w:i/>
                <w:iCs/>
                <w:color w:val="000000"/>
                <w:sz w:val="18"/>
                <w:szCs w:val="18"/>
                <w:lang w:eastAsia="el-GR"/>
              </w:rPr>
            </w:pPr>
            <w:r w:rsidRPr="00D07140">
              <w:rPr>
                <w:rFonts w:eastAsia="Times New Roman" w:cs="Calibri"/>
                <w:i/>
                <w:iCs/>
                <w:color w:val="000000"/>
                <w:sz w:val="18"/>
                <w:szCs w:val="18"/>
                <w:lang w:eastAsia="el-GR"/>
              </w:rPr>
              <w:t>518</w:t>
            </w:r>
          </w:p>
        </w:tc>
        <w:tc>
          <w:tcPr>
            <w:tcW w:w="12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279FB6E" w14:textId="77777777" w:rsidR="00D07140" w:rsidRPr="00D07140" w:rsidRDefault="00D07140" w:rsidP="009741B0">
            <w:pPr>
              <w:spacing w:after="0" w:line="240" w:lineRule="auto"/>
              <w:jc w:val="center"/>
              <w:rPr>
                <w:rFonts w:eastAsia="Times New Roman" w:cs="Calibri"/>
                <w:i/>
                <w:iCs/>
                <w:color w:val="000000"/>
                <w:sz w:val="18"/>
                <w:szCs w:val="18"/>
                <w:lang w:eastAsia="el-GR"/>
              </w:rPr>
            </w:pPr>
            <w:r w:rsidRPr="00D07140">
              <w:rPr>
                <w:rFonts w:eastAsia="Times New Roman" w:cs="Calibri"/>
                <w:i/>
                <w:iCs/>
                <w:color w:val="000000"/>
                <w:sz w:val="18"/>
                <w:szCs w:val="18"/>
                <w:lang w:eastAsia="el-GR"/>
              </w:rPr>
              <w:t>515</w:t>
            </w:r>
          </w:p>
        </w:tc>
        <w:tc>
          <w:tcPr>
            <w:tcW w:w="11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CAF52FA" w14:textId="77777777" w:rsidR="00D07140" w:rsidRPr="00D07140" w:rsidRDefault="00D07140" w:rsidP="009741B0">
            <w:pPr>
              <w:spacing w:after="0" w:line="240" w:lineRule="auto"/>
              <w:jc w:val="center"/>
              <w:rPr>
                <w:rFonts w:eastAsia="Times New Roman" w:cs="Calibri"/>
                <w:color w:val="000000"/>
                <w:sz w:val="18"/>
                <w:szCs w:val="18"/>
                <w:lang w:eastAsia="el-GR"/>
              </w:rPr>
            </w:pPr>
            <w:r w:rsidRPr="00D07140">
              <w:rPr>
                <w:rFonts w:eastAsia="Times New Roman" w:cs="Calibri"/>
                <w:color w:val="000000"/>
                <w:sz w:val="18"/>
                <w:szCs w:val="18"/>
                <w:lang w:eastAsia="el-GR"/>
              </w:rPr>
              <w:t>-0,58%</w:t>
            </w:r>
          </w:p>
        </w:tc>
        <w:tc>
          <w:tcPr>
            <w:tcW w:w="12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0EF427" w14:textId="77777777" w:rsidR="00D07140" w:rsidRPr="00D07140" w:rsidRDefault="00D07140" w:rsidP="009741B0">
            <w:pPr>
              <w:spacing w:after="0" w:line="240" w:lineRule="auto"/>
              <w:jc w:val="center"/>
              <w:rPr>
                <w:rFonts w:eastAsia="Times New Roman" w:cs="Calibri"/>
                <w:i/>
                <w:iCs/>
                <w:color w:val="000000"/>
                <w:sz w:val="18"/>
                <w:szCs w:val="18"/>
                <w:lang w:eastAsia="el-GR"/>
              </w:rPr>
            </w:pPr>
            <w:r w:rsidRPr="00D07140">
              <w:rPr>
                <w:rFonts w:eastAsia="Times New Roman" w:cs="Calibri"/>
                <w:i/>
                <w:iCs/>
                <w:color w:val="000000"/>
                <w:sz w:val="18"/>
                <w:szCs w:val="18"/>
                <w:lang w:eastAsia="el-GR"/>
              </w:rPr>
              <w:t>530</w:t>
            </w:r>
          </w:p>
        </w:tc>
      </w:tr>
      <w:tr w:rsidR="00D07140" w:rsidRPr="00D07140" w14:paraId="5F50C136" w14:textId="77777777" w:rsidTr="00660743">
        <w:trPr>
          <w:trHeight w:val="283"/>
        </w:trPr>
        <w:tc>
          <w:tcPr>
            <w:tcW w:w="340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881D11" w14:textId="77777777" w:rsidR="00D07140" w:rsidRPr="00D07140" w:rsidRDefault="00D07140" w:rsidP="009741B0">
            <w:pPr>
              <w:spacing w:after="0" w:line="240" w:lineRule="auto"/>
              <w:rPr>
                <w:rFonts w:eastAsia="Times New Roman" w:cs="Calibri"/>
                <w:color w:val="000000"/>
                <w:sz w:val="18"/>
                <w:szCs w:val="18"/>
                <w:lang w:eastAsia="el-GR"/>
              </w:rPr>
            </w:pPr>
            <w:r w:rsidRPr="00D07140">
              <w:rPr>
                <w:rFonts w:eastAsia="Times New Roman" w:cs="Calibri"/>
                <w:color w:val="000000"/>
                <w:sz w:val="18"/>
                <w:szCs w:val="18"/>
                <w:lang w:eastAsia="el-GR"/>
              </w:rPr>
              <w:t>Λοιπές δαπάνες</w:t>
            </w:r>
          </w:p>
        </w:tc>
        <w:tc>
          <w:tcPr>
            <w:tcW w:w="129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8CFBD1C" w14:textId="77777777" w:rsidR="00D07140" w:rsidRPr="00D07140" w:rsidRDefault="00D07140" w:rsidP="009741B0">
            <w:pPr>
              <w:spacing w:after="0" w:line="240" w:lineRule="auto"/>
              <w:jc w:val="center"/>
              <w:rPr>
                <w:rFonts w:eastAsia="Times New Roman" w:cs="Calibri"/>
                <w:color w:val="000000"/>
                <w:sz w:val="18"/>
                <w:szCs w:val="18"/>
                <w:lang w:eastAsia="el-GR"/>
              </w:rPr>
            </w:pPr>
            <w:r w:rsidRPr="00D07140">
              <w:rPr>
                <w:rFonts w:eastAsia="Times New Roman" w:cs="Calibri"/>
                <w:color w:val="000000"/>
                <w:sz w:val="18"/>
                <w:szCs w:val="18"/>
                <w:lang w:eastAsia="el-GR"/>
              </w:rPr>
              <w:t>50</w:t>
            </w:r>
          </w:p>
        </w:tc>
        <w:tc>
          <w:tcPr>
            <w:tcW w:w="12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496D443" w14:textId="77777777" w:rsidR="00D07140" w:rsidRPr="00D07140" w:rsidRDefault="00D07140" w:rsidP="009741B0">
            <w:pPr>
              <w:spacing w:after="0" w:line="240" w:lineRule="auto"/>
              <w:jc w:val="center"/>
              <w:rPr>
                <w:rFonts w:eastAsia="Times New Roman" w:cs="Calibri"/>
                <w:color w:val="000000"/>
                <w:sz w:val="18"/>
                <w:szCs w:val="18"/>
                <w:lang w:eastAsia="el-GR"/>
              </w:rPr>
            </w:pPr>
            <w:r w:rsidRPr="00D07140">
              <w:rPr>
                <w:rFonts w:eastAsia="Times New Roman" w:cs="Calibri"/>
                <w:color w:val="000000"/>
                <w:sz w:val="18"/>
                <w:szCs w:val="18"/>
                <w:lang w:eastAsia="el-GR"/>
              </w:rPr>
              <w:t>29</w:t>
            </w:r>
          </w:p>
        </w:tc>
        <w:tc>
          <w:tcPr>
            <w:tcW w:w="11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959AFD6" w14:textId="77777777" w:rsidR="00D07140" w:rsidRPr="00D07140" w:rsidRDefault="00D07140" w:rsidP="009741B0">
            <w:pPr>
              <w:spacing w:after="0" w:line="240" w:lineRule="auto"/>
              <w:jc w:val="center"/>
              <w:rPr>
                <w:rFonts w:eastAsia="Times New Roman" w:cs="Calibri"/>
                <w:color w:val="000000"/>
                <w:sz w:val="18"/>
                <w:szCs w:val="18"/>
                <w:lang w:eastAsia="el-GR"/>
              </w:rPr>
            </w:pPr>
            <w:r w:rsidRPr="00D07140">
              <w:rPr>
                <w:rFonts w:eastAsia="Times New Roman" w:cs="Calibri"/>
                <w:color w:val="000000"/>
                <w:sz w:val="18"/>
                <w:szCs w:val="18"/>
                <w:lang w:eastAsia="el-GR"/>
              </w:rPr>
              <w:t>-42,00%</w:t>
            </w:r>
          </w:p>
        </w:tc>
        <w:tc>
          <w:tcPr>
            <w:tcW w:w="12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BB5FA2" w14:textId="77777777" w:rsidR="00D07140" w:rsidRPr="00D07140" w:rsidRDefault="00D07140" w:rsidP="009741B0">
            <w:pPr>
              <w:spacing w:after="0" w:line="240" w:lineRule="auto"/>
              <w:jc w:val="center"/>
              <w:rPr>
                <w:rFonts w:eastAsia="Times New Roman" w:cs="Calibri"/>
                <w:color w:val="000000"/>
                <w:sz w:val="18"/>
                <w:szCs w:val="18"/>
                <w:lang w:eastAsia="el-GR"/>
              </w:rPr>
            </w:pPr>
            <w:r w:rsidRPr="00D07140">
              <w:rPr>
                <w:rFonts w:eastAsia="Times New Roman" w:cs="Calibri"/>
                <w:color w:val="000000"/>
                <w:sz w:val="18"/>
                <w:szCs w:val="18"/>
                <w:lang w:eastAsia="el-GR"/>
              </w:rPr>
              <w:t>71</w:t>
            </w:r>
          </w:p>
        </w:tc>
      </w:tr>
      <w:tr w:rsidR="00D07140" w:rsidRPr="00D07140" w14:paraId="4D039409" w14:textId="77777777" w:rsidTr="00660743">
        <w:trPr>
          <w:trHeight w:val="222"/>
        </w:trPr>
        <w:tc>
          <w:tcPr>
            <w:tcW w:w="340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8111C18" w14:textId="77777777" w:rsidR="00D07140" w:rsidRPr="00D07140" w:rsidRDefault="00D07140" w:rsidP="009741B0">
            <w:pPr>
              <w:spacing w:after="0" w:line="240" w:lineRule="auto"/>
              <w:jc w:val="left"/>
              <w:rPr>
                <w:rFonts w:eastAsia="Times New Roman" w:cs="Calibri"/>
                <w:color w:val="000000"/>
                <w:sz w:val="18"/>
                <w:szCs w:val="18"/>
                <w:lang w:eastAsia="el-GR"/>
              </w:rPr>
            </w:pPr>
            <w:r w:rsidRPr="00D07140">
              <w:rPr>
                <w:rFonts w:eastAsia="Times New Roman" w:cs="Calibri"/>
                <w:color w:val="000000"/>
                <w:sz w:val="18"/>
                <w:szCs w:val="18"/>
                <w:lang w:eastAsia="el-GR"/>
              </w:rPr>
              <w:t>Πιστώσεις υπό κατανομή (πλην ΠΔΕ)</w:t>
            </w:r>
          </w:p>
        </w:tc>
        <w:tc>
          <w:tcPr>
            <w:tcW w:w="129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36F98A4" w14:textId="77777777" w:rsidR="00D07140" w:rsidRPr="00D07140" w:rsidRDefault="00D07140" w:rsidP="009741B0">
            <w:pPr>
              <w:spacing w:after="0" w:line="240" w:lineRule="auto"/>
              <w:jc w:val="center"/>
              <w:rPr>
                <w:rFonts w:eastAsia="Times New Roman" w:cs="Calibri"/>
                <w:color w:val="000000"/>
                <w:sz w:val="18"/>
                <w:szCs w:val="18"/>
                <w:lang w:eastAsia="el-GR"/>
              </w:rPr>
            </w:pPr>
            <w:r w:rsidRPr="00D07140">
              <w:rPr>
                <w:rFonts w:eastAsia="Times New Roman" w:cs="Calibri"/>
                <w:color w:val="000000"/>
                <w:sz w:val="18"/>
                <w:szCs w:val="18"/>
                <w:lang w:eastAsia="el-GR"/>
              </w:rPr>
              <w:t>0</w:t>
            </w:r>
          </w:p>
        </w:tc>
        <w:tc>
          <w:tcPr>
            <w:tcW w:w="12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3F8FD6" w14:textId="77777777" w:rsidR="00D07140" w:rsidRPr="00D07140" w:rsidRDefault="00D07140" w:rsidP="009741B0">
            <w:pPr>
              <w:spacing w:after="0" w:line="240" w:lineRule="auto"/>
              <w:jc w:val="center"/>
              <w:rPr>
                <w:rFonts w:eastAsia="Times New Roman" w:cs="Calibri"/>
                <w:color w:val="000000"/>
                <w:sz w:val="18"/>
                <w:szCs w:val="18"/>
                <w:lang w:eastAsia="el-GR"/>
              </w:rPr>
            </w:pPr>
            <w:r w:rsidRPr="00D07140">
              <w:rPr>
                <w:rFonts w:eastAsia="Times New Roman" w:cs="Calibri"/>
                <w:color w:val="000000"/>
                <w:sz w:val="18"/>
                <w:szCs w:val="18"/>
                <w:lang w:eastAsia="el-GR"/>
              </w:rPr>
              <w:t>0</w:t>
            </w:r>
          </w:p>
        </w:tc>
        <w:tc>
          <w:tcPr>
            <w:tcW w:w="11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07DF0CB" w14:textId="77777777" w:rsidR="00D07140" w:rsidRPr="00D07140" w:rsidRDefault="00D07140" w:rsidP="009741B0">
            <w:pPr>
              <w:spacing w:after="0" w:line="240" w:lineRule="auto"/>
              <w:jc w:val="center"/>
              <w:rPr>
                <w:rFonts w:eastAsia="Times New Roman" w:cs="Calibri"/>
                <w:color w:val="000000"/>
                <w:sz w:val="18"/>
                <w:szCs w:val="18"/>
                <w:lang w:eastAsia="el-GR"/>
              </w:rPr>
            </w:pPr>
            <w:r w:rsidRPr="00D07140">
              <w:rPr>
                <w:rFonts w:eastAsia="Times New Roman" w:cs="Calibri"/>
                <w:color w:val="000000"/>
                <w:sz w:val="18"/>
                <w:szCs w:val="18"/>
                <w:lang w:eastAsia="el-GR"/>
              </w:rPr>
              <w:t>0,00%</w:t>
            </w:r>
          </w:p>
        </w:tc>
        <w:tc>
          <w:tcPr>
            <w:tcW w:w="12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8B4C85" w14:textId="77777777" w:rsidR="00D07140" w:rsidRPr="00D07140" w:rsidRDefault="00D07140" w:rsidP="009741B0">
            <w:pPr>
              <w:spacing w:after="0" w:line="240" w:lineRule="auto"/>
              <w:jc w:val="center"/>
              <w:rPr>
                <w:rFonts w:eastAsia="Times New Roman" w:cs="Calibri"/>
                <w:color w:val="000000"/>
                <w:sz w:val="18"/>
                <w:szCs w:val="18"/>
                <w:lang w:eastAsia="el-GR"/>
              </w:rPr>
            </w:pPr>
            <w:r w:rsidRPr="00D07140">
              <w:rPr>
                <w:rFonts w:eastAsia="Times New Roman" w:cs="Calibri"/>
                <w:color w:val="000000"/>
                <w:sz w:val="18"/>
                <w:szCs w:val="18"/>
                <w:lang w:eastAsia="el-GR"/>
              </w:rPr>
              <w:t>1495</w:t>
            </w:r>
          </w:p>
        </w:tc>
      </w:tr>
      <w:tr w:rsidR="00D07140" w:rsidRPr="00D07140" w14:paraId="21A03272" w14:textId="77777777" w:rsidTr="00660743">
        <w:trPr>
          <w:trHeight w:val="245"/>
        </w:trPr>
        <w:tc>
          <w:tcPr>
            <w:tcW w:w="340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52FD1B" w14:textId="77777777" w:rsidR="00D07140" w:rsidRPr="00D07140" w:rsidRDefault="00D07140" w:rsidP="009741B0">
            <w:pPr>
              <w:spacing w:after="0" w:line="240" w:lineRule="auto"/>
              <w:jc w:val="left"/>
              <w:rPr>
                <w:rFonts w:eastAsia="Times New Roman" w:cs="Calibri"/>
                <w:color w:val="000000"/>
                <w:sz w:val="18"/>
                <w:szCs w:val="18"/>
                <w:lang w:eastAsia="el-GR"/>
              </w:rPr>
            </w:pPr>
            <w:r w:rsidRPr="00D07140">
              <w:rPr>
                <w:rFonts w:eastAsia="Times New Roman" w:cs="Calibri"/>
                <w:color w:val="000000"/>
                <w:sz w:val="18"/>
                <w:szCs w:val="18"/>
                <w:lang w:eastAsia="el-GR"/>
              </w:rPr>
              <w:t>Τόκοι</w:t>
            </w:r>
          </w:p>
        </w:tc>
        <w:tc>
          <w:tcPr>
            <w:tcW w:w="12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C4B480" w14:textId="77777777" w:rsidR="00D07140" w:rsidRPr="00D07140" w:rsidRDefault="00D07140" w:rsidP="009741B0">
            <w:pPr>
              <w:spacing w:after="0" w:line="240" w:lineRule="auto"/>
              <w:jc w:val="center"/>
              <w:rPr>
                <w:rFonts w:eastAsia="Times New Roman" w:cs="Calibri"/>
                <w:color w:val="000000"/>
                <w:sz w:val="18"/>
                <w:szCs w:val="18"/>
                <w:lang w:eastAsia="el-GR"/>
              </w:rPr>
            </w:pPr>
            <w:r w:rsidRPr="00D07140">
              <w:rPr>
                <w:rFonts w:eastAsia="Times New Roman" w:cs="Calibri"/>
                <w:color w:val="000000"/>
                <w:sz w:val="18"/>
                <w:szCs w:val="18"/>
                <w:lang w:eastAsia="el-GR"/>
              </w:rPr>
              <w:t>5.225</w:t>
            </w:r>
          </w:p>
        </w:tc>
        <w:tc>
          <w:tcPr>
            <w:tcW w:w="121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4D551C" w14:textId="77777777" w:rsidR="00D07140" w:rsidRPr="00D07140" w:rsidRDefault="00D07140" w:rsidP="009741B0">
            <w:pPr>
              <w:spacing w:after="0" w:line="240" w:lineRule="auto"/>
              <w:jc w:val="center"/>
              <w:rPr>
                <w:rFonts w:eastAsia="Times New Roman" w:cs="Calibri"/>
                <w:color w:val="000000"/>
                <w:sz w:val="18"/>
                <w:szCs w:val="18"/>
                <w:lang w:eastAsia="el-GR"/>
              </w:rPr>
            </w:pPr>
            <w:r w:rsidRPr="00D07140">
              <w:rPr>
                <w:rFonts w:eastAsia="Times New Roman" w:cs="Calibri"/>
                <w:color w:val="000000"/>
                <w:sz w:val="18"/>
                <w:szCs w:val="18"/>
                <w:lang w:eastAsia="el-GR"/>
              </w:rPr>
              <w:t>4.774</w:t>
            </w:r>
          </w:p>
        </w:tc>
        <w:tc>
          <w:tcPr>
            <w:tcW w:w="11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DC6FF5E" w14:textId="77777777" w:rsidR="00D07140" w:rsidRPr="00D07140" w:rsidRDefault="00D07140" w:rsidP="009741B0">
            <w:pPr>
              <w:spacing w:after="0" w:line="240" w:lineRule="auto"/>
              <w:jc w:val="center"/>
              <w:rPr>
                <w:rFonts w:eastAsia="Times New Roman" w:cs="Calibri"/>
                <w:color w:val="000000"/>
                <w:sz w:val="18"/>
                <w:szCs w:val="18"/>
                <w:lang w:eastAsia="el-GR"/>
              </w:rPr>
            </w:pPr>
            <w:r w:rsidRPr="00D07140">
              <w:rPr>
                <w:rFonts w:eastAsia="Times New Roman" w:cs="Calibri"/>
                <w:color w:val="000000"/>
                <w:sz w:val="18"/>
                <w:szCs w:val="18"/>
                <w:lang w:eastAsia="el-GR"/>
              </w:rPr>
              <w:t>-8,63%</w:t>
            </w:r>
          </w:p>
        </w:tc>
        <w:tc>
          <w:tcPr>
            <w:tcW w:w="12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63F9E14" w14:textId="77777777" w:rsidR="00D07140" w:rsidRPr="00D07140" w:rsidRDefault="00D07140" w:rsidP="009741B0">
            <w:pPr>
              <w:spacing w:after="0" w:line="240" w:lineRule="auto"/>
              <w:jc w:val="center"/>
              <w:rPr>
                <w:rFonts w:eastAsia="Times New Roman" w:cs="Calibri"/>
                <w:color w:val="000000"/>
                <w:sz w:val="18"/>
                <w:szCs w:val="18"/>
                <w:lang w:eastAsia="el-GR"/>
              </w:rPr>
            </w:pPr>
            <w:r w:rsidRPr="00D07140">
              <w:rPr>
                <w:rFonts w:eastAsia="Times New Roman" w:cs="Calibri"/>
                <w:color w:val="000000"/>
                <w:sz w:val="18"/>
                <w:szCs w:val="18"/>
                <w:lang w:eastAsia="el-GR"/>
              </w:rPr>
              <w:t>4.500</w:t>
            </w:r>
          </w:p>
        </w:tc>
      </w:tr>
      <w:tr w:rsidR="00D07140" w:rsidRPr="00D07140" w14:paraId="341347C8" w14:textId="77777777" w:rsidTr="00660743">
        <w:trPr>
          <w:trHeight w:val="259"/>
        </w:trPr>
        <w:tc>
          <w:tcPr>
            <w:tcW w:w="3407" w:type="dxa"/>
            <w:tcBorders>
              <w:top w:val="single" w:sz="4" w:space="0" w:color="auto"/>
              <w:left w:val="single" w:sz="4" w:space="0" w:color="auto"/>
              <w:bottom w:val="single" w:sz="12" w:space="0" w:color="auto"/>
              <w:right w:val="single" w:sz="4" w:space="0" w:color="auto"/>
            </w:tcBorders>
            <w:shd w:val="clear" w:color="000000" w:fill="D9D9D9"/>
            <w:noWrap/>
            <w:vAlign w:val="center"/>
            <w:hideMark/>
          </w:tcPr>
          <w:p w14:paraId="19BBF657" w14:textId="77777777" w:rsidR="00D07140" w:rsidRPr="00D07140" w:rsidRDefault="00D07140" w:rsidP="009741B0">
            <w:pPr>
              <w:spacing w:after="0" w:line="240" w:lineRule="auto"/>
              <w:jc w:val="left"/>
              <w:rPr>
                <w:rFonts w:eastAsia="Times New Roman" w:cs="Calibri"/>
                <w:b/>
                <w:bCs/>
                <w:color w:val="000000"/>
                <w:sz w:val="18"/>
                <w:szCs w:val="18"/>
                <w:lang w:eastAsia="el-GR"/>
              </w:rPr>
            </w:pPr>
            <w:r w:rsidRPr="00D07140">
              <w:rPr>
                <w:rFonts w:eastAsia="Times New Roman" w:cs="Calibri"/>
                <w:b/>
                <w:bCs/>
                <w:color w:val="000000"/>
                <w:sz w:val="18"/>
                <w:szCs w:val="18"/>
                <w:lang w:eastAsia="el-GR"/>
              </w:rPr>
              <w:t>II. Δαπάνες ΠΔΕ</w:t>
            </w:r>
          </w:p>
        </w:tc>
        <w:tc>
          <w:tcPr>
            <w:tcW w:w="1293" w:type="dxa"/>
            <w:tcBorders>
              <w:top w:val="single" w:sz="4" w:space="0" w:color="auto"/>
              <w:left w:val="single" w:sz="4" w:space="0" w:color="auto"/>
              <w:bottom w:val="single" w:sz="12" w:space="0" w:color="auto"/>
              <w:right w:val="single" w:sz="4" w:space="0" w:color="auto"/>
            </w:tcBorders>
            <w:shd w:val="clear" w:color="000000" w:fill="D9D9D9"/>
            <w:vAlign w:val="center"/>
            <w:hideMark/>
          </w:tcPr>
          <w:p w14:paraId="5AE6208D" w14:textId="77777777" w:rsidR="00D07140" w:rsidRPr="00D07140" w:rsidRDefault="00D07140" w:rsidP="009741B0">
            <w:pPr>
              <w:spacing w:after="0" w:line="240" w:lineRule="auto"/>
              <w:jc w:val="center"/>
              <w:rPr>
                <w:rFonts w:eastAsia="Times New Roman" w:cs="Calibri"/>
                <w:color w:val="000000"/>
                <w:sz w:val="18"/>
                <w:szCs w:val="18"/>
                <w:lang w:eastAsia="el-GR"/>
              </w:rPr>
            </w:pPr>
            <w:r w:rsidRPr="00D07140">
              <w:rPr>
                <w:rFonts w:eastAsia="Times New Roman" w:cs="Calibri"/>
                <w:color w:val="000000"/>
                <w:sz w:val="18"/>
                <w:szCs w:val="18"/>
                <w:lang w:eastAsia="el-GR"/>
              </w:rPr>
              <w:t>5.642</w:t>
            </w:r>
          </w:p>
        </w:tc>
        <w:tc>
          <w:tcPr>
            <w:tcW w:w="1219" w:type="dxa"/>
            <w:tcBorders>
              <w:top w:val="single" w:sz="4" w:space="0" w:color="auto"/>
              <w:left w:val="single" w:sz="4" w:space="0" w:color="auto"/>
              <w:bottom w:val="single" w:sz="12" w:space="0" w:color="auto"/>
              <w:right w:val="single" w:sz="4" w:space="0" w:color="auto"/>
            </w:tcBorders>
            <w:shd w:val="clear" w:color="000000" w:fill="D9D9D9"/>
            <w:vAlign w:val="center"/>
            <w:hideMark/>
          </w:tcPr>
          <w:p w14:paraId="497B9CDC" w14:textId="77777777" w:rsidR="00D07140" w:rsidRPr="00D07140" w:rsidRDefault="00D07140" w:rsidP="009741B0">
            <w:pPr>
              <w:spacing w:after="0" w:line="240" w:lineRule="auto"/>
              <w:jc w:val="center"/>
              <w:rPr>
                <w:rFonts w:eastAsia="Times New Roman" w:cs="Calibri"/>
                <w:color w:val="000000"/>
                <w:sz w:val="18"/>
                <w:szCs w:val="18"/>
                <w:lang w:eastAsia="el-GR"/>
              </w:rPr>
            </w:pPr>
            <w:r w:rsidRPr="00D07140">
              <w:rPr>
                <w:rFonts w:eastAsia="Times New Roman" w:cs="Calibri"/>
                <w:color w:val="000000"/>
                <w:sz w:val="18"/>
                <w:szCs w:val="18"/>
                <w:lang w:eastAsia="el-GR"/>
              </w:rPr>
              <w:t>10.647</w:t>
            </w:r>
          </w:p>
        </w:tc>
        <w:tc>
          <w:tcPr>
            <w:tcW w:w="1161" w:type="dxa"/>
            <w:tcBorders>
              <w:top w:val="single" w:sz="4" w:space="0" w:color="auto"/>
              <w:left w:val="single" w:sz="4" w:space="0" w:color="auto"/>
              <w:bottom w:val="single" w:sz="12" w:space="0" w:color="auto"/>
              <w:right w:val="single" w:sz="4" w:space="0" w:color="auto"/>
            </w:tcBorders>
            <w:shd w:val="clear" w:color="000000" w:fill="D9D9D9"/>
            <w:vAlign w:val="center"/>
            <w:hideMark/>
          </w:tcPr>
          <w:p w14:paraId="263D8362" w14:textId="77777777" w:rsidR="00D07140" w:rsidRPr="00D07140" w:rsidRDefault="00D07140" w:rsidP="009741B0">
            <w:pPr>
              <w:spacing w:after="0" w:line="240" w:lineRule="auto"/>
              <w:jc w:val="center"/>
              <w:rPr>
                <w:rFonts w:eastAsia="Times New Roman" w:cs="Calibri"/>
                <w:color w:val="000000"/>
                <w:sz w:val="18"/>
                <w:szCs w:val="18"/>
                <w:lang w:eastAsia="el-GR"/>
              </w:rPr>
            </w:pPr>
            <w:r w:rsidRPr="00D07140">
              <w:rPr>
                <w:rFonts w:eastAsia="Times New Roman" w:cs="Calibri"/>
                <w:color w:val="000000"/>
                <w:sz w:val="18"/>
                <w:szCs w:val="18"/>
                <w:lang w:eastAsia="el-GR"/>
              </w:rPr>
              <w:t>-9,5</w:t>
            </w:r>
          </w:p>
        </w:tc>
        <w:tc>
          <w:tcPr>
            <w:tcW w:w="1293" w:type="dxa"/>
            <w:tcBorders>
              <w:top w:val="single" w:sz="4" w:space="0" w:color="auto"/>
              <w:left w:val="single" w:sz="4" w:space="0" w:color="auto"/>
              <w:bottom w:val="single" w:sz="12" w:space="0" w:color="auto"/>
              <w:right w:val="single" w:sz="4" w:space="0" w:color="auto"/>
            </w:tcBorders>
            <w:shd w:val="clear" w:color="000000" w:fill="D9D9D9"/>
            <w:noWrap/>
            <w:vAlign w:val="center"/>
            <w:hideMark/>
          </w:tcPr>
          <w:p w14:paraId="20E609D1" w14:textId="77777777" w:rsidR="00D07140" w:rsidRPr="00D07140" w:rsidRDefault="00D07140" w:rsidP="009741B0">
            <w:pPr>
              <w:spacing w:after="0" w:line="240" w:lineRule="auto"/>
              <w:jc w:val="center"/>
              <w:rPr>
                <w:rFonts w:eastAsia="Times New Roman" w:cs="Calibri"/>
                <w:color w:val="000000"/>
                <w:sz w:val="18"/>
                <w:szCs w:val="18"/>
                <w:lang w:eastAsia="el-GR"/>
              </w:rPr>
            </w:pPr>
            <w:r w:rsidRPr="00D07140">
              <w:rPr>
                <w:rFonts w:eastAsia="Times New Roman" w:cs="Calibri"/>
                <w:color w:val="000000"/>
                <w:sz w:val="18"/>
                <w:szCs w:val="18"/>
                <w:lang w:eastAsia="el-GR"/>
              </w:rPr>
              <w:t>6.750</w:t>
            </w:r>
          </w:p>
        </w:tc>
      </w:tr>
    </w:tbl>
    <w:p w14:paraId="62B5879D" w14:textId="77777777" w:rsidR="00D07140" w:rsidRPr="00D07140" w:rsidRDefault="00D07140" w:rsidP="00D07140">
      <w:pPr>
        <w:spacing w:after="240"/>
        <w:rPr>
          <w:color w:val="auto"/>
        </w:rPr>
      </w:pPr>
      <w:r w:rsidRPr="00D07140">
        <w:rPr>
          <w:rFonts w:eastAsia="Times New Roman" w:cs="Calibri"/>
          <w:b/>
          <w:iCs/>
          <w:color w:val="auto"/>
          <w:sz w:val="16"/>
          <w:szCs w:val="16"/>
          <w:lang w:eastAsia="el-GR"/>
        </w:rPr>
        <w:t xml:space="preserve">Πηγή: </w:t>
      </w:r>
      <w:r w:rsidRPr="00D07140">
        <w:rPr>
          <w:rFonts w:eastAsia="Calibri" w:cs="Times New Roman"/>
          <w:iCs/>
          <w:color w:val="00B0F0"/>
          <w:sz w:val="16"/>
          <w:szCs w:val="16"/>
        </w:rPr>
        <w:t>Μηνιαίο Δελτίο Εκτέλεσης Κρατικού Προϋπολογισμού Δεκεμβρίου 2020 (τροποποιημένη ταμειακή βάση) – Επεξεργασία ΕΔΣ</w:t>
      </w:r>
    </w:p>
    <w:p w14:paraId="313D8392" w14:textId="77777777" w:rsidR="00660743" w:rsidRDefault="00660743" w:rsidP="009741B0">
      <w:pPr>
        <w:autoSpaceDE w:val="0"/>
        <w:autoSpaceDN w:val="0"/>
        <w:adjustRightInd w:val="0"/>
        <w:spacing w:after="160"/>
        <w:rPr>
          <w:color w:val="auto"/>
        </w:rPr>
      </w:pPr>
    </w:p>
    <w:p w14:paraId="3F471160" w14:textId="529E52C4" w:rsidR="009741B0" w:rsidRPr="00D07140" w:rsidRDefault="009741B0" w:rsidP="009741B0">
      <w:pPr>
        <w:autoSpaceDE w:val="0"/>
        <w:autoSpaceDN w:val="0"/>
        <w:adjustRightInd w:val="0"/>
        <w:spacing w:after="160"/>
        <w:rPr>
          <w:color w:val="auto"/>
        </w:rPr>
      </w:pPr>
      <w:r w:rsidRPr="00D07140">
        <w:rPr>
          <w:color w:val="auto"/>
        </w:rPr>
        <w:t xml:space="preserve">Η κατηγορία δαπανών, που αφορά παροχές </w:t>
      </w:r>
      <w:r w:rsidR="006814B0">
        <w:rPr>
          <w:color w:val="auto"/>
        </w:rPr>
        <w:t>σε</w:t>
      </w:r>
      <w:r w:rsidRPr="00D07140">
        <w:rPr>
          <w:color w:val="auto"/>
        </w:rPr>
        <w:t xml:space="preserve"> εργαζόμενους δεν παρουσιάζει καμία σχεδόν μεταβολή. Μείωση παρατηρείται στην κατηγορία “κοινωνικές παροχές” λόγω του ότι δεν αποδό</w:t>
      </w:r>
      <w:r w:rsidR="003C5A2E">
        <w:rPr>
          <w:color w:val="auto"/>
        </w:rPr>
        <w:t xml:space="preserve">θηκε φέτος “κοινωνικό μέρισμα” </w:t>
      </w:r>
      <w:r w:rsidRPr="00D07140">
        <w:rPr>
          <w:color w:val="auto"/>
        </w:rPr>
        <w:t>αλλά και διότι το επίδομα θέρμανσης για το 2020 ταμειακά αποδόθηκε το</w:t>
      </w:r>
      <w:r w:rsidR="006814B0">
        <w:rPr>
          <w:color w:val="auto"/>
        </w:rPr>
        <w:t>ν</w:t>
      </w:r>
      <w:r w:rsidRPr="00D07140">
        <w:rPr>
          <w:color w:val="auto"/>
        </w:rPr>
        <w:t xml:space="preserve"> Δεκέμβρη του 2019 </w:t>
      </w:r>
      <w:r w:rsidR="006814B0">
        <w:rPr>
          <w:color w:val="auto"/>
        </w:rPr>
        <w:t>ενώ</w:t>
      </w:r>
      <w:r w:rsidRPr="00D07140">
        <w:rPr>
          <w:color w:val="auto"/>
        </w:rPr>
        <w:t xml:space="preserve"> για το 2021 τον Ιανουάριο</w:t>
      </w:r>
      <w:r w:rsidRPr="00D07140">
        <w:rPr>
          <w:color w:val="auto"/>
          <w:vertAlign w:val="superscript"/>
        </w:rPr>
        <w:footnoteReference w:id="14"/>
      </w:r>
      <w:r w:rsidRPr="00D07140">
        <w:rPr>
          <w:color w:val="auto"/>
        </w:rPr>
        <w:t xml:space="preserve">. </w:t>
      </w:r>
    </w:p>
    <w:p w14:paraId="2EF81C8F" w14:textId="388C363B" w:rsidR="009741B0" w:rsidRPr="00D07140" w:rsidRDefault="009741B0" w:rsidP="009741B0">
      <w:pPr>
        <w:autoSpaceDE w:val="0"/>
        <w:autoSpaceDN w:val="0"/>
        <w:adjustRightInd w:val="0"/>
        <w:spacing w:after="160"/>
        <w:rPr>
          <w:color w:val="auto"/>
        </w:rPr>
      </w:pPr>
      <w:r w:rsidRPr="00D07140">
        <w:rPr>
          <w:color w:val="auto"/>
        </w:rPr>
        <w:t>Η κατηγορία “Μεταβιβάσεις” π</w:t>
      </w:r>
      <w:r w:rsidR="006814B0">
        <w:rPr>
          <w:color w:val="auto"/>
        </w:rPr>
        <w:t>αρουσιάζει μια αύξηση κατά 37,4</w:t>
      </w:r>
      <w:r w:rsidRPr="00D07140">
        <w:rPr>
          <w:color w:val="auto"/>
        </w:rPr>
        <w:t xml:space="preserve">% σε σχέση με πέρυσι (10,5 δισ. ευρώ), καθόσον στην κατηγορία αυτή ενσωματώνεται μεγάλο μέρος των έκτακτων δαπανών που έχουν πραγματοποιηθεί για την αντιμετώπιση της πανδημίας. Αυτές οι δαπάνες περιλαμβάνουν μεταξύ άλλων δαπάνες για την καταβολή αποζημίωσης ειδικού σκοπού (μισθωτών και επιστημόνων), την ενίσχυση επιχειρήσεων με τη μορφή επιστρεπτέας προκαταβολής, την έκτακτη επιχορήγηση προς τον ΕΦΚΑ για την κάλυψη υστέρησης εσόδων από τις μειωμένες ασφαλιστικές εισφορές λόγω της πανδημίας και την έκτακτη επιχορήγηση προς τον ΕΟΠΥΥ </w:t>
      </w:r>
      <w:r w:rsidR="006814B0">
        <w:rPr>
          <w:color w:val="auto"/>
        </w:rPr>
        <w:t xml:space="preserve">επίσης </w:t>
      </w:r>
      <w:r w:rsidRPr="00D07140">
        <w:rPr>
          <w:color w:val="auto"/>
        </w:rPr>
        <w:t>για την κάλυψη υστέρησης εσόδων από μειωμένες ασφαλιστικές εισφορές.</w:t>
      </w:r>
    </w:p>
    <w:p w14:paraId="7F6C5690" w14:textId="56FC5C99" w:rsidR="009741B0" w:rsidRPr="00D07140" w:rsidRDefault="009741B0" w:rsidP="009741B0">
      <w:pPr>
        <w:autoSpaceDE w:val="0"/>
        <w:autoSpaceDN w:val="0"/>
        <w:adjustRightInd w:val="0"/>
        <w:spacing w:after="160"/>
        <w:rPr>
          <w:color w:val="auto"/>
        </w:rPr>
      </w:pPr>
      <w:r w:rsidRPr="00D07140">
        <w:rPr>
          <w:color w:val="auto"/>
        </w:rPr>
        <w:t>Ως προς τις εγγυήσεις, παρουσιάζεται μια ευμεγέθης κατάπτωση ύψους 636 εκατ. ευρώ που όμως βρίσκεται εντός των προβλέψεων του προϋπολογισμού και αφορά στο μεγαλύτερο μέρος (580 εκατ. ευρώ) κατάπτωση δανείου του ΟΣΕ.</w:t>
      </w:r>
    </w:p>
    <w:p w14:paraId="69208892" w14:textId="10819683" w:rsidR="00D07140" w:rsidRDefault="00D07140" w:rsidP="00D07140">
      <w:pPr>
        <w:autoSpaceDE w:val="0"/>
        <w:autoSpaceDN w:val="0"/>
        <w:adjustRightInd w:val="0"/>
        <w:spacing w:after="160"/>
        <w:rPr>
          <w:color w:val="auto"/>
        </w:rPr>
      </w:pPr>
      <w:r w:rsidRPr="00D07140">
        <w:rPr>
          <w:color w:val="auto"/>
        </w:rPr>
        <w:t xml:space="preserve">Τέλος, στο ΠΔΕ παρατηρείται μια μεγάλη αύξηση σε σχέση με την περσινή περίοδο κατά 5 δισ. ευρώ περίπου, η οποία στο μεγαλύτερο μέρος οφείλεται  σε δαπάνες που σχετίζονται </w:t>
      </w:r>
      <w:r w:rsidR="004D2790">
        <w:rPr>
          <w:color w:val="auto"/>
        </w:rPr>
        <w:t>με την πανδημία</w:t>
      </w:r>
      <w:r w:rsidRPr="00D07140">
        <w:rPr>
          <w:color w:val="auto"/>
        </w:rPr>
        <w:t xml:space="preserve">. </w:t>
      </w:r>
      <w:r w:rsidR="004D2790">
        <w:rPr>
          <w:color w:val="auto"/>
        </w:rPr>
        <w:t>Π</w:t>
      </w:r>
      <w:r w:rsidRPr="00D07140">
        <w:rPr>
          <w:color w:val="auto"/>
        </w:rPr>
        <w:t>εριλαμβάνουν</w:t>
      </w:r>
      <w:r w:rsidR="004D2790">
        <w:rPr>
          <w:color w:val="auto"/>
        </w:rPr>
        <w:t>,</w:t>
      </w:r>
      <w:r w:rsidRPr="00D07140">
        <w:rPr>
          <w:color w:val="auto"/>
        </w:rPr>
        <w:t xml:space="preserve"> μεταξύ άλλων</w:t>
      </w:r>
      <w:r w:rsidR="004D2790">
        <w:rPr>
          <w:color w:val="auto"/>
        </w:rPr>
        <w:t>, την ενίσχυση</w:t>
      </w:r>
      <w:r w:rsidRPr="00D07140">
        <w:rPr>
          <w:color w:val="auto"/>
        </w:rPr>
        <w:t xml:space="preserve"> με τη μορφή επιστρεπτέας προκαταβολής σε επιχειρήσεις που επλήγησαν οικονομικά, τη δαπάνη </w:t>
      </w:r>
      <w:r w:rsidRPr="00D07140">
        <w:rPr>
          <w:rFonts w:cs="Helvetica"/>
          <w:color w:val="auto"/>
          <w:shd w:val="clear" w:color="auto" w:fill="FFFFFF"/>
        </w:rPr>
        <w:t>για τη σύσταση ταμείου εγγυοδοσίας επιχειρήσεων λόγω της πανδημίας</w:t>
      </w:r>
      <w:r w:rsidR="008E319E">
        <w:rPr>
          <w:rFonts w:cs="Helvetica"/>
          <w:color w:val="auto"/>
          <w:shd w:val="clear" w:color="auto" w:fill="FFFFFF"/>
        </w:rPr>
        <w:t>,</w:t>
      </w:r>
      <w:r w:rsidRPr="00D07140">
        <w:rPr>
          <w:color w:val="auto"/>
        </w:rPr>
        <w:t xml:space="preserve"> τη δαπάνη για έργα του Ταμείου Επιχειρηματικότητας (ΤΕΠΙΧ), την ενίσχυση επιχειρήσεων και αυτoαπασχολούμενων και την επιδότηση τόκων δανείων μικρών και μεσαίων επιχειρήσεων. Αξίζει να αναφερθεί ότι η χρηματοδότηση εργαλείων παροχής ρευστότητας έχει </w:t>
      </w:r>
      <w:r w:rsidR="006814B0">
        <w:rPr>
          <w:color w:val="auto"/>
        </w:rPr>
        <w:t>περιέλθει</w:t>
      </w:r>
      <w:r w:rsidRPr="00D07140">
        <w:rPr>
          <w:color w:val="auto"/>
        </w:rPr>
        <w:t xml:space="preserve"> εξ ’ολοκλήρου </w:t>
      </w:r>
      <w:r w:rsidR="006814B0">
        <w:rPr>
          <w:color w:val="auto"/>
        </w:rPr>
        <w:t>σ</w:t>
      </w:r>
      <w:r w:rsidRPr="00D07140">
        <w:rPr>
          <w:color w:val="auto"/>
        </w:rPr>
        <w:t>το ΠΔΕ</w:t>
      </w:r>
      <w:r w:rsidR="004D2790">
        <w:rPr>
          <w:color w:val="auto"/>
        </w:rPr>
        <w:t>,</w:t>
      </w:r>
      <w:r w:rsidRPr="00D07140">
        <w:rPr>
          <w:color w:val="auto"/>
        </w:rPr>
        <w:t xml:space="preserve"> ενώ οι λοιπές δαπάνες (όπως π.χ. η επιστρεπτέα προκαταβολή) έχουν επιμεριστεί μεταξύ του ΠΔΕ και της γενικής κατηγορίας των “Μεταβιβάσεων”</w:t>
      </w:r>
      <w:r w:rsidR="006814B0">
        <w:rPr>
          <w:rStyle w:val="FootnoteReference"/>
          <w:color w:val="auto"/>
        </w:rPr>
        <w:footnoteReference w:id="15"/>
      </w:r>
      <w:r w:rsidRPr="00D07140">
        <w:rPr>
          <w:color w:val="auto"/>
        </w:rPr>
        <w:t xml:space="preserve">.   </w:t>
      </w:r>
    </w:p>
    <w:p w14:paraId="7BD1E73F" w14:textId="0DF564B7" w:rsidR="004D2790" w:rsidRDefault="004D2790" w:rsidP="004D2790">
      <w:pPr>
        <w:autoSpaceDE w:val="0"/>
        <w:autoSpaceDN w:val="0"/>
        <w:adjustRightInd w:val="0"/>
        <w:rPr>
          <w:color w:val="auto"/>
        </w:rPr>
      </w:pPr>
      <w:r>
        <w:rPr>
          <w:color w:val="auto"/>
        </w:rPr>
        <w:t xml:space="preserve">Ως προς την κατεύθυνση των </w:t>
      </w:r>
      <w:r w:rsidRPr="00660743">
        <w:rPr>
          <w:color w:val="auto"/>
        </w:rPr>
        <w:t>δαπανών</w:t>
      </w:r>
      <w:r w:rsidR="00660743" w:rsidRPr="00660743">
        <w:rPr>
          <w:color w:val="auto"/>
        </w:rPr>
        <w:t xml:space="preserve"> (</w:t>
      </w:r>
      <w:r w:rsidR="00660743" w:rsidRPr="00660743">
        <w:rPr>
          <w:i/>
          <w:color w:val="auto"/>
        </w:rPr>
        <w:fldChar w:fldCharType="begin"/>
      </w:r>
      <w:r w:rsidR="00660743" w:rsidRPr="00660743">
        <w:rPr>
          <w:i/>
          <w:color w:val="auto"/>
        </w:rPr>
        <w:instrText xml:space="preserve"> REF _Ref72354066 \h  \* MERGEFORMAT </w:instrText>
      </w:r>
      <w:r w:rsidR="00660743" w:rsidRPr="00660743">
        <w:rPr>
          <w:i/>
          <w:color w:val="auto"/>
        </w:rPr>
      </w:r>
      <w:r w:rsidR="00660743" w:rsidRPr="00660743">
        <w:rPr>
          <w:i/>
          <w:color w:val="auto"/>
        </w:rPr>
        <w:fldChar w:fldCharType="separate"/>
      </w:r>
      <w:r w:rsidR="00CC05A7" w:rsidRPr="00CC05A7">
        <w:rPr>
          <w:i/>
          <w:color w:val="auto"/>
        </w:rPr>
        <w:t xml:space="preserve">Διάγραμμα </w:t>
      </w:r>
      <w:r w:rsidR="00CC05A7" w:rsidRPr="00CC05A7">
        <w:rPr>
          <w:i/>
          <w:noProof/>
          <w:color w:val="auto"/>
        </w:rPr>
        <w:t>26</w:t>
      </w:r>
      <w:r w:rsidR="00660743" w:rsidRPr="00660743">
        <w:rPr>
          <w:i/>
          <w:color w:val="auto"/>
        </w:rPr>
        <w:fldChar w:fldCharType="end"/>
      </w:r>
      <w:r w:rsidR="00660743" w:rsidRPr="00660743">
        <w:rPr>
          <w:color w:val="auto"/>
        </w:rPr>
        <w:t>)</w:t>
      </w:r>
      <w:r w:rsidRPr="00660743">
        <w:rPr>
          <w:color w:val="auto"/>
        </w:rPr>
        <w:t xml:space="preserve"> το μεγαλύτερο </w:t>
      </w:r>
      <w:r w:rsidRPr="00D07140">
        <w:rPr>
          <w:color w:val="auto"/>
        </w:rPr>
        <w:t xml:space="preserve">μέρος </w:t>
      </w:r>
      <w:r w:rsidR="008E319E">
        <w:rPr>
          <w:color w:val="auto"/>
        </w:rPr>
        <w:t>τους,</w:t>
      </w:r>
      <w:r w:rsidRPr="00D07140">
        <w:rPr>
          <w:color w:val="auto"/>
        </w:rPr>
        <w:t xml:space="preserve"> κατευθύνθηκε προς τις επιχειρήσεις</w:t>
      </w:r>
      <w:r>
        <w:rPr>
          <w:color w:val="auto"/>
        </w:rPr>
        <w:t xml:space="preserve"> (5.726 εκατ. ευρώ)</w:t>
      </w:r>
      <w:r w:rsidRPr="00D07140">
        <w:rPr>
          <w:color w:val="auto"/>
        </w:rPr>
        <w:t xml:space="preserve"> μέσω </w:t>
      </w:r>
      <w:r>
        <w:rPr>
          <w:color w:val="auto"/>
        </w:rPr>
        <w:t xml:space="preserve">κυρίως </w:t>
      </w:r>
      <w:r w:rsidRPr="00D07140">
        <w:rPr>
          <w:color w:val="auto"/>
        </w:rPr>
        <w:t>των τεσσάρων προγραμμάτων της επιστρεπτέας προκαταβολής</w:t>
      </w:r>
      <w:r w:rsidR="008E319E">
        <w:rPr>
          <w:color w:val="auto"/>
        </w:rPr>
        <w:t>,</w:t>
      </w:r>
      <w:r w:rsidRPr="00D07140">
        <w:rPr>
          <w:color w:val="auto"/>
        </w:rPr>
        <w:t xml:space="preserve"> το οποίο συνεχίζεται και το 2021 (έχουν υλοποιηθεί άλλοι τρείς κύκλοι). Σημαντική επίσης υπήρξε και η ενίσχυση των </w:t>
      </w:r>
      <w:r>
        <w:rPr>
          <w:color w:val="auto"/>
        </w:rPr>
        <w:t>νοικοκυριών (2.853 εκατ. ευρώ)</w:t>
      </w:r>
      <w:r w:rsidR="008E319E">
        <w:rPr>
          <w:color w:val="auto"/>
        </w:rPr>
        <w:t>,</w:t>
      </w:r>
      <w:r w:rsidRPr="00D07140">
        <w:rPr>
          <w:color w:val="auto"/>
        </w:rPr>
        <w:t xml:space="preserve"> </w:t>
      </w:r>
      <w:r>
        <w:rPr>
          <w:color w:val="auto"/>
        </w:rPr>
        <w:t xml:space="preserve">κυρίως </w:t>
      </w:r>
      <w:r w:rsidRPr="00D07140">
        <w:rPr>
          <w:color w:val="auto"/>
        </w:rPr>
        <w:t>μέσω των καταβολών χρηματικών ενισχύσεων μηνιαίου ύψους 534 ευρώ λόγω αναστολής εργασιακής σχέσης, ενώ οι δαπάνες παροχής ρευστότητας</w:t>
      </w:r>
      <w:r w:rsidR="008E319E">
        <w:rPr>
          <w:color w:val="auto"/>
        </w:rPr>
        <w:t>,</w:t>
      </w:r>
      <w:r w:rsidRPr="00D07140">
        <w:rPr>
          <w:color w:val="auto"/>
        </w:rPr>
        <w:t xml:space="preserve"> μέσω του ταμείου εγγυοδοσίας της Ελληνικής Αναπτυξιακής Τράπεζας και της ενίσχυσης του Ταμείου Επιχειρηματικότητας</w:t>
      </w:r>
      <w:r w:rsidR="008E319E">
        <w:rPr>
          <w:color w:val="auto"/>
        </w:rPr>
        <w:t>,</w:t>
      </w:r>
      <w:r w:rsidRPr="00D07140">
        <w:rPr>
          <w:color w:val="auto"/>
        </w:rPr>
        <w:t xml:space="preserve"> </w:t>
      </w:r>
      <w:r>
        <w:rPr>
          <w:color w:val="auto"/>
        </w:rPr>
        <w:t>προσέγγισαν τα 2.</w:t>
      </w:r>
      <w:r w:rsidRPr="00D07140">
        <w:rPr>
          <w:color w:val="auto"/>
        </w:rPr>
        <w:t>5</w:t>
      </w:r>
      <w:r>
        <w:rPr>
          <w:color w:val="auto"/>
        </w:rPr>
        <w:t>48</w:t>
      </w:r>
      <w:r w:rsidRPr="00D07140">
        <w:rPr>
          <w:color w:val="auto"/>
        </w:rPr>
        <w:t xml:space="preserve"> </w:t>
      </w:r>
      <w:r>
        <w:rPr>
          <w:color w:val="auto"/>
        </w:rPr>
        <w:t>εκατ</w:t>
      </w:r>
      <w:r w:rsidRPr="00D07140">
        <w:rPr>
          <w:color w:val="auto"/>
        </w:rPr>
        <w:t>. ευρώ. Τέλος</w:t>
      </w:r>
      <w:r>
        <w:rPr>
          <w:color w:val="auto"/>
        </w:rPr>
        <w:t>,</w:t>
      </w:r>
      <w:r w:rsidRPr="00D07140">
        <w:rPr>
          <w:color w:val="auto"/>
        </w:rPr>
        <w:t xml:space="preserve"> 843 εκατ. ευρώ κατευθύνθηκαν προς το Εθνικό Σύστημα Υγείας για την ενίσχυση των υποδομών του, την αγορά αναλωσίμων αλλά και την πρόσληψη έκτακτου υγειονομικού προσωπικού.</w:t>
      </w:r>
    </w:p>
    <w:p w14:paraId="27660BE0" w14:textId="6CAE7E45" w:rsidR="00D07140" w:rsidRPr="00D07140" w:rsidRDefault="00660743" w:rsidP="00D07140">
      <w:pPr>
        <w:autoSpaceDE w:val="0"/>
        <w:autoSpaceDN w:val="0"/>
        <w:adjustRightInd w:val="0"/>
        <w:spacing w:after="0"/>
        <w:rPr>
          <w:iCs/>
          <w:color w:val="00B0F0"/>
          <w:sz w:val="20"/>
          <w:szCs w:val="20"/>
        </w:rPr>
      </w:pPr>
      <w:bookmarkStart w:id="156" w:name="_Ref72354066"/>
      <w:bookmarkStart w:id="157" w:name="_Toc73435812"/>
      <w:r w:rsidRPr="001D1BA7">
        <w:rPr>
          <w:sz w:val="20"/>
          <w:szCs w:val="20"/>
        </w:rPr>
        <w:t xml:space="preserve">Διάγραμμα </w:t>
      </w:r>
      <w:r w:rsidRPr="001D1BA7">
        <w:rPr>
          <w:i/>
          <w:sz w:val="20"/>
          <w:szCs w:val="20"/>
        </w:rPr>
        <w:fldChar w:fldCharType="begin"/>
      </w:r>
      <w:r w:rsidRPr="001D1BA7">
        <w:rPr>
          <w:sz w:val="20"/>
          <w:szCs w:val="20"/>
        </w:rPr>
        <w:instrText xml:space="preserve"> SEQ Διάγραμμα \* ARABIC </w:instrText>
      </w:r>
      <w:r w:rsidRPr="001D1BA7">
        <w:rPr>
          <w:i/>
          <w:sz w:val="20"/>
          <w:szCs w:val="20"/>
        </w:rPr>
        <w:fldChar w:fldCharType="separate"/>
      </w:r>
      <w:r w:rsidR="00CC05A7">
        <w:rPr>
          <w:noProof/>
          <w:sz w:val="20"/>
          <w:szCs w:val="20"/>
        </w:rPr>
        <w:t>26</w:t>
      </w:r>
      <w:r w:rsidRPr="001D1BA7">
        <w:rPr>
          <w:i/>
          <w:sz w:val="20"/>
          <w:szCs w:val="20"/>
        </w:rPr>
        <w:fldChar w:fldCharType="end"/>
      </w:r>
      <w:bookmarkEnd w:id="156"/>
      <w:r w:rsidRPr="001D1BA7">
        <w:rPr>
          <w:sz w:val="20"/>
          <w:szCs w:val="20"/>
        </w:rPr>
        <w:t xml:space="preserve">: </w:t>
      </w:r>
      <w:r w:rsidR="00D07140" w:rsidRPr="00D07140">
        <w:rPr>
          <w:iCs/>
          <w:color w:val="00B0F0"/>
          <w:sz w:val="20"/>
          <w:szCs w:val="20"/>
        </w:rPr>
        <w:t>Δαπάνες για την αντιμετώπιση της πανδημίας (σε εκ. ευρώ)</w:t>
      </w:r>
      <w:bookmarkEnd w:id="157"/>
      <w:r w:rsidR="00D07140" w:rsidRPr="00D07140">
        <w:rPr>
          <w:iCs/>
          <w:color w:val="00B0F0"/>
          <w:sz w:val="20"/>
          <w:szCs w:val="20"/>
        </w:rPr>
        <w:t xml:space="preserve"> </w:t>
      </w:r>
    </w:p>
    <w:p w14:paraId="10E254A3" w14:textId="54AC5B2A" w:rsidR="00D07140" w:rsidRPr="00D07140" w:rsidRDefault="00E74C66" w:rsidP="00D07140">
      <w:pPr>
        <w:autoSpaceDE w:val="0"/>
        <w:autoSpaceDN w:val="0"/>
        <w:adjustRightInd w:val="0"/>
        <w:spacing w:after="160"/>
        <w:rPr>
          <w:color w:val="auto"/>
          <w:lang w:val="en-US"/>
        </w:rPr>
      </w:pPr>
      <w:r>
        <w:rPr>
          <w:noProof/>
          <w:lang w:eastAsia="el-GR"/>
        </w:rPr>
        <w:drawing>
          <wp:inline distT="0" distB="0" distL="0" distR="0" wp14:anchorId="73324913" wp14:editId="118248D1">
            <wp:extent cx="5143500" cy="2809875"/>
            <wp:effectExtent l="0" t="0" r="0" b="9525"/>
            <wp:docPr id="34" name="Γράφημα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5D5B6E6" w14:textId="77777777" w:rsidR="00D07140" w:rsidRPr="00D07140" w:rsidRDefault="00D07140" w:rsidP="00D07140">
      <w:pPr>
        <w:autoSpaceDE w:val="0"/>
        <w:autoSpaceDN w:val="0"/>
        <w:adjustRightInd w:val="0"/>
        <w:spacing w:after="160"/>
        <w:rPr>
          <w:rFonts w:eastAsia="Times New Roman" w:cs="Calibri"/>
          <w:iCs/>
          <w:color w:val="00B0F0"/>
          <w:sz w:val="16"/>
          <w:szCs w:val="16"/>
          <w:lang w:eastAsia="el-GR"/>
        </w:rPr>
      </w:pPr>
      <w:r w:rsidRPr="00D07140">
        <w:rPr>
          <w:rFonts w:eastAsia="Times New Roman" w:cs="Calibri"/>
          <w:b/>
          <w:iCs/>
          <w:color w:val="auto"/>
          <w:sz w:val="16"/>
          <w:szCs w:val="16"/>
          <w:lang w:eastAsia="el-GR"/>
        </w:rPr>
        <w:t xml:space="preserve">Πηγή: </w:t>
      </w:r>
      <w:r w:rsidRPr="00D07140">
        <w:rPr>
          <w:rFonts w:eastAsia="Times New Roman" w:cs="Calibri"/>
          <w:iCs/>
          <w:color w:val="00B0F0"/>
          <w:sz w:val="16"/>
          <w:szCs w:val="16"/>
          <w:lang w:eastAsia="el-GR"/>
        </w:rPr>
        <w:t>Γενικό Λογιστήριο του Κράτους, βάση δεδομένων ΕΔΣ</w:t>
      </w:r>
    </w:p>
    <w:p w14:paraId="02D66C8D" w14:textId="77777777" w:rsidR="00D07140" w:rsidRPr="00D07140" w:rsidRDefault="00D07140" w:rsidP="00D07140">
      <w:pPr>
        <w:autoSpaceDE w:val="0"/>
        <w:autoSpaceDN w:val="0"/>
        <w:adjustRightInd w:val="0"/>
        <w:spacing w:after="160"/>
        <w:rPr>
          <w:color w:val="auto"/>
        </w:rPr>
      </w:pPr>
    </w:p>
    <w:p w14:paraId="3DB8C122" w14:textId="77777777" w:rsidR="009741B0" w:rsidRDefault="009741B0" w:rsidP="00D07140">
      <w:pPr>
        <w:autoSpaceDE w:val="0"/>
        <w:autoSpaceDN w:val="0"/>
        <w:adjustRightInd w:val="0"/>
        <w:rPr>
          <w:rFonts w:cstheme="minorHAnsi"/>
          <w:color w:val="000000"/>
        </w:rPr>
      </w:pPr>
    </w:p>
    <w:p w14:paraId="6219BA4C" w14:textId="03087A51" w:rsidR="00D07140" w:rsidRPr="00D07140" w:rsidRDefault="00D07140" w:rsidP="00D07140">
      <w:pPr>
        <w:pStyle w:val="a2"/>
        <w:numPr>
          <w:ilvl w:val="2"/>
          <w:numId w:val="3"/>
        </w:numPr>
        <w:ind w:left="0"/>
        <w:rPr>
          <w:i/>
          <w:sz w:val="24"/>
          <w:szCs w:val="24"/>
        </w:rPr>
      </w:pPr>
      <w:r>
        <w:rPr>
          <w:i/>
          <w:sz w:val="24"/>
          <w:szCs w:val="24"/>
        </w:rPr>
        <w:t>Υποτομείς ΓΚ</w:t>
      </w:r>
      <w:r w:rsidRPr="00D07140">
        <w:rPr>
          <w:i/>
          <w:sz w:val="24"/>
          <w:szCs w:val="24"/>
        </w:rPr>
        <w:t xml:space="preserve"> 2020</w:t>
      </w:r>
      <w:r w:rsidRPr="00D07140">
        <w:rPr>
          <w:i/>
          <w:sz w:val="24"/>
          <w:szCs w:val="24"/>
        </w:rPr>
        <w:tab/>
        <w:t xml:space="preserve"> </w:t>
      </w:r>
    </w:p>
    <w:p w14:paraId="69753988" w14:textId="1F564E56" w:rsidR="00E23A9F" w:rsidRPr="00653F02" w:rsidRDefault="00E23A9F" w:rsidP="00E23A9F">
      <w:pPr>
        <w:rPr>
          <w:rFonts w:eastAsia="Calibri" w:cs="Times New Roman"/>
          <w:color w:val="00B0F0"/>
          <w:sz w:val="16"/>
          <w:szCs w:val="16"/>
        </w:rPr>
      </w:pPr>
      <w:bookmarkStart w:id="158" w:name="_Hlk71882574"/>
      <w:r w:rsidRPr="003C7C02">
        <w:rPr>
          <w:color w:val="000000" w:themeColor="text1"/>
        </w:rPr>
        <w:t>Ο υποτομέας της Κεντρικής Κυβέρνησης πλην Κρατικού Προϋπολογισμού, (Νομικά Πρόσωπα, επαναταξινομημένες ΔΕΚΟ και Νοσοκομ</w:t>
      </w:r>
      <w:r>
        <w:rPr>
          <w:color w:val="000000" w:themeColor="text1"/>
        </w:rPr>
        <w:t>εία), εμφάνισε πλεόνασμα το 2020 ύψους 5.375</w:t>
      </w:r>
      <w:r w:rsidRPr="003C7C02">
        <w:rPr>
          <w:color w:val="000000" w:themeColor="text1"/>
        </w:rPr>
        <w:t xml:space="preserve"> εκατ. ευρώ, </w:t>
      </w:r>
      <w:r>
        <w:rPr>
          <w:color w:val="000000" w:themeColor="text1"/>
        </w:rPr>
        <w:t>αυξημένο</w:t>
      </w:r>
      <w:r w:rsidRPr="003C7C02">
        <w:rPr>
          <w:color w:val="000000" w:themeColor="text1"/>
        </w:rPr>
        <w:t xml:space="preserve"> σε σχέση με το αντίστοιχο </w:t>
      </w:r>
      <w:r>
        <w:rPr>
          <w:color w:val="000000" w:themeColor="text1"/>
        </w:rPr>
        <w:t>περυσινό διάστ</w:t>
      </w:r>
      <w:r w:rsidR="00A06690">
        <w:rPr>
          <w:color w:val="000000" w:themeColor="text1"/>
        </w:rPr>
        <w:t>ημα περίπου κατά 2,3 δισ. ευρώ</w:t>
      </w:r>
      <w:r w:rsidRPr="003C7C02">
        <w:rPr>
          <w:color w:val="000000" w:themeColor="text1"/>
        </w:rPr>
        <w:t xml:space="preserve">. Η </w:t>
      </w:r>
      <w:r>
        <w:rPr>
          <w:color w:val="000000" w:themeColor="text1"/>
        </w:rPr>
        <w:t>βελτίωση αυτή οφείλεται κυρίως στην αύξηση</w:t>
      </w:r>
      <w:r w:rsidRPr="003C7C02">
        <w:rPr>
          <w:color w:val="000000" w:themeColor="text1"/>
        </w:rPr>
        <w:t xml:space="preserve"> των εσόδων</w:t>
      </w:r>
      <w:r>
        <w:rPr>
          <w:color w:val="000000" w:themeColor="text1"/>
        </w:rPr>
        <w:t xml:space="preserve"> (+3,1</w:t>
      </w:r>
      <w:r w:rsidRPr="00FB6D79">
        <w:rPr>
          <w:color w:val="000000" w:themeColor="text1"/>
        </w:rPr>
        <w:t xml:space="preserve"> </w:t>
      </w:r>
      <w:r>
        <w:rPr>
          <w:color w:val="000000" w:themeColor="text1"/>
        </w:rPr>
        <w:t>δισ. ευρώ)</w:t>
      </w:r>
      <w:r w:rsidRPr="003C7C02">
        <w:rPr>
          <w:color w:val="000000" w:themeColor="text1"/>
        </w:rPr>
        <w:t xml:space="preserve">, καθώς οι δαπάνες </w:t>
      </w:r>
      <w:r>
        <w:rPr>
          <w:color w:val="000000" w:themeColor="text1"/>
        </w:rPr>
        <w:t>παρουσίασαν μικρή αύξηση (+ 0,8 δισ. ευρώ)</w:t>
      </w:r>
      <w:r w:rsidRPr="003C7C02">
        <w:rPr>
          <w:color w:val="000000" w:themeColor="text1"/>
        </w:rPr>
        <w:t xml:space="preserve">. Η </w:t>
      </w:r>
      <w:r>
        <w:rPr>
          <w:color w:val="000000" w:themeColor="text1"/>
        </w:rPr>
        <w:t>αύξηση</w:t>
      </w:r>
      <w:r w:rsidRPr="003C7C02">
        <w:rPr>
          <w:color w:val="000000" w:themeColor="text1"/>
        </w:rPr>
        <w:t xml:space="preserve"> των εσόδων προέρχεται από τις μεταβιβάσεις από τον Κρατικό Προϋπολογισμό</w:t>
      </w:r>
      <w:r>
        <w:rPr>
          <w:color w:val="000000" w:themeColor="text1"/>
        </w:rPr>
        <w:t xml:space="preserve"> (κυρίως προς τα Νομικά Πρόσωπα), οι οποίες αυξήθηκα</w:t>
      </w:r>
      <w:r w:rsidR="0077743D">
        <w:rPr>
          <w:color w:val="000000" w:themeColor="text1"/>
        </w:rPr>
        <w:t>ν</w:t>
      </w:r>
      <w:r>
        <w:rPr>
          <w:color w:val="000000" w:themeColor="text1"/>
        </w:rPr>
        <w:t xml:space="preserve"> κατά 3,3 δισ. ευρώ, καθώς τα </w:t>
      </w:r>
      <w:r w:rsidRPr="003C7C02">
        <w:rPr>
          <w:color w:val="000000" w:themeColor="text1"/>
        </w:rPr>
        <w:t>έσοδα από φόρους</w:t>
      </w:r>
      <w:r>
        <w:rPr>
          <w:color w:val="000000" w:themeColor="text1"/>
        </w:rPr>
        <w:t xml:space="preserve"> παρέμειναν σχεδόν σταθερά</w:t>
      </w:r>
      <w:r w:rsidRPr="003C7C02">
        <w:rPr>
          <w:color w:val="000000" w:themeColor="text1"/>
        </w:rPr>
        <w:t xml:space="preserve">. </w:t>
      </w:r>
      <w:r w:rsidR="00357913">
        <w:rPr>
          <w:color w:val="000000" w:themeColor="text1"/>
        </w:rPr>
        <w:t>Το</w:t>
      </w:r>
      <w:r w:rsidRPr="003C7C02">
        <w:rPr>
          <w:color w:val="000000" w:themeColor="text1"/>
        </w:rPr>
        <w:t xml:space="preserve"> ισοζύγιο της Κεντρικής Κυβέρνησης πλην του ΚΠ </w:t>
      </w:r>
      <w:r w:rsidR="00357913" w:rsidRPr="00357913">
        <w:rPr>
          <w:color w:val="000000" w:themeColor="text1"/>
        </w:rPr>
        <w:t>το 2020 παρ</w:t>
      </w:r>
      <w:r w:rsidR="00357913">
        <w:rPr>
          <w:color w:val="000000" w:themeColor="text1"/>
        </w:rPr>
        <w:t>έμεινε π</w:t>
      </w:r>
      <w:r w:rsidRPr="003C7C02">
        <w:rPr>
          <w:color w:val="000000" w:themeColor="text1"/>
        </w:rPr>
        <w:t>λεονασματικό, λόγω των εισπραχθεισών μεταβιβάσεων από τον ΚΠ.</w:t>
      </w:r>
      <w:r w:rsidR="008C7473">
        <w:rPr>
          <w:color w:val="000000" w:themeColor="text1"/>
        </w:rPr>
        <w:t xml:space="preserve"> </w:t>
      </w:r>
    </w:p>
    <w:p w14:paraId="4BE1E3F8" w14:textId="09E141AD" w:rsidR="00EC35DA" w:rsidRDefault="00357913" w:rsidP="009741B0">
      <w:pPr>
        <w:autoSpaceDE w:val="0"/>
        <w:autoSpaceDN w:val="0"/>
        <w:adjustRightInd w:val="0"/>
        <w:rPr>
          <w:rFonts w:cstheme="minorHAnsi"/>
          <w:color w:val="000000"/>
        </w:rPr>
      </w:pPr>
      <w:r>
        <w:rPr>
          <w:rFonts w:cstheme="minorHAnsi"/>
          <w:color w:val="000000"/>
        </w:rPr>
        <w:t>Ο υπο</w:t>
      </w:r>
      <w:r w:rsidR="009741B0" w:rsidRPr="009741B0">
        <w:rPr>
          <w:rFonts w:cstheme="minorHAnsi"/>
          <w:color w:val="000000"/>
        </w:rPr>
        <w:t xml:space="preserve">τομέας των ΟΤΑ για το 2020 σε ταμειακή βάση παρουσίασε ένα μικρό πλεόνασμα 44 εκ. ευρώ το οποίο είναι πολύ κοντά σε αυτό του 2019 (32 εκ. ευρώ). </w:t>
      </w:r>
      <w:r>
        <w:rPr>
          <w:rFonts w:cstheme="minorHAnsi"/>
          <w:color w:val="000000"/>
        </w:rPr>
        <w:t>Σ</w:t>
      </w:r>
      <w:r w:rsidR="009741B0" w:rsidRPr="009741B0">
        <w:rPr>
          <w:rFonts w:cstheme="minorHAnsi"/>
          <w:color w:val="000000"/>
        </w:rPr>
        <w:t xml:space="preserve">ύμφωνα με την εκ του νόμου απαίτηση για κατάρτιση εκ μέρους των </w:t>
      </w:r>
      <w:r w:rsidR="009741B0" w:rsidRPr="009741B0">
        <w:rPr>
          <w:rFonts w:cstheme="minorHAnsi"/>
          <w:color w:val="000000"/>
          <w:lang w:val="en-US"/>
        </w:rPr>
        <w:t>OTA</w:t>
      </w:r>
      <w:r w:rsidR="009741B0" w:rsidRPr="009741B0">
        <w:rPr>
          <w:rFonts w:cstheme="minorHAnsi"/>
          <w:color w:val="000000"/>
        </w:rPr>
        <w:t xml:space="preserve"> ισοσκελισμένων προϋπολογισμών και δεδομένου ότι τα προγράμματα οριζόντιας αποπληρωμής ληξιπρόθεσμων υποχρεώσεων των ΟΤΑ από τον Κρατικό Προϋπολογισμό έχουν τερματιστεί, η ενοποιημένη δημοσιονομική τους θέση </w:t>
      </w:r>
      <w:r>
        <w:rPr>
          <w:rFonts w:cstheme="minorHAnsi"/>
          <w:color w:val="000000"/>
        </w:rPr>
        <w:t>αναμένεται να</w:t>
      </w:r>
      <w:r w:rsidR="0077743D">
        <w:rPr>
          <w:rFonts w:cstheme="minorHAnsi"/>
          <w:color w:val="000000"/>
        </w:rPr>
        <w:t xml:space="preserve"> είναι εφεξής ισοσκελισμένη. </w:t>
      </w:r>
      <w:r>
        <w:rPr>
          <w:rFonts w:cstheme="minorHAnsi"/>
          <w:color w:val="000000"/>
        </w:rPr>
        <w:t xml:space="preserve">Λόγω της πανδημίας οι ΟΤΑ </w:t>
      </w:r>
      <w:r w:rsidR="009741B0" w:rsidRPr="009741B0">
        <w:rPr>
          <w:rFonts w:cstheme="minorHAnsi"/>
          <w:color w:val="000000"/>
        </w:rPr>
        <w:t>παρουσιάζουν μειωμένα ίδια έσοδα κατά 200 εκατ. ευρώ και αυξημένες δαπάνες κατά 280 εκατ. ευρώ. Έλαβαν όμως έκτακτη επιχορήγηση από τον κρατικό προϋπολογισμό αντισταθ</w:t>
      </w:r>
      <w:r w:rsidR="00FB1907">
        <w:rPr>
          <w:rFonts w:cstheme="minorHAnsi"/>
          <w:color w:val="000000"/>
        </w:rPr>
        <w:t>μίζοντας κατά τον τρόπο αυτό τη</w:t>
      </w:r>
      <w:r w:rsidR="009741B0" w:rsidRPr="009741B0">
        <w:rPr>
          <w:rFonts w:cstheme="minorHAnsi"/>
          <w:color w:val="000000"/>
        </w:rPr>
        <w:t xml:space="preserve"> δημοσιονομική επίπτωση τόσο των μέτρων στήριξης όσο και των μειωμένων εσόδων. </w:t>
      </w:r>
    </w:p>
    <w:p w14:paraId="7678644D" w14:textId="40E4E0E6" w:rsidR="009741B0" w:rsidRPr="007D6510" w:rsidRDefault="009741B0" w:rsidP="009741B0">
      <w:pPr>
        <w:autoSpaceDE w:val="0"/>
        <w:autoSpaceDN w:val="0"/>
        <w:adjustRightInd w:val="0"/>
        <w:spacing w:after="0"/>
        <w:rPr>
          <w:iCs/>
          <w:color w:val="00B0F0"/>
          <w:sz w:val="20"/>
          <w:szCs w:val="20"/>
        </w:rPr>
      </w:pPr>
      <w:bookmarkStart w:id="159" w:name="_Toc73435776"/>
      <w:bookmarkEnd w:id="158"/>
      <w:r w:rsidRPr="007D6510">
        <w:rPr>
          <w:sz w:val="20"/>
          <w:szCs w:val="20"/>
        </w:rPr>
        <w:t xml:space="preserve">Πίνακας </w:t>
      </w:r>
      <w:r w:rsidRPr="007D6510">
        <w:rPr>
          <w:i/>
          <w:sz w:val="20"/>
          <w:szCs w:val="20"/>
        </w:rPr>
        <w:fldChar w:fldCharType="begin"/>
      </w:r>
      <w:r w:rsidRPr="007D6510">
        <w:rPr>
          <w:sz w:val="20"/>
          <w:szCs w:val="20"/>
        </w:rPr>
        <w:instrText xml:space="preserve"> SEQ Πίνακας \* ARABIC </w:instrText>
      </w:r>
      <w:r w:rsidRPr="007D6510">
        <w:rPr>
          <w:i/>
          <w:sz w:val="20"/>
          <w:szCs w:val="20"/>
        </w:rPr>
        <w:fldChar w:fldCharType="separate"/>
      </w:r>
      <w:r w:rsidR="00CC05A7">
        <w:rPr>
          <w:noProof/>
          <w:sz w:val="20"/>
          <w:szCs w:val="20"/>
        </w:rPr>
        <w:t>15</w:t>
      </w:r>
      <w:r w:rsidRPr="007D6510">
        <w:rPr>
          <w:i/>
          <w:sz w:val="20"/>
          <w:szCs w:val="20"/>
        </w:rPr>
        <w:fldChar w:fldCharType="end"/>
      </w:r>
      <w:r w:rsidRPr="007D6510">
        <w:rPr>
          <w:color w:val="00B0F0"/>
          <w:sz w:val="20"/>
          <w:szCs w:val="20"/>
        </w:rPr>
        <w:t>:</w:t>
      </w:r>
      <w:r w:rsidRPr="007D6510">
        <w:rPr>
          <w:iCs/>
          <w:color w:val="00B0F0"/>
          <w:sz w:val="20"/>
          <w:szCs w:val="20"/>
        </w:rPr>
        <w:t xml:space="preserve"> Ταμειακά αποτελέσματα 2019-2020 υποτομέων ΓΚ (σε εκατ. ευρώ)</w:t>
      </w:r>
      <w:bookmarkEnd w:id="159"/>
    </w:p>
    <w:tbl>
      <w:tblPr>
        <w:tblW w:w="8369" w:type="dxa"/>
        <w:tblInd w:w="-5" w:type="dxa"/>
        <w:tblLook w:val="04A0" w:firstRow="1" w:lastRow="0" w:firstColumn="1" w:lastColumn="0" w:noHBand="0" w:noVBand="1"/>
      </w:tblPr>
      <w:tblGrid>
        <w:gridCol w:w="3622"/>
        <w:gridCol w:w="1557"/>
        <w:gridCol w:w="1502"/>
        <w:gridCol w:w="1688"/>
      </w:tblGrid>
      <w:tr w:rsidR="00137320" w:rsidRPr="00137320" w14:paraId="62D08AFF" w14:textId="77777777" w:rsidTr="00137320">
        <w:trPr>
          <w:trHeight w:val="263"/>
        </w:trPr>
        <w:tc>
          <w:tcPr>
            <w:tcW w:w="3622" w:type="dxa"/>
            <w:tcBorders>
              <w:top w:val="single" w:sz="12" w:space="0" w:color="auto"/>
              <w:left w:val="single" w:sz="4" w:space="0" w:color="auto"/>
              <w:bottom w:val="nil"/>
              <w:right w:val="single" w:sz="4" w:space="0" w:color="auto"/>
            </w:tcBorders>
            <w:shd w:val="clear" w:color="000000" w:fill="DDEBF7"/>
            <w:noWrap/>
            <w:vAlign w:val="center"/>
            <w:hideMark/>
          </w:tcPr>
          <w:p w14:paraId="310CB645" w14:textId="77777777" w:rsidR="00137320" w:rsidRPr="00137320" w:rsidRDefault="00137320" w:rsidP="00137320">
            <w:pPr>
              <w:spacing w:after="0" w:line="240" w:lineRule="auto"/>
              <w:jc w:val="left"/>
              <w:rPr>
                <w:rFonts w:eastAsia="Times New Roman" w:cs="Calibri"/>
                <w:color w:val="000000"/>
                <w:sz w:val="20"/>
                <w:szCs w:val="20"/>
                <w:lang w:eastAsia="el-GR"/>
              </w:rPr>
            </w:pPr>
            <w:r w:rsidRPr="00137320">
              <w:rPr>
                <w:rFonts w:eastAsia="Times New Roman" w:cs="Calibri"/>
                <w:color w:val="000000"/>
                <w:sz w:val="20"/>
                <w:szCs w:val="20"/>
                <w:lang w:eastAsia="el-GR"/>
              </w:rPr>
              <w:t> </w:t>
            </w:r>
          </w:p>
        </w:tc>
        <w:tc>
          <w:tcPr>
            <w:tcW w:w="1557" w:type="dxa"/>
            <w:tcBorders>
              <w:top w:val="single" w:sz="12" w:space="0" w:color="auto"/>
              <w:left w:val="nil"/>
              <w:bottom w:val="nil"/>
              <w:right w:val="single" w:sz="4" w:space="0" w:color="auto"/>
            </w:tcBorders>
            <w:shd w:val="clear" w:color="000000" w:fill="DDEBF7"/>
            <w:vAlign w:val="center"/>
            <w:hideMark/>
          </w:tcPr>
          <w:p w14:paraId="4FB950B4" w14:textId="77777777" w:rsidR="00137320" w:rsidRPr="00137320" w:rsidRDefault="00137320" w:rsidP="00137320">
            <w:pPr>
              <w:spacing w:after="0" w:line="240" w:lineRule="auto"/>
              <w:jc w:val="left"/>
              <w:rPr>
                <w:rFonts w:ascii="Calibri" w:eastAsia="Times New Roman" w:hAnsi="Calibri" w:cs="Calibri"/>
                <w:color w:val="000000"/>
                <w:lang w:eastAsia="el-GR"/>
              </w:rPr>
            </w:pPr>
            <w:r w:rsidRPr="00137320">
              <w:rPr>
                <w:rFonts w:ascii="Calibri" w:eastAsia="Times New Roman" w:hAnsi="Calibri" w:cs="Calibri"/>
                <w:color w:val="000000"/>
                <w:lang w:eastAsia="el-GR"/>
              </w:rPr>
              <w:t> </w:t>
            </w:r>
          </w:p>
        </w:tc>
        <w:tc>
          <w:tcPr>
            <w:tcW w:w="1502" w:type="dxa"/>
            <w:tcBorders>
              <w:top w:val="single" w:sz="12" w:space="0" w:color="auto"/>
              <w:left w:val="nil"/>
              <w:bottom w:val="nil"/>
              <w:right w:val="single" w:sz="4" w:space="0" w:color="auto"/>
            </w:tcBorders>
            <w:shd w:val="clear" w:color="000000" w:fill="DDEBF7"/>
            <w:vAlign w:val="center"/>
            <w:hideMark/>
          </w:tcPr>
          <w:p w14:paraId="1359E8DA" w14:textId="77777777" w:rsidR="00137320" w:rsidRPr="00137320" w:rsidRDefault="00137320" w:rsidP="00137320">
            <w:pPr>
              <w:spacing w:after="0" w:line="240" w:lineRule="auto"/>
              <w:jc w:val="left"/>
              <w:rPr>
                <w:rFonts w:ascii="Calibri" w:eastAsia="Times New Roman" w:hAnsi="Calibri" w:cs="Calibri"/>
                <w:color w:val="000000"/>
                <w:lang w:eastAsia="el-GR"/>
              </w:rPr>
            </w:pPr>
            <w:r w:rsidRPr="00137320">
              <w:rPr>
                <w:rFonts w:ascii="Calibri" w:eastAsia="Times New Roman" w:hAnsi="Calibri" w:cs="Calibri"/>
                <w:color w:val="000000"/>
                <w:lang w:eastAsia="el-GR"/>
              </w:rPr>
              <w:t> </w:t>
            </w:r>
          </w:p>
        </w:tc>
        <w:tc>
          <w:tcPr>
            <w:tcW w:w="1686" w:type="dxa"/>
            <w:tcBorders>
              <w:top w:val="single" w:sz="12" w:space="0" w:color="auto"/>
              <w:left w:val="nil"/>
              <w:bottom w:val="nil"/>
              <w:right w:val="single" w:sz="4" w:space="0" w:color="auto"/>
            </w:tcBorders>
            <w:shd w:val="clear" w:color="000000" w:fill="DDEBF7"/>
            <w:vAlign w:val="center"/>
            <w:hideMark/>
          </w:tcPr>
          <w:p w14:paraId="7B46B667" w14:textId="77777777" w:rsidR="00137320" w:rsidRPr="00137320" w:rsidRDefault="00137320" w:rsidP="00137320">
            <w:pPr>
              <w:spacing w:after="0" w:line="240" w:lineRule="auto"/>
              <w:jc w:val="center"/>
              <w:rPr>
                <w:rFonts w:eastAsia="Times New Roman" w:cs="Calibri"/>
                <w:b/>
                <w:bCs/>
                <w:color w:val="000000"/>
                <w:sz w:val="20"/>
                <w:szCs w:val="20"/>
                <w:lang w:eastAsia="el-GR"/>
              </w:rPr>
            </w:pPr>
            <w:r w:rsidRPr="00137320">
              <w:rPr>
                <w:rFonts w:eastAsia="Times New Roman" w:cs="Calibri"/>
                <w:b/>
                <w:bCs/>
                <w:color w:val="000000"/>
                <w:sz w:val="20"/>
                <w:szCs w:val="20"/>
                <w:lang w:val="en-US" w:eastAsia="el-GR"/>
              </w:rPr>
              <w:t>% Δ</w:t>
            </w:r>
          </w:p>
        </w:tc>
      </w:tr>
      <w:tr w:rsidR="00137320" w:rsidRPr="00137320" w14:paraId="1813836A" w14:textId="77777777" w:rsidTr="00137320">
        <w:trPr>
          <w:trHeight w:val="263"/>
        </w:trPr>
        <w:tc>
          <w:tcPr>
            <w:tcW w:w="3622" w:type="dxa"/>
            <w:tcBorders>
              <w:top w:val="nil"/>
              <w:left w:val="single" w:sz="4" w:space="0" w:color="auto"/>
              <w:bottom w:val="single" w:sz="12" w:space="0" w:color="auto"/>
              <w:right w:val="single" w:sz="4" w:space="0" w:color="auto"/>
            </w:tcBorders>
            <w:shd w:val="clear" w:color="000000" w:fill="DDEBF7"/>
            <w:noWrap/>
            <w:vAlign w:val="center"/>
            <w:hideMark/>
          </w:tcPr>
          <w:p w14:paraId="757142F5" w14:textId="77777777" w:rsidR="00137320" w:rsidRPr="00137320" w:rsidRDefault="00137320" w:rsidP="00137320">
            <w:pPr>
              <w:spacing w:after="0" w:line="240" w:lineRule="auto"/>
              <w:jc w:val="left"/>
              <w:rPr>
                <w:rFonts w:eastAsia="Times New Roman" w:cs="Calibri"/>
                <w:color w:val="000000"/>
                <w:sz w:val="20"/>
                <w:szCs w:val="20"/>
                <w:lang w:eastAsia="el-GR"/>
              </w:rPr>
            </w:pPr>
            <w:r w:rsidRPr="00137320">
              <w:rPr>
                <w:rFonts w:eastAsia="Times New Roman" w:cs="Calibri"/>
                <w:color w:val="000000"/>
                <w:sz w:val="20"/>
                <w:szCs w:val="20"/>
                <w:lang w:eastAsia="el-GR"/>
              </w:rPr>
              <w:t> </w:t>
            </w:r>
          </w:p>
        </w:tc>
        <w:tc>
          <w:tcPr>
            <w:tcW w:w="1557" w:type="dxa"/>
            <w:tcBorders>
              <w:top w:val="nil"/>
              <w:left w:val="nil"/>
              <w:bottom w:val="single" w:sz="12" w:space="0" w:color="auto"/>
              <w:right w:val="single" w:sz="4" w:space="0" w:color="auto"/>
            </w:tcBorders>
            <w:shd w:val="clear" w:color="000000" w:fill="DDEBF7"/>
            <w:vAlign w:val="center"/>
            <w:hideMark/>
          </w:tcPr>
          <w:p w14:paraId="1522A78B" w14:textId="77777777" w:rsidR="00137320" w:rsidRPr="00137320" w:rsidRDefault="00137320" w:rsidP="00137320">
            <w:pPr>
              <w:spacing w:after="0" w:line="240" w:lineRule="auto"/>
              <w:jc w:val="center"/>
              <w:rPr>
                <w:rFonts w:eastAsia="Times New Roman" w:cs="Calibri"/>
                <w:b/>
                <w:bCs/>
                <w:color w:val="000000"/>
                <w:sz w:val="20"/>
                <w:szCs w:val="20"/>
                <w:lang w:eastAsia="el-GR"/>
              </w:rPr>
            </w:pPr>
            <w:r w:rsidRPr="00137320">
              <w:rPr>
                <w:rFonts w:eastAsia="Times New Roman" w:cs="Calibri"/>
                <w:b/>
                <w:bCs/>
                <w:color w:val="000000"/>
                <w:sz w:val="20"/>
                <w:szCs w:val="20"/>
                <w:lang w:val="en-US" w:eastAsia="el-GR"/>
              </w:rPr>
              <w:t>2019</w:t>
            </w:r>
          </w:p>
        </w:tc>
        <w:tc>
          <w:tcPr>
            <w:tcW w:w="1502" w:type="dxa"/>
            <w:tcBorders>
              <w:top w:val="nil"/>
              <w:left w:val="nil"/>
              <w:bottom w:val="single" w:sz="12" w:space="0" w:color="auto"/>
              <w:right w:val="single" w:sz="4" w:space="0" w:color="auto"/>
            </w:tcBorders>
            <w:shd w:val="clear" w:color="000000" w:fill="DDEBF7"/>
            <w:vAlign w:val="center"/>
            <w:hideMark/>
          </w:tcPr>
          <w:p w14:paraId="6D8240C2" w14:textId="77777777" w:rsidR="00137320" w:rsidRPr="00137320" w:rsidRDefault="00137320" w:rsidP="00137320">
            <w:pPr>
              <w:spacing w:after="0" w:line="240" w:lineRule="auto"/>
              <w:jc w:val="center"/>
              <w:rPr>
                <w:rFonts w:eastAsia="Times New Roman" w:cs="Calibri"/>
                <w:b/>
                <w:bCs/>
                <w:color w:val="000000"/>
                <w:sz w:val="20"/>
                <w:szCs w:val="20"/>
                <w:lang w:eastAsia="el-GR"/>
              </w:rPr>
            </w:pPr>
            <w:r w:rsidRPr="00137320">
              <w:rPr>
                <w:rFonts w:eastAsia="Times New Roman" w:cs="Calibri"/>
                <w:b/>
                <w:bCs/>
                <w:color w:val="000000"/>
                <w:sz w:val="20"/>
                <w:szCs w:val="20"/>
                <w:lang w:val="en-US" w:eastAsia="el-GR"/>
              </w:rPr>
              <w:t>2020</w:t>
            </w:r>
          </w:p>
        </w:tc>
        <w:tc>
          <w:tcPr>
            <w:tcW w:w="1686" w:type="dxa"/>
            <w:tcBorders>
              <w:top w:val="nil"/>
              <w:left w:val="nil"/>
              <w:bottom w:val="single" w:sz="12" w:space="0" w:color="auto"/>
              <w:right w:val="single" w:sz="4" w:space="0" w:color="auto"/>
            </w:tcBorders>
            <w:shd w:val="clear" w:color="000000" w:fill="DDEBF7"/>
            <w:vAlign w:val="center"/>
            <w:hideMark/>
          </w:tcPr>
          <w:p w14:paraId="38FB3455" w14:textId="77777777" w:rsidR="00137320" w:rsidRPr="00137320" w:rsidRDefault="00137320" w:rsidP="00137320">
            <w:pPr>
              <w:spacing w:after="0" w:line="240" w:lineRule="auto"/>
              <w:jc w:val="center"/>
              <w:rPr>
                <w:rFonts w:eastAsia="Times New Roman" w:cs="Calibri"/>
                <w:b/>
                <w:bCs/>
                <w:color w:val="000000"/>
                <w:sz w:val="20"/>
                <w:szCs w:val="20"/>
                <w:lang w:eastAsia="el-GR"/>
              </w:rPr>
            </w:pPr>
            <w:r w:rsidRPr="00137320">
              <w:rPr>
                <w:rFonts w:eastAsia="Times New Roman" w:cs="Calibri"/>
                <w:b/>
                <w:bCs/>
                <w:color w:val="000000"/>
                <w:sz w:val="20"/>
                <w:szCs w:val="20"/>
                <w:lang w:val="en-US" w:eastAsia="el-GR"/>
              </w:rPr>
              <w:t>2019-2020</w:t>
            </w:r>
          </w:p>
        </w:tc>
      </w:tr>
      <w:tr w:rsidR="00137320" w:rsidRPr="00137320" w14:paraId="3DE9BAA9" w14:textId="77777777" w:rsidTr="007F070F">
        <w:trPr>
          <w:trHeight w:val="263"/>
        </w:trPr>
        <w:tc>
          <w:tcPr>
            <w:tcW w:w="8369" w:type="dxa"/>
            <w:gridSpan w:val="4"/>
            <w:tcBorders>
              <w:top w:val="single" w:sz="12" w:space="0" w:color="auto"/>
              <w:left w:val="single" w:sz="4" w:space="0" w:color="auto"/>
              <w:bottom w:val="single" w:sz="12" w:space="0" w:color="auto"/>
              <w:right w:val="single" w:sz="4" w:space="0" w:color="auto"/>
            </w:tcBorders>
            <w:shd w:val="clear" w:color="auto" w:fill="F2F2F2" w:themeFill="background1" w:themeFillShade="F2"/>
            <w:noWrap/>
            <w:vAlign w:val="center"/>
            <w:hideMark/>
          </w:tcPr>
          <w:p w14:paraId="3FA52784" w14:textId="77777777" w:rsidR="00137320" w:rsidRPr="00137320" w:rsidRDefault="00137320" w:rsidP="00137320">
            <w:pPr>
              <w:spacing w:after="0" w:line="240" w:lineRule="auto"/>
              <w:jc w:val="center"/>
              <w:rPr>
                <w:rFonts w:eastAsia="Times New Roman" w:cs="Calibri"/>
                <w:b/>
                <w:bCs/>
                <w:color w:val="000000"/>
                <w:sz w:val="20"/>
                <w:szCs w:val="20"/>
                <w:lang w:eastAsia="el-GR"/>
              </w:rPr>
            </w:pPr>
            <w:r w:rsidRPr="00137320">
              <w:rPr>
                <w:rFonts w:eastAsia="Times New Roman" w:cs="Calibri"/>
                <w:b/>
                <w:bCs/>
                <w:color w:val="000000"/>
                <w:sz w:val="20"/>
                <w:szCs w:val="20"/>
                <w:lang w:eastAsia="el-GR"/>
              </w:rPr>
              <w:t>Νομικά Πρόσωπα, ΔΕΚΟ και Νοσοκομεία</w:t>
            </w:r>
          </w:p>
        </w:tc>
      </w:tr>
      <w:tr w:rsidR="00137320" w:rsidRPr="00137320" w14:paraId="2D826195" w14:textId="77777777" w:rsidTr="00137320">
        <w:trPr>
          <w:trHeight w:val="263"/>
        </w:trPr>
        <w:tc>
          <w:tcPr>
            <w:tcW w:w="3622" w:type="dxa"/>
            <w:tcBorders>
              <w:top w:val="single" w:sz="12" w:space="0" w:color="auto"/>
              <w:left w:val="single" w:sz="4" w:space="0" w:color="auto"/>
              <w:bottom w:val="single" w:sz="4" w:space="0" w:color="auto"/>
              <w:right w:val="single" w:sz="4" w:space="0" w:color="auto"/>
            </w:tcBorders>
            <w:shd w:val="clear" w:color="auto" w:fill="auto"/>
            <w:vAlign w:val="center"/>
            <w:hideMark/>
          </w:tcPr>
          <w:p w14:paraId="4AAAB8B7" w14:textId="77777777" w:rsidR="00137320" w:rsidRPr="00137320" w:rsidRDefault="00137320" w:rsidP="00137320">
            <w:pPr>
              <w:spacing w:after="0" w:line="240" w:lineRule="auto"/>
              <w:jc w:val="left"/>
              <w:rPr>
                <w:rFonts w:eastAsia="Times New Roman" w:cs="Calibri"/>
                <w:b/>
                <w:bCs/>
                <w:color w:val="000000"/>
                <w:sz w:val="18"/>
                <w:szCs w:val="18"/>
                <w:lang w:eastAsia="el-GR"/>
              </w:rPr>
            </w:pPr>
            <w:r w:rsidRPr="00137320">
              <w:rPr>
                <w:rFonts w:eastAsia="Times New Roman" w:cs="Calibri"/>
                <w:b/>
                <w:bCs/>
                <w:color w:val="000000"/>
                <w:sz w:val="18"/>
                <w:szCs w:val="18"/>
                <w:lang w:val="en-US" w:eastAsia="el-GR"/>
              </w:rPr>
              <w:t>Ι. Σύνολο Εσόδων</w:t>
            </w:r>
          </w:p>
        </w:tc>
        <w:tc>
          <w:tcPr>
            <w:tcW w:w="1557" w:type="dxa"/>
            <w:tcBorders>
              <w:top w:val="single" w:sz="12" w:space="0" w:color="auto"/>
              <w:left w:val="nil"/>
              <w:bottom w:val="single" w:sz="4" w:space="0" w:color="auto"/>
              <w:right w:val="single" w:sz="4" w:space="0" w:color="auto"/>
            </w:tcBorders>
            <w:shd w:val="clear" w:color="auto" w:fill="auto"/>
            <w:vAlign w:val="center"/>
            <w:hideMark/>
          </w:tcPr>
          <w:p w14:paraId="127D1DB9" w14:textId="77777777" w:rsidR="00137320" w:rsidRPr="00137320" w:rsidRDefault="00137320" w:rsidP="00137320">
            <w:pPr>
              <w:spacing w:after="0" w:line="240" w:lineRule="auto"/>
              <w:jc w:val="center"/>
              <w:rPr>
                <w:rFonts w:eastAsia="Times New Roman" w:cs="Calibri"/>
                <w:b/>
                <w:bCs/>
                <w:color w:val="000000"/>
                <w:sz w:val="18"/>
                <w:szCs w:val="18"/>
                <w:lang w:eastAsia="el-GR"/>
              </w:rPr>
            </w:pPr>
            <w:r w:rsidRPr="00137320">
              <w:rPr>
                <w:rFonts w:eastAsia="Times New Roman" w:cs="Calibri"/>
                <w:b/>
                <w:bCs/>
                <w:color w:val="000000"/>
                <w:sz w:val="18"/>
                <w:szCs w:val="18"/>
                <w:lang w:eastAsia="el-GR"/>
              </w:rPr>
              <w:t>14.565</w:t>
            </w:r>
          </w:p>
        </w:tc>
        <w:tc>
          <w:tcPr>
            <w:tcW w:w="1502" w:type="dxa"/>
            <w:tcBorders>
              <w:top w:val="single" w:sz="12" w:space="0" w:color="auto"/>
              <w:left w:val="nil"/>
              <w:bottom w:val="single" w:sz="4" w:space="0" w:color="auto"/>
              <w:right w:val="single" w:sz="4" w:space="0" w:color="auto"/>
            </w:tcBorders>
            <w:shd w:val="clear" w:color="auto" w:fill="auto"/>
            <w:vAlign w:val="center"/>
            <w:hideMark/>
          </w:tcPr>
          <w:p w14:paraId="64EA027E" w14:textId="77777777" w:rsidR="00137320" w:rsidRPr="00137320" w:rsidRDefault="00137320" w:rsidP="00137320">
            <w:pPr>
              <w:spacing w:after="0" w:line="240" w:lineRule="auto"/>
              <w:jc w:val="center"/>
              <w:rPr>
                <w:rFonts w:eastAsia="Times New Roman" w:cs="Calibri"/>
                <w:b/>
                <w:bCs/>
                <w:color w:val="000000"/>
                <w:sz w:val="18"/>
                <w:szCs w:val="18"/>
                <w:lang w:eastAsia="el-GR"/>
              </w:rPr>
            </w:pPr>
            <w:r w:rsidRPr="00137320">
              <w:rPr>
                <w:rFonts w:eastAsia="Times New Roman" w:cs="Calibri"/>
                <w:b/>
                <w:bCs/>
                <w:color w:val="000000"/>
                <w:sz w:val="18"/>
                <w:szCs w:val="18"/>
                <w:lang w:eastAsia="el-GR"/>
              </w:rPr>
              <w:t>17.705</w:t>
            </w:r>
          </w:p>
        </w:tc>
        <w:tc>
          <w:tcPr>
            <w:tcW w:w="1686" w:type="dxa"/>
            <w:tcBorders>
              <w:top w:val="single" w:sz="12" w:space="0" w:color="auto"/>
              <w:left w:val="nil"/>
              <w:bottom w:val="single" w:sz="4" w:space="0" w:color="auto"/>
              <w:right w:val="single" w:sz="4" w:space="0" w:color="auto"/>
            </w:tcBorders>
            <w:shd w:val="clear" w:color="auto" w:fill="auto"/>
            <w:noWrap/>
            <w:vAlign w:val="center"/>
            <w:hideMark/>
          </w:tcPr>
          <w:p w14:paraId="006E9623" w14:textId="77777777" w:rsidR="00137320" w:rsidRPr="00137320" w:rsidRDefault="00137320" w:rsidP="00137320">
            <w:pPr>
              <w:spacing w:after="0" w:line="240" w:lineRule="auto"/>
              <w:jc w:val="center"/>
              <w:rPr>
                <w:rFonts w:eastAsia="Times New Roman" w:cs="Calibri"/>
                <w:color w:val="000000"/>
                <w:sz w:val="18"/>
                <w:szCs w:val="18"/>
                <w:lang w:eastAsia="el-GR"/>
              </w:rPr>
            </w:pPr>
            <w:r w:rsidRPr="00137320">
              <w:rPr>
                <w:rFonts w:eastAsia="Times New Roman" w:cs="Calibri"/>
                <w:color w:val="000000"/>
                <w:sz w:val="18"/>
                <w:szCs w:val="18"/>
                <w:lang w:eastAsia="el-GR"/>
              </w:rPr>
              <w:t>21,6%</w:t>
            </w:r>
          </w:p>
        </w:tc>
      </w:tr>
      <w:tr w:rsidR="00137320" w:rsidRPr="00137320" w14:paraId="475023AF" w14:textId="77777777" w:rsidTr="00137320">
        <w:trPr>
          <w:trHeight w:val="263"/>
        </w:trPr>
        <w:tc>
          <w:tcPr>
            <w:tcW w:w="3622" w:type="dxa"/>
            <w:tcBorders>
              <w:top w:val="nil"/>
              <w:left w:val="single" w:sz="4" w:space="0" w:color="auto"/>
              <w:bottom w:val="single" w:sz="4" w:space="0" w:color="auto"/>
              <w:right w:val="single" w:sz="4" w:space="0" w:color="auto"/>
            </w:tcBorders>
            <w:shd w:val="clear" w:color="auto" w:fill="auto"/>
            <w:vAlign w:val="center"/>
            <w:hideMark/>
          </w:tcPr>
          <w:p w14:paraId="7DE652B0" w14:textId="77777777" w:rsidR="00137320" w:rsidRPr="00A06690" w:rsidRDefault="00137320" w:rsidP="00A06690">
            <w:pPr>
              <w:spacing w:after="0" w:line="240" w:lineRule="auto"/>
              <w:ind w:left="179"/>
              <w:jc w:val="left"/>
              <w:rPr>
                <w:rFonts w:eastAsia="Times New Roman" w:cs="Calibri"/>
                <w:color w:val="000000"/>
                <w:sz w:val="18"/>
                <w:szCs w:val="18"/>
                <w:lang w:eastAsia="el-GR"/>
              </w:rPr>
            </w:pPr>
            <w:r w:rsidRPr="00A06690">
              <w:rPr>
                <w:rFonts w:eastAsia="Times New Roman" w:cs="Calibri"/>
                <w:color w:val="000000"/>
                <w:sz w:val="18"/>
                <w:szCs w:val="18"/>
                <w:lang w:eastAsia="el-GR"/>
              </w:rPr>
              <w:t>Εκ των οποίων: Φόροι</w:t>
            </w:r>
          </w:p>
        </w:tc>
        <w:tc>
          <w:tcPr>
            <w:tcW w:w="1557" w:type="dxa"/>
            <w:tcBorders>
              <w:top w:val="nil"/>
              <w:left w:val="nil"/>
              <w:bottom w:val="single" w:sz="4" w:space="0" w:color="auto"/>
              <w:right w:val="single" w:sz="4" w:space="0" w:color="auto"/>
            </w:tcBorders>
            <w:shd w:val="clear" w:color="auto" w:fill="auto"/>
            <w:vAlign w:val="center"/>
            <w:hideMark/>
          </w:tcPr>
          <w:p w14:paraId="07FF332C" w14:textId="77777777" w:rsidR="00137320" w:rsidRPr="00A06690" w:rsidRDefault="00137320" w:rsidP="00A06690">
            <w:pPr>
              <w:spacing w:after="0" w:line="240" w:lineRule="auto"/>
              <w:jc w:val="right"/>
              <w:rPr>
                <w:rFonts w:eastAsia="Times New Roman" w:cs="Calibri"/>
                <w:iCs/>
                <w:color w:val="000000"/>
                <w:sz w:val="18"/>
                <w:szCs w:val="18"/>
                <w:lang w:eastAsia="el-GR"/>
              </w:rPr>
            </w:pPr>
            <w:r w:rsidRPr="00A06690">
              <w:rPr>
                <w:rFonts w:eastAsia="Times New Roman" w:cs="Calibri"/>
                <w:iCs/>
                <w:color w:val="000000"/>
                <w:sz w:val="18"/>
                <w:szCs w:val="18"/>
                <w:lang w:eastAsia="el-GR"/>
              </w:rPr>
              <w:t>1.827</w:t>
            </w:r>
          </w:p>
        </w:tc>
        <w:tc>
          <w:tcPr>
            <w:tcW w:w="1502" w:type="dxa"/>
            <w:tcBorders>
              <w:top w:val="nil"/>
              <w:left w:val="nil"/>
              <w:bottom w:val="single" w:sz="4" w:space="0" w:color="auto"/>
              <w:right w:val="single" w:sz="4" w:space="0" w:color="auto"/>
            </w:tcBorders>
            <w:shd w:val="clear" w:color="auto" w:fill="auto"/>
            <w:vAlign w:val="center"/>
            <w:hideMark/>
          </w:tcPr>
          <w:p w14:paraId="645AD934" w14:textId="77777777" w:rsidR="00137320" w:rsidRPr="00A06690" w:rsidRDefault="00137320" w:rsidP="00A06690">
            <w:pPr>
              <w:spacing w:after="0" w:line="240" w:lineRule="auto"/>
              <w:jc w:val="right"/>
              <w:rPr>
                <w:rFonts w:eastAsia="Times New Roman" w:cs="Calibri"/>
                <w:iCs/>
                <w:color w:val="000000"/>
                <w:sz w:val="18"/>
                <w:szCs w:val="18"/>
                <w:lang w:eastAsia="el-GR"/>
              </w:rPr>
            </w:pPr>
            <w:r w:rsidRPr="00A06690">
              <w:rPr>
                <w:rFonts w:eastAsia="Times New Roman" w:cs="Calibri"/>
                <w:iCs/>
                <w:color w:val="000000"/>
                <w:sz w:val="18"/>
                <w:szCs w:val="18"/>
                <w:lang w:eastAsia="el-GR"/>
              </w:rPr>
              <w:t>1.807</w:t>
            </w:r>
          </w:p>
        </w:tc>
        <w:tc>
          <w:tcPr>
            <w:tcW w:w="1686" w:type="dxa"/>
            <w:tcBorders>
              <w:top w:val="nil"/>
              <w:left w:val="nil"/>
              <w:bottom w:val="single" w:sz="4" w:space="0" w:color="auto"/>
              <w:right w:val="single" w:sz="4" w:space="0" w:color="auto"/>
            </w:tcBorders>
            <w:shd w:val="clear" w:color="auto" w:fill="auto"/>
            <w:noWrap/>
            <w:vAlign w:val="center"/>
            <w:hideMark/>
          </w:tcPr>
          <w:p w14:paraId="0C4B7EE7" w14:textId="77777777" w:rsidR="00137320" w:rsidRPr="00A06690" w:rsidRDefault="00137320" w:rsidP="00137320">
            <w:pPr>
              <w:spacing w:after="0" w:line="240" w:lineRule="auto"/>
              <w:jc w:val="center"/>
              <w:rPr>
                <w:rFonts w:eastAsia="Times New Roman" w:cs="Calibri"/>
                <w:color w:val="000000"/>
                <w:sz w:val="18"/>
                <w:szCs w:val="18"/>
                <w:lang w:eastAsia="el-GR"/>
              </w:rPr>
            </w:pPr>
            <w:r w:rsidRPr="00A06690">
              <w:rPr>
                <w:rFonts w:eastAsia="Times New Roman" w:cs="Calibri"/>
                <w:color w:val="000000"/>
                <w:sz w:val="18"/>
                <w:szCs w:val="18"/>
                <w:lang w:eastAsia="el-GR"/>
              </w:rPr>
              <w:t>-1,1%</w:t>
            </w:r>
          </w:p>
        </w:tc>
      </w:tr>
      <w:tr w:rsidR="00137320" w:rsidRPr="00137320" w14:paraId="20D8A63E" w14:textId="77777777" w:rsidTr="00137320">
        <w:trPr>
          <w:trHeight w:val="263"/>
        </w:trPr>
        <w:tc>
          <w:tcPr>
            <w:tcW w:w="3622" w:type="dxa"/>
            <w:tcBorders>
              <w:top w:val="nil"/>
              <w:left w:val="single" w:sz="4" w:space="0" w:color="auto"/>
              <w:bottom w:val="single" w:sz="4" w:space="0" w:color="auto"/>
              <w:right w:val="single" w:sz="4" w:space="0" w:color="auto"/>
            </w:tcBorders>
            <w:shd w:val="clear" w:color="auto" w:fill="auto"/>
            <w:vAlign w:val="center"/>
            <w:hideMark/>
          </w:tcPr>
          <w:p w14:paraId="6875BA27" w14:textId="77777777" w:rsidR="00137320" w:rsidRPr="00A06690" w:rsidRDefault="00137320" w:rsidP="00A06690">
            <w:pPr>
              <w:spacing w:after="0" w:line="240" w:lineRule="auto"/>
              <w:ind w:left="179"/>
              <w:jc w:val="left"/>
              <w:rPr>
                <w:rFonts w:eastAsia="Times New Roman" w:cs="Calibri"/>
                <w:iCs/>
                <w:color w:val="000000"/>
                <w:sz w:val="18"/>
                <w:szCs w:val="18"/>
                <w:lang w:eastAsia="el-GR"/>
              </w:rPr>
            </w:pPr>
            <w:r w:rsidRPr="00A06690">
              <w:rPr>
                <w:rFonts w:eastAsia="Times New Roman" w:cs="Calibri"/>
                <w:iCs/>
                <w:color w:val="000000"/>
                <w:sz w:val="18"/>
                <w:szCs w:val="18"/>
                <w:lang w:eastAsia="el-GR"/>
              </w:rPr>
              <w:t>Εκ των οποίων: μεταβιβάσεις από τον ΚΠ</w:t>
            </w:r>
          </w:p>
        </w:tc>
        <w:tc>
          <w:tcPr>
            <w:tcW w:w="1557" w:type="dxa"/>
            <w:tcBorders>
              <w:top w:val="nil"/>
              <w:left w:val="nil"/>
              <w:bottom w:val="single" w:sz="4" w:space="0" w:color="auto"/>
              <w:right w:val="single" w:sz="4" w:space="0" w:color="auto"/>
            </w:tcBorders>
            <w:shd w:val="clear" w:color="auto" w:fill="auto"/>
            <w:vAlign w:val="center"/>
            <w:hideMark/>
          </w:tcPr>
          <w:p w14:paraId="0773523F" w14:textId="77777777" w:rsidR="00137320" w:rsidRPr="00A06690" w:rsidRDefault="00137320" w:rsidP="00A06690">
            <w:pPr>
              <w:spacing w:after="0" w:line="240" w:lineRule="auto"/>
              <w:jc w:val="right"/>
              <w:rPr>
                <w:rFonts w:eastAsia="Times New Roman" w:cs="Calibri"/>
                <w:iCs/>
                <w:color w:val="000000"/>
                <w:sz w:val="18"/>
                <w:szCs w:val="18"/>
                <w:lang w:eastAsia="el-GR"/>
              </w:rPr>
            </w:pPr>
            <w:r w:rsidRPr="00A06690">
              <w:rPr>
                <w:rFonts w:eastAsia="Times New Roman" w:cs="Calibri"/>
                <w:iCs/>
                <w:color w:val="000000"/>
                <w:sz w:val="18"/>
                <w:szCs w:val="18"/>
                <w:lang w:eastAsia="el-GR"/>
              </w:rPr>
              <w:t>7.969</w:t>
            </w:r>
          </w:p>
        </w:tc>
        <w:tc>
          <w:tcPr>
            <w:tcW w:w="1502" w:type="dxa"/>
            <w:tcBorders>
              <w:top w:val="nil"/>
              <w:left w:val="nil"/>
              <w:bottom w:val="single" w:sz="4" w:space="0" w:color="auto"/>
              <w:right w:val="single" w:sz="4" w:space="0" w:color="auto"/>
            </w:tcBorders>
            <w:shd w:val="clear" w:color="auto" w:fill="auto"/>
            <w:vAlign w:val="center"/>
            <w:hideMark/>
          </w:tcPr>
          <w:p w14:paraId="6E26F9D3" w14:textId="77777777" w:rsidR="00137320" w:rsidRPr="00A06690" w:rsidRDefault="00137320" w:rsidP="00A06690">
            <w:pPr>
              <w:spacing w:after="0" w:line="240" w:lineRule="auto"/>
              <w:jc w:val="right"/>
              <w:rPr>
                <w:rFonts w:eastAsia="Times New Roman" w:cs="Calibri"/>
                <w:iCs/>
                <w:color w:val="000000"/>
                <w:sz w:val="18"/>
                <w:szCs w:val="18"/>
                <w:lang w:eastAsia="el-GR"/>
              </w:rPr>
            </w:pPr>
            <w:r w:rsidRPr="00A06690">
              <w:rPr>
                <w:rFonts w:eastAsia="Times New Roman" w:cs="Calibri"/>
                <w:iCs/>
                <w:color w:val="000000"/>
                <w:sz w:val="18"/>
                <w:szCs w:val="18"/>
                <w:lang w:eastAsia="el-GR"/>
              </w:rPr>
              <w:t>11.307</w:t>
            </w:r>
          </w:p>
        </w:tc>
        <w:tc>
          <w:tcPr>
            <w:tcW w:w="1686" w:type="dxa"/>
            <w:tcBorders>
              <w:top w:val="nil"/>
              <w:left w:val="nil"/>
              <w:bottom w:val="single" w:sz="4" w:space="0" w:color="auto"/>
              <w:right w:val="single" w:sz="4" w:space="0" w:color="auto"/>
            </w:tcBorders>
            <w:shd w:val="clear" w:color="auto" w:fill="auto"/>
            <w:noWrap/>
            <w:vAlign w:val="center"/>
            <w:hideMark/>
          </w:tcPr>
          <w:p w14:paraId="684B03AB" w14:textId="77777777" w:rsidR="00137320" w:rsidRPr="00A06690" w:rsidRDefault="00137320" w:rsidP="00137320">
            <w:pPr>
              <w:spacing w:after="0" w:line="240" w:lineRule="auto"/>
              <w:jc w:val="center"/>
              <w:rPr>
                <w:rFonts w:eastAsia="Times New Roman" w:cs="Calibri"/>
                <w:color w:val="000000"/>
                <w:sz w:val="18"/>
                <w:szCs w:val="18"/>
                <w:lang w:eastAsia="el-GR"/>
              </w:rPr>
            </w:pPr>
            <w:r w:rsidRPr="00A06690">
              <w:rPr>
                <w:rFonts w:eastAsia="Times New Roman" w:cs="Calibri"/>
                <w:color w:val="000000"/>
                <w:sz w:val="18"/>
                <w:szCs w:val="18"/>
                <w:lang w:eastAsia="el-GR"/>
              </w:rPr>
              <w:t>41,9%</w:t>
            </w:r>
          </w:p>
        </w:tc>
      </w:tr>
      <w:tr w:rsidR="00137320" w:rsidRPr="00137320" w14:paraId="1EF50A2E" w14:textId="77777777" w:rsidTr="00137320">
        <w:trPr>
          <w:trHeight w:val="263"/>
        </w:trPr>
        <w:tc>
          <w:tcPr>
            <w:tcW w:w="3622" w:type="dxa"/>
            <w:tcBorders>
              <w:top w:val="nil"/>
              <w:left w:val="single" w:sz="4" w:space="0" w:color="auto"/>
              <w:bottom w:val="single" w:sz="4" w:space="0" w:color="auto"/>
              <w:right w:val="single" w:sz="4" w:space="0" w:color="auto"/>
            </w:tcBorders>
            <w:shd w:val="clear" w:color="auto" w:fill="auto"/>
            <w:vAlign w:val="center"/>
            <w:hideMark/>
          </w:tcPr>
          <w:p w14:paraId="326E5A50" w14:textId="77777777" w:rsidR="00137320" w:rsidRPr="00A06690" w:rsidRDefault="00137320" w:rsidP="00A06690">
            <w:pPr>
              <w:spacing w:after="0" w:line="240" w:lineRule="auto"/>
              <w:ind w:left="37" w:firstLine="1"/>
              <w:jc w:val="left"/>
              <w:rPr>
                <w:rFonts w:eastAsia="Times New Roman" w:cs="Calibri"/>
                <w:i/>
                <w:color w:val="000000"/>
                <w:sz w:val="18"/>
                <w:szCs w:val="18"/>
                <w:lang w:eastAsia="el-GR"/>
              </w:rPr>
            </w:pPr>
            <w:r w:rsidRPr="00A06690">
              <w:rPr>
                <w:rFonts w:eastAsia="Times New Roman" w:cs="Calibri"/>
                <w:i/>
                <w:color w:val="000000"/>
                <w:sz w:val="18"/>
                <w:szCs w:val="18"/>
                <w:lang w:eastAsia="el-GR"/>
              </w:rPr>
              <w:t>Μεταβιβάσεις ως % του ΑΕΠ</w:t>
            </w:r>
          </w:p>
        </w:tc>
        <w:tc>
          <w:tcPr>
            <w:tcW w:w="1557" w:type="dxa"/>
            <w:tcBorders>
              <w:top w:val="nil"/>
              <w:left w:val="nil"/>
              <w:bottom w:val="single" w:sz="4" w:space="0" w:color="auto"/>
              <w:right w:val="single" w:sz="4" w:space="0" w:color="auto"/>
            </w:tcBorders>
            <w:shd w:val="clear" w:color="auto" w:fill="auto"/>
            <w:vAlign w:val="center"/>
            <w:hideMark/>
          </w:tcPr>
          <w:p w14:paraId="4E8B74F8" w14:textId="77777777" w:rsidR="00137320" w:rsidRPr="00A06690" w:rsidRDefault="00137320" w:rsidP="00137320">
            <w:pPr>
              <w:spacing w:after="0" w:line="240" w:lineRule="auto"/>
              <w:jc w:val="center"/>
              <w:rPr>
                <w:rFonts w:eastAsia="Times New Roman" w:cs="Calibri"/>
                <w:i/>
                <w:color w:val="000000"/>
                <w:sz w:val="18"/>
                <w:szCs w:val="18"/>
                <w:lang w:eastAsia="el-GR"/>
              </w:rPr>
            </w:pPr>
            <w:r w:rsidRPr="00A06690">
              <w:rPr>
                <w:rFonts w:eastAsia="Times New Roman" w:cs="Calibri"/>
                <w:i/>
                <w:color w:val="000000"/>
                <w:sz w:val="18"/>
                <w:szCs w:val="18"/>
                <w:lang w:eastAsia="el-GR"/>
              </w:rPr>
              <w:t>4,3%</w:t>
            </w:r>
          </w:p>
        </w:tc>
        <w:tc>
          <w:tcPr>
            <w:tcW w:w="1502" w:type="dxa"/>
            <w:tcBorders>
              <w:top w:val="nil"/>
              <w:left w:val="nil"/>
              <w:bottom w:val="single" w:sz="4" w:space="0" w:color="auto"/>
              <w:right w:val="single" w:sz="4" w:space="0" w:color="auto"/>
            </w:tcBorders>
            <w:shd w:val="clear" w:color="auto" w:fill="auto"/>
            <w:vAlign w:val="center"/>
            <w:hideMark/>
          </w:tcPr>
          <w:p w14:paraId="571339FD" w14:textId="77777777" w:rsidR="00137320" w:rsidRPr="00A06690" w:rsidRDefault="00137320" w:rsidP="00137320">
            <w:pPr>
              <w:spacing w:after="0" w:line="240" w:lineRule="auto"/>
              <w:jc w:val="center"/>
              <w:rPr>
                <w:rFonts w:eastAsia="Times New Roman" w:cs="Calibri"/>
                <w:i/>
                <w:color w:val="000000"/>
                <w:sz w:val="18"/>
                <w:szCs w:val="18"/>
                <w:lang w:eastAsia="el-GR"/>
              </w:rPr>
            </w:pPr>
            <w:r w:rsidRPr="00A06690">
              <w:rPr>
                <w:rFonts w:eastAsia="Times New Roman" w:cs="Calibri"/>
                <w:i/>
                <w:color w:val="000000"/>
                <w:sz w:val="18"/>
                <w:szCs w:val="18"/>
                <w:lang w:eastAsia="el-GR"/>
              </w:rPr>
              <w:t>6,8%</w:t>
            </w:r>
          </w:p>
        </w:tc>
        <w:tc>
          <w:tcPr>
            <w:tcW w:w="1686" w:type="dxa"/>
            <w:tcBorders>
              <w:top w:val="nil"/>
              <w:left w:val="nil"/>
              <w:bottom w:val="single" w:sz="4" w:space="0" w:color="auto"/>
              <w:right w:val="single" w:sz="4" w:space="0" w:color="auto"/>
            </w:tcBorders>
            <w:shd w:val="clear" w:color="auto" w:fill="auto"/>
            <w:noWrap/>
            <w:vAlign w:val="center"/>
            <w:hideMark/>
          </w:tcPr>
          <w:p w14:paraId="17A48E55" w14:textId="77777777" w:rsidR="00137320" w:rsidRPr="00A06690" w:rsidRDefault="00137320" w:rsidP="00137320">
            <w:pPr>
              <w:spacing w:after="0" w:line="240" w:lineRule="auto"/>
              <w:jc w:val="center"/>
              <w:rPr>
                <w:rFonts w:eastAsia="Times New Roman" w:cs="Calibri"/>
                <w:i/>
                <w:color w:val="000000"/>
                <w:sz w:val="18"/>
                <w:szCs w:val="18"/>
                <w:lang w:eastAsia="el-GR"/>
              </w:rPr>
            </w:pPr>
            <w:r w:rsidRPr="00A06690">
              <w:rPr>
                <w:rFonts w:eastAsia="Times New Roman" w:cs="Calibri"/>
                <w:i/>
                <w:color w:val="000000"/>
                <w:sz w:val="18"/>
                <w:szCs w:val="18"/>
                <w:lang w:eastAsia="el-GR"/>
              </w:rPr>
              <w:t>2,5%</w:t>
            </w:r>
          </w:p>
        </w:tc>
      </w:tr>
      <w:tr w:rsidR="00137320" w:rsidRPr="00137320" w14:paraId="5016FF7B" w14:textId="77777777" w:rsidTr="00137320">
        <w:trPr>
          <w:trHeight w:val="528"/>
        </w:trPr>
        <w:tc>
          <w:tcPr>
            <w:tcW w:w="3622" w:type="dxa"/>
            <w:tcBorders>
              <w:top w:val="nil"/>
              <w:left w:val="single" w:sz="4" w:space="0" w:color="auto"/>
              <w:bottom w:val="single" w:sz="4" w:space="0" w:color="auto"/>
              <w:right w:val="single" w:sz="4" w:space="0" w:color="auto"/>
            </w:tcBorders>
            <w:shd w:val="clear" w:color="auto" w:fill="auto"/>
            <w:vAlign w:val="center"/>
            <w:hideMark/>
          </w:tcPr>
          <w:p w14:paraId="39943C23" w14:textId="77777777" w:rsidR="00137320" w:rsidRPr="00A06690" w:rsidRDefault="00137320" w:rsidP="00A06690">
            <w:pPr>
              <w:spacing w:after="0" w:line="240" w:lineRule="auto"/>
              <w:ind w:left="37" w:firstLine="1"/>
              <w:jc w:val="left"/>
              <w:rPr>
                <w:rFonts w:eastAsia="Times New Roman" w:cs="Calibri"/>
                <w:i/>
                <w:color w:val="000000"/>
                <w:sz w:val="18"/>
                <w:szCs w:val="18"/>
                <w:lang w:eastAsia="el-GR"/>
              </w:rPr>
            </w:pPr>
            <w:r w:rsidRPr="00A06690">
              <w:rPr>
                <w:rFonts w:eastAsia="Times New Roman" w:cs="Calibri"/>
                <w:i/>
                <w:color w:val="000000"/>
                <w:sz w:val="18"/>
                <w:szCs w:val="18"/>
                <w:lang w:eastAsia="el-GR"/>
              </w:rPr>
              <w:t>Έσοδα από μεταβιβάσεις ως % των συνολικών εσόδων</w:t>
            </w:r>
          </w:p>
        </w:tc>
        <w:tc>
          <w:tcPr>
            <w:tcW w:w="1557" w:type="dxa"/>
            <w:tcBorders>
              <w:top w:val="nil"/>
              <w:left w:val="nil"/>
              <w:bottom w:val="single" w:sz="4" w:space="0" w:color="auto"/>
              <w:right w:val="single" w:sz="4" w:space="0" w:color="auto"/>
            </w:tcBorders>
            <w:shd w:val="clear" w:color="auto" w:fill="auto"/>
            <w:vAlign w:val="center"/>
            <w:hideMark/>
          </w:tcPr>
          <w:p w14:paraId="06D3D1C0" w14:textId="77777777" w:rsidR="00137320" w:rsidRPr="00A06690" w:rsidRDefault="00137320" w:rsidP="00137320">
            <w:pPr>
              <w:spacing w:after="0" w:line="240" w:lineRule="auto"/>
              <w:jc w:val="center"/>
              <w:rPr>
                <w:rFonts w:eastAsia="Times New Roman" w:cs="Calibri"/>
                <w:i/>
                <w:color w:val="000000"/>
                <w:sz w:val="18"/>
                <w:szCs w:val="18"/>
                <w:lang w:eastAsia="el-GR"/>
              </w:rPr>
            </w:pPr>
            <w:r w:rsidRPr="00A06690">
              <w:rPr>
                <w:rFonts w:eastAsia="Times New Roman" w:cs="Calibri"/>
                <w:i/>
                <w:color w:val="000000"/>
                <w:sz w:val="18"/>
                <w:szCs w:val="18"/>
                <w:lang w:eastAsia="el-GR"/>
              </w:rPr>
              <w:t>54,7%</w:t>
            </w:r>
          </w:p>
        </w:tc>
        <w:tc>
          <w:tcPr>
            <w:tcW w:w="1502" w:type="dxa"/>
            <w:tcBorders>
              <w:top w:val="nil"/>
              <w:left w:val="nil"/>
              <w:bottom w:val="single" w:sz="4" w:space="0" w:color="auto"/>
              <w:right w:val="single" w:sz="4" w:space="0" w:color="auto"/>
            </w:tcBorders>
            <w:shd w:val="clear" w:color="auto" w:fill="auto"/>
            <w:vAlign w:val="center"/>
            <w:hideMark/>
          </w:tcPr>
          <w:p w14:paraId="07226DB9" w14:textId="77777777" w:rsidR="00137320" w:rsidRPr="00A06690" w:rsidRDefault="00137320" w:rsidP="00137320">
            <w:pPr>
              <w:spacing w:after="0" w:line="240" w:lineRule="auto"/>
              <w:jc w:val="center"/>
              <w:rPr>
                <w:rFonts w:eastAsia="Times New Roman" w:cs="Calibri"/>
                <w:i/>
                <w:color w:val="000000"/>
                <w:sz w:val="18"/>
                <w:szCs w:val="18"/>
                <w:lang w:eastAsia="el-GR"/>
              </w:rPr>
            </w:pPr>
            <w:r w:rsidRPr="00A06690">
              <w:rPr>
                <w:rFonts w:eastAsia="Times New Roman" w:cs="Calibri"/>
                <w:i/>
                <w:color w:val="000000"/>
                <w:sz w:val="18"/>
                <w:szCs w:val="18"/>
                <w:lang w:eastAsia="el-GR"/>
              </w:rPr>
              <w:t>63,9%</w:t>
            </w:r>
          </w:p>
        </w:tc>
        <w:tc>
          <w:tcPr>
            <w:tcW w:w="1686" w:type="dxa"/>
            <w:tcBorders>
              <w:top w:val="nil"/>
              <w:left w:val="nil"/>
              <w:bottom w:val="single" w:sz="4" w:space="0" w:color="auto"/>
              <w:right w:val="single" w:sz="4" w:space="0" w:color="auto"/>
            </w:tcBorders>
            <w:shd w:val="clear" w:color="auto" w:fill="auto"/>
            <w:noWrap/>
            <w:vAlign w:val="center"/>
            <w:hideMark/>
          </w:tcPr>
          <w:p w14:paraId="4ED803CF" w14:textId="77777777" w:rsidR="00137320" w:rsidRPr="00A06690" w:rsidRDefault="00137320" w:rsidP="00137320">
            <w:pPr>
              <w:spacing w:after="0" w:line="240" w:lineRule="auto"/>
              <w:jc w:val="center"/>
              <w:rPr>
                <w:rFonts w:eastAsia="Times New Roman" w:cs="Calibri"/>
                <w:i/>
                <w:color w:val="000000"/>
                <w:sz w:val="18"/>
                <w:szCs w:val="18"/>
                <w:lang w:eastAsia="el-GR"/>
              </w:rPr>
            </w:pPr>
            <w:r w:rsidRPr="00A06690">
              <w:rPr>
                <w:rFonts w:eastAsia="Times New Roman" w:cs="Calibri"/>
                <w:i/>
                <w:color w:val="000000"/>
                <w:sz w:val="18"/>
                <w:szCs w:val="18"/>
                <w:lang w:eastAsia="el-GR"/>
              </w:rPr>
              <w:t>9,1%</w:t>
            </w:r>
          </w:p>
        </w:tc>
      </w:tr>
      <w:tr w:rsidR="00137320" w:rsidRPr="00137320" w14:paraId="466E0279" w14:textId="77777777" w:rsidTr="00137320">
        <w:trPr>
          <w:trHeight w:val="263"/>
        </w:trPr>
        <w:tc>
          <w:tcPr>
            <w:tcW w:w="3622" w:type="dxa"/>
            <w:tcBorders>
              <w:top w:val="nil"/>
              <w:left w:val="single" w:sz="4" w:space="0" w:color="auto"/>
              <w:bottom w:val="single" w:sz="4" w:space="0" w:color="auto"/>
              <w:right w:val="single" w:sz="4" w:space="0" w:color="auto"/>
            </w:tcBorders>
            <w:shd w:val="clear" w:color="auto" w:fill="auto"/>
            <w:vAlign w:val="center"/>
            <w:hideMark/>
          </w:tcPr>
          <w:p w14:paraId="1D53DF03" w14:textId="77777777" w:rsidR="00137320" w:rsidRPr="00137320" w:rsidRDefault="00137320" w:rsidP="00137320">
            <w:pPr>
              <w:spacing w:after="0" w:line="240" w:lineRule="auto"/>
              <w:jc w:val="left"/>
              <w:rPr>
                <w:rFonts w:eastAsia="Times New Roman" w:cs="Calibri"/>
                <w:b/>
                <w:bCs/>
                <w:color w:val="000000"/>
                <w:sz w:val="18"/>
                <w:szCs w:val="18"/>
                <w:lang w:eastAsia="el-GR"/>
              </w:rPr>
            </w:pPr>
            <w:r w:rsidRPr="00137320">
              <w:rPr>
                <w:rFonts w:eastAsia="Times New Roman" w:cs="Calibri"/>
                <w:b/>
                <w:bCs/>
                <w:color w:val="000000"/>
                <w:sz w:val="18"/>
                <w:szCs w:val="18"/>
                <w:lang w:eastAsia="el-GR"/>
              </w:rPr>
              <w:t>ΙΙ. Δαπάνες</w:t>
            </w:r>
          </w:p>
        </w:tc>
        <w:tc>
          <w:tcPr>
            <w:tcW w:w="1557" w:type="dxa"/>
            <w:tcBorders>
              <w:top w:val="nil"/>
              <w:left w:val="nil"/>
              <w:bottom w:val="single" w:sz="4" w:space="0" w:color="auto"/>
              <w:right w:val="single" w:sz="4" w:space="0" w:color="auto"/>
            </w:tcBorders>
            <w:shd w:val="clear" w:color="auto" w:fill="auto"/>
            <w:vAlign w:val="center"/>
            <w:hideMark/>
          </w:tcPr>
          <w:p w14:paraId="359F3AF3" w14:textId="77777777" w:rsidR="00137320" w:rsidRPr="00137320" w:rsidRDefault="00137320" w:rsidP="00137320">
            <w:pPr>
              <w:spacing w:after="0" w:line="240" w:lineRule="auto"/>
              <w:jc w:val="center"/>
              <w:rPr>
                <w:rFonts w:eastAsia="Times New Roman" w:cs="Calibri"/>
                <w:b/>
                <w:bCs/>
                <w:color w:val="000000"/>
                <w:sz w:val="18"/>
                <w:szCs w:val="18"/>
                <w:lang w:eastAsia="el-GR"/>
              </w:rPr>
            </w:pPr>
            <w:r w:rsidRPr="00137320">
              <w:rPr>
                <w:rFonts w:eastAsia="Times New Roman" w:cs="Calibri"/>
                <w:b/>
                <w:bCs/>
                <w:color w:val="000000"/>
                <w:sz w:val="18"/>
                <w:szCs w:val="18"/>
                <w:lang w:eastAsia="el-GR"/>
              </w:rPr>
              <w:t>11.528</w:t>
            </w:r>
          </w:p>
        </w:tc>
        <w:tc>
          <w:tcPr>
            <w:tcW w:w="1502" w:type="dxa"/>
            <w:tcBorders>
              <w:top w:val="nil"/>
              <w:left w:val="nil"/>
              <w:bottom w:val="single" w:sz="4" w:space="0" w:color="auto"/>
              <w:right w:val="single" w:sz="4" w:space="0" w:color="auto"/>
            </w:tcBorders>
            <w:shd w:val="clear" w:color="auto" w:fill="auto"/>
            <w:vAlign w:val="center"/>
            <w:hideMark/>
          </w:tcPr>
          <w:p w14:paraId="38A55358" w14:textId="77777777" w:rsidR="00137320" w:rsidRPr="00137320" w:rsidRDefault="00137320" w:rsidP="00137320">
            <w:pPr>
              <w:spacing w:after="0" w:line="240" w:lineRule="auto"/>
              <w:jc w:val="center"/>
              <w:rPr>
                <w:rFonts w:eastAsia="Times New Roman" w:cs="Calibri"/>
                <w:b/>
                <w:bCs/>
                <w:color w:val="000000"/>
                <w:sz w:val="18"/>
                <w:szCs w:val="18"/>
                <w:lang w:eastAsia="el-GR"/>
              </w:rPr>
            </w:pPr>
            <w:r w:rsidRPr="00137320">
              <w:rPr>
                <w:rFonts w:eastAsia="Times New Roman" w:cs="Calibri"/>
                <w:b/>
                <w:bCs/>
                <w:color w:val="000000"/>
                <w:sz w:val="18"/>
                <w:szCs w:val="18"/>
                <w:lang w:eastAsia="el-GR"/>
              </w:rPr>
              <w:t>12.330</w:t>
            </w:r>
          </w:p>
        </w:tc>
        <w:tc>
          <w:tcPr>
            <w:tcW w:w="1686" w:type="dxa"/>
            <w:tcBorders>
              <w:top w:val="nil"/>
              <w:left w:val="nil"/>
              <w:bottom w:val="single" w:sz="4" w:space="0" w:color="auto"/>
              <w:right w:val="single" w:sz="4" w:space="0" w:color="auto"/>
            </w:tcBorders>
            <w:shd w:val="clear" w:color="auto" w:fill="auto"/>
            <w:noWrap/>
            <w:vAlign w:val="center"/>
            <w:hideMark/>
          </w:tcPr>
          <w:p w14:paraId="397B335B" w14:textId="77777777" w:rsidR="00137320" w:rsidRPr="00137320" w:rsidRDefault="00137320" w:rsidP="00137320">
            <w:pPr>
              <w:spacing w:after="0" w:line="240" w:lineRule="auto"/>
              <w:jc w:val="center"/>
              <w:rPr>
                <w:rFonts w:eastAsia="Times New Roman" w:cs="Calibri"/>
                <w:b/>
                <w:bCs/>
                <w:color w:val="000000"/>
                <w:sz w:val="18"/>
                <w:szCs w:val="18"/>
                <w:lang w:eastAsia="el-GR"/>
              </w:rPr>
            </w:pPr>
            <w:r w:rsidRPr="00137320">
              <w:rPr>
                <w:rFonts w:eastAsia="Times New Roman" w:cs="Calibri"/>
                <w:b/>
                <w:bCs/>
                <w:color w:val="000000"/>
                <w:sz w:val="18"/>
                <w:szCs w:val="18"/>
                <w:lang w:eastAsia="el-GR"/>
              </w:rPr>
              <w:t>7,0%</w:t>
            </w:r>
          </w:p>
        </w:tc>
      </w:tr>
      <w:tr w:rsidR="00137320" w:rsidRPr="00137320" w14:paraId="08CF81B7" w14:textId="77777777" w:rsidTr="00137320">
        <w:trPr>
          <w:trHeight w:val="263"/>
        </w:trPr>
        <w:tc>
          <w:tcPr>
            <w:tcW w:w="3622" w:type="dxa"/>
            <w:tcBorders>
              <w:top w:val="nil"/>
              <w:left w:val="single" w:sz="4" w:space="0" w:color="auto"/>
              <w:bottom w:val="single" w:sz="12" w:space="0" w:color="auto"/>
              <w:right w:val="single" w:sz="4" w:space="0" w:color="auto"/>
            </w:tcBorders>
            <w:shd w:val="clear" w:color="000000" w:fill="D9D9D9"/>
            <w:vAlign w:val="center"/>
            <w:hideMark/>
          </w:tcPr>
          <w:p w14:paraId="0561C2B0" w14:textId="77777777" w:rsidR="00137320" w:rsidRPr="00137320" w:rsidRDefault="00137320" w:rsidP="00137320">
            <w:pPr>
              <w:spacing w:after="0" w:line="240" w:lineRule="auto"/>
              <w:jc w:val="center"/>
              <w:rPr>
                <w:rFonts w:eastAsia="Times New Roman" w:cs="Calibri"/>
                <w:b/>
                <w:bCs/>
                <w:color w:val="000000"/>
                <w:sz w:val="18"/>
                <w:szCs w:val="18"/>
                <w:lang w:eastAsia="el-GR"/>
              </w:rPr>
            </w:pPr>
            <w:r w:rsidRPr="00137320">
              <w:rPr>
                <w:rFonts w:eastAsia="Times New Roman" w:cs="Calibri"/>
                <w:b/>
                <w:bCs/>
                <w:color w:val="000000"/>
                <w:sz w:val="18"/>
                <w:szCs w:val="18"/>
                <w:lang w:eastAsia="el-GR"/>
              </w:rPr>
              <w:t>Αποτέλεσμα (Ι-ΙΙ)</w:t>
            </w:r>
          </w:p>
        </w:tc>
        <w:tc>
          <w:tcPr>
            <w:tcW w:w="1557" w:type="dxa"/>
            <w:tcBorders>
              <w:top w:val="nil"/>
              <w:left w:val="nil"/>
              <w:bottom w:val="single" w:sz="12" w:space="0" w:color="auto"/>
              <w:right w:val="single" w:sz="4" w:space="0" w:color="auto"/>
            </w:tcBorders>
            <w:shd w:val="clear" w:color="000000" w:fill="D9D9D9"/>
            <w:noWrap/>
            <w:vAlign w:val="center"/>
            <w:hideMark/>
          </w:tcPr>
          <w:p w14:paraId="12768E8A" w14:textId="77777777" w:rsidR="00137320" w:rsidRPr="00137320" w:rsidRDefault="00137320" w:rsidP="00137320">
            <w:pPr>
              <w:spacing w:after="0" w:line="240" w:lineRule="auto"/>
              <w:jc w:val="center"/>
              <w:rPr>
                <w:rFonts w:eastAsia="Times New Roman" w:cs="Calibri"/>
                <w:b/>
                <w:bCs/>
                <w:color w:val="000000"/>
                <w:sz w:val="18"/>
                <w:szCs w:val="18"/>
                <w:lang w:eastAsia="el-GR"/>
              </w:rPr>
            </w:pPr>
            <w:r w:rsidRPr="00137320">
              <w:rPr>
                <w:rFonts w:eastAsia="Times New Roman" w:cs="Calibri"/>
                <w:b/>
                <w:bCs/>
                <w:color w:val="000000"/>
                <w:sz w:val="18"/>
                <w:szCs w:val="18"/>
                <w:lang w:eastAsia="el-GR"/>
              </w:rPr>
              <w:t>3.037</w:t>
            </w:r>
          </w:p>
        </w:tc>
        <w:tc>
          <w:tcPr>
            <w:tcW w:w="1502" w:type="dxa"/>
            <w:tcBorders>
              <w:top w:val="nil"/>
              <w:left w:val="nil"/>
              <w:bottom w:val="single" w:sz="12" w:space="0" w:color="auto"/>
              <w:right w:val="single" w:sz="4" w:space="0" w:color="auto"/>
            </w:tcBorders>
            <w:shd w:val="clear" w:color="000000" w:fill="D9D9D9"/>
            <w:noWrap/>
            <w:vAlign w:val="center"/>
            <w:hideMark/>
          </w:tcPr>
          <w:p w14:paraId="69470B3D" w14:textId="77777777" w:rsidR="00137320" w:rsidRPr="00137320" w:rsidRDefault="00137320" w:rsidP="00137320">
            <w:pPr>
              <w:spacing w:after="0" w:line="240" w:lineRule="auto"/>
              <w:jc w:val="center"/>
              <w:rPr>
                <w:rFonts w:eastAsia="Times New Roman" w:cs="Calibri"/>
                <w:b/>
                <w:bCs/>
                <w:color w:val="000000"/>
                <w:sz w:val="18"/>
                <w:szCs w:val="18"/>
                <w:lang w:eastAsia="el-GR"/>
              </w:rPr>
            </w:pPr>
            <w:r w:rsidRPr="00137320">
              <w:rPr>
                <w:rFonts w:eastAsia="Times New Roman" w:cs="Calibri"/>
                <w:b/>
                <w:bCs/>
                <w:color w:val="000000"/>
                <w:sz w:val="18"/>
                <w:szCs w:val="18"/>
                <w:lang w:eastAsia="el-GR"/>
              </w:rPr>
              <w:t>5.375</w:t>
            </w:r>
          </w:p>
        </w:tc>
        <w:tc>
          <w:tcPr>
            <w:tcW w:w="1686" w:type="dxa"/>
            <w:tcBorders>
              <w:top w:val="nil"/>
              <w:left w:val="nil"/>
              <w:bottom w:val="single" w:sz="12" w:space="0" w:color="auto"/>
              <w:right w:val="single" w:sz="4" w:space="0" w:color="auto"/>
            </w:tcBorders>
            <w:shd w:val="clear" w:color="000000" w:fill="D9D9D9"/>
            <w:noWrap/>
            <w:vAlign w:val="center"/>
            <w:hideMark/>
          </w:tcPr>
          <w:p w14:paraId="65870B75" w14:textId="77777777" w:rsidR="00137320" w:rsidRPr="00137320" w:rsidRDefault="00137320" w:rsidP="00137320">
            <w:pPr>
              <w:spacing w:after="0" w:line="240" w:lineRule="auto"/>
              <w:jc w:val="center"/>
              <w:rPr>
                <w:rFonts w:eastAsia="Times New Roman" w:cs="Calibri"/>
                <w:b/>
                <w:bCs/>
                <w:color w:val="000000"/>
                <w:sz w:val="18"/>
                <w:szCs w:val="18"/>
                <w:lang w:eastAsia="el-GR"/>
              </w:rPr>
            </w:pPr>
            <w:r w:rsidRPr="00137320">
              <w:rPr>
                <w:rFonts w:eastAsia="Times New Roman" w:cs="Calibri"/>
                <w:b/>
                <w:bCs/>
                <w:color w:val="000000"/>
                <w:sz w:val="18"/>
                <w:szCs w:val="18"/>
                <w:lang w:eastAsia="el-GR"/>
              </w:rPr>
              <w:t>77,0%</w:t>
            </w:r>
          </w:p>
        </w:tc>
      </w:tr>
      <w:tr w:rsidR="00137320" w:rsidRPr="00137320" w14:paraId="4B00A3BC" w14:textId="77777777" w:rsidTr="007F070F">
        <w:trPr>
          <w:trHeight w:val="263"/>
        </w:trPr>
        <w:tc>
          <w:tcPr>
            <w:tcW w:w="8369" w:type="dxa"/>
            <w:gridSpan w:val="4"/>
            <w:tcBorders>
              <w:top w:val="single" w:sz="12" w:space="0" w:color="auto"/>
              <w:left w:val="single" w:sz="4" w:space="0" w:color="auto"/>
              <w:bottom w:val="single" w:sz="12" w:space="0" w:color="auto"/>
              <w:right w:val="single" w:sz="4" w:space="0" w:color="auto"/>
            </w:tcBorders>
            <w:shd w:val="clear" w:color="auto" w:fill="F2F2F2" w:themeFill="background1" w:themeFillShade="F2"/>
            <w:noWrap/>
            <w:vAlign w:val="center"/>
            <w:hideMark/>
          </w:tcPr>
          <w:p w14:paraId="1BB006C6" w14:textId="77777777" w:rsidR="00137320" w:rsidRPr="00137320" w:rsidRDefault="00137320" w:rsidP="00137320">
            <w:pPr>
              <w:spacing w:after="0" w:line="240" w:lineRule="auto"/>
              <w:jc w:val="center"/>
              <w:rPr>
                <w:rFonts w:eastAsia="Times New Roman" w:cs="Calibri"/>
                <w:b/>
                <w:bCs/>
                <w:color w:val="000000"/>
                <w:sz w:val="20"/>
                <w:szCs w:val="20"/>
                <w:lang w:eastAsia="el-GR"/>
              </w:rPr>
            </w:pPr>
            <w:r w:rsidRPr="00137320">
              <w:rPr>
                <w:rFonts w:eastAsia="Times New Roman" w:cs="Calibri"/>
                <w:b/>
                <w:bCs/>
                <w:color w:val="000000"/>
                <w:sz w:val="20"/>
                <w:szCs w:val="20"/>
                <w:lang w:eastAsia="el-GR"/>
              </w:rPr>
              <w:t>Οργανισμοί Τοπικής Αυτοδιοίκησης (ΟΤΑ)</w:t>
            </w:r>
          </w:p>
        </w:tc>
      </w:tr>
      <w:tr w:rsidR="00137320" w:rsidRPr="00137320" w14:paraId="6EB78A71" w14:textId="77777777" w:rsidTr="00137320">
        <w:trPr>
          <w:trHeight w:val="263"/>
        </w:trPr>
        <w:tc>
          <w:tcPr>
            <w:tcW w:w="3622" w:type="dxa"/>
            <w:tcBorders>
              <w:top w:val="single" w:sz="12" w:space="0" w:color="auto"/>
              <w:left w:val="single" w:sz="4" w:space="0" w:color="auto"/>
              <w:bottom w:val="single" w:sz="4" w:space="0" w:color="auto"/>
              <w:right w:val="single" w:sz="4" w:space="0" w:color="auto"/>
            </w:tcBorders>
            <w:shd w:val="clear" w:color="auto" w:fill="auto"/>
            <w:vAlign w:val="center"/>
            <w:hideMark/>
          </w:tcPr>
          <w:p w14:paraId="729639E9" w14:textId="77777777" w:rsidR="00137320" w:rsidRPr="00137320" w:rsidRDefault="00137320" w:rsidP="00137320">
            <w:pPr>
              <w:spacing w:after="0" w:line="240" w:lineRule="auto"/>
              <w:jc w:val="left"/>
              <w:rPr>
                <w:rFonts w:eastAsia="Times New Roman" w:cs="Calibri"/>
                <w:b/>
                <w:bCs/>
                <w:color w:val="000000"/>
                <w:sz w:val="18"/>
                <w:szCs w:val="18"/>
                <w:lang w:eastAsia="el-GR"/>
              </w:rPr>
            </w:pPr>
            <w:r w:rsidRPr="00137320">
              <w:rPr>
                <w:rFonts w:eastAsia="Times New Roman" w:cs="Calibri"/>
                <w:b/>
                <w:bCs/>
                <w:color w:val="000000"/>
                <w:sz w:val="18"/>
                <w:szCs w:val="18"/>
                <w:lang w:val="en-US" w:eastAsia="el-GR"/>
              </w:rPr>
              <w:t>Ι. Σύνολο Εσόδων</w:t>
            </w:r>
          </w:p>
        </w:tc>
        <w:tc>
          <w:tcPr>
            <w:tcW w:w="1557" w:type="dxa"/>
            <w:tcBorders>
              <w:top w:val="single" w:sz="12" w:space="0" w:color="auto"/>
              <w:left w:val="nil"/>
              <w:bottom w:val="single" w:sz="4" w:space="0" w:color="auto"/>
              <w:right w:val="single" w:sz="4" w:space="0" w:color="auto"/>
            </w:tcBorders>
            <w:shd w:val="clear" w:color="auto" w:fill="auto"/>
            <w:vAlign w:val="center"/>
            <w:hideMark/>
          </w:tcPr>
          <w:p w14:paraId="08389EF4" w14:textId="77777777" w:rsidR="00137320" w:rsidRPr="00137320" w:rsidRDefault="00137320" w:rsidP="00137320">
            <w:pPr>
              <w:spacing w:after="0" w:line="240" w:lineRule="auto"/>
              <w:jc w:val="center"/>
              <w:rPr>
                <w:rFonts w:eastAsia="Times New Roman" w:cs="Calibri"/>
                <w:b/>
                <w:bCs/>
                <w:color w:val="000000"/>
                <w:sz w:val="18"/>
                <w:szCs w:val="18"/>
                <w:lang w:eastAsia="el-GR"/>
              </w:rPr>
            </w:pPr>
            <w:r w:rsidRPr="00137320">
              <w:rPr>
                <w:rFonts w:eastAsia="Times New Roman" w:cs="Calibri"/>
                <w:b/>
                <w:bCs/>
                <w:color w:val="000000"/>
                <w:sz w:val="18"/>
                <w:szCs w:val="18"/>
                <w:lang w:eastAsia="el-GR"/>
              </w:rPr>
              <w:t>6.224</w:t>
            </w:r>
          </w:p>
        </w:tc>
        <w:tc>
          <w:tcPr>
            <w:tcW w:w="1502" w:type="dxa"/>
            <w:tcBorders>
              <w:top w:val="single" w:sz="12" w:space="0" w:color="auto"/>
              <w:left w:val="nil"/>
              <w:bottom w:val="single" w:sz="4" w:space="0" w:color="auto"/>
              <w:right w:val="single" w:sz="4" w:space="0" w:color="auto"/>
            </w:tcBorders>
            <w:shd w:val="clear" w:color="auto" w:fill="auto"/>
            <w:vAlign w:val="center"/>
            <w:hideMark/>
          </w:tcPr>
          <w:p w14:paraId="7F369B21" w14:textId="77777777" w:rsidR="00137320" w:rsidRPr="00137320" w:rsidRDefault="00137320" w:rsidP="00137320">
            <w:pPr>
              <w:spacing w:after="0" w:line="240" w:lineRule="auto"/>
              <w:jc w:val="center"/>
              <w:rPr>
                <w:rFonts w:eastAsia="Times New Roman" w:cs="Calibri"/>
                <w:b/>
                <w:bCs/>
                <w:color w:val="000000"/>
                <w:sz w:val="18"/>
                <w:szCs w:val="18"/>
                <w:lang w:eastAsia="el-GR"/>
              </w:rPr>
            </w:pPr>
            <w:r w:rsidRPr="00137320">
              <w:rPr>
                <w:rFonts w:eastAsia="Times New Roman" w:cs="Calibri"/>
                <w:b/>
                <w:bCs/>
                <w:color w:val="000000"/>
                <w:sz w:val="18"/>
                <w:szCs w:val="18"/>
                <w:lang w:eastAsia="el-GR"/>
              </w:rPr>
              <w:t>6.794</w:t>
            </w:r>
          </w:p>
        </w:tc>
        <w:tc>
          <w:tcPr>
            <w:tcW w:w="1686" w:type="dxa"/>
            <w:tcBorders>
              <w:top w:val="single" w:sz="12" w:space="0" w:color="auto"/>
              <w:left w:val="nil"/>
              <w:bottom w:val="single" w:sz="4" w:space="0" w:color="auto"/>
              <w:right w:val="single" w:sz="4" w:space="0" w:color="auto"/>
            </w:tcBorders>
            <w:shd w:val="clear" w:color="auto" w:fill="auto"/>
            <w:noWrap/>
            <w:vAlign w:val="center"/>
            <w:hideMark/>
          </w:tcPr>
          <w:p w14:paraId="6CEA2C6F" w14:textId="59E1FA34" w:rsidR="00137320" w:rsidRPr="00137320" w:rsidRDefault="00A06690" w:rsidP="00137320">
            <w:pPr>
              <w:spacing w:after="0" w:line="240" w:lineRule="auto"/>
              <w:jc w:val="center"/>
              <w:rPr>
                <w:rFonts w:eastAsia="Times New Roman" w:cs="Calibri"/>
                <w:color w:val="000000"/>
                <w:sz w:val="18"/>
                <w:szCs w:val="18"/>
                <w:lang w:eastAsia="el-GR"/>
              </w:rPr>
            </w:pPr>
            <w:r>
              <w:rPr>
                <w:rFonts w:eastAsia="Times New Roman" w:cs="Calibri"/>
                <w:color w:val="000000"/>
                <w:sz w:val="18"/>
                <w:szCs w:val="18"/>
                <w:lang w:val="en-US" w:eastAsia="el-GR"/>
              </w:rPr>
              <w:t>9,2</w:t>
            </w:r>
            <w:r w:rsidR="00137320" w:rsidRPr="00137320">
              <w:rPr>
                <w:rFonts w:eastAsia="Times New Roman" w:cs="Calibri"/>
                <w:color w:val="000000"/>
                <w:sz w:val="18"/>
                <w:szCs w:val="18"/>
                <w:lang w:val="en-US" w:eastAsia="el-GR"/>
              </w:rPr>
              <w:t>%</w:t>
            </w:r>
          </w:p>
        </w:tc>
      </w:tr>
      <w:tr w:rsidR="00137320" w:rsidRPr="00137320" w14:paraId="7B65F8B4" w14:textId="77777777" w:rsidTr="00137320">
        <w:trPr>
          <w:trHeight w:val="263"/>
        </w:trPr>
        <w:tc>
          <w:tcPr>
            <w:tcW w:w="3622" w:type="dxa"/>
            <w:tcBorders>
              <w:top w:val="nil"/>
              <w:left w:val="single" w:sz="4" w:space="0" w:color="auto"/>
              <w:bottom w:val="single" w:sz="4" w:space="0" w:color="auto"/>
              <w:right w:val="single" w:sz="4" w:space="0" w:color="auto"/>
            </w:tcBorders>
            <w:shd w:val="clear" w:color="auto" w:fill="auto"/>
            <w:vAlign w:val="center"/>
            <w:hideMark/>
          </w:tcPr>
          <w:p w14:paraId="12471574" w14:textId="77777777" w:rsidR="00137320" w:rsidRPr="00137320" w:rsidRDefault="00137320" w:rsidP="00A06690">
            <w:pPr>
              <w:spacing w:after="0" w:line="240" w:lineRule="auto"/>
              <w:ind w:left="179"/>
              <w:jc w:val="left"/>
              <w:rPr>
                <w:rFonts w:eastAsia="Times New Roman" w:cs="Calibri"/>
                <w:i/>
                <w:iCs/>
                <w:color w:val="000000"/>
                <w:sz w:val="18"/>
                <w:szCs w:val="18"/>
                <w:lang w:eastAsia="el-GR"/>
              </w:rPr>
            </w:pPr>
            <w:r w:rsidRPr="00A06690">
              <w:rPr>
                <w:rFonts w:eastAsia="Times New Roman" w:cs="Calibri"/>
                <w:color w:val="000000"/>
                <w:sz w:val="18"/>
                <w:szCs w:val="18"/>
                <w:lang w:eastAsia="el-GR"/>
              </w:rPr>
              <w:t>Εκ των οποίων: μεταβιβάσεις από τον ΚΠ</w:t>
            </w:r>
          </w:p>
        </w:tc>
        <w:tc>
          <w:tcPr>
            <w:tcW w:w="1557" w:type="dxa"/>
            <w:tcBorders>
              <w:top w:val="nil"/>
              <w:left w:val="nil"/>
              <w:bottom w:val="single" w:sz="4" w:space="0" w:color="auto"/>
              <w:right w:val="single" w:sz="4" w:space="0" w:color="auto"/>
            </w:tcBorders>
            <w:shd w:val="clear" w:color="auto" w:fill="auto"/>
            <w:vAlign w:val="center"/>
            <w:hideMark/>
          </w:tcPr>
          <w:p w14:paraId="4C0EB51E" w14:textId="77777777" w:rsidR="00137320" w:rsidRPr="00357913" w:rsidRDefault="00137320" w:rsidP="00A06690">
            <w:pPr>
              <w:spacing w:after="0" w:line="240" w:lineRule="auto"/>
              <w:jc w:val="right"/>
              <w:rPr>
                <w:rFonts w:eastAsia="Times New Roman" w:cs="Calibri"/>
                <w:iCs/>
                <w:color w:val="000000"/>
                <w:sz w:val="18"/>
                <w:szCs w:val="18"/>
                <w:lang w:eastAsia="el-GR"/>
              </w:rPr>
            </w:pPr>
            <w:r w:rsidRPr="00357913">
              <w:rPr>
                <w:rFonts w:eastAsia="Times New Roman" w:cs="Calibri"/>
                <w:iCs/>
                <w:color w:val="000000"/>
                <w:sz w:val="18"/>
                <w:szCs w:val="18"/>
                <w:lang w:eastAsia="el-GR"/>
              </w:rPr>
              <w:t>3.412</w:t>
            </w:r>
          </w:p>
        </w:tc>
        <w:tc>
          <w:tcPr>
            <w:tcW w:w="1502" w:type="dxa"/>
            <w:tcBorders>
              <w:top w:val="nil"/>
              <w:left w:val="nil"/>
              <w:bottom w:val="single" w:sz="4" w:space="0" w:color="auto"/>
              <w:right w:val="single" w:sz="4" w:space="0" w:color="auto"/>
            </w:tcBorders>
            <w:shd w:val="clear" w:color="auto" w:fill="auto"/>
            <w:vAlign w:val="center"/>
            <w:hideMark/>
          </w:tcPr>
          <w:p w14:paraId="6B471FA8" w14:textId="77777777" w:rsidR="00137320" w:rsidRPr="00357913" w:rsidRDefault="00137320" w:rsidP="00A06690">
            <w:pPr>
              <w:spacing w:after="0" w:line="240" w:lineRule="auto"/>
              <w:jc w:val="right"/>
              <w:rPr>
                <w:rFonts w:eastAsia="Times New Roman" w:cs="Calibri"/>
                <w:iCs/>
                <w:color w:val="000000"/>
                <w:sz w:val="18"/>
                <w:szCs w:val="18"/>
                <w:lang w:eastAsia="el-GR"/>
              </w:rPr>
            </w:pPr>
            <w:r w:rsidRPr="00357913">
              <w:rPr>
                <w:rFonts w:eastAsia="Times New Roman" w:cs="Calibri"/>
                <w:iCs/>
                <w:color w:val="000000"/>
                <w:sz w:val="18"/>
                <w:szCs w:val="18"/>
                <w:lang w:eastAsia="el-GR"/>
              </w:rPr>
              <w:t>4.185</w:t>
            </w:r>
          </w:p>
        </w:tc>
        <w:tc>
          <w:tcPr>
            <w:tcW w:w="1686" w:type="dxa"/>
            <w:tcBorders>
              <w:top w:val="nil"/>
              <w:left w:val="nil"/>
              <w:bottom w:val="single" w:sz="4" w:space="0" w:color="auto"/>
              <w:right w:val="single" w:sz="4" w:space="0" w:color="auto"/>
            </w:tcBorders>
            <w:shd w:val="clear" w:color="auto" w:fill="auto"/>
            <w:noWrap/>
            <w:vAlign w:val="center"/>
            <w:hideMark/>
          </w:tcPr>
          <w:p w14:paraId="22964F1E" w14:textId="609455D9" w:rsidR="00137320" w:rsidRPr="00137320" w:rsidRDefault="00A06690" w:rsidP="00137320">
            <w:pPr>
              <w:spacing w:after="0" w:line="240" w:lineRule="auto"/>
              <w:jc w:val="center"/>
              <w:rPr>
                <w:rFonts w:eastAsia="Times New Roman" w:cs="Calibri"/>
                <w:color w:val="000000"/>
                <w:sz w:val="18"/>
                <w:szCs w:val="18"/>
                <w:lang w:eastAsia="el-GR"/>
              </w:rPr>
            </w:pPr>
            <w:r>
              <w:rPr>
                <w:rFonts w:eastAsia="Times New Roman" w:cs="Calibri"/>
                <w:color w:val="000000"/>
                <w:sz w:val="18"/>
                <w:szCs w:val="18"/>
                <w:lang w:val="en-US" w:eastAsia="el-GR"/>
              </w:rPr>
              <w:t>22,7</w:t>
            </w:r>
            <w:r w:rsidR="00137320" w:rsidRPr="00137320">
              <w:rPr>
                <w:rFonts w:eastAsia="Times New Roman" w:cs="Calibri"/>
                <w:color w:val="000000"/>
                <w:sz w:val="18"/>
                <w:szCs w:val="18"/>
                <w:lang w:val="en-US" w:eastAsia="el-GR"/>
              </w:rPr>
              <w:t>%</w:t>
            </w:r>
          </w:p>
        </w:tc>
      </w:tr>
      <w:tr w:rsidR="00137320" w:rsidRPr="00137320" w14:paraId="2D733CBE" w14:textId="77777777" w:rsidTr="00137320">
        <w:trPr>
          <w:trHeight w:val="263"/>
        </w:trPr>
        <w:tc>
          <w:tcPr>
            <w:tcW w:w="3622" w:type="dxa"/>
            <w:tcBorders>
              <w:top w:val="nil"/>
              <w:left w:val="single" w:sz="4" w:space="0" w:color="auto"/>
              <w:bottom w:val="single" w:sz="4" w:space="0" w:color="auto"/>
              <w:right w:val="single" w:sz="4" w:space="0" w:color="auto"/>
            </w:tcBorders>
            <w:shd w:val="clear" w:color="auto" w:fill="auto"/>
            <w:vAlign w:val="center"/>
            <w:hideMark/>
          </w:tcPr>
          <w:p w14:paraId="1203042F" w14:textId="77777777" w:rsidR="00137320" w:rsidRPr="00A06690" w:rsidRDefault="00137320" w:rsidP="00A06690">
            <w:pPr>
              <w:spacing w:after="0" w:line="240" w:lineRule="auto"/>
              <w:ind w:left="37" w:firstLine="1"/>
              <w:jc w:val="left"/>
              <w:rPr>
                <w:rFonts w:eastAsia="Times New Roman" w:cs="Calibri"/>
                <w:i/>
                <w:color w:val="000000"/>
                <w:sz w:val="18"/>
                <w:szCs w:val="18"/>
                <w:lang w:eastAsia="el-GR"/>
              </w:rPr>
            </w:pPr>
            <w:r w:rsidRPr="00A06690">
              <w:rPr>
                <w:rFonts w:eastAsia="Times New Roman" w:cs="Calibri"/>
                <w:i/>
                <w:color w:val="000000"/>
                <w:sz w:val="18"/>
                <w:szCs w:val="18"/>
                <w:lang w:eastAsia="el-GR"/>
              </w:rPr>
              <w:t>Μεταβιβάσεις ως % του ΑΕΠ</w:t>
            </w:r>
          </w:p>
        </w:tc>
        <w:tc>
          <w:tcPr>
            <w:tcW w:w="1557" w:type="dxa"/>
            <w:tcBorders>
              <w:top w:val="nil"/>
              <w:left w:val="nil"/>
              <w:bottom w:val="single" w:sz="4" w:space="0" w:color="auto"/>
              <w:right w:val="single" w:sz="4" w:space="0" w:color="auto"/>
            </w:tcBorders>
            <w:shd w:val="clear" w:color="auto" w:fill="auto"/>
            <w:vAlign w:val="center"/>
            <w:hideMark/>
          </w:tcPr>
          <w:p w14:paraId="18C43D0B" w14:textId="77777777" w:rsidR="00137320" w:rsidRPr="00357913" w:rsidRDefault="00137320" w:rsidP="00137320">
            <w:pPr>
              <w:spacing w:after="0" w:line="240" w:lineRule="auto"/>
              <w:jc w:val="center"/>
              <w:rPr>
                <w:rFonts w:eastAsia="Times New Roman" w:cs="Calibri"/>
                <w:i/>
                <w:color w:val="000000"/>
                <w:sz w:val="18"/>
                <w:szCs w:val="18"/>
                <w:lang w:eastAsia="el-GR"/>
              </w:rPr>
            </w:pPr>
            <w:r w:rsidRPr="00357913">
              <w:rPr>
                <w:rFonts w:eastAsia="Times New Roman" w:cs="Calibri"/>
                <w:i/>
                <w:color w:val="000000"/>
                <w:sz w:val="18"/>
                <w:szCs w:val="18"/>
                <w:lang w:eastAsia="el-GR"/>
              </w:rPr>
              <w:t>1,9%</w:t>
            </w:r>
          </w:p>
        </w:tc>
        <w:tc>
          <w:tcPr>
            <w:tcW w:w="1502" w:type="dxa"/>
            <w:tcBorders>
              <w:top w:val="nil"/>
              <w:left w:val="nil"/>
              <w:bottom w:val="single" w:sz="4" w:space="0" w:color="auto"/>
              <w:right w:val="single" w:sz="4" w:space="0" w:color="auto"/>
            </w:tcBorders>
            <w:shd w:val="clear" w:color="auto" w:fill="auto"/>
            <w:vAlign w:val="center"/>
            <w:hideMark/>
          </w:tcPr>
          <w:p w14:paraId="3B668ACA" w14:textId="77777777" w:rsidR="00137320" w:rsidRPr="00357913" w:rsidRDefault="00137320" w:rsidP="00137320">
            <w:pPr>
              <w:spacing w:after="0" w:line="240" w:lineRule="auto"/>
              <w:jc w:val="center"/>
              <w:rPr>
                <w:rFonts w:eastAsia="Times New Roman" w:cs="Calibri"/>
                <w:i/>
                <w:color w:val="000000"/>
                <w:sz w:val="18"/>
                <w:szCs w:val="18"/>
                <w:lang w:eastAsia="el-GR"/>
              </w:rPr>
            </w:pPr>
            <w:r w:rsidRPr="00357913">
              <w:rPr>
                <w:rFonts w:eastAsia="Times New Roman" w:cs="Calibri"/>
                <w:i/>
                <w:color w:val="000000"/>
                <w:sz w:val="18"/>
                <w:szCs w:val="18"/>
                <w:lang w:eastAsia="el-GR"/>
              </w:rPr>
              <w:t>2,5%</w:t>
            </w:r>
          </w:p>
        </w:tc>
        <w:tc>
          <w:tcPr>
            <w:tcW w:w="1686" w:type="dxa"/>
            <w:tcBorders>
              <w:top w:val="nil"/>
              <w:left w:val="nil"/>
              <w:bottom w:val="single" w:sz="4" w:space="0" w:color="auto"/>
              <w:right w:val="single" w:sz="4" w:space="0" w:color="auto"/>
            </w:tcBorders>
            <w:shd w:val="clear" w:color="auto" w:fill="auto"/>
            <w:noWrap/>
            <w:vAlign w:val="center"/>
            <w:hideMark/>
          </w:tcPr>
          <w:p w14:paraId="67E73F46" w14:textId="77777777" w:rsidR="00137320" w:rsidRPr="00137320" w:rsidRDefault="00137320" w:rsidP="00137320">
            <w:pPr>
              <w:spacing w:after="0" w:line="240" w:lineRule="auto"/>
              <w:jc w:val="center"/>
              <w:rPr>
                <w:rFonts w:eastAsia="Times New Roman" w:cs="Calibri"/>
                <w:color w:val="000000"/>
                <w:sz w:val="18"/>
                <w:szCs w:val="18"/>
                <w:lang w:eastAsia="el-GR"/>
              </w:rPr>
            </w:pPr>
            <w:r w:rsidRPr="00137320">
              <w:rPr>
                <w:rFonts w:eastAsia="Times New Roman" w:cs="Calibri"/>
                <w:color w:val="000000"/>
                <w:sz w:val="18"/>
                <w:szCs w:val="18"/>
                <w:lang w:val="en-US" w:eastAsia="el-GR"/>
              </w:rPr>
              <w:t>0,7%</w:t>
            </w:r>
          </w:p>
        </w:tc>
      </w:tr>
      <w:tr w:rsidR="00137320" w:rsidRPr="00137320" w14:paraId="04E832CD" w14:textId="77777777" w:rsidTr="00137320">
        <w:trPr>
          <w:trHeight w:val="528"/>
        </w:trPr>
        <w:tc>
          <w:tcPr>
            <w:tcW w:w="3622" w:type="dxa"/>
            <w:tcBorders>
              <w:top w:val="nil"/>
              <w:left w:val="single" w:sz="4" w:space="0" w:color="auto"/>
              <w:bottom w:val="single" w:sz="4" w:space="0" w:color="auto"/>
              <w:right w:val="single" w:sz="4" w:space="0" w:color="auto"/>
            </w:tcBorders>
            <w:shd w:val="clear" w:color="auto" w:fill="auto"/>
            <w:vAlign w:val="center"/>
            <w:hideMark/>
          </w:tcPr>
          <w:p w14:paraId="38EE1679" w14:textId="77777777" w:rsidR="00137320" w:rsidRPr="00A06690" w:rsidRDefault="00137320" w:rsidP="00A06690">
            <w:pPr>
              <w:spacing w:after="0" w:line="240" w:lineRule="auto"/>
              <w:ind w:left="37" w:firstLine="1"/>
              <w:jc w:val="left"/>
              <w:rPr>
                <w:rFonts w:eastAsia="Times New Roman" w:cs="Calibri"/>
                <w:i/>
                <w:color w:val="000000"/>
                <w:sz w:val="18"/>
                <w:szCs w:val="18"/>
                <w:lang w:eastAsia="el-GR"/>
              </w:rPr>
            </w:pPr>
            <w:r w:rsidRPr="00A06690">
              <w:rPr>
                <w:rFonts w:eastAsia="Times New Roman" w:cs="Calibri"/>
                <w:i/>
                <w:color w:val="000000"/>
                <w:sz w:val="18"/>
                <w:szCs w:val="18"/>
                <w:lang w:eastAsia="el-GR"/>
              </w:rPr>
              <w:t>Έσοδα από μεταβιβάσεις ως % των συνολικών εσόδων</w:t>
            </w:r>
          </w:p>
        </w:tc>
        <w:tc>
          <w:tcPr>
            <w:tcW w:w="1557" w:type="dxa"/>
            <w:tcBorders>
              <w:top w:val="nil"/>
              <w:left w:val="nil"/>
              <w:bottom w:val="single" w:sz="4" w:space="0" w:color="auto"/>
              <w:right w:val="single" w:sz="4" w:space="0" w:color="auto"/>
            </w:tcBorders>
            <w:shd w:val="clear" w:color="auto" w:fill="auto"/>
            <w:vAlign w:val="center"/>
            <w:hideMark/>
          </w:tcPr>
          <w:p w14:paraId="20E0E472" w14:textId="77777777" w:rsidR="00137320" w:rsidRPr="00357913" w:rsidRDefault="00137320" w:rsidP="00137320">
            <w:pPr>
              <w:spacing w:after="0" w:line="240" w:lineRule="auto"/>
              <w:jc w:val="center"/>
              <w:rPr>
                <w:rFonts w:eastAsia="Times New Roman" w:cs="Calibri"/>
                <w:i/>
                <w:color w:val="000000"/>
                <w:sz w:val="18"/>
                <w:szCs w:val="18"/>
                <w:lang w:eastAsia="el-GR"/>
              </w:rPr>
            </w:pPr>
            <w:r w:rsidRPr="00357913">
              <w:rPr>
                <w:rFonts w:eastAsia="Times New Roman" w:cs="Calibri"/>
                <w:i/>
                <w:color w:val="000000"/>
                <w:sz w:val="18"/>
                <w:szCs w:val="18"/>
                <w:lang w:eastAsia="el-GR"/>
              </w:rPr>
              <w:t>54,8%</w:t>
            </w:r>
          </w:p>
        </w:tc>
        <w:tc>
          <w:tcPr>
            <w:tcW w:w="1502" w:type="dxa"/>
            <w:tcBorders>
              <w:top w:val="nil"/>
              <w:left w:val="nil"/>
              <w:bottom w:val="single" w:sz="4" w:space="0" w:color="auto"/>
              <w:right w:val="single" w:sz="4" w:space="0" w:color="auto"/>
            </w:tcBorders>
            <w:shd w:val="clear" w:color="auto" w:fill="auto"/>
            <w:vAlign w:val="center"/>
            <w:hideMark/>
          </w:tcPr>
          <w:p w14:paraId="6EA89DA3" w14:textId="77777777" w:rsidR="00137320" w:rsidRPr="00357913" w:rsidRDefault="00137320" w:rsidP="00137320">
            <w:pPr>
              <w:spacing w:after="0" w:line="240" w:lineRule="auto"/>
              <w:jc w:val="center"/>
              <w:rPr>
                <w:rFonts w:eastAsia="Times New Roman" w:cs="Calibri"/>
                <w:i/>
                <w:color w:val="000000"/>
                <w:sz w:val="18"/>
                <w:szCs w:val="18"/>
                <w:lang w:eastAsia="el-GR"/>
              </w:rPr>
            </w:pPr>
            <w:r w:rsidRPr="00357913">
              <w:rPr>
                <w:rFonts w:eastAsia="Times New Roman" w:cs="Calibri"/>
                <w:i/>
                <w:color w:val="000000"/>
                <w:sz w:val="18"/>
                <w:szCs w:val="18"/>
                <w:lang w:eastAsia="el-GR"/>
              </w:rPr>
              <w:t>61,6%</w:t>
            </w:r>
          </w:p>
        </w:tc>
        <w:tc>
          <w:tcPr>
            <w:tcW w:w="1686" w:type="dxa"/>
            <w:tcBorders>
              <w:top w:val="nil"/>
              <w:left w:val="nil"/>
              <w:bottom w:val="single" w:sz="4" w:space="0" w:color="auto"/>
              <w:right w:val="single" w:sz="4" w:space="0" w:color="auto"/>
            </w:tcBorders>
            <w:shd w:val="clear" w:color="auto" w:fill="auto"/>
            <w:noWrap/>
            <w:vAlign w:val="center"/>
            <w:hideMark/>
          </w:tcPr>
          <w:p w14:paraId="55B46735" w14:textId="77777777" w:rsidR="00137320" w:rsidRPr="00137320" w:rsidRDefault="00137320" w:rsidP="00137320">
            <w:pPr>
              <w:spacing w:after="0" w:line="240" w:lineRule="auto"/>
              <w:jc w:val="center"/>
              <w:rPr>
                <w:rFonts w:eastAsia="Times New Roman" w:cs="Calibri"/>
                <w:color w:val="000000"/>
                <w:sz w:val="18"/>
                <w:szCs w:val="18"/>
                <w:lang w:eastAsia="el-GR"/>
              </w:rPr>
            </w:pPr>
            <w:r w:rsidRPr="00137320">
              <w:rPr>
                <w:rFonts w:eastAsia="Times New Roman" w:cs="Calibri"/>
                <w:color w:val="000000"/>
                <w:sz w:val="18"/>
                <w:szCs w:val="18"/>
                <w:lang w:eastAsia="el-GR"/>
              </w:rPr>
              <w:t>6,8%</w:t>
            </w:r>
          </w:p>
        </w:tc>
      </w:tr>
      <w:tr w:rsidR="00137320" w:rsidRPr="00137320" w14:paraId="5ACC296A" w14:textId="77777777" w:rsidTr="00137320">
        <w:trPr>
          <w:trHeight w:val="263"/>
        </w:trPr>
        <w:tc>
          <w:tcPr>
            <w:tcW w:w="3622" w:type="dxa"/>
            <w:tcBorders>
              <w:top w:val="nil"/>
              <w:left w:val="single" w:sz="4" w:space="0" w:color="auto"/>
              <w:bottom w:val="single" w:sz="4" w:space="0" w:color="auto"/>
              <w:right w:val="single" w:sz="4" w:space="0" w:color="auto"/>
            </w:tcBorders>
            <w:shd w:val="clear" w:color="auto" w:fill="auto"/>
            <w:vAlign w:val="center"/>
            <w:hideMark/>
          </w:tcPr>
          <w:p w14:paraId="5AF18E14" w14:textId="77777777" w:rsidR="00137320" w:rsidRPr="00137320" w:rsidRDefault="00137320" w:rsidP="00137320">
            <w:pPr>
              <w:spacing w:after="0" w:line="240" w:lineRule="auto"/>
              <w:jc w:val="left"/>
              <w:rPr>
                <w:rFonts w:eastAsia="Times New Roman" w:cs="Calibri"/>
                <w:b/>
                <w:bCs/>
                <w:color w:val="000000"/>
                <w:sz w:val="18"/>
                <w:szCs w:val="18"/>
                <w:lang w:eastAsia="el-GR"/>
              </w:rPr>
            </w:pPr>
            <w:r w:rsidRPr="00137320">
              <w:rPr>
                <w:rFonts w:eastAsia="Times New Roman" w:cs="Calibri"/>
                <w:b/>
                <w:bCs/>
                <w:color w:val="000000"/>
                <w:sz w:val="18"/>
                <w:szCs w:val="18"/>
                <w:lang w:eastAsia="el-GR"/>
              </w:rPr>
              <w:t>ΙΙ. Δαπάνες</w:t>
            </w:r>
          </w:p>
        </w:tc>
        <w:tc>
          <w:tcPr>
            <w:tcW w:w="1557" w:type="dxa"/>
            <w:tcBorders>
              <w:top w:val="nil"/>
              <w:left w:val="nil"/>
              <w:bottom w:val="single" w:sz="4" w:space="0" w:color="auto"/>
              <w:right w:val="single" w:sz="4" w:space="0" w:color="auto"/>
            </w:tcBorders>
            <w:shd w:val="clear" w:color="auto" w:fill="auto"/>
            <w:vAlign w:val="center"/>
            <w:hideMark/>
          </w:tcPr>
          <w:p w14:paraId="7FE48A86" w14:textId="77777777" w:rsidR="00137320" w:rsidRPr="00137320" w:rsidRDefault="00137320" w:rsidP="00137320">
            <w:pPr>
              <w:spacing w:after="0" w:line="240" w:lineRule="auto"/>
              <w:jc w:val="center"/>
              <w:rPr>
                <w:rFonts w:eastAsia="Times New Roman" w:cs="Calibri"/>
                <w:b/>
                <w:bCs/>
                <w:color w:val="000000"/>
                <w:sz w:val="18"/>
                <w:szCs w:val="18"/>
                <w:lang w:eastAsia="el-GR"/>
              </w:rPr>
            </w:pPr>
            <w:r w:rsidRPr="00137320">
              <w:rPr>
                <w:rFonts w:eastAsia="Times New Roman" w:cs="Calibri"/>
                <w:b/>
                <w:bCs/>
                <w:color w:val="000000"/>
                <w:sz w:val="18"/>
                <w:szCs w:val="18"/>
                <w:lang w:eastAsia="el-GR"/>
              </w:rPr>
              <w:t>6.192</w:t>
            </w:r>
          </w:p>
        </w:tc>
        <w:tc>
          <w:tcPr>
            <w:tcW w:w="1502" w:type="dxa"/>
            <w:tcBorders>
              <w:top w:val="nil"/>
              <w:left w:val="nil"/>
              <w:bottom w:val="single" w:sz="4" w:space="0" w:color="auto"/>
              <w:right w:val="single" w:sz="4" w:space="0" w:color="auto"/>
            </w:tcBorders>
            <w:shd w:val="clear" w:color="auto" w:fill="auto"/>
            <w:vAlign w:val="center"/>
            <w:hideMark/>
          </w:tcPr>
          <w:p w14:paraId="7DA34125" w14:textId="77777777" w:rsidR="00137320" w:rsidRPr="00137320" w:rsidRDefault="00137320" w:rsidP="00137320">
            <w:pPr>
              <w:spacing w:after="0" w:line="240" w:lineRule="auto"/>
              <w:jc w:val="center"/>
              <w:rPr>
                <w:rFonts w:eastAsia="Times New Roman" w:cs="Calibri"/>
                <w:b/>
                <w:bCs/>
                <w:color w:val="000000"/>
                <w:sz w:val="18"/>
                <w:szCs w:val="18"/>
                <w:lang w:eastAsia="el-GR"/>
              </w:rPr>
            </w:pPr>
            <w:r w:rsidRPr="00137320">
              <w:rPr>
                <w:rFonts w:eastAsia="Times New Roman" w:cs="Calibri"/>
                <w:b/>
                <w:bCs/>
                <w:color w:val="000000"/>
                <w:sz w:val="18"/>
                <w:szCs w:val="18"/>
                <w:lang w:eastAsia="el-GR"/>
              </w:rPr>
              <w:t>6.750</w:t>
            </w:r>
          </w:p>
        </w:tc>
        <w:tc>
          <w:tcPr>
            <w:tcW w:w="1686" w:type="dxa"/>
            <w:tcBorders>
              <w:top w:val="nil"/>
              <w:left w:val="nil"/>
              <w:bottom w:val="single" w:sz="4" w:space="0" w:color="auto"/>
              <w:right w:val="single" w:sz="4" w:space="0" w:color="auto"/>
            </w:tcBorders>
            <w:shd w:val="clear" w:color="auto" w:fill="auto"/>
            <w:noWrap/>
            <w:vAlign w:val="center"/>
            <w:hideMark/>
          </w:tcPr>
          <w:p w14:paraId="7B071C0D" w14:textId="77777777" w:rsidR="00137320" w:rsidRPr="00137320" w:rsidRDefault="00137320" w:rsidP="00137320">
            <w:pPr>
              <w:spacing w:after="0" w:line="240" w:lineRule="auto"/>
              <w:jc w:val="center"/>
              <w:rPr>
                <w:rFonts w:eastAsia="Times New Roman" w:cs="Calibri"/>
                <w:b/>
                <w:bCs/>
                <w:color w:val="000000"/>
                <w:sz w:val="18"/>
                <w:szCs w:val="18"/>
                <w:lang w:eastAsia="el-GR"/>
              </w:rPr>
            </w:pPr>
            <w:r w:rsidRPr="00137320">
              <w:rPr>
                <w:rFonts w:eastAsia="Times New Roman" w:cs="Calibri"/>
                <w:b/>
                <w:bCs/>
                <w:color w:val="000000"/>
                <w:sz w:val="18"/>
                <w:szCs w:val="18"/>
                <w:lang w:eastAsia="el-GR"/>
              </w:rPr>
              <w:t>9,0%</w:t>
            </w:r>
          </w:p>
        </w:tc>
      </w:tr>
      <w:tr w:rsidR="00137320" w:rsidRPr="00137320" w14:paraId="23AE10B0" w14:textId="77777777" w:rsidTr="00137320">
        <w:trPr>
          <w:trHeight w:val="263"/>
        </w:trPr>
        <w:tc>
          <w:tcPr>
            <w:tcW w:w="3622" w:type="dxa"/>
            <w:tcBorders>
              <w:top w:val="nil"/>
              <w:left w:val="single" w:sz="4" w:space="0" w:color="auto"/>
              <w:bottom w:val="single" w:sz="12" w:space="0" w:color="auto"/>
              <w:right w:val="single" w:sz="4" w:space="0" w:color="auto"/>
            </w:tcBorders>
            <w:shd w:val="clear" w:color="000000" w:fill="D9D9D9"/>
            <w:vAlign w:val="center"/>
            <w:hideMark/>
          </w:tcPr>
          <w:p w14:paraId="655DA9BD" w14:textId="77777777" w:rsidR="00137320" w:rsidRPr="00137320" w:rsidRDefault="00137320" w:rsidP="00137320">
            <w:pPr>
              <w:spacing w:after="0" w:line="240" w:lineRule="auto"/>
              <w:jc w:val="center"/>
              <w:rPr>
                <w:rFonts w:eastAsia="Times New Roman" w:cs="Calibri"/>
                <w:b/>
                <w:bCs/>
                <w:color w:val="000000"/>
                <w:sz w:val="18"/>
                <w:szCs w:val="18"/>
                <w:lang w:eastAsia="el-GR"/>
              </w:rPr>
            </w:pPr>
            <w:r w:rsidRPr="00137320">
              <w:rPr>
                <w:rFonts w:eastAsia="Times New Roman" w:cs="Calibri"/>
                <w:b/>
                <w:bCs/>
                <w:color w:val="000000"/>
                <w:sz w:val="18"/>
                <w:szCs w:val="18"/>
                <w:lang w:eastAsia="el-GR"/>
              </w:rPr>
              <w:t>Αποτέλεσμα (Ι-ΙΙ)</w:t>
            </w:r>
          </w:p>
        </w:tc>
        <w:tc>
          <w:tcPr>
            <w:tcW w:w="1557" w:type="dxa"/>
            <w:tcBorders>
              <w:top w:val="nil"/>
              <w:left w:val="nil"/>
              <w:bottom w:val="single" w:sz="12" w:space="0" w:color="auto"/>
              <w:right w:val="single" w:sz="4" w:space="0" w:color="auto"/>
            </w:tcBorders>
            <w:shd w:val="clear" w:color="000000" w:fill="D9D9D9"/>
            <w:noWrap/>
            <w:vAlign w:val="center"/>
            <w:hideMark/>
          </w:tcPr>
          <w:p w14:paraId="55459685" w14:textId="77777777" w:rsidR="00137320" w:rsidRPr="00137320" w:rsidRDefault="00137320" w:rsidP="00137320">
            <w:pPr>
              <w:spacing w:after="0" w:line="240" w:lineRule="auto"/>
              <w:jc w:val="center"/>
              <w:rPr>
                <w:rFonts w:eastAsia="Times New Roman" w:cs="Calibri"/>
                <w:b/>
                <w:bCs/>
                <w:color w:val="000000"/>
                <w:sz w:val="18"/>
                <w:szCs w:val="18"/>
                <w:lang w:eastAsia="el-GR"/>
              </w:rPr>
            </w:pPr>
            <w:r w:rsidRPr="00137320">
              <w:rPr>
                <w:rFonts w:eastAsia="Times New Roman" w:cs="Calibri"/>
                <w:b/>
                <w:bCs/>
                <w:color w:val="000000"/>
                <w:sz w:val="18"/>
                <w:szCs w:val="18"/>
                <w:lang w:eastAsia="el-GR"/>
              </w:rPr>
              <w:t>32</w:t>
            </w:r>
          </w:p>
        </w:tc>
        <w:tc>
          <w:tcPr>
            <w:tcW w:w="1502" w:type="dxa"/>
            <w:tcBorders>
              <w:top w:val="nil"/>
              <w:left w:val="nil"/>
              <w:bottom w:val="single" w:sz="12" w:space="0" w:color="auto"/>
              <w:right w:val="single" w:sz="4" w:space="0" w:color="auto"/>
            </w:tcBorders>
            <w:shd w:val="clear" w:color="000000" w:fill="D9D9D9"/>
            <w:noWrap/>
            <w:vAlign w:val="center"/>
            <w:hideMark/>
          </w:tcPr>
          <w:p w14:paraId="69AC4481" w14:textId="77777777" w:rsidR="00137320" w:rsidRPr="00137320" w:rsidRDefault="00137320" w:rsidP="00137320">
            <w:pPr>
              <w:spacing w:after="0" w:line="240" w:lineRule="auto"/>
              <w:jc w:val="center"/>
              <w:rPr>
                <w:rFonts w:eastAsia="Times New Roman" w:cs="Calibri"/>
                <w:b/>
                <w:bCs/>
                <w:color w:val="000000"/>
                <w:sz w:val="18"/>
                <w:szCs w:val="18"/>
                <w:lang w:eastAsia="el-GR"/>
              </w:rPr>
            </w:pPr>
            <w:r w:rsidRPr="00137320">
              <w:rPr>
                <w:rFonts w:eastAsia="Times New Roman" w:cs="Calibri"/>
                <w:b/>
                <w:bCs/>
                <w:color w:val="000000"/>
                <w:sz w:val="18"/>
                <w:szCs w:val="18"/>
                <w:lang w:eastAsia="el-GR"/>
              </w:rPr>
              <w:t>44</w:t>
            </w:r>
          </w:p>
        </w:tc>
        <w:tc>
          <w:tcPr>
            <w:tcW w:w="1686" w:type="dxa"/>
            <w:tcBorders>
              <w:top w:val="nil"/>
              <w:left w:val="nil"/>
              <w:bottom w:val="single" w:sz="12" w:space="0" w:color="auto"/>
              <w:right w:val="single" w:sz="4" w:space="0" w:color="auto"/>
            </w:tcBorders>
            <w:shd w:val="clear" w:color="000000" w:fill="D9D9D9"/>
            <w:noWrap/>
            <w:vAlign w:val="center"/>
            <w:hideMark/>
          </w:tcPr>
          <w:p w14:paraId="10CD010D" w14:textId="77777777" w:rsidR="00137320" w:rsidRPr="00137320" w:rsidRDefault="00137320" w:rsidP="00137320">
            <w:pPr>
              <w:spacing w:after="0" w:line="240" w:lineRule="auto"/>
              <w:jc w:val="center"/>
              <w:rPr>
                <w:rFonts w:eastAsia="Times New Roman" w:cs="Calibri"/>
                <w:b/>
                <w:bCs/>
                <w:color w:val="000000"/>
                <w:sz w:val="18"/>
                <w:szCs w:val="18"/>
                <w:lang w:eastAsia="el-GR"/>
              </w:rPr>
            </w:pPr>
            <w:r w:rsidRPr="00137320">
              <w:rPr>
                <w:rFonts w:eastAsia="Times New Roman" w:cs="Calibri"/>
                <w:b/>
                <w:bCs/>
                <w:color w:val="000000"/>
                <w:sz w:val="18"/>
                <w:szCs w:val="18"/>
                <w:lang w:eastAsia="el-GR"/>
              </w:rPr>
              <w:t>37,5%</w:t>
            </w:r>
          </w:p>
        </w:tc>
      </w:tr>
      <w:tr w:rsidR="00137320" w:rsidRPr="00137320" w14:paraId="3D612B3D" w14:textId="77777777" w:rsidTr="007F070F">
        <w:trPr>
          <w:trHeight w:val="263"/>
        </w:trPr>
        <w:tc>
          <w:tcPr>
            <w:tcW w:w="8369" w:type="dxa"/>
            <w:gridSpan w:val="4"/>
            <w:tcBorders>
              <w:top w:val="single" w:sz="12" w:space="0" w:color="auto"/>
              <w:left w:val="single" w:sz="4" w:space="0" w:color="auto"/>
              <w:bottom w:val="single" w:sz="12" w:space="0" w:color="auto"/>
              <w:right w:val="single" w:sz="4" w:space="0" w:color="auto"/>
            </w:tcBorders>
            <w:shd w:val="clear" w:color="auto" w:fill="F2F2F2" w:themeFill="background1" w:themeFillShade="F2"/>
            <w:noWrap/>
            <w:vAlign w:val="center"/>
            <w:hideMark/>
          </w:tcPr>
          <w:p w14:paraId="67C2F5EB" w14:textId="77777777" w:rsidR="00137320" w:rsidRPr="00137320" w:rsidRDefault="00137320" w:rsidP="00137320">
            <w:pPr>
              <w:spacing w:after="0" w:line="240" w:lineRule="auto"/>
              <w:jc w:val="center"/>
              <w:rPr>
                <w:rFonts w:eastAsia="Times New Roman" w:cs="Calibri"/>
                <w:b/>
                <w:bCs/>
                <w:color w:val="000000"/>
                <w:sz w:val="20"/>
                <w:szCs w:val="20"/>
                <w:lang w:eastAsia="el-GR"/>
              </w:rPr>
            </w:pPr>
            <w:r w:rsidRPr="00137320">
              <w:rPr>
                <w:rFonts w:eastAsia="Times New Roman" w:cs="Calibri"/>
                <w:b/>
                <w:bCs/>
                <w:color w:val="000000"/>
                <w:sz w:val="20"/>
                <w:szCs w:val="20"/>
                <w:lang w:eastAsia="el-GR"/>
              </w:rPr>
              <w:t>Οργανισμοί Κοινωνικής Ασφάλισης (ΟΚΑ)</w:t>
            </w:r>
          </w:p>
        </w:tc>
      </w:tr>
      <w:tr w:rsidR="00137320" w:rsidRPr="00137320" w14:paraId="05B8C3C0" w14:textId="77777777" w:rsidTr="00137320">
        <w:trPr>
          <w:trHeight w:val="263"/>
        </w:trPr>
        <w:tc>
          <w:tcPr>
            <w:tcW w:w="3622" w:type="dxa"/>
            <w:tcBorders>
              <w:top w:val="single" w:sz="12" w:space="0" w:color="auto"/>
              <w:left w:val="single" w:sz="4" w:space="0" w:color="auto"/>
              <w:bottom w:val="single" w:sz="4" w:space="0" w:color="auto"/>
              <w:right w:val="single" w:sz="4" w:space="0" w:color="auto"/>
            </w:tcBorders>
            <w:shd w:val="clear" w:color="auto" w:fill="auto"/>
            <w:vAlign w:val="center"/>
            <w:hideMark/>
          </w:tcPr>
          <w:p w14:paraId="53C48818" w14:textId="77777777" w:rsidR="00137320" w:rsidRPr="00137320" w:rsidRDefault="00137320" w:rsidP="00137320">
            <w:pPr>
              <w:spacing w:after="0" w:line="240" w:lineRule="auto"/>
              <w:jc w:val="left"/>
              <w:rPr>
                <w:rFonts w:eastAsia="Times New Roman" w:cs="Calibri"/>
                <w:b/>
                <w:bCs/>
                <w:color w:val="000000"/>
                <w:sz w:val="18"/>
                <w:szCs w:val="18"/>
                <w:lang w:eastAsia="el-GR"/>
              </w:rPr>
            </w:pPr>
            <w:r w:rsidRPr="00137320">
              <w:rPr>
                <w:rFonts w:eastAsia="Times New Roman" w:cs="Calibri"/>
                <w:b/>
                <w:bCs/>
                <w:color w:val="000000"/>
                <w:sz w:val="18"/>
                <w:szCs w:val="18"/>
                <w:lang w:val="en-US" w:eastAsia="el-GR"/>
              </w:rPr>
              <w:t>Ι. Σύνολο Εσόδων</w:t>
            </w:r>
          </w:p>
        </w:tc>
        <w:tc>
          <w:tcPr>
            <w:tcW w:w="1557" w:type="dxa"/>
            <w:tcBorders>
              <w:top w:val="single" w:sz="12" w:space="0" w:color="auto"/>
              <w:left w:val="nil"/>
              <w:bottom w:val="single" w:sz="4" w:space="0" w:color="auto"/>
              <w:right w:val="single" w:sz="4" w:space="0" w:color="auto"/>
            </w:tcBorders>
            <w:shd w:val="clear" w:color="auto" w:fill="auto"/>
            <w:vAlign w:val="center"/>
            <w:hideMark/>
          </w:tcPr>
          <w:p w14:paraId="35A5DEC1" w14:textId="77777777" w:rsidR="00137320" w:rsidRPr="00137320" w:rsidRDefault="00137320" w:rsidP="00137320">
            <w:pPr>
              <w:spacing w:after="0" w:line="240" w:lineRule="auto"/>
              <w:jc w:val="center"/>
              <w:rPr>
                <w:rFonts w:eastAsia="Times New Roman" w:cs="Calibri"/>
                <w:b/>
                <w:bCs/>
                <w:color w:val="000000"/>
                <w:sz w:val="18"/>
                <w:szCs w:val="18"/>
                <w:lang w:eastAsia="el-GR"/>
              </w:rPr>
            </w:pPr>
            <w:r w:rsidRPr="00137320">
              <w:rPr>
                <w:rFonts w:eastAsia="Times New Roman" w:cs="Calibri"/>
                <w:b/>
                <w:bCs/>
                <w:color w:val="000000"/>
                <w:sz w:val="18"/>
                <w:szCs w:val="18"/>
                <w:lang w:eastAsia="el-GR"/>
              </w:rPr>
              <w:t>42.512</w:t>
            </w:r>
          </w:p>
        </w:tc>
        <w:tc>
          <w:tcPr>
            <w:tcW w:w="1502" w:type="dxa"/>
            <w:tcBorders>
              <w:top w:val="single" w:sz="12" w:space="0" w:color="auto"/>
              <w:left w:val="nil"/>
              <w:bottom w:val="single" w:sz="4" w:space="0" w:color="auto"/>
              <w:right w:val="single" w:sz="4" w:space="0" w:color="auto"/>
            </w:tcBorders>
            <w:shd w:val="clear" w:color="auto" w:fill="auto"/>
            <w:vAlign w:val="center"/>
            <w:hideMark/>
          </w:tcPr>
          <w:p w14:paraId="375F6A61" w14:textId="77777777" w:rsidR="00137320" w:rsidRPr="00137320" w:rsidRDefault="00137320" w:rsidP="00137320">
            <w:pPr>
              <w:spacing w:after="0" w:line="240" w:lineRule="auto"/>
              <w:jc w:val="center"/>
              <w:rPr>
                <w:rFonts w:eastAsia="Times New Roman" w:cs="Calibri"/>
                <w:b/>
                <w:bCs/>
                <w:color w:val="000000"/>
                <w:sz w:val="18"/>
                <w:szCs w:val="18"/>
                <w:lang w:eastAsia="el-GR"/>
              </w:rPr>
            </w:pPr>
            <w:r w:rsidRPr="00137320">
              <w:rPr>
                <w:rFonts w:eastAsia="Times New Roman" w:cs="Calibri"/>
                <w:b/>
                <w:bCs/>
                <w:color w:val="000000"/>
                <w:sz w:val="18"/>
                <w:szCs w:val="18"/>
                <w:lang w:eastAsia="el-GR"/>
              </w:rPr>
              <w:t>43.401</w:t>
            </w:r>
          </w:p>
        </w:tc>
        <w:tc>
          <w:tcPr>
            <w:tcW w:w="1686" w:type="dxa"/>
            <w:tcBorders>
              <w:top w:val="single" w:sz="12" w:space="0" w:color="auto"/>
              <w:left w:val="nil"/>
              <w:bottom w:val="single" w:sz="4" w:space="0" w:color="auto"/>
              <w:right w:val="single" w:sz="4" w:space="0" w:color="auto"/>
            </w:tcBorders>
            <w:shd w:val="clear" w:color="auto" w:fill="auto"/>
            <w:noWrap/>
            <w:vAlign w:val="center"/>
            <w:hideMark/>
          </w:tcPr>
          <w:p w14:paraId="6280E407" w14:textId="77777777" w:rsidR="00137320" w:rsidRPr="00137320" w:rsidRDefault="00137320" w:rsidP="00FA7D7A">
            <w:pPr>
              <w:spacing w:after="0" w:line="240" w:lineRule="auto"/>
              <w:jc w:val="center"/>
              <w:rPr>
                <w:rFonts w:eastAsia="Times New Roman" w:cs="Calibri"/>
                <w:color w:val="000000"/>
                <w:sz w:val="18"/>
                <w:szCs w:val="18"/>
                <w:lang w:eastAsia="el-GR"/>
              </w:rPr>
            </w:pPr>
            <w:r w:rsidRPr="00137320">
              <w:rPr>
                <w:rFonts w:eastAsia="Times New Roman" w:cs="Calibri"/>
                <w:color w:val="000000"/>
                <w:sz w:val="18"/>
                <w:szCs w:val="18"/>
                <w:lang w:eastAsia="el-GR"/>
              </w:rPr>
              <w:t>2,1%</w:t>
            </w:r>
          </w:p>
        </w:tc>
      </w:tr>
      <w:tr w:rsidR="00137320" w:rsidRPr="00137320" w14:paraId="3CCB2509" w14:textId="77777777" w:rsidTr="00137320">
        <w:trPr>
          <w:trHeight w:val="263"/>
        </w:trPr>
        <w:tc>
          <w:tcPr>
            <w:tcW w:w="3622" w:type="dxa"/>
            <w:tcBorders>
              <w:top w:val="nil"/>
              <w:left w:val="single" w:sz="4" w:space="0" w:color="auto"/>
              <w:bottom w:val="single" w:sz="4" w:space="0" w:color="auto"/>
              <w:right w:val="single" w:sz="4" w:space="0" w:color="auto"/>
            </w:tcBorders>
            <w:shd w:val="clear" w:color="auto" w:fill="auto"/>
            <w:vAlign w:val="center"/>
            <w:hideMark/>
          </w:tcPr>
          <w:p w14:paraId="1C3A631C" w14:textId="77777777" w:rsidR="00137320" w:rsidRPr="00FA7D7A" w:rsidRDefault="00137320" w:rsidP="00FA7D7A">
            <w:pPr>
              <w:spacing w:after="0" w:line="240" w:lineRule="auto"/>
              <w:ind w:left="179"/>
              <w:jc w:val="left"/>
              <w:rPr>
                <w:rFonts w:eastAsia="Times New Roman" w:cs="Calibri"/>
                <w:iCs/>
                <w:color w:val="000000"/>
                <w:sz w:val="18"/>
                <w:szCs w:val="18"/>
                <w:lang w:eastAsia="el-GR"/>
              </w:rPr>
            </w:pPr>
            <w:r w:rsidRPr="00FA7D7A">
              <w:rPr>
                <w:rFonts w:eastAsia="Times New Roman" w:cs="Calibri"/>
                <w:iCs/>
                <w:color w:val="000000"/>
                <w:sz w:val="18"/>
                <w:szCs w:val="18"/>
                <w:lang w:eastAsia="el-GR"/>
              </w:rPr>
              <w:t>Εκ των οποίων: Ασφαλιστικές εισφορές</w:t>
            </w:r>
          </w:p>
        </w:tc>
        <w:tc>
          <w:tcPr>
            <w:tcW w:w="1557" w:type="dxa"/>
            <w:tcBorders>
              <w:top w:val="nil"/>
              <w:left w:val="nil"/>
              <w:bottom w:val="single" w:sz="4" w:space="0" w:color="auto"/>
              <w:right w:val="single" w:sz="4" w:space="0" w:color="auto"/>
            </w:tcBorders>
            <w:shd w:val="clear" w:color="auto" w:fill="auto"/>
            <w:vAlign w:val="center"/>
            <w:hideMark/>
          </w:tcPr>
          <w:p w14:paraId="06F8F228" w14:textId="77777777" w:rsidR="00137320" w:rsidRPr="00357913" w:rsidRDefault="00137320" w:rsidP="00FA7D7A">
            <w:pPr>
              <w:spacing w:after="0" w:line="240" w:lineRule="auto"/>
              <w:jc w:val="right"/>
              <w:rPr>
                <w:rFonts w:eastAsia="Times New Roman" w:cs="Calibri"/>
                <w:iCs/>
                <w:color w:val="000000"/>
                <w:sz w:val="18"/>
                <w:szCs w:val="18"/>
                <w:lang w:eastAsia="el-GR"/>
              </w:rPr>
            </w:pPr>
            <w:r w:rsidRPr="00357913">
              <w:rPr>
                <w:rFonts w:eastAsia="Times New Roman" w:cs="Calibri"/>
                <w:iCs/>
                <w:color w:val="000000"/>
                <w:sz w:val="18"/>
                <w:szCs w:val="18"/>
                <w:lang w:eastAsia="el-GR"/>
              </w:rPr>
              <w:t>22.173</w:t>
            </w:r>
          </w:p>
        </w:tc>
        <w:tc>
          <w:tcPr>
            <w:tcW w:w="1502" w:type="dxa"/>
            <w:tcBorders>
              <w:top w:val="nil"/>
              <w:left w:val="nil"/>
              <w:bottom w:val="single" w:sz="4" w:space="0" w:color="auto"/>
              <w:right w:val="single" w:sz="4" w:space="0" w:color="auto"/>
            </w:tcBorders>
            <w:shd w:val="clear" w:color="auto" w:fill="auto"/>
            <w:vAlign w:val="center"/>
            <w:hideMark/>
          </w:tcPr>
          <w:p w14:paraId="176E98DD" w14:textId="77777777" w:rsidR="00137320" w:rsidRPr="00357913" w:rsidRDefault="00137320" w:rsidP="00FA7D7A">
            <w:pPr>
              <w:spacing w:after="0" w:line="240" w:lineRule="auto"/>
              <w:jc w:val="right"/>
              <w:rPr>
                <w:rFonts w:eastAsia="Times New Roman" w:cs="Calibri"/>
                <w:iCs/>
                <w:color w:val="000000"/>
                <w:sz w:val="18"/>
                <w:szCs w:val="18"/>
                <w:lang w:eastAsia="el-GR"/>
              </w:rPr>
            </w:pPr>
            <w:r w:rsidRPr="00357913">
              <w:rPr>
                <w:rFonts w:eastAsia="Times New Roman" w:cs="Calibri"/>
                <w:iCs/>
                <w:color w:val="000000"/>
                <w:sz w:val="18"/>
                <w:szCs w:val="18"/>
                <w:lang w:eastAsia="el-GR"/>
              </w:rPr>
              <w:t>21.742</w:t>
            </w:r>
          </w:p>
        </w:tc>
        <w:tc>
          <w:tcPr>
            <w:tcW w:w="1686" w:type="dxa"/>
            <w:tcBorders>
              <w:top w:val="nil"/>
              <w:left w:val="nil"/>
              <w:bottom w:val="single" w:sz="4" w:space="0" w:color="auto"/>
              <w:right w:val="single" w:sz="4" w:space="0" w:color="auto"/>
            </w:tcBorders>
            <w:shd w:val="clear" w:color="auto" w:fill="auto"/>
            <w:noWrap/>
            <w:vAlign w:val="center"/>
            <w:hideMark/>
          </w:tcPr>
          <w:p w14:paraId="08EB0FD5" w14:textId="77777777" w:rsidR="00137320" w:rsidRPr="00137320" w:rsidRDefault="00137320" w:rsidP="00FA7D7A">
            <w:pPr>
              <w:spacing w:after="0" w:line="240" w:lineRule="auto"/>
              <w:jc w:val="center"/>
              <w:rPr>
                <w:rFonts w:eastAsia="Times New Roman" w:cs="Calibri"/>
                <w:color w:val="000000"/>
                <w:sz w:val="18"/>
                <w:szCs w:val="18"/>
                <w:lang w:eastAsia="el-GR"/>
              </w:rPr>
            </w:pPr>
            <w:r w:rsidRPr="00137320">
              <w:rPr>
                <w:rFonts w:eastAsia="Times New Roman" w:cs="Calibri"/>
                <w:color w:val="000000"/>
                <w:sz w:val="18"/>
                <w:szCs w:val="18"/>
                <w:lang w:eastAsia="el-GR"/>
              </w:rPr>
              <w:t>-1,9%</w:t>
            </w:r>
          </w:p>
        </w:tc>
      </w:tr>
      <w:tr w:rsidR="00137320" w:rsidRPr="00137320" w14:paraId="6A9538DF" w14:textId="77777777" w:rsidTr="00137320">
        <w:trPr>
          <w:trHeight w:val="263"/>
        </w:trPr>
        <w:tc>
          <w:tcPr>
            <w:tcW w:w="3622" w:type="dxa"/>
            <w:tcBorders>
              <w:top w:val="nil"/>
              <w:left w:val="single" w:sz="4" w:space="0" w:color="auto"/>
              <w:bottom w:val="single" w:sz="4" w:space="0" w:color="auto"/>
              <w:right w:val="single" w:sz="4" w:space="0" w:color="auto"/>
            </w:tcBorders>
            <w:shd w:val="clear" w:color="auto" w:fill="auto"/>
            <w:vAlign w:val="center"/>
            <w:hideMark/>
          </w:tcPr>
          <w:p w14:paraId="5858AF1F" w14:textId="77777777" w:rsidR="00137320" w:rsidRPr="00FA7D7A" w:rsidRDefault="00137320" w:rsidP="00FA7D7A">
            <w:pPr>
              <w:spacing w:after="0" w:line="240" w:lineRule="auto"/>
              <w:ind w:left="179"/>
              <w:jc w:val="left"/>
              <w:rPr>
                <w:rFonts w:eastAsia="Times New Roman" w:cs="Calibri"/>
                <w:iCs/>
                <w:color w:val="000000"/>
                <w:sz w:val="18"/>
                <w:szCs w:val="18"/>
                <w:lang w:eastAsia="el-GR"/>
              </w:rPr>
            </w:pPr>
            <w:r w:rsidRPr="00FA7D7A">
              <w:rPr>
                <w:rFonts w:eastAsia="Times New Roman" w:cs="Calibri"/>
                <w:iCs/>
                <w:color w:val="000000"/>
                <w:sz w:val="18"/>
                <w:szCs w:val="18"/>
                <w:lang w:eastAsia="el-GR"/>
              </w:rPr>
              <w:t>Εκ των οποίων: μεταβιβάσεις από τον ΚΠ</w:t>
            </w:r>
          </w:p>
        </w:tc>
        <w:tc>
          <w:tcPr>
            <w:tcW w:w="1557" w:type="dxa"/>
            <w:tcBorders>
              <w:top w:val="nil"/>
              <w:left w:val="nil"/>
              <w:bottom w:val="single" w:sz="4" w:space="0" w:color="auto"/>
              <w:right w:val="single" w:sz="4" w:space="0" w:color="auto"/>
            </w:tcBorders>
            <w:shd w:val="clear" w:color="auto" w:fill="auto"/>
            <w:vAlign w:val="center"/>
            <w:hideMark/>
          </w:tcPr>
          <w:p w14:paraId="5D4324D5" w14:textId="77777777" w:rsidR="00137320" w:rsidRPr="00357913" w:rsidRDefault="00137320" w:rsidP="00FA7D7A">
            <w:pPr>
              <w:spacing w:after="0" w:line="240" w:lineRule="auto"/>
              <w:jc w:val="right"/>
              <w:rPr>
                <w:rFonts w:eastAsia="Times New Roman" w:cs="Calibri"/>
                <w:iCs/>
                <w:color w:val="000000"/>
                <w:sz w:val="18"/>
                <w:szCs w:val="18"/>
                <w:lang w:eastAsia="el-GR"/>
              </w:rPr>
            </w:pPr>
            <w:r w:rsidRPr="00357913">
              <w:rPr>
                <w:rFonts w:eastAsia="Times New Roman" w:cs="Calibri"/>
                <w:iCs/>
                <w:color w:val="000000"/>
                <w:sz w:val="18"/>
                <w:szCs w:val="18"/>
                <w:lang w:eastAsia="el-GR"/>
              </w:rPr>
              <w:t>19.600</w:t>
            </w:r>
          </w:p>
        </w:tc>
        <w:tc>
          <w:tcPr>
            <w:tcW w:w="1502" w:type="dxa"/>
            <w:tcBorders>
              <w:top w:val="nil"/>
              <w:left w:val="nil"/>
              <w:bottom w:val="single" w:sz="4" w:space="0" w:color="auto"/>
              <w:right w:val="single" w:sz="4" w:space="0" w:color="auto"/>
            </w:tcBorders>
            <w:shd w:val="clear" w:color="auto" w:fill="auto"/>
            <w:vAlign w:val="center"/>
            <w:hideMark/>
          </w:tcPr>
          <w:p w14:paraId="73E8E0C8" w14:textId="77777777" w:rsidR="00137320" w:rsidRPr="00357913" w:rsidRDefault="00137320" w:rsidP="00FA7D7A">
            <w:pPr>
              <w:spacing w:after="0" w:line="240" w:lineRule="auto"/>
              <w:jc w:val="right"/>
              <w:rPr>
                <w:rFonts w:eastAsia="Times New Roman" w:cs="Calibri"/>
                <w:iCs/>
                <w:color w:val="000000"/>
                <w:sz w:val="18"/>
                <w:szCs w:val="18"/>
                <w:lang w:eastAsia="el-GR"/>
              </w:rPr>
            </w:pPr>
            <w:r w:rsidRPr="00357913">
              <w:rPr>
                <w:rFonts w:eastAsia="Times New Roman" w:cs="Calibri"/>
                <w:iCs/>
                <w:color w:val="000000"/>
                <w:sz w:val="18"/>
                <w:szCs w:val="18"/>
                <w:lang w:eastAsia="el-GR"/>
              </w:rPr>
              <w:t>20.925</w:t>
            </w:r>
          </w:p>
        </w:tc>
        <w:tc>
          <w:tcPr>
            <w:tcW w:w="1686" w:type="dxa"/>
            <w:tcBorders>
              <w:top w:val="nil"/>
              <w:left w:val="nil"/>
              <w:bottom w:val="single" w:sz="4" w:space="0" w:color="auto"/>
              <w:right w:val="single" w:sz="4" w:space="0" w:color="auto"/>
            </w:tcBorders>
            <w:shd w:val="clear" w:color="auto" w:fill="auto"/>
            <w:noWrap/>
            <w:vAlign w:val="center"/>
            <w:hideMark/>
          </w:tcPr>
          <w:p w14:paraId="48045DF4" w14:textId="77777777" w:rsidR="00137320" w:rsidRPr="00137320" w:rsidRDefault="00137320" w:rsidP="00FA7D7A">
            <w:pPr>
              <w:spacing w:after="0" w:line="240" w:lineRule="auto"/>
              <w:jc w:val="center"/>
              <w:rPr>
                <w:rFonts w:eastAsia="Times New Roman" w:cs="Calibri"/>
                <w:color w:val="000000"/>
                <w:sz w:val="18"/>
                <w:szCs w:val="18"/>
                <w:lang w:eastAsia="el-GR"/>
              </w:rPr>
            </w:pPr>
            <w:r w:rsidRPr="00137320">
              <w:rPr>
                <w:rFonts w:eastAsia="Times New Roman" w:cs="Calibri"/>
                <w:color w:val="000000"/>
                <w:sz w:val="18"/>
                <w:szCs w:val="18"/>
                <w:lang w:eastAsia="el-GR"/>
              </w:rPr>
              <w:t>6,8%</w:t>
            </w:r>
          </w:p>
        </w:tc>
      </w:tr>
      <w:tr w:rsidR="00137320" w:rsidRPr="00137320" w14:paraId="1EF10CE7" w14:textId="77777777" w:rsidTr="00137320">
        <w:trPr>
          <w:trHeight w:val="263"/>
        </w:trPr>
        <w:tc>
          <w:tcPr>
            <w:tcW w:w="3622" w:type="dxa"/>
            <w:tcBorders>
              <w:top w:val="nil"/>
              <w:left w:val="single" w:sz="4" w:space="0" w:color="auto"/>
              <w:bottom w:val="single" w:sz="4" w:space="0" w:color="auto"/>
              <w:right w:val="single" w:sz="4" w:space="0" w:color="auto"/>
            </w:tcBorders>
            <w:shd w:val="clear" w:color="auto" w:fill="auto"/>
            <w:vAlign w:val="center"/>
            <w:hideMark/>
          </w:tcPr>
          <w:p w14:paraId="79B3BE0A" w14:textId="77777777" w:rsidR="00137320" w:rsidRPr="00137320" w:rsidRDefault="00137320" w:rsidP="00137320">
            <w:pPr>
              <w:spacing w:after="0" w:line="240" w:lineRule="auto"/>
              <w:jc w:val="left"/>
              <w:rPr>
                <w:rFonts w:eastAsia="Times New Roman" w:cs="Calibri"/>
                <w:i/>
                <w:iCs/>
                <w:color w:val="000000"/>
                <w:sz w:val="18"/>
                <w:szCs w:val="18"/>
                <w:lang w:eastAsia="el-GR"/>
              </w:rPr>
            </w:pPr>
            <w:r w:rsidRPr="00137320">
              <w:rPr>
                <w:rFonts w:eastAsia="Times New Roman" w:cs="Calibri"/>
                <w:i/>
                <w:iCs/>
                <w:color w:val="000000"/>
                <w:sz w:val="18"/>
                <w:szCs w:val="18"/>
                <w:lang w:eastAsia="el-GR"/>
              </w:rPr>
              <w:t>Μεταβιβάσεις ως % του ΑΕΠ</w:t>
            </w:r>
          </w:p>
        </w:tc>
        <w:tc>
          <w:tcPr>
            <w:tcW w:w="1557" w:type="dxa"/>
            <w:tcBorders>
              <w:top w:val="nil"/>
              <w:left w:val="nil"/>
              <w:bottom w:val="single" w:sz="4" w:space="0" w:color="auto"/>
              <w:right w:val="single" w:sz="4" w:space="0" w:color="auto"/>
            </w:tcBorders>
            <w:shd w:val="clear" w:color="auto" w:fill="auto"/>
            <w:vAlign w:val="center"/>
            <w:hideMark/>
          </w:tcPr>
          <w:p w14:paraId="7F8E8F92" w14:textId="77777777" w:rsidR="00137320" w:rsidRPr="00357913" w:rsidRDefault="00137320" w:rsidP="00137320">
            <w:pPr>
              <w:spacing w:after="0" w:line="240" w:lineRule="auto"/>
              <w:jc w:val="center"/>
              <w:rPr>
                <w:rFonts w:eastAsia="Times New Roman" w:cs="Calibri"/>
                <w:i/>
                <w:color w:val="000000"/>
                <w:sz w:val="18"/>
                <w:szCs w:val="18"/>
                <w:lang w:eastAsia="el-GR"/>
              </w:rPr>
            </w:pPr>
            <w:r w:rsidRPr="00357913">
              <w:rPr>
                <w:rFonts w:eastAsia="Times New Roman" w:cs="Calibri"/>
                <w:i/>
                <w:color w:val="000000"/>
                <w:sz w:val="18"/>
                <w:szCs w:val="18"/>
                <w:lang w:eastAsia="el-GR"/>
              </w:rPr>
              <w:t>10,7%</w:t>
            </w:r>
          </w:p>
        </w:tc>
        <w:tc>
          <w:tcPr>
            <w:tcW w:w="1502" w:type="dxa"/>
            <w:tcBorders>
              <w:top w:val="nil"/>
              <w:left w:val="nil"/>
              <w:bottom w:val="single" w:sz="4" w:space="0" w:color="auto"/>
              <w:right w:val="single" w:sz="4" w:space="0" w:color="auto"/>
            </w:tcBorders>
            <w:shd w:val="clear" w:color="auto" w:fill="auto"/>
            <w:vAlign w:val="center"/>
            <w:hideMark/>
          </w:tcPr>
          <w:p w14:paraId="1B26E3AE" w14:textId="77777777" w:rsidR="00137320" w:rsidRPr="00357913" w:rsidRDefault="00137320" w:rsidP="00137320">
            <w:pPr>
              <w:spacing w:after="0" w:line="240" w:lineRule="auto"/>
              <w:jc w:val="center"/>
              <w:rPr>
                <w:rFonts w:eastAsia="Times New Roman" w:cs="Calibri"/>
                <w:i/>
                <w:color w:val="000000"/>
                <w:sz w:val="18"/>
                <w:szCs w:val="18"/>
                <w:lang w:eastAsia="el-GR"/>
              </w:rPr>
            </w:pPr>
            <w:r w:rsidRPr="00357913">
              <w:rPr>
                <w:rFonts w:eastAsia="Times New Roman" w:cs="Calibri"/>
                <w:i/>
                <w:color w:val="000000"/>
                <w:sz w:val="18"/>
                <w:szCs w:val="18"/>
                <w:lang w:eastAsia="el-GR"/>
              </w:rPr>
              <w:t>12,6%</w:t>
            </w:r>
          </w:p>
        </w:tc>
        <w:tc>
          <w:tcPr>
            <w:tcW w:w="1686" w:type="dxa"/>
            <w:tcBorders>
              <w:top w:val="nil"/>
              <w:left w:val="nil"/>
              <w:bottom w:val="single" w:sz="4" w:space="0" w:color="auto"/>
              <w:right w:val="single" w:sz="4" w:space="0" w:color="auto"/>
            </w:tcBorders>
            <w:shd w:val="clear" w:color="auto" w:fill="auto"/>
            <w:noWrap/>
            <w:vAlign w:val="center"/>
            <w:hideMark/>
          </w:tcPr>
          <w:p w14:paraId="3DF945A1" w14:textId="77777777" w:rsidR="00137320" w:rsidRPr="00137320" w:rsidRDefault="00137320" w:rsidP="00FA7D7A">
            <w:pPr>
              <w:spacing w:after="0" w:line="240" w:lineRule="auto"/>
              <w:jc w:val="center"/>
              <w:rPr>
                <w:rFonts w:eastAsia="Times New Roman" w:cs="Calibri"/>
                <w:color w:val="000000"/>
                <w:sz w:val="18"/>
                <w:szCs w:val="18"/>
                <w:lang w:eastAsia="el-GR"/>
              </w:rPr>
            </w:pPr>
            <w:r w:rsidRPr="00137320">
              <w:rPr>
                <w:rFonts w:eastAsia="Times New Roman" w:cs="Calibri"/>
                <w:color w:val="000000"/>
                <w:sz w:val="18"/>
                <w:szCs w:val="18"/>
                <w:lang w:eastAsia="el-GR"/>
              </w:rPr>
              <w:t>1,9%</w:t>
            </w:r>
          </w:p>
        </w:tc>
      </w:tr>
      <w:tr w:rsidR="00137320" w:rsidRPr="00137320" w14:paraId="7E509ECD" w14:textId="77777777" w:rsidTr="00137320">
        <w:trPr>
          <w:trHeight w:val="528"/>
        </w:trPr>
        <w:tc>
          <w:tcPr>
            <w:tcW w:w="3622" w:type="dxa"/>
            <w:tcBorders>
              <w:top w:val="nil"/>
              <w:left w:val="single" w:sz="4" w:space="0" w:color="auto"/>
              <w:bottom w:val="single" w:sz="4" w:space="0" w:color="auto"/>
              <w:right w:val="single" w:sz="4" w:space="0" w:color="auto"/>
            </w:tcBorders>
            <w:shd w:val="clear" w:color="auto" w:fill="auto"/>
            <w:vAlign w:val="center"/>
            <w:hideMark/>
          </w:tcPr>
          <w:p w14:paraId="2088C479" w14:textId="77777777" w:rsidR="00137320" w:rsidRPr="00137320" w:rsidRDefault="00137320" w:rsidP="00137320">
            <w:pPr>
              <w:spacing w:after="0" w:line="240" w:lineRule="auto"/>
              <w:jc w:val="left"/>
              <w:rPr>
                <w:rFonts w:eastAsia="Times New Roman" w:cs="Calibri"/>
                <w:i/>
                <w:iCs/>
                <w:color w:val="000000"/>
                <w:sz w:val="18"/>
                <w:szCs w:val="18"/>
                <w:lang w:eastAsia="el-GR"/>
              </w:rPr>
            </w:pPr>
            <w:r w:rsidRPr="00137320">
              <w:rPr>
                <w:rFonts w:eastAsia="Times New Roman" w:cs="Calibri"/>
                <w:i/>
                <w:iCs/>
                <w:color w:val="000000"/>
                <w:sz w:val="18"/>
                <w:szCs w:val="18"/>
                <w:lang w:eastAsia="el-GR"/>
              </w:rPr>
              <w:t>Έσοδα από μεταβιβάσεις ως % των συνολικών εσόδων</w:t>
            </w:r>
          </w:p>
        </w:tc>
        <w:tc>
          <w:tcPr>
            <w:tcW w:w="1557" w:type="dxa"/>
            <w:tcBorders>
              <w:top w:val="nil"/>
              <w:left w:val="nil"/>
              <w:bottom w:val="single" w:sz="4" w:space="0" w:color="auto"/>
              <w:right w:val="single" w:sz="4" w:space="0" w:color="auto"/>
            </w:tcBorders>
            <w:shd w:val="clear" w:color="auto" w:fill="auto"/>
            <w:vAlign w:val="center"/>
            <w:hideMark/>
          </w:tcPr>
          <w:p w14:paraId="39E62588" w14:textId="77777777" w:rsidR="00137320" w:rsidRPr="00357913" w:rsidRDefault="00137320" w:rsidP="00137320">
            <w:pPr>
              <w:spacing w:after="0" w:line="240" w:lineRule="auto"/>
              <w:jc w:val="center"/>
              <w:rPr>
                <w:rFonts w:eastAsia="Times New Roman" w:cs="Calibri"/>
                <w:i/>
                <w:iCs/>
                <w:color w:val="000000"/>
                <w:sz w:val="18"/>
                <w:szCs w:val="18"/>
                <w:lang w:eastAsia="el-GR"/>
              </w:rPr>
            </w:pPr>
            <w:r w:rsidRPr="00357913">
              <w:rPr>
                <w:rFonts w:eastAsia="Times New Roman" w:cs="Calibri"/>
                <w:i/>
                <w:iCs/>
                <w:color w:val="000000"/>
                <w:sz w:val="18"/>
                <w:szCs w:val="18"/>
                <w:lang w:eastAsia="el-GR"/>
              </w:rPr>
              <w:t>46,1%</w:t>
            </w:r>
          </w:p>
        </w:tc>
        <w:tc>
          <w:tcPr>
            <w:tcW w:w="1502" w:type="dxa"/>
            <w:tcBorders>
              <w:top w:val="nil"/>
              <w:left w:val="nil"/>
              <w:bottom w:val="single" w:sz="4" w:space="0" w:color="auto"/>
              <w:right w:val="single" w:sz="4" w:space="0" w:color="auto"/>
            </w:tcBorders>
            <w:shd w:val="clear" w:color="auto" w:fill="auto"/>
            <w:vAlign w:val="center"/>
            <w:hideMark/>
          </w:tcPr>
          <w:p w14:paraId="4D3AA880" w14:textId="77777777" w:rsidR="00137320" w:rsidRPr="00357913" w:rsidRDefault="00137320" w:rsidP="00137320">
            <w:pPr>
              <w:spacing w:after="0" w:line="240" w:lineRule="auto"/>
              <w:jc w:val="center"/>
              <w:rPr>
                <w:rFonts w:eastAsia="Times New Roman" w:cs="Calibri"/>
                <w:i/>
                <w:iCs/>
                <w:color w:val="000000"/>
                <w:sz w:val="18"/>
                <w:szCs w:val="18"/>
                <w:lang w:eastAsia="el-GR"/>
              </w:rPr>
            </w:pPr>
            <w:r w:rsidRPr="00357913">
              <w:rPr>
                <w:rFonts w:eastAsia="Times New Roman" w:cs="Calibri"/>
                <w:i/>
                <w:iCs/>
                <w:color w:val="000000"/>
                <w:sz w:val="18"/>
                <w:szCs w:val="18"/>
                <w:lang w:eastAsia="el-GR"/>
              </w:rPr>
              <w:t>48,2%</w:t>
            </w:r>
          </w:p>
        </w:tc>
        <w:tc>
          <w:tcPr>
            <w:tcW w:w="1686" w:type="dxa"/>
            <w:tcBorders>
              <w:top w:val="nil"/>
              <w:left w:val="nil"/>
              <w:bottom w:val="single" w:sz="4" w:space="0" w:color="auto"/>
              <w:right w:val="single" w:sz="4" w:space="0" w:color="auto"/>
            </w:tcBorders>
            <w:shd w:val="clear" w:color="auto" w:fill="auto"/>
            <w:noWrap/>
            <w:vAlign w:val="center"/>
            <w:hideMark/>
          </w:tcPr>
          <w:p w14:paraId="5E5F0506" w14:textId="6C725327" w:rsidR="00137320" w:rsidRPr="00137320" w:rsidRDefault="008C7473" w:rsidP="00FA7D7A">
            <w:pPr>
              <w:spacing w:after="0" w:line="240" w:lineRule="auto"/>
              <w:jc w:val="center"/>
              <w:rPr>
                <w:rFonts w:eastAsia="Times New Roman" w:cs="Calibri"/>
                <w:color w:val="000000"/>
                <w:sz w:val="18"/>
                <w:szCs w:val="18"/>
                <w:lang w:eastAsia="el-GR"/>
              </w:rPr>
            </w:pPr>
            <w:r>
              <w:rPr>
                <w:rFonts w:eastAsia="Times New Roman" w:cs="Calibri"/>
                <w:color w:val="000000"/>
                <w:sz w:val="18"/>
                <w:szCs w:val="18"/>
                <w:lang w:eastAsia="el-GR"/>
              </w:rPr>
              <w:t>2,1</w:t>
            </w:r>
            <w:r w:rsidR="00137320" w:rsidRPr="00137320">
              <w:rPr>
                <w:rFonts w:eastAsia="Times New Roman" w:cs="Calibri"/>
                <w:color w:val="000000"/>
                <w:sz w:val="18"/>
                <w:szCs w:val="18"/>
                <w:lang w:eastAsia="el-GR"/>
              </w:rPr>
              <w:t>%</w:t>
            </w:r>
          </w:p>
        </w:tc>
      </w:tr>
      <w:tr w:rsidR="00137320" w:rsidRPr="00137320" w14:paraId="4D3703B7" w14:textId="77777777" w:rsidTr="00137320">
        <w:trPr>
          <w:trHeight w:val="263"/>
        </w:trPr>
        <w:tc>
          <w:tcPr>
            <w:tcW w:w="3622" w:type="dxa"/>
            <w:tcBorders>
              <w:top w:val="nil"/>
              <w:left w:val="single" w:sz="4" w:space="0" w:color="auto"/>
              <w:bottom w:val="single" w:sz="4" w:space="0" w:color="auto"/>
              <w:right w:val="single" w:sz="4" w:space="0" w:color="auto"/>
            </w:tcBorders>
            <w:shd w:val="clear" w:color="auto" w:fill="auto"/>
            <w:vAlign w:val="center"/>
            <w:hideMark/>
          </w:tcPr>
          <w:p w14:paraId="75E926B0" w14:textId="77777777" w:rsidR="00137320" w:rsidRPr="00137320" w:rsidRDefault="00137320" w:rsidP="00137320">
            <w:pPr>
              <w:spacing w:after="0" w:line="240" w:lineRule="auto"/>
              <w:jc w:val="left"/>
              <w:rPr>
                <w:rFonts w:eastAsia="Times New Roman" w:cs="Calibri"/>
                <w:b/>
                <w:bCs/>
                <w:color w:val="000000"/>
                <w:sz w:val="18"/>
                <w:szCs w:val="18"/>
                <w:lang w:eastAsia="el-GR"/>
              </w:rPr>
            </w:pPr>
            <w:r w:rsidRPr="00137320">
              <w:rPr>
                <w:rFonts w:eastAsia="Times New Roman" w:cs="Calibri"/>
                <w:b/>
                <w:bCs/>
                <w:color w:val="000000"/>
                <w:sz w:val="18"/>
                <w:szCs w:val="18"/>
                <w:lang w:eastAsia="el-GR"/>
              </w:rPr>
              <w:t>ΙΙ. Δαπάνες</w:t>
            </w:r>
          </w:p>
        </w:tc>
        <w:tc>
          <w:tcPr>
            <w:tcW w:w="1557" w:type="dxa"/>
            <w:tcBorders>
              <w:top w:val="nil"/>
              <w:left w:val="nil"/>
              <w:bottom w:val="single" w:sz="4" w:space="0" w:color="auto"/>
              <w:right w:val="single" w:sz="4" w:space="0" w:color="auto"/>
            </w:tcBorders>
            <w:shd w:val="clear" w:color="auto" w:fill="auto"/>
            <w:vAlign w:val="center"/>
            <w:hideMark/>
          </w:tcPr>
          <w:p w14:paraId="0C7E36D6" w14:textId="77777777" w:rsidR="00137320" w:rsidRPr="00137320" w:rsidRDefault="00137320" w:rsidP="00137320">
            <w:pPr>
              <w:spacing w:after="0" w:line="240" w:lineRule="auto"/>
              <w:jc w:val="center"/>
              <w:rPr>
                <w:rFonts w:eastAsia="Times New Roman" w:cs="Calibri"/>
                <w:b/>
                <w:bCs/>
                <w:color w:val="000000"/>
                <w:sz w:val="18"/>
                <w:szCs w:val="18"/>
                <w:lang w:eastAsia="el-GR"/>
              </w:rPr>
            </w:pPr>
            <w:r w:rsidRPr="00137320">
              <w:rPr>
                <w:rFonts w:eastAsia="Times New Roman" w:cs="Calibri"/>
                <w:b/>
                <w:bCs/>
                <w:color w:val="000000"/>
                <w:sz w:val="18"/>
                <w:szCs w:val="18"/>
                <w:lang w:eastAsia="el-GR"/>
              </w:rPr>
              <w:t>41.038</w:t>
            </w:r>
          </w:p>
        </w:tc>
        <w:tc>
          <w:tcPr>
            <w:tcW w:w="1502" w:type="dxa"/>
            <w:tcBorders>
              <w:top w:val="nil"/>
              <w:left w:val="nil"/>
              <w:bottom w:val="single" w:sz="4" w:space="0" w:color="auto"/>
              <w:right w:val="single" w:sz="4" w:space="0" w:color="auto"/>
            </w:tcBorders>
            <w:shd w:val="clear" w:color="auto" w:fill="auto"/>
            <w:vAlign w:val="center"/>
            <w:hideMark/>
          </w:tcPr>
          <w:p w14:paraId="610A5DD2" w14:textId="77777777" w:rsidR="00137320" w:rsidRPr="00137320" w:rsidRDefault="00137320" w:rsidP="00137320">
            <w:pPr>
              <w:spacing w:after="0" w:line="240" w:lineRule="auto"/>
              <w:jc w:val="center"/>
              <w:rPr>
                <w:rFonts w:eastAsia="Times New Roman" w:cs="Calibri"/>
                <w:b/>
                <w:bCs/>
                <w:color w:val="000000"/>
                <w:sz w:val="18"/>
                <w:szCs w:val="18"/>
                <w:lang w:eastAsia="el-GR"/>
              </w:rPr>
            </w:pPr>
            <w:r w:rsidRPr="00137320">
              <w:rPr>
                <w:rFonts w:eastAsia="Times New Roman" w:cs="Calibri"/>
                <w:b/>
                <w:bCs/>
                <w:color w:val="000000"/>
                <w:sz w:val="18"/>
                <w:szCs w:val="18"/>
                <w:lang w:eastAsia="el-GR"/>
              </w:rPr>
              <w:t>42.558</w:t>
            </w:r>
          </w:p>
        </w:tc>
        <w:tc>
          <w:tcPr>
            <w:tcW w:w="1686" w:type="dxa"/>
            <w:tcBorders>
              <w:top w:val="nil"/>
              <w:left w:val="nil"/>
              <w:bottom w:val="single" w:sz="4" w:space="0" w:color="auto"/>
              <w:right w:val="single" w:sz="4" w:space="0" w:color="auto"/>
            </w:tcBorders>
            <w:shd w:val="clear" w:color="auto" w:fill="auto"/>
            <w:noWrap/>
            <w:vAlign w:val="center"/>
            <w:hideMark/>
          </w:tcPr>
          <w:p w14:paraId="65BE3653" w14:textId="77777777" w:rsidR="00137320" w:rsidRPr="00137320" w:rsidRDefault="00137320" w:rsidP="00FA7D7A">
            <w:pPr>
              <w:spacing w:after="0" w:line="240" w:lineRule="auto"/>
              <w:jc w:val="center"/>
              <w:rPr>
                <w:rFonts w:eastAsia="Times New Roman" w:cs="Calibri"/>
                <w:b/>
                <w:bCs/>
                <w:color w:val="000000"/>
                <w:sz w:val="18"/>
                <w:szCs w:val="18"/>
                <w:lang w:eastAsia="el-GR"/>
              </w:rPr>
            </w:pPr>
            <w:r w:rsidRPr="00137320">
              <w:rPr>
                <w:rFonts w:eastAsia="Times New Roman" w:cs="Calibri"/>
                <w:b/>
                <w:bCs/>
                <w:color w:val="000000"/>
                <w:sz w:val="18"/>
                <w:szCs w:val="18"/>
                <w:lang w:eastAsia="el-GR"/>
              </w:rPr>
              <w:t>3,7%</w:t>
            </w:r>
          </w:p>
        </w:tc>
      </w:tr>
      <w:tr w:rsidR="00137320" w:rsidRPr="00FA7D7A" w14:paraId="7C05B646" w14:textId="77777777" w:rsidTr="00137320">
        <w:trPr>
          <w:trHeight w:val="263"/>
        </w:trPr>
        <w:tc>
          <w:tcPr>
            <w:tcW w:w="3622" w:type="dxa"/>
            <w:tcBorders>
              <w:top w:val="nil"/>
              <w:left w:val="single" w:sz="4" w:space="0" w:color="auto"/>
              <w:bottom w:val="single" w:sz="4" w:space="0" w:color="auto"/>
              <w:right w:val="single" w:sz="4" w:space="0" w:color="auto"/>
            </w:tcBorders>
            <w:shd w:val="clear" w:color="auto" w:fill="auto"/>
            <w:vAlign w:val="center"/>
            <w:hideMark/>
          </w:tcPr>
          <w:p w14:paraId="52965D18" w14:textId="2B1691B2" w:rsidR="00137320" w:rsidRPr="00FA7D7A" w:rsidRDefault="00FA7D7A" w:rsidP="00FA7D7A">
            <w:pPr>
              <w:spacing w:after="0" w:line="240" w:lineRule="auto"/>
              <w:ind w:left="179"/>
              <w:jc w:val="left"/>
              <w:rPr>
                <w:rFonts w:eastAsia="Times New Roman" w:cs="Calibri"/>
                <w:iCs/>
                <w:color w:val="000000"/>
                <w:sz w:val="18"/>
                <w:szCs w:val="18"/>
                <w:lang w:eastAsia="el-GR"/>
              </w:rPr>
            </w:pPr>
            <w:r w:rsidRPr="00FA7D7A">
              <w:rPr>
                <w:rFonts w:eastAsia="Times New Roman" w:cs="Calibri"/>
                <w:iCs/>
                <w:color w:val="000000"/>
                <w:sz w:val="18"/>
                <w:szCs w:val="18"/>
                <w:lang w:eastAsia="el-GR"/>
              </w:rPr>
              <w:t>Εκ των οποίων</w:t>
            </w:r>
            <w:r w:rsidR="00137320" w:rsidRPr="00FA7D7A">
              <w:rPr>
                <w:rFonts w:eastAsia="Times New Roman" w:cs="Calibri"/>
                <w:iCs/>
                <w:color w:val="000000"/>
                <w:sz w:val="18"/>
                <w:szCs w:val="18"/>
                <w:lang w:eastAsia="el-GR"/>
              </w:rPr>
              <w:t>: Συντάξεις</w:t>
            </w:r>
          </w:p>
        </w:tc>
        <w:tc>
          <w:tcPr>
            <w:tcW w:w="1557" w:type="dxa"/>
            <w:tcBorders>
              <w:top w:val="nil"/>
              <w:left w:val="nil"/>
              <w:bottom w:val="single" w:sz="4" w:space="0" w:color="auto"/>
              <w:right w:val="single" w:sz="4" w:space="0" w:color="auto"/>
            </w:tcBorders>
            <w:shd w:val="clear" w:color="auto" w:fill="auto"/>
            <w:vAlign w:val="center"/>
            <w:hideMark/>
          </w:tcPr>
          <w:p w14:paraId="6D7E44D9" w14:textId="77777777" w:rsidR="00137320" w:rsidRPr="00FA7D7A" w:rsidRDefault="00137320" w:rsidP="00FA7D7A">
            <w:pPr>
              <w:spacing w:after="0" w:line="240" w:lineRule="auto"/>
              <w:jc w:val="right"/>
              <w:rPr>
                <w:rFonts w:eastAsia="Times New Roman" w:cs="Calibri"/>
                <w:iCs/>
                <w:color w:val="000000"/>
                <w:sz w:val="18"/>
                <w:szCs w:val="18"/>
                <w:lang w:eastAsia="el-GR"/>
              </w:rPr>
            </w:pPr>
            <w:r w:rsidRPr="00FA7D7A">
              <w:rPr>
                <w:rFonts w:eastAsia="Times New Roman" w:cs="Calibri"/>
                <w:iCs/>
                <w:color w:val="000000"/>
                <w:sz w:val="18"/>
                <w:szCs w:val="18"/>
                <w:lang w:eastAsia="el-GR"/>
              </w:rPr>
              <w:t>29.601</w:t>
            </w:r>
          </w:p>
        </w:tc>
        <w:tc>
          <w:tcPr>
            <w:tcW w:w="1502" w:type="dxa"/>
            <w:tcBorders>
              <w:top w:val="nil"/>
              <w:left w:val="nil"/>
              <w:bottom w:val="single" w:sz="4" w:space="0" w:color="auto"/>
              <w:right w:val="single" w:sz="4" w:space="0" w:color="auto"/>
            </w:tcBorders>
            <w:shd w:val="clear" w:color="auto" w:fill="auto"/>
            <w:vAlign w:val="center"/>
            <w:hideMark/>
          </w:tcPr>
          <w:p w14:paraId="20241E96" w14:textId="77777777" w:rsidR="00137320" w:rsidRPr="00FA7D7A" w:rsidRDefault="00137320" w:rsidP="00FA7D7A">
            <w:pPr>
              <w:spacing w:after="0" w:line="240" w:lineRule="auto"/>
              <w:jc w:val="right"/>
              <w:rPr>
                <w:rFonts w:eastAsia="Times New Roman" w:cs="Calibri"/>
                <w:iCs/>
                <w:color w:val="000000"/>
                <w:sz w:val="18"/>
                <w:szCs w:val="18"/>
                <w:lang w:eastAsia="el-GR"/>
              </w:rPr>
            </w:pPr>
            <w:r w:rsidRPr="00FA7D7A">
              <w:rPr>
                <w:rFonts w:eastAsia="Times New Roman" w:cs="Calibri"/>
                <w:iCs/>
                <w:color w:val="000000"/>
                <w:sz w:val="18"/>
                <w:szCs w:val="18"/>
                <w:lang w:eastAsia="el-GR"/>
              </w:rPr>
              <w:t>29.210</w:t>
            </w:r>
          </w:p>
        </w:tc>
        <w:tc>
          <w:tcPr>
            <w:tcW w:w="1686" w:type="dxa"/>
            <w:tcBorders>
              <w:top w:val="nil"/>
              <w:left w:val="nil"/>
              <w:bottom w:val="single" w:sz="4" w:space="0" w:color="auto"/>
              <w:right w:val="single" w:sz="4" w:space="0" w:color="auto"/>
            </w:tcBorders>
            <w:shd w:val="clear" w:color="auto" w:fill="auto"/>
            <w:noWrap/>
            <w:vAlign w:val="center"/>
            <w:hideMark/>
          </w:tcPr>
          <w:p w14:paraId="24B62DBF" w14:textId="77777777" w:rsidR="00137320" w:rsidRPr="00FA7D7A" w:rsidRDefault="00137320" w:rsidP="00FA7D7A">
            <w:pPr>
              <w:spacing w:after="0" w:line="240" w:lineRule="auto"/>
              <w:jc w:val="center"/>
              <w:rPr>
                <w:rFonts w:eastAsia="Times New Roman" w:cs="Calibri"/>
                <w:color w:val="000000"/>
                <w:sz w:val="18"/>
                <w:szCs w:val="18"/>
                <w:lang w:eastAsia="el-GR"/>
              </w:rPr>
            </w:pPr>
            <w:r w:rsidRPr="00FA7D7A">
              <w:rPr>
                <w:rFonts w:eastAsia="Times New Roman" w:cs="Calibri"/>
                <w:color w:val="000000"/>
                <w:sz w:val="18"/>
                <w:szCs w:val="18"/>
                <w:lang w:eastAsia="el-GR"/>
              </w:rPr>
              <w:t>-1,3%</w:t>
            </w:r>
          </w:p>
        </w:tc>
      </w:tr>
      <w:tr w:rsidR="00137320" w:rsidRPr="00137320" w14:paraId="1C4D7940" w14:textId="77777777" w:rsidTr="00137320">
        <w:trPr>
          <w:trHeight w:val="263"/>
        </w:trPr>
        <w:tc>
          <w:tcPr>
            <w:tcW w:w="3622" w:type="dxa"/>
            <w:tcBorders>
              <w:top w:val="nil"/>
              <w:left w:val="single" w:sz="4" w:space="0" w:color="auto"/>
              <w:bottom w:val="single" w:sz="4" w:space="0" w:color="auto"/>
              <w:right w:val="single" w:sz="4" w:space="0" w:color="auto"/>
            </w:tcBorders>
            <w:shd w:val="clear" w:color="auto" w:fill="auto"/>
            <w:vAlign w:val="center"/>
            <w:hideMark/>
          </w:tcPr>
          <w:p w14:paraId="022E9CFC" w14:textId="77777777" w:rsidR="00137320" w:rsidRPr="00137320" w:rsidRDefault="00137320" w:rsidP="00137320">
            <w:pPr>
              <w:spacing w:after="0" w:line="240" w:lineRule="auto"/>
              <w:jc w:val="left"/>
              <w:rPr>
                <w:rFonts w:eastAsia="Times New Roman" w:cs="Calibri"/>
                <w:i/>
                <w:iCs/>
                <w:color w:val="000000"/>
                <w:sz w:val="18"/>
                <w:szCs w:val="18"/>
                <w:lang w:eastAsia="el-GR"/>
              </w:rPr>
            </w:pPr>
            <w:r w:rsidRPr="00137320">
              <w:rPr>
                <w:rFonts w:eastAsia="Times New Roman" w:cs="Calibri"/>
                <w:i/>
                <w:iCs/>
                <w:color w:val="000000"/>
                <w:sz w:val="18"/>
                <w:szCs w:val="18"/>
                <w:lang w:eastAsia="el-GR"/>
              </w:rPr>
              <w:t>Συντάξεις ως % του ΑΕΠ</w:t>
            </w:r>
          </w:p>
        </w:tc>
        <w:tc>
          <w:tcPr>
            <w:tcW w:w="1557" w:type="dxa"/>
            <w:tcBorders>
              <w:top w:val="nil"/>
              <w:left w:val="nil"/>
              <w:bottom w:val="single" w:sz="4" w:space="0" w:color="auto"/>
              <w:right w:val="single" w:sz="4" w:space="0" w:color="auto"/>
            </w:tcBorders>
            <w:shd w:val="clear" w:color="auto" w:fill="auto"/>
            <w:vAlign w:val="center"/>
            <w:hideMark/>
          </w:tcPr>
          <w:p w14:paraId="51492545" w14:textId="77777777" w:rsidR="00137320" w:rsidRPr="00137320" w:rsidRDefault="00137320" w:rsidP="00137320">
            <w:pPr>
              <w:spacing w:after="0" w:line="240" w:lineRule="auto"/>
              <w:jc w:val="center"/>
              <w:rPr>
                <w:rFonts w:eastAsia="Times New Roman" w:cs="Calibri"/>
                <w:i/>
                <w:iCs/>
                <w:color w:val="000000"/>
                <w:sz w:val="18"/>
                <w:szCs w:val="18"/>
                <w:lang w:eastAsia="el-GR"/>
              </w:rPr>
            </w:pPr>
            <w:r w:rsidRPr="00137320">
              <w:rPr>
                <w:rFonts w:eastAsia="Times New Roman" w:cs="Calibri"/>
                <w:i/>
                <w:iCs/>
                <w:color w:val="000000"/>
                <w:sz w:val="18"/>
                <w:szCs w:val="18"/>
                <w:lang w:eastAsia="el-GR"/>
              </w:rPr>
              <w:t>16,1%</w:t>
            </w:r>
          </w:p>
        </w:tc>
        <w:tc>
          <w:tcPr>
            <w:tcW w:w="1502" w:type="dxa"/>
            <w:tcBorders>
              <w:top w:val="nil"/>
              <w:left w:val="nil"/>
              <w:bottom w:val="single" w:sz="4" w:space="0" w:color="auto"/>
              <w:right w:val="single" w:sz="4" w:space="0" w:color="auto"/>
            </w:tcBorders>
            <w:shd w:val="clear" w:color="auto" w:fill="auto"/>
            <w:vAlign w:val="center"/>
            <w:hideMark/>
          </w:tcPr>
          <w:p w14:paraId="7E27AAF8" w14:textId="77777777" w:rsidR="00137320" w:rsidRPr="00137320" w:rsidRDefault="00137320" w:rsidP="00137320">
            <w:pPr>
              <w:spacing w:after="0" w:line="240" w:lineRule="auto"/>
              <w:jc w:val="center"/>
              <w:rPr>
                <w:rFonts w:eastAsia="Times New Roman" w:cs="Calibri"/>
                <w:i/>
                <w:iCs/>
                <w:color w:val="000000"/>
                <w:sz w:val="18"/>
                <w:szCs w:val="18"/>
                <w:lang w:eastAsia="el-GR"/>
              </w:rPr>
            </w:pPr>
            <w:r w:rsidRPr="00137320">
              <w:rPr>
                <w:rFonts w:eastAsia="Times New Roman" w:cs="Calibri"/>
                <w:i/>
                <w:iCs/>
                <w:color w:val="000000"/>
                <w:sz w:val="18"/>
                <w:szCs w:val="18"/>
                <w:lang w:eastAsia="el-GR"/>
              </w:rPr>
              <w:t>17,6%</w:t>
            </w:r>
          </w:p>
        </w:tc>
        <w:tc>
          <w:tcPr>
            <w:tcW w:w="1686" w:type="dxa"/>
            <w:tcBorders>
              <w:top w:val="nil"/>
              <w:left w:val="nil"/>
              <w:bottom w:val="single" w:sz="4" w:space="0" w:color="auto"/>
              <w:right w:val="single" w:sz="4" w:space="0" w:color="auto"/>
            </w:tcBorders>
            <w:shd w:val="clear" w:color="auto" w:fill="auto"/>
            <w:noWrap/>
            <w:vAlign w:val="center"/>
            <w:hideMark/>
          </w:tcPr>
          <w:p w14:paraId="52D6FA4F" w14:textId="77777777" w:rsidR="00137320" w:rsidRPr="00137320" w:rsidRDefault="00137320" w:rsidP="00137320">
            <w:pPr>
              <w:spacing w:after="0" w:line="240" w:lineRule="auto"/>
              <w:jc w:val="center"/>
              <w:rPr>
                <w:rFonts w:eastAsia="Times New Roman" w:cs="Calibri"/>
                <w:color w:val="000000"/>
                <w:sz w:val="18"/>
                <w:szCs w:val="18"/>
                <w:lang w:eastAsia="el-GR"/>
              </w:rPr>
            </w:pPr>
            <w:r w:rsidRPr="00137320">
              <w:rPr>
                <w:rFonts w:eastAsia="Times New Roman" w:cs="Calibri"/>
                <w:color w:val="000000"/>
                <w:sz w:val="18"/>
                <w:szCs w:val="18"/>
                <w:lang w:eastAsia="el-GR"/>
              </w:rPr>
              <w:t>1,5%</w:t>
            </w:r>
          </w:p>
        </w:tc>
      </w:tr>
      <w:tr w:rsidR="00137320" w:rsidRPr="00137320" w14:paraId="2F3EBE5D" w14:textId="77777777" w:rsidTr="008C7473">
        <w:trPr>
          <w:trHeight w:val="263"/>
        </w:trPr>
        <w:tc>
          <w:tcPr>
            <w:tcW w:w="3622" w:type="dxa"/>
            <w:tcBorders>
              <w:top w:val="nil"/>
              <w:left w:val="single" w:sz="4" w:space="0" w:color="auto"/>
              <w:bottom w:val="single" w:sz="12" w:space="0" w:color="auto"/>
              <w:right w:val="single" w:sz="4" w:space="0" w:color="auto"/>
            </w:tcBorders>
            <w:shd w:val="clear" w:color="000000" w:fill="D9D9D9"/>
            <w:vAlign w:val="center"/>
            <w:hideMark/>
          </w:tcPr>
          <w:p w14:paraId="633149D7" w14:textId="77777777" w:rsidR="00137320" w:rsidRPr="00137320" w:rsidRDefault="00137320" w:rsidP="00137320">
            <w:pPr>
              <w:spacing w:after="0" w:line="240" w:lineRule="auto"/>
              <w:jc w:val="center"/>
              <w:rPr>
                <w:rFonts w:eastAsia="Times New Roman" w:cs="Calibri"/>
                <w:b/>
                <w:bCs/>
                <w:color w:val="000000"/>
                <w:sz w:val="18"/>
                <w:szCs w:val="18"/>
                <w:lang w:eastAsia="el-GR"/>
              </w:rPr>
            </w:pPr>
            <w:r w:rsidRPr="00137320">
              <w:rPr>
                <w:rFonts w:eastAsia="Times New Roman" w:cs="Calibri"/>
                <w:b/>
                <w:bCs/>
                <w:color w:val="000000"/>
                <w:sz w:val="18"/>
                <w:szCs w:val="18"/>
                <w:lang w:eastAsia="el-GR"/>
              </w:rPr>
              <w:t>Αποτέλεσμα (Ι-ΙΙ)</w:t>
            </w:r>
          </w:p>
        </w:tc>
        <w:tc>
          <w:tcPr>
            <w:tcW w:w="1557" w:type="dxa"/>
            <w:tcBorders>
              <w:top w:val="nil"/>
              <w:left w:val="nil"/>
              <w:bottom w:val="single" w:sz="12" w:space="0" w:color="auto"/>
              <w:right w:val="single" w:sz="4" w:space="0" w:color="auto"/>
            </w:tcBorders>
            <w:shd w:val="clear" w:color="000000" w:fill="D9D9D9"/>
            <w:noWrap/>
            <w:vAlign w:val="center"/>
            <w:hideMark/>
          </w:tcPr>
          <w:p w14:paraId="74EAA2C8" w14:textId="77777777" w:rsidR="00137320" w:rsidRPr="00137320" w:rsidRDefault="00137320" w:rsidP="00137320">
            <w:pPr>
              <w:spacing w:after="0" w:line="240" w:lineRule="auto"/>
              <w:jc w:val="center"/>
              <w:rPr>
                <w:rFonts w:eastAsia="Times New Roman" w:cs="Calibri"/>
                <w:b/>
                <w:bCs/>
                <w:color w:val="000000"/>
                <w:sz w:val="18"/>
                <w:szCs w:val="18"/>
                <w:lang w:eastAsia="el-GR"/>
              </w:rPr>
            </w:pPr>
            <w:r w:rsidRPr="00137320">
              <w:rPr>
                <w:rFonts w:eastAsia="Times New Roman" w:cs="Calibri"/>
                <w:b/>
                <w:bCs/>
                <w:color w:val="000000"/>
                <w:sz w:val="18"/>
                <w:szCs w:val="18"/>
                <w:lang w:eastAsia="el-GR"/>
              </w:rPr>
              <w:t>1.474</w:t>
            </w:r>
          </w:p>
        </w:tc>
        <w:tc>
          <w:tcPr>
            <w:tcW w:w="1502" w:type="dxa"/>
            <w:tcBorders>
              <w:top w:val="nil"/>
              <w:left w:val="nil"/>
              <w:bottom w:val="single" w:sz="12" w:space="0" w:color="auto"/>
              <w:right w:val="single" w:sz="4" w:space="0" w:color="auto"/>
            </w:tcBorders>
            <w:shd w:val="clear" w:color="000000" w:fill="D9D9D9"/>
            <w:noWrap/>
            <w:vAlign w:val="center"/>
            <w:hideMark/>
          </w:tcPr>
          <w:p w14:paraId="6873BF26" w14:textId="77777777" w:rsidR="00137320" w:rsidRPr="00137320" w:rsidRDefault="00137320" w:rsidP="00137320">
            <w:pPr>
              <w:spacing w:after="0" w:line="240" w:lineRule="auto"/>
              <w:jc w:val="center"/>
              <w:rPr>
                <w:rFonts w:eastAsia="Times New Roman" w:cs="Calibri"/>
                <w:b/>
                <w:bCs/>
                <w:color w:val="000000"/>
                <w:sz w:val="18"/>
                <w:szCs w:val="18"/>
                <w:lang w:eastAsia="el-GR"/>
              </w:rPr>
            </w:pPr>
            <w:r w:rsidRPr="00137320">
              <w:rPr>
                <w:rFonts w:eastAsia="Times New Roman" w:cs="Calibri"/>
                <w:b/>
                <w:bCs/>
                <w:color w:val="000000"/>
                <w:sz w:val="18"/>
                <w:szCs w:val="18"/>
                <w:lang w:eastAsia="el-GR"/>
              </w:rPr>
              <w:t>843</w:t>
            </w:r>
          </w:p>
        </w:tc>
        <w:tc>
          <w:tcPr>
            <w:tcW w:w="1686" w:type="dxa"/>
            <w:tcBorders>
              <w:top w:val="nil"/>
              <w:left w:val="nil"/>
              <w:bottom w:val="single" w:sz="12" w:space="0" w:color="auto"/>
              <w:right w:val="single" w:sz="4" w:space="0" w:color="auto"/>
            </w:tcBorders>
            <w:shd w:val="clear" w:color="000000" w:fill="D9D9D9"/>
            <w:noWrap/>
            <w:vAlign w:val="center"/>
            <w:hideMark/>
          </w:tcPr>
          <w:p w14:paraId="3B79159B" w14:textId="77777777" w:rsidR="00137320" w:rsidRPr="00137320" w:rsidRDefault="00137320" w:rsidP="00137320">
            <w:pPr>
              <w:spacing w:after="0" w:line="240" w:lineRule="auto"/>
              <w:jc w:val="center"/>
              <w:rPr>
                <w:rFonts w:eastAsia="Times New Roman" w:cs="Calibri"/>
                <w:b/>
                <w:bCs/>
                <w:color w:val="000000"/>
                <w:sz w:val="18"/>
                <w:szCs w:val="18"/>
                <w:lang w:eastAsia="el-GR"/>
              </w:rPr>
            </w:pPr>
            <w:r w:rsidRPr="00137320">
              <w:rPr>
                <w:rFonts w:eastAsia="Times New Roman" w:cs="Calibri"/>
                <w:b/>
                <w:bCs/>
                <w:color w:val="000000"/>
                <w:sz w:val="18"/>
                <w:szCs w:val="18"/>
                <w:lang w:eastAsia="el-GR"/>
              </w:rPr>
              <w:t>-42,8%</w:t>
            </w:r>
          </w:p>
        </w:tc>
      </w:tr>
      <w:tr w:rsidR="00137320" w:rsidRPr="00137320" w14:paraId="3667B6D4" w14:textId="77777777" w:rsidTr="008C7473">
        <w:trPr>
          <w:trHeight w:val="263"/>
        </w:trPr>
        <w:tc>
          <w:tcPr>
            <w:tcW w:w="3622" w:type="dxa"/>
            <w:tcBorders>
              <w:top w:val="single" w:sz="12" w:space="0" w:color="auto"/>
              <w:left w:val="single" w:sz="4" w:space="0" w:color="auto"/>
              <w:bottom w:val="single" w:sz="12" w:space="0" w:color="auto"/>
              <w:right w:val="single" w:sz="4" w:space="0" w:color="auto"/>
            </w:tcBorders>
            <w:shd w:val="clear" w:color="auto" w:fill="auto"/>
            <w:vAlign w:val="center"/>
            <w:hideMark/>
          </w:tcPr>
          <w:p w14:paraId="1519D493" w14:textId="77777777" w:rsidR="00137320" w:rsidRPr="00137320" w:rsidRDefault="00137320" w:rsidP="00137320">
            <w:pPr>
              <w:spacing w:after="0" w:line="240" w:lineRule="auto"/>
              <w:jc w:val="left"/>
              <w:rPr>
                <w:rFonts w:eastAsia="Times New Roman" w:cs="Calibri"/>
                <w:color w:val="000000"/>
                <w:sz w:val="18"/>
                <w:szCs w:val="18"/>
                <w:lang w:eastAsia="el-GR"/>
              </w:rPr>
            </w:pPr>
            <w:r w:rsidRPr="00137320">
              <w:rPr>
                <w:rFonts w:eastAsia="Times New Roman" w:cs="Calibri"/>
                <w:color w:val="000000"/>
                <w:sz w:val="18"/>
                <w:szCs w:val="18"/>
                <w:lang w:eastAsia="el-GR"/>
              </w:rPr>
              <w:t>ΑΕΠ σε τρέχουσες τιμές</w:t>
            </w:r>
          </w:p>
        </w:tc>
        <w:tc>
          <w:tcPr>
            <w:tcW w:w="1557" w:type="dxa"/>
            <w:tcBorders>
              <w:top w:val="single" w:sz="12" w:space="0" w:color="auto"/>
              <w:left w:val="nil"/>
              <w:bottom w:val="single" w:sz="12" w:space="0" w:color="auto"/>
              <w:right w:val="single" w:sz="4" w:space="0" w:color="auto"/>
            </w:tcBorders>
            <w:shd w:val="clear" w:color="auto" w:fill="auto"/>
            <w:vAlign w:val="center"/>
            <w:hideMark/>
          </w:tcPr>
          <w:p w14:paraId="1AFCB644" w14:textId="77777777" w:rsidR="00137320" w:rsidRPr="00137320" w:rsidRDefault="00137320" w:rsidP="00137320">
            <w:pPr>
              <w:spacing w:after="0" w:line="240" w:lineRule="auto"/>
              <w:jc w:val="center"/>
              <w:rPr>
                <w:rFonts w:eastAsia="Times New Roman" w:cs="Calibri"/>
                <w:color w:val="000000"/>
                <w:sz w:val="18"/>
                <w:szCs w:val="18"/>
                <w:lang w:eastAsia="el-GR"/>
              </w:rPr>
            </w:pPr>
            <w:r w:rsidRPr="00137320">
              <w:rPr>
                <w:rFonts w:eastAsia="Times New Roman" w:cs="Calibri"/>
                <w:color w:val="000000"/>
                <w:sz w:val="18"/>
                <w:szCs w:val="18"/>
                <w:lang w:eastAsia="el-GR"/>
              </w:rPr>
              <w:t>183.413</w:t>
            </w:r>
          </w:p>
        </w:tc>
        <w:tc>
          <w:tcPr>
            <w:tcW w:w="1502" w:type="dxa"/>
            <w:tcBorders>
              <w:top w:val="single" w:sz="12" w:space="0" w:color="auto"/>
              <w:left w:val="nil"/>
              <w:bottom w:val="single" w:sz="12" w:space="0" w:color="auto"/>
              <w:right w:val="single" w:sz="4" w:space="0" w:color="auto"/>
            </w:tcBorders>
            <w:shd w:val="clear" w:color="auto" w:fill="auto"/>
            <w:vAlign w:val="center"/>
            <w:hideMark/>
          </w:tcPr>
          <w:p w14:paraId="6BE8FE48" w14:textId="77777777" w:rsidR="00137320" w:rsidRPr="00137320" w:rsidRDefault="00137320" w:rsidP="00137320">
            <w:pPr>
              <w:spacing w:after="0" w:line="240" w:lineRule="auto"/>
              <w:jc w:val="center"/>
              <w:rPr>
                <w:rFonts w:eastAsia="Times New Roman" w:cs="Calibri"/>
                <w:color w:val="000000"/>
                <w:sz w:val="18"/>
                <w:szCs w:val="18"/>
                <w:lang w:eastAsia="el-GR"/>
              </w:rPr>
            </w:pPr>
            <w:r w:rsidRPr="00137320">
              <w:rPr>
                <w:rFonts w:eastAsia="Times New Roman" w:cs="Calibri"/>
                <w:color w:val="000000"/>
                <w:sz w:val="18"/>
                <w:szCs w:val="18"/>
                <w:lang w:eastAsia="el-GR"/>
              </w:rPr>
              <w:t>165.830</w:t>
            </w:r>
          </w:p>
        </w:tc>
        <w:tc>
          <w:tcPr>
            <w:tcW w:w="1686" w:type="dxa"/>
            <w:tcBorders>
              <w:top w:val="single" w:sz="12" w:space="0" w:color="auto"/>
              <w:left w:val="nil"/>
              <w:bottom w:val="single" w:sz="12" w:space="0" w:color="auto"/>
              <w:right w:val="single" w:sz="4" w:space="0" w:color="auto"/>
            </w:tcBorders>
            <w:shd w:val="clear" w:color="auto" w:fill="auto"/>
            <w:noWrap/>
            <w:vAlign w:val="center"/>
            <w:hideMark/>
          </w:tcPr>
          <w:p w14:paraId="646FF71B" w14:textId="77777777" w:rsidR="00137320" w:rsidRPr="00137320" w:rsidRDefault="00137320" w:rsidP="00137320">
            <w:pPr>
              <w:spacing w:after="0" w:line="240" w:lineRule="auto"/>
              <w:jc w:val="center"/>
              <w:rPr>
                <w:rFonts w:eastAsia="Times New Roman" w:cs="Calibri"/>
                <w:color w:val="000000"/>
                <w:sz w:val="18"/>
                <w:szCs w:val="18"/>
                <w:lang w:eastAsia="el-GR"/>
              </w:rPr>
            </w:pPr>
            <w:r w:rsidRPr="00137320">
              <w:rPr>
                <w:rFonts w:eastAsia="Times New Roman" w:cs="Calibri"/>
                <w:color w:val="000000"/>
                <w:sz w:val="18"/>
                <w:szCs w:val="18"/>
                <w:lang w:eastAsia="el-GR"/>
              </w:rPr>
              <w:t> </w:t>
            </w:r>
          </w:p>
        </w:tc>
      </w:tr>
    </w:tbl>
    <w:p w14:paraId="2980BB6F" w14:textId="40161029" w:rsidR="009741B0" w:rsidRPr="009741B0" w:rsidRDefault="009741B0" w:rsidP="009741B0">
      <w:pPr>
        <w:autoSpaceDE w:val="0"/>
        <w:autoSpaceDN w:val="0"/>
        <w:adjustRightInd w:val="0"/>
        <w:rPr>
          <w:rFonts w:ascii="Calibri" w:eastAsia="Calibri" w:hAnsi="Calibri" w:cs="Calibri"/>
          <w:color w:val="00B0F0"/>
          <w:sz w:val="16"/>
          <w:szCs w:val="16"/>
        </w:rPr>
      </w:pPr>
      <w:r w:rsidRPr="009741B0">
        <w:rPr>
          <w:rFonts w:cstheme="minorHAnsi"/>
          <w:color w:val="000000"/>
          <w:sz w:val="18"/>
          <w:szCs w:val="18"/>
        </w:rPr>
        <w:t xml:space="preserve">Πηγή: </w:t>
      </w:r>
      <w:r w:rsidR="008C6B9B" w:rsidRPr="008C6B9B">
        <w:rPr>
          <w:rFonts w:ascii="Calibri" w:eastAsia="Calibri" w:hAnsi="Calibri" w:cs="Calibri"/>
          <w:color w:val="00B0F0"/>
          <w:sz w:val="16"/>
          <w:szCs w:val="16"/>
        </w:rPr>
        <w:t>Υπουργείο Οικονομιικών – Δελτίο μηνιαίων στοιχείων Γενικής Κυβέρνησης Δεκεμβρίου 2020</w:t>
      </w:r>
    </w:p>
    <w:p w14:paraId="0149F0B0" w14:textId="268993A5" w:rsidR="00EC35DA" w:rsidRDefault="00EC35DA" w:rsidP="00EC35DA">
      <w:pPr>
        <w:rPr>
          <w:color w:val="auto"/>
        </w:rPr>
      </w:pPr>
      <w:r w:rsidRPr="00EC35DA">
        <w:rPr>
          <w:color w:val="auto"/>
        </w:rPr>
        <w:t>Ο υποτομέας των ΟΚΑ περιλαμβάνει τα ασφαλιστικά ταμεία (ΕΦΚΑ), τον ΟΑΕΔ, τον ΕΟΠΥΥ, τον ΟΠΕΚΑ και το ΝΑΤ. Κατά το 2020 εμφάνισε ταμειακό πλεόνασμα ύψους 843 εκατ. ευρώ, μειωμένο σε σχέση με το προηγ</w:t>
      </w:r>
      <w:r w:rsidR="00357913">
        <w:rPr>
          <w:color w:val="auto"/>
        </w:rPr>
        <w:t>ούμενο έτος κατά 631 εκατ. ευρώ.</w:t>
      </w:r>
      <w:r w:rsidR="0077743D">
        <w:rPr>
          <w:color w:val="auto"/>
        </w:rPr>
        <w:t xml:space="preserve"> </w:t>
      </w:r>
      <w:r w:rsidRPr="00EC35DA">
        <w:rPr>
          <w:color w:val="auto"/>
        </w:rPr>
        <w:t>Η μείωση αυτή οφείλεται στην αύξηση των δαπανών λόγω της καταβολής των αναδρομικών των συντάξεων τον Οκτώβριο του 2020</w:t>
      </w:r>
      <w:r w:rsidRPr="00EC35DA">
        <w:rPr>
          <w:color w:val="auto"/>
          <w:vertAlign w:val="superscript"/>
        </w:rPr>
        <w:footnoteReference w:id="16"/>
      </w:r>
      <w:r w:rsidRPr="00EC35DA">
        <w:rPr>
          <w:color w:val="auto"/>
        </w:rPr>
        <w:t xml:space="preserve"> και των αυξημένων παροχών ασθενείας και λοιπών κοινωνικών παροχών, η οποία μερικώς μόνο αντισταθμίστηκε από τις αυξημένες μεταβιβάσεις από τον κρατικό προϋπολογισμό. Όσον αφορά </w:t>
      </w:r>
      <w:r w:rsidR="0077743D">
        <w:rPr>
          <w:color w:val="auto"/>
        </w:rPr>
        <w:t>σ</w:t>
      </w:r>
      <w:r w:rsidRPr="00EC35DA">
        <w:rPr>
          <w:color w:val="auto"/>
        </w:rPr>
        <w:t>τις συντάξεις, η σχετική δαπάνη ανήλθε σε 29,2 δισ. ευρώ και διατηρείται σε υψηλά επίπεδα ως ποσοστό του ΑΕΠ (17,6%). Παράλληλα, οι συντάξεις υπερβαίνουν σημαντικά τις ασφαλιστικές εισφορές, δημιουργώντας έτσι χρηματοδοτικό κενό το οποίο καλύπτεται με μεταβιβάσεις από τον κρατικό προϋπολογισμό.</w:t>
      </w:r>
    </w:p>
    <w:p w14:paraId="3DCEF6CF" w14:textId="18DDC8FF" w:rsidR="00036B7C" w:rsidRDefault="00036B7C" w:rsidP="00036B7C">
      <w:pPr>
        <w:rPr>
          <w:color w:val="000000" w:themeColor="text1"/>
        </w:rPr>
      </w:pPr>
      <w:r>
        <w:rPr>
          <w:color w:val="000000" w:themeColor="text1"/>
        </w:rPr>
        <w:t>Ό</w:t>
      </w:r>
      <w:r w:rsidRPr="00357913">
        <w:rPr>
          <w:color w:val="000000" w:themeColor="text1"/>
        </w:rPr>
        <w:t xml:space="preserve">πως ήταν αναμενόμενο, το 2020 το ποσοστό των μεταβιβάσεων ως </w:t>
      </w:r>
      <w:r>
        <w:rPr>
          <w:color w:val="000000" w:themeColor="text1"/>
        </w:rPr>
        <w:t>ποσοστό</w:t>
      </w:r>
      <w:r w:rsidRPr="00357913">
        <w:rPr>
          <w:color w:val="000000" w:themeColor="text1"/>
        </w:rPr>
        <w:t xml:space="preserve"> το</w:t>
      </w:r>
      <w:r>
        <w:rPr>
          <w:color w:val="000000" w:themeColor="text1"/>
        </w:rPr>
        <w:t>υ</w:t>
      </w:r>
      <w:r w:rsidRPr="00357913">
        <w:rPr>
          <w:color w:val="000000" w:themeColor="text1"/>
        </w:rPr>
        <w:t xml:space="preserve"> ΑΕΠ αυξήθηκε σε όλους τους υποτομείς της ΓΚ</w:t>
      </w:r>
      <w:r>
        <w:rPr>
          <w:color w:val="000000" w:themeColor="text1"/>
        </w:rPr>
        <w:t>,</w:t>
      </w:r>
      <w:r w:rsidRPr="00357913">
        <w:rPr>
          <w:color w:val="000000" w:themeColor="text1"/>
        </w:rPr>
        <w:t xml:space="preserve"> λόγω της σημαντικής αύξησης του ύψους των μεταβιβάσεων εξαιτίας της πανδημίας, αλλά και λόγω της μεγάλης πτώσης του ΑΕΠ το 2020.</w:t>
      </w:r>
      <w:r>
        <w:rPr>
          <w:color w:val="000000" w:themeColor="text1"/>
        </w:rPr>
        <w:t xml:space="preserve"> Η αύξηση κυμάνθηκε από 0,7 έως 2,5 ποσοστιαίες μονάδες στους επιμέρους υποτομείς (2,5 για την Κεντρική Κυβέρνηση -πλην ΚΠ -, 0,7 για τους ΟΤΑ και 1,9 για τους ΟΚΑ)  υποτομείς. Ιδιαίτερα αυξημένα ήταν επίσης τα έ</w:t>
      </w:r>
      <w:r w:rsidRPr="00357913">
        <w:rPr>
          <w:color w:val="000000" w:themeColor="text1"/>
        </w:rPr>
        <w:t xml:space="preserve">σοδα από μεταβιβάσεις ως </w:t>
      </w:r>
      <w:r>
        <w:rPr>
          <w:color w:val="000000" w:themeColor="text1"/>
        </w:rPr>
        <w:t xml:space="preserve">ποσοστό των </w:t>
      </w:r>
      <w:r w:rsidRPr="00357913">
        <w:rPr>
          <w:color w:val="000000" w:themeColor="text1"/>
        </w:rPr>
        <w:t>συνολικών εσόδων</w:t>
      </w:r>
      <w:r>
        <w:rPr>
          <w:color w:val="000000" w:themeColor="text1"/>
        </w:rPr>
        <w:t xml:space="preserve"> το 2020 της ΚΚ (πλην ΚΠ) και των ΟΤΑ, κατά 9,1 και 6,8 </w:t>
      </w:r>
      <w:r w:rsidRPr="002B7E97">
        <w:rPr>
          <w:color w:val="000000" w:themeColor="text1"/>
        </w:rPr>
        <w:t>ποσοστιαίες μονάδες</w:t>
      </w:r>
      <w:r>
        <w:rPr>
          <w:color w:val="000000" w:themeColor="text1"/>
        </w:rPr>
        <w:t>, αντίστοιχα.</w:t>
      </w:r>
    </w:p>
    <w:p w14:paraId="4B49BB7A" w14:textId="77777777" w:rsidR="008C7473" w:rsidRPr="00EC35DA" w:rsidRDefault="008C7473" w:rsidP="00EC35DA">
      <w:pPr>
        <w:rPr>
          <w:color w:val="auto"/>
        </w:rPr>
      </w:pPr>
    </w:p>
    <w:p w14:paraId="4AA355BC" w14:textId="77777777" w:rsidR="009741B0" w:rsidRPr="009741B0" w:rsidRDefault="009741B0" w:rsidP="009741B0">
      <w:pPr>
        <w:autoSpaceDE w:val="0"/>
        <w:autoSpaceDN w:val="0"/>
        <w:adjustRightInd w:val="0"/>
        <w:rPr>
          <w:rFonts w:ascii="Calibri" w:eastAsia="Calibri" w:hAnsi="Calibri" w:cs="Calibri"/>
          <w:color w:val="00B0F0"/>
          <w:sz w:val="16"/>
          <w:szCs w:val="16"/>
        </w:rPr>
      </w:pPr>
    </w:p>
    <w:p w14:paraId="6B7736AF" w14:textId="704BF3D1" w:rsidR="0093506F" w:rsidRDefault="0093506F" w:rsidP="00D85054">
      <w:pPr>
        <w:autoSpaceDE w:val="0"/>
        <w:autoSpaceDN w:val="0"/>
        <w:adjustRightInd w:val="0"/>
        <w:rPr>
          <w:rFonts w:cstheme="minorHAnsi"/>
          <w:color w:val="000000"/>
        </w:rPr>
      </w:pPr>
    </w:p>
    <w:p w14:paraId="2CD57FBB" w14:textId="3A91D2CC" w:rsidR="003A3673" w:rsidRDefault="003A3673">
      <w:pPr>
        <w:spacing w:after="160" w:line="0" w:lineRule="auto"/>
        <w:jc w:val="left"/>
        <w:rPr>
          <w:rFonts w:cstheme="minorHAnsi"/>
          <w:color w:val="000000"/>
        </w:rPr>
      </w:pPr>
      <w:r>
        <w:rPr>
          <w:rFonts w:cstheme="minorHAnsi"/>
          <w:color w:val="000000"/>
        </w:rPr>
        <w:br w:type="page"/>
      </w:r>
    </w:p>
    <w:p w14:paraId="2C68820B" w14:textId="77777777" w:rsidR="002F5A77" w:rsidRDefault="002F5A77" w:rsidP="002F5A77">
      <w:pPr>
        <w:spacing w:after="160" w:line="0" w:lineRule="auto"/>
        <w:jc w:val="left"/>
        <w:rPr>
          <w:color w:val="auto"/>
        </w:rPr>
      </w:pPr>
    </w:p>
    <w:p w14:paraId="3ADC8634" w14:textId="6687FAD0" w:rsidR="000908EA" w:rsidRDefault="000908EA" w:rsidP="00D07140">
      <w:pPr>
        <w:pStyle w:val="a0"/>
        <w:numPr>
          <w:ilvl w:val="0"/>
          <w:numId w:val="3"/>
        </w:numPr>
        <w:ind w:left="0"/>
        <w:rPr>
          <w:sz w:val="32"/>
          <w:szCs w:val="32"/>
        </w:rPr>
      </w:pPr>
      <w:bookmarkStart w:id="160" w:name="_Toc73435750"/>
      <w:r w:rsidRPr="000908EA">
        <w:rPr>
          <w:sz w:val="32"/>
          <w:szCs w:val="32"/>
        </w:rPr>
        <w:t>Δημοσιονομικές εξελίξεις 2021</w:t>
      </w:r>
      <w:bookmarkEnd w:id="160"/>
    </w:p>
    <w:p w14:paraId="1C2EEF65" w14:textId="77777777" w:rsidR="000A4ABB" w:rsidRDefault="000A4ABB">
      <w:pPr>
        <w:spacing w:after="160" w:line="0" w:lineRule="auto"/>
        <w:jc w:val="left"/>
      </w:pPr>
    </w:p>
    <w:p w14:paraId="76073A5D" w14:textId="48236CC9" w:rsidR="007F6518" w:rsidRPr="009A1EEA" w:rsidRDefault="007F6518" w:rsidP="007F6518">
      <w:pPr>
        <w:numPr>
          <w:ilvl w:val="0"/>
          <w:numId w:val="21"/>
        </w:numPr>
        <w:spacing w:after="160"/>
        <w:ind w:left="714" w:hanging="357"/>
        <w:rPr>
          <w:rFonts w:eastAsia="Calibri" w:cs="Times New Roman"/>
          <w:b/>
          <w:i/>
          <w:color w:val="595959" w:themeColor="text1" w:themeTint="A6"/>
          <w:sz w:val="24"/>
          <w:szCs w:val="24"/>
        </w:rPr>
      </w:pPr>
      <w:r w:rsidRPr="009A1EEA">
        <w:rPr>
          <w:rFonts w:eastAsia="Calibri" w:cs="Times New Roman"/>
          <w:b/>
          <w:i/>
          <w:color w:val="595959" w:themeColor="text1" w:themeTint="A6"/>
          <w:sz w:val="24"/>
          <w:szCs w:val="24"/>
        </w:rPr>
        <w:t xml:space="preserve">Σημαντικά αυξημένο </w:t>
      </w:r>
      <w:r>
        <w:rPr>
          <w:rFonts w:eastAsia="Calibri" w:cs="Times New Roman"/>
          <w:b/>
          <w:i/>
          <w:color w:val="595959" w:themeColor="text1" w:themeTint="A6"/>
          <w:sz w:val="24"/>
          <w:szCs w:val="24"/>
        </w:rPr>
        <w:t>(</w:t>
      </w:r>
      <w:r w:rsidRPr="009A1EEA">
        <w:rPr>
          <w:rFonts w:eastAsia="Calibri" w:cs="Times New Roman"/>
          <w:b/>
          <w:i/>
          <w:color w:val="595959" w:themeColor="text1" w:themeTint="A6"/>
          <w:sz w:val="24"/>
          <w:szCs w:val="24"/>
        </w:rPr>
        <w:t>κατά 3,9 δισ. ευρώ</w:t>
      </w:r>
      <w:r>
        <w:rPr>
          <w:rFonts w:eastAsia="Calibri" w:cs="Times New Roman"/>
          <w:b/>
          <w:i/>
          <w:color w:val="595959" w:themeColor="text1" w:themeTint="A6"/>
          <w:sz w:val="24"/>
          <w:szCs w:val="24"/>
        </w:rPr>
        <w:t xml:space="preserve">) </w:t>
      </w:r>
      <w:r w:rsidRPr="009A1EEA">
        <w:rPr>
          <w:rFonts w:eastAsia="Calibri" w:cs="Times New Roman"/>
          <w:b/>
          <w:i/>
          <w:color w:val="595959" w:themeColor="text1" w:themeTint="A6"/>
          <w:sz w:val="24"/>
          <w:szCs w:val="24"/>
        </w:rPr>
        <w:t>το ταμειακό έλλειμμα του ΚΠ το Α’ τρίμηνο του 202</w:t>
      </w:r>
      <w:r w:rsidR="00FB1907">
        <w:rPr>
          <w:rFonts w:eastAsia="Calibri" w:cs="Times New Roman"/>
          <w:b/>
          <w:i/>
          <w:color w:val="595959" w:themeColor="text1" w:themeTint="A6"/>
          <w:sz w:val="24"/>
          <w:szCs w:val="24"/>
        </w:rPr>
        <w:t>1 σε σχέση με το αντίστοιχο περ</w:t>
      </w:r>
      <w:r w:rsidRPr="009A1EEA">
        <w:rPr>
          <w:rFonts w:eastAsia="Calibri" w:cs="Times New Roman"/>
          <w:b/>
          <w:i/>
          <w:color w:val="595959" w:themeColor="text1" w:themeTint="A6"/>
          <w:sz w:val="24"/>
          <w:szCs w:val="24"/>
        </w:rPr>
        <w:t xml:space="preserve">σινό </w:t>
      </w:r>
      <w:r>
        <w:rPr>
          <w:rFonts w:eastAsia="Calibri" w:cs="Times New Roman"/>
          <w:b/>
          <w:i/>
          <w:color w:val="595959" w:themeColor="text1" w:themeTint="A6"/>
          <w:sz w:val="24"/>
          <w:szCs w:val="24"/>
        </w:rPr>
        <w:t xml:space="preserve"> εξαιτίας των  υψηλών </w:t>
      </w:r>
      <w:r w:rsidRPr="009A1EEA">
        <w:rPr>
          <w:rFonts w:eastAsia="Calibri" w:cs="Times New Roman"/>
          <w:b/>
          <w:i/>
          <w:color w:val="595959" w:themeColor="text1" w:themeTint="A6"/>
          <w:sz w:val="24"/>
          <w:szCs w:val="24"/>
        </w:rPr>
        <w:t>δαπ</w:t>
      </w:r>
      <w:r>
        <w:rPr>
          <w:rFonts w:eastAsia="Calibri" w:cs="Times New Roman"/>
          <w:b/>
          <w:i/>
          <w:color w:val="595959" w:themeColor="text1" w:themeTint="A6"/>
          <w:sz w:val="24"/>
          <w:szCs w:val="24"/>
        </w:rPr>
        <w:t>α</w:t>
      </w:r>
      <w:r w:rsidRPr="009A1EEA">
        <w:rPr>
          <w:rFonts w:eastAsia="Calibri" w:cs="Times New Roman"/>
          <w:b/>
          <w:i/>
          <w:color w:val="595959" w:themeColor="text1" w:themeTint="A6"/>
          <w:sz w:val="24"/>
          <w:szCs w:val="24"/>
        </w:rPr>
        <w:t>ν</w:t>
      </w:r>
      <w:r>
        <w:rPr>
          <w:rFonts w:eastAsia="Calibri" w:cs="Times New Roman"/>
          <w:b/>
          <w:i/>
          <w:color w:val="595959" w:themeColor="text1" w:themeTint="A6"/>
          <w:sz w:val="24"/>
          <w:szCs w:val="24"/>
        </w:rPr>
        <w:t>ών</w:t>
      </w:r>
      <w:r w:rsidRPr="009A1EEA">
        <w:rPr>
          <w:rFonts w:eastAsia="Calibri" w:cs="Times New Roman"/>
          <w:b/>
          <w:i/>
          <w:color w:val="595959" w:themeColor="text1" w:themeTint="A6"/>
          <w:sz w:val="24"/>
          <w:szCs w:val="24"/>
        </w:rPr>
        <w:t xml:space="preserve"> για τ</w:t>
      </w:r>
      <w:r>
        <w:rPr>
          <w:rFonts w:eastAsia="Calibri" w:cs="Times New Roman"/>
          <w:b/>
          <w:i/>
          <w:color w:val="595959" w:themeColor="text1" w:themeTint="A6"/>
          <w:sz w:val="24"/>
          <w:szCs w:val="24"/>
        </w:rPr>
        <w:t xml:space="preserve">ην </w:t>
      </w:r>
      <w:r w:rsidRPr="009A1EEA">
        <w:rPr>
          <w:rFonts w:eastAsia="Calibri" w:cs="Times New Roman"/>
          <w:b/>
          <w:i/>
          <w:color w:val="595959" w:themeColor="text1" w:themeTint="A6"/>
          <w:sz w:val="24"/>
          <w:szCs w:val="24"/>
        </w:rPr>
        <w:t>αντιμετώπιση της πανδημίας (+4,3 δισ. ευρώ).</w:t>
      </w:r>
    </w:p>
    <w:p w14:paraId="0E56F4E1" w14:textId="1E1917D3" w:rsidR="007F6518" w:rsidRDefault="007F6518" w:rsidP="007F6518">
      <w:pPr>
        <w:numPr>
          <w:ilvl w:val="0"/>
          <w:numId w:val="21"/>
        </w:numPr>
        <w:spacing w:after="160"/>
        <w:ind w:left="714" w:hanging="357"/>
        <w:rPr>
          <w:rFonts w:eastAsia="Calibri" w:cs="Times New Roman"/>
          <w:b/>
          <w:i/>
          <w:color w:val="595959" w:themeColor="text1" w:themeTint="A6"/>
          <w:sz w:val="24"/>
          <w:szCs w:val="24"/>
        </w:rPr>
      </w:pPr>
      <w:r>
        <w:rPr>
          <w:rFonts w:eastAsia="Calibri" w:cs="Times New Roman"/>
          <w:b/>
          <w:i/>
          <w:color w:val="595959" w:themeColor="text1" w:themeTint="A6"/>
          <w:sz w:val="24"/>
          <w:szCs w:val="24"/>
        </w:rPr>
        <w:t>Αυξημένα καταγράφονται τα έσο</w:t>
      </w:r>
      <w:r w:rsidR="00F22DAD">
        <w:rPr>
          <w:rFonts w:eastAsia="Calibri" w:cs="Times New Roman"/>
          <w:b/>
          <w:i/>
          <w:color w:val="595959" w:themeColor="text1" w:themeTint="A6"/>
          <w:sz w:val="24"/>
          <w:szCs w:val="24"/>
        </w:rPr>
        <w:t>δα του ΚΠ την ίδια περίοδο λόγω</w:t>
      </w:r>
      <w:r>
        <w:rPr>
          <w:rFonts w:eastAsia="Calibri" w:cs="Times New Roman"/>
          <w:b/>
          <w:i/>
          <w:color w:val="595959" w:themeColor="text1" w:themeTint="A6"/>
          <w:sz w:val="24"/>
          <w:szCs w:val="24"/>
        </w:rPr>
        <w:t>:</w:t>
      </w:r>
    </w:p>
    <w:p w14:paraId="38FD0F37" w14:textId="05FC5E74" w:rsidR="007F6518" w:rsidRDefault="007F6518" w:rsidP="007F6518">
      <w:pPr>
        <w:numPr>
          <w:ilvl w:val="1"/>
          <w:numId w:val="21"/>
        </w:numPr>
        <w:spacing w:after="160"/>
        <w:rPr>
          <w:rFonts w:eastAsia="Calibri" w:cs="Times New Roman"/>
          <w:b/>
          <w:i/>
          <w:color w:val="595959" w:themeColor="text1" w:themeTint="A6"/>
          <w:sz w:val="24"/>
          <w:szCs w:val="24"/>
        </w:rPr>
      </w:pPr>
      <w:r>
        <w:rPr>
          <w:rFonts w:eastAsia="Calibri" w:cs="Times New Roman"/>
          <w:b/>
          <w:i/>
          <w:color w:val="595959" w:themeColor="text1" w:themeTint="A6"/>
          <w:sz w:val="24"/>
          <w:szCs w:val="24"/>
        </w:rPr>
        <w:t>Ταμειακής εισροής φορολογικών εσόδων (Φόροι Εισοδήματος,  ΕΝΦΙΑ, Φόροι οχημάτων) μέρος των οποίων εισπράχθηκε αρχές του 2021, αντί τέλους του 2020, λόγω μετάθεσης πληρωμών</w:t>
      </w:r>
    </w:p>
    <w:p w14:paraId="5F3D82A7" w14:textId="77777777" w:rsidR="007F6518" w:rsidRDefault="007F6518" w:rsidP="007F6518">
      <w:pPr>
        <w:numPr>
          <w:ilvl w:val="1"/>
          <w:numId w:val="21"/>
        </w:numPr>
        <w:spacing w:after="160"/>
        <w:rPr>
          <w:rFonts w:eastAsia="Calibri" w:cs="Times New Roman"/>
          <w:b/>
          <w:i/>
          <w:color w:val="595959" w:themeColor="text1" w:themeTint="A6"/>
          <w:sz w:val="24"/>
          <w:szCs w:val="24"/>
        </w:rPr>
      </w:pPr>
      <w:r>
        <w:rPr>
          <w:rFonts w:eastAsia="Calibri" w:cs="Times New Roman"/>
          <w:b/>
          <w:i/>
          <w:color w:val="595959" w:themeColor="text1" w:themeTint="A6"/>
          <w:sz w:val="24"/>
          <w:szCs w:val="24"/>
        </w:rPr>
        <w:t xml:space="preserve">Έκτακτου εσόδου ύψους, περίπου, 195 εκατ. ευρώ που εισπράχθηκε </w:t>
      </w:r>
      <w:r w:rsidRPr="009A1EEA">
        <w:rPr>
          <w:rFonts w:eastAsia="Calibri" w:cs="Times New Roman"/>
          <w:b/>
          <w:i/>
          <w:color w:val="595959" w:themeColor="text1" w:themeTint="A6"/>
          <w:sz w:val="24"/>
          <w:szCs w:val="24"/>
        </w:rPr>
        <w:t>από τις εταιρίες κινητής τηλεφωνίας για τις άδειες πέμπτης γενιάς (5G).</w:t>
      </w:r>
    </w:p>
    <w:p w14:paraId="55CA1A0E" w14:textId="77777777" w:rsidR="007F6518" w:rsidRDefault="007F6518" w:rsidP="007F6518">
      <w:pPr>
        <w:numPr>
          <w:ilvl w:val="0"/>
          <w:numId w:val="21"/>
        </w:numPr>
        <w:spacing w:after="160"/>
        <w:rPr>
          <w:rFonts w:eastAsia="Calibri" w:cs="Times New Roman"/>
          <w:b/>
          <w:i/>
          <w:color w:val="595959" w:themeColor="text1" w:themeTint="A6"/>
          <w:sz w:val="24"/>
          <w:szCs w:val="24"/>
        </w:rPr>
      </w:pPr>
      <w:r>
        <w:rPr>
          <w:rFonts w:eastAsia="Calibri" w:cs="Times New Roman"/>
          <w:b/>
          <w:i/>
          <w:color w:val="595959" w:themeColor="text1" w:themeTint="A6"/>
          <w:sz w:val="24"/>
          <w:szCs w:val="24"/>
        </w:rPr>
        <w:t xml:space="preserve">Αυξημένο κατά </w:t>
      </w:r>
      <w:r w:rsidRPr="009C7EF9">
        <w:rPr>
          <w:rFonts w:eastAsia="Calibri" w:cs="Times New Roman"/>
          <w:b/>
          <w:i/>
          <w:color w:val="595959" w:themeColor="text1" w:themeTint="A6"/>
          <w:sz w:val="24"/>
          <w:szCs w:val="24"/>
        </w:rPr>
        <w:t>5 δισ. ευρώ</w:t>
      </w:r>
      <w:r w:rsidDel="0043671D">
        <w:rPr>
          <w:rFonts w:eastAsia="Calibri" w:cs="Times New Roman"/>
          <w:b/>
          <w:i/>
          <w:color w:val="595959" w:themeColor="text1" w:themeTint="A6"/>
          <w:sz w:val="24"/>
          <w:szCs w:val="24"/>
        </w:rPr>
        <w:t xml:space="preserve"> </w:t>
      </w:r>
      <w:r>
        <w:rPr>
          <w:rFonts w:eastAsia="Calibri" w:cs="Times New Roman"/>
          <w:b/>
          <w:i/>
          <w:color w:val="595959" w:themeColor="text1" w:themeTint="A6"/>
          <w:sz w:val="24"/>
          <w:szCs w:val="24"/>
        </w:rPr>
        <w:t>το ταμειακό έλλειμμα της ίδιας περιόδου σε επίπεδο ΓΚ αποκλειστικά λόγω αύξησης των δαπανών:</w:t>
      </w:r>
    </w:p>
    <w:p w14:paraId="45567FAD" w14:textId="77777777" w:rsidR="007F6518" w:rsidRDefault="007F6518" w:rsidP="007F6518">
      <w:pPr>
        <w:numPr>
          <w:ilvl w:val="1"/>
          <w:numId w:val="21"/>
        </w:numPr>
        <w:spacing w:after="160"/>
        <w:rPr>
          <w:rFonts w:eastAsia="Calibri" w:cs="Times New Roman"/>
          <w:b/>
          <w:i/>
          <w:color w:val="595959" w:themeColor="text1" w:themeTint="A6"/>
          <w:sz w:val="24"/>
          <w:szCs w:val="24"/>
        </w:rPr>
      </w:pPr>
      <w:r>
        <w:rPr>
          <w:rFonts w:eastAsia="Calibri" w:cs="Times New Roman"/>
          <w:b/>
          <w:i/>
          <w:color w:val="595959" w:themeColor="text1" w:themeTint="A6"/>
          <w:sz w:val="24"/>
          <w:szCs w:val="24"/>
        </w:rPr>
        <w:t>Για μέτρα αντιμετώπισης της πανδημίας (+3,7 δισ. ευρώ)</w:t>
      </w:r>
    </w:p>
    <w:p w14:paraId="226CDB9A" w14:textId="77777777" w:rsidR="007F6518" w:rsidRDefault="007F6518" w:rsidP="007F6518">
      <w:pPr>
        <w:numPr>
          <w:ilvl w:val="1"/>
          <w:numId w:val="21"/>
        </w:numPr>
        <w:spacing w:after="160"/>
        <w:rPr>
          <w:rFonts w:eastAsia="Calibri" w:cs="Times New Roman"/>
          <w:b/>
          <w:i/>
          <w:color w:val="595959" w:themeColor="text1" w:themeTint="A6"/>
          <w:sz w:val="24"/>
          <w:szCs w:val="24"/>
        </w:rPr>
      </w:pPr>
      <w:r>
        <w:rPr>
          <w:rFonts w:eastAsia="Calibri" w:cs="Times New Roman"/>
          <w:b/>
          <w:i/>
          <w:color w:val="595959" w:themeColor="text1" w:themeTint="A6"/>
          <w:sz w:val="24"/>
          <w:szCs w:val="24"/>
        </w:rPr>
        <w:t>Για πληρωμές εξοπλιστικών προγραμμάτων (+800 εκατ. ευρώ, περίπου)</w:t>
      </w:r>
    </w:p>
    <w:p w14:paraId="45316EEC" w14:textId="4012459C" w:rsidR="007F6518" w:rsidRDefault="007F6518" w:rsidP="007F6518">
      <w:pPr>
        <w:numPr>
          <w:ilvl w:val="0"/>
          <w:numId w:val="21"/>
        </w:numPr>
        <w:spacing w:after="160"/>
        <w:rPr>
          <w:rFonts w:eastAsia="Calibri" w:cs="Times New Roman"/>
          <w:b/>
          <w:i/>
          <w:color w:val="595959" w:themeColor="text1" w:themeTint="A6"/>
          <w:sz w:val="24"/>
          <w:szCs w:val="24"/>
        </w:rPr>
      </w:pPr>
      <w:r>
        <w:rPr>
          <w:rFonts w:eastAsia="Calibri" w:cs="Times New Roman"/>
          <w:b/>
          <w:i/>
          <w:color w:val="595959" w:themeColor="text1" w:themeTint="A6"/>
          <w:sz w:val="24"/>
          <w:szCs w:val="24"/>
        </w:rPr>
        <w:t>Α</w:t>
      </w:r>
      <w:r w:rsidRPr="009C7EF9">
        <w:rPr>
          <w:rFonts w:eastAsia="Calibri" w:cs="Times New Roman"/>
          <w:b/>
          <w:i/>
          <w:color w:val="595959" w:themeColor="text1" w:themeTint="A6"/>
          <w:sz w:val="24"/>
          <w:szCs w:val="24"/>
        </w:rPr>
        <w:t>ναμένεται βελτίωση του ταμειακού αποτελέσματος της ΓΚ</w:t>
      </w:r>
      <w:r>
        <w:rPr>
          <w:rFonts w:eastAsia="Calibri" w:cs="Times New Roman"/>
          <w:b/>
          <w:i/>
          <w:color w:val="595959" w:themeColor="text1" w:themeTint="A6"/>
          <w:sz w:val="24"/>
          <w:szCs w:val="24"/>
        </w:rPr>
        <w:t xml:space="preserve"> τους επόμενους μήνες,</w:t>
      </w:r>
      <w:r w:rsidRPr="009C7EF9">
        <w:rPr>
          <w:rFonts w:eastAsia="Calibri" w:cs="Times New Roman"/>
          <w:b/>
          <w:i/>
          <w:color w:val="595959" w:themeColor="text1" w:themeTint="A6"/>
          <w:sz w:val="24"/>
          <w:szCs w:val="24"/>
        </w:rPr>
        <w:t xml:space="preserve"> </w:t>
      </w:r>
      <w:r>
        <w:rPr>
          <w:rFonts w:eastAsia="Calibri" w:cs="Times New Roman"/>
          <w:b/>
          <w:i/>
          <w:color w:val="595959" w:themeColor="text1" w:themeTint="A6"/>
          <w:sz w:val="24"/>
          <w:szCs w:val="24"/>
        </w:rPr>
        <w:t>διότι:</w:t>
      </w:r>
    </w:p>
    <w:p w14:paraId="1479349F" w14:textId="12106CEB" w:rsidR="007F6518" w:rsidRDefault="007F6518" w:rsidP="007F6518">
      <w:pPr>
        <w:numPr>
          <w:ilvl w:val="1"/>
          <w:numId w:val="21"/>
        </w:numPr>
        <w:spacing w:after="160"/>
        <w:rPr>
          <w:rFonts w:eastAsia="Calibri" w:cs="Times New Roman"/>
          <w:b/>
          <w:i/>
          <w:color w:val="595959" w:themeColor="text1" w:themeTint="A6"/>
          <w:sz w:val="24"/>
          <w:szCs w:val="24"/>
        </w:rPr>
      </w:pPr>
      <w:r w:rsidRPr="009C7EF9">
        <w:rPr>
          <w:rFonts w:eastAsia="Calibri" w:cs="Times New Roman"/>
          <w:b/>
          <w:i/>
          <w:color w:val="595959" w:themeColor="text1" w:themeTint="A6"/>
          <w:sz w:val="24"/>
          <w:szCs w:val="24"/>
        </w:rPr>
        <w:t xml:space="preserve">δεν θα επαναληφθούν </w:t>
      </w:r>
      <w:r>
        <w:rPr>
          <w:rFonts w:eastAsia="Calibri" w:cs="Times New Roman"/>
          <w:b/>
          <w:i/>
          <w:color w:val="595959" w:themeColor="text1" w:themeTint="A6"/>
          <w:sz w:val="24"/>
          <w:szCs w:val="24"/>
        </w:rPr>
        <w:t>φέτος πολλές από τις έκτακ</w:t>
      </w:r>
      <w:r w:rsidR="00F22DAD">
        <w:rPr>
          <w:rFonts w:eastAsia="Calibri" w:cs="Times New Roman"/>
          <w:b/>
          <w:i/>
          <w:color w:val="595959" w:themeColor="text1" w:themeTint="A6"/>
          <w:sz w:val="24"/>
          <w:szCs w:val="24"/>
        </w:rPr>
        <w:t>τες δαπάνες της αντίστοιχης περ</w:t>
      </w:r>
      <w:r>
        <w:rPr>
          <w:rFonts w:eastAsia="Calibri" w:cs="Times New Roman"/>
          <w:b/>
          <w:i/>
          <w:color w:val="595959" w:themeColor="text1" w:themeTint="A6"/>
          <w:sz w:val="24"/>
          <w:szCs w:val="24"/>
        </w:rPr>
        <w:t xml:space="preserve">σινής περιόδου </w:t>
      </w:r>
      <w:r w:rsidRPr="009C7EF9">
        <w:rPr>
          <w:rFonts w:eastAsia="Calibri" w:cs="Times New Roman"/>
          <w:b/>
          <w:i/>
          <w:color w:val="595959" w:themeColor="text1" w:themeTint="A6"/>
          <w:sz w:val="24"/>
          <w:szCs w:val="24"/>
        </w:rPr>
        <w:t>και</w:t>
      </w:r>
    </w:p>
    <w:p w14:paraId="5AF3388C" w14:textId="556EA857" w:rsidR="009C7EF9" w:rsidRDefault="007F6518" w:rsidP="005C47FA">
      <w:pPr>
        <w:numPr>
          <w:ilvl w:val="1"/>
          <w:numId w:val="21"/>
        </w:numPr>
        <w:spacing w:after="160"/>
        <w:rPr>
          <w:rFonts w:eastAsia="Calibri" w:cs="Times New Roman"/>
          <w:b/>
          <w:i/>
          <w:color w:val="595959" w:themeColor="text1" w:themeTint="A6"/>
          <w:sz w:val="24"/>
          <w:szCs w:val="24"/>
        </w:rPr>
      </w:pPr>
      <w:r>
        <w:rPr>
          <w:rFonts w:eastAsia="Calibri" w:cs="Times New Roman"/>
          <w:b/>
          <w:i/>
          <w:color w:val="595959" w:themeColor="text1" w:themeTint="A6"/>
          <w:sz w:val="24"/>
          <w:szCs w:val="24"/>
        </w:rPr>
        <w:t xml:space="preserve"> αναμένεται </w:t>
      </w:r>
      <w:r w:rsidRPr="009C7EF9">
        <w:rPr>
          <w:rFonts w:eastAsia="Calibri" w:cs="Times New Roman"/>
          <w:b/>
          <w:i/>
          <w:color w:val="595959" w:themeColor="text1" w:themeTint="A6"/>
          <w:sz w:val="24"/>
          <w:szCs w:val="24"/>
        </w:rPr>
        <w:t>αύξηση των εισπράξεων από φορολογικά έσοδα και ασφαλιστικές εισφορές</w:t>
      </w:r>
      <w:r>
        <w:rPr>
          <w:rFonts w:eastAsia="Calibri" w:cs="Times New Roman"/>
          <w:b/>
          <w:i/>
          <w:color w:val="595959" w:themeColor="text1" w:themeTint="A6"/>
          <w:sz w:val="24"/>
          <w:szCs w:val="24"/>
        </w:rPr>
        <w:t xml:space="preserve"> μετά τη μεγάλη μείωσή τους κατά το </w:t>
      </w:r>
      <w:r w:rsidR="00F22DAD">
        <w:rPr>
          <w:rFonts w:eastAsia="Calibri" w:cs="Times New Roman"/>
          <w:b/>
          <w:i/>
          <w:color w:val="595959" w:themeColor="text1" w:themeTint="A6"/>
          <w:sz w:val="24"/>
          <w:szCs w:val="24"/>
        </w:rPr>
        <w:t>περ</w:t>
      </w:r>
      <w:r>
        <w:rPr>
          <w:rFonts w:eastAsia="Calibri" w:cs="Times New Roman"/>
          <w:b/>
          <w:i/>
          <w:color w:val="595959" w:themeColor="text1" w:themeTint="A6"/>
          <w:sz w:val="24"/>
          <w:szCs w:val="24"/>
        </w:rPr>
        <w:t>σινό εννεάμηνο Απριλίου</w:t>
      </w:r>
      <w:r w:rsidR="0020516B">
        <w:rPr>
          <w:rFonts w:eastAsia="Calibri" w:cs="Times New Roman"/>
          <w:b/>
          <w:i/>
          <w:color w:val="595959" w:themeColor="text1" w:themeTint="A6"/>
          <w:sz w:val="24"/>
          <w:szCs w:val="24"/>
        </w:rPr>
        <w:t xml:space="preserve"> </w:t>
      </w:r>
      <w:r>
        <w:rPr>
          <w:rFonts w:eastAsia="Calibri" w:cs="Times New Roman"/>
          <w:b/>
          <w:i/>
          <w:color w:val="595959" w:themeColor="text1" w:themeTint="A6"/>
          <w:sz w:val="24"/>
          <w:szCs w:val="24"/>
        </w:rPr>
        <w:t>- Δεκεμβρίου</w:t>
      </w:r>
      <w:r w:rsidR="009C7EF9">
        <w:rPr>
          <w:rFonts w:eastAsia="Calibri" w:cs="Times New Roman"/>
          <w:b/>
          <w:i/>
          <w:color w:val="595959" w:themeColor="text1" w:themeTint="A6"/>
          <w:sz w:val="24"/>
          <w:szCs w:val="24"/>
        </w:rPr>
        <w:t>.</w:t>
      </w:r>
    </w:p>
    <w:p w14:paraId="10C2A1F1" w14:textId="6FF8A8C2" w:rsidR="00124001" w:rsidRDefault="00124001">
      <w:pPr>
        <w:spacing w:after="160" w:line="0" w:lineRule="auto"/>
        <w:jc w:val="left"/>
      </w:pPr>
      <w:r>
        <w:br w:type="page"/>
      </w:r>
    </w:p>
    <w:p w14:paraId="316F010E" w14:textId="2BB1AC46" w:rsidR="009C7EF9" w:rsidRDefault="009C7EF9">
      <w:pPr>
        <w:spacing w:after="160" w:line="0" w:lineRule="auto"/>
        <w:jc w:val="left"/>
      </w:pPr>
    </w:p>
    <w:p w14:paraId="5A2AD271" w14:textId="63FF06CF" w:rsidR="009C7EF9" w:rsidRDefault="009C7EF9">
      <w:pPr>
        <w:spacing w:after="160" w:line="0" w:lineRule="auto"/>
        <w:jc w:val="left"/>
      </w:pPr>
    </w:p>
    <w:p w14:paraId="49B50FBC" w14:textId="77777777" w:rsidR="009C7EF9" w:rsidRDefault="009C7EF9">
      <w:pPr>
        <w:spacing w:after="160" w:line="0" w:lineRule="auto"/>
        <w:jc w:val="left"/>
      </w:pPr>
    </w:p>
    <w:p w14:paraId="2833D7CB" w14:textId="74EB27F8" w:rsidR="000908EA" w:rsidRDefault="000908EA" w:rsidP="00D07140">
      <w:pPr>
        <w:pStyle w:val="a1"/>
        <w:numPr>
          <w:ilvl w:val="1"/>
          <w:numId w:val="3"/>
        </w:numPr>
        <w:ind w:left="0"/>
        <w:rPr>
          <w:color w:val="00B0F0"/>
          <w:sz w:val="28"/>
          <w:szCs w:val="28"/>
        </w:rPr>
      </w:pPr>
      <w:bookmarkStart w:id="161" w:name="_Toc73435751"/>
      <w:r w:rsidRPr="000908EA">
        <w:rPr>
          <w:color w:val="00B0F0"/>
          <w:sz w:val="28"/>
          <w:szCs w:val="28"/>
        </w:rPr>
        <w:t xml:space="preserve">Εκτέλεση Κρατικού Προϋπολογισμού </w:t>
      </w:r>
      <w:r>
        <w:rPr>
          <w:color w:val="00B0F0"/>
          <w:sz w:val="28"/>
          <w:szCs w:val="28"/>
        </w:rPr>
        <w:t>Α’ τριμήνου</w:t>
      </w:r>
      <w:r w:rsidR="003E2548" w:rsidRPr="003E2548">
        <w:rPr>
          <w:color w:val="00B0F0"/>
          <w:sz w:val="28"/>
          <w:szCs w:val="28"/>
        </w:rPr>
        <w:t xml:space="preserve"> 2021</w:t>
      </w:r>
      <w:bookmarkEnd w:id="161"/>
    </w:p>
    <w:p w14:paraId="79CD7F10" w14:textId="22403267" w:rsidR="000F4F90" w:rsidRPr="00124001" w:rsidRDefault="000F4F90" w:rsidP="00124001">
      <w:pPr>
        <w:spacing w:after="160"/>
        <w:rPr>
          <w:rFonts w:cstheme="minorHAnsi"/>
          <w:color w:val="auto"/>
        </w:rPr>
      </w:pPr>
      <w:r w:rsidRPr="00124001">
        <w:rPr>
          <w:rFonts w:cstheme="minorHAnsi"/>
          <w:color w:val="auto"/>
        </w:rPr>
        <w:t xml:space="preserve">Ο </w:t>
      </w:r>
      <w:r w:rsidRPr="00EC5548">
        <w:rPr>
          <w:rFonts w:cstheme="minorHAnsi"/>
          <w:color w:val="auto"/>
        </w:rPr>
        <w:t>κρατικός προϋπολογισμός (</w:t>
      </w:r>
      <w:r w:rsidR="00EC5548" w:rsidRPr="00EC5548">
        <w:rPr>
          <w:rFonts w:cstheme="minorHAnsi"/>
          <w:i/>
          <w:color w:val="auto"/>
        </w:rPr>
        <w:fldChar w:fldCharType="begin"/>
      </w:r>
      <w:r w:rsidR="00EC5548" w:rsidRPr="00EC5548">
        <w:rPr>
          <w:rFonts w:cstheme="minorHAnsi"/>
          <w:i/>
          <w:color w:val="auto"/>
        </w:rPr>
        <w:instrText xml:space="preserve"> REF _Ref72407840 \h  \* MERGEFORMAT </w:instrText>
      </w:r>
      <w:r w:rsidR="00EC5548" w:rsidRPr="00EC5548">
        <w:rPr>
          <w:rFonts w:cstheme="minorHAnsi"/>
          <w:i/>
          <w:color w:val="auto"/>
        </w:rPr>
      </w:r>
      <w:r w:rsidR="00EC5548" w:rsidRPr="00EC5548">
        <w:rPr>
          <w:rFonts w:cstheme="minorHAnsi"/>
          <w:i/>
          <w:color w:val="auto"/>
        </w:rPr>
        <w:fldChar w:fldCharType="separate"/>
      </w:r>
      <w:r w:rsidR="00CC05A7" w:rsidRPr="00CC05A7">
        <w:rPr>
          <w:i/>
          <w:color w:val="auto"/>
        </w:rPr>
        <w:t xml:space="preserve">Πίνακας </w:t>
      </w:r>
      <w:r w:rsidR="00CC05A7" w:rsidRPr="00CC05A7">
        <w:rPr>
          <w:i/>
          <w:noProof/>
          <w:color w:val="auto"/>
        </w:rPr>
        <w:t>16</w:t>
      </w:r>
      <w:r w:rsidR="00EC5548" w:rsidRPr="00EC5548">
        <w:rPr>
          <w:rFonts w:cstheme="minorHAnsi"/>
          <w:i/>
          <w:color w:val="auto"/>
        </w:rPr>
        <w:fldChar w:fldCharType="end"/>
      </w:r>
      <w:r w:rsidRPr="00EC5548">
        <w:rPr>
          <w:rFonts w:cstheme="minorHAnsi"/>
          <w:color w:val="auto"/>
        </w:rPr>
        <w:t xml:space="preserve">) κατέγραψε έλλειμμα το </w:t>
      </w:r>
      <w:r w:rsidRPr="00124001">
        <w:rPr>
          <w:rFonts w:cstheme="minorHAnsi"/>
          <w:color w:val="auto"/>
        </w:rPr>
        <w:t>Α’ τρίμηνο του έτους 2021, ύψους 5.714 εκατ. ευρώ, αυξημένο κατά 3.891 εκατ. ευρώ, σε σχέση με το αντίστοιχο χρονικό διάστημα τ</w:t>
      </w:r>
      <w:r w:rsidR="0020516B">
        <w:rPr>
          <w:rFonts w:cstheme="minorHAnsi"/>
          <w:color w:val="auto"/>
        </w:rPr>
        <w:t xml:space="preserve">ου προηγούμενου έτους. Ωστόσο, </w:t>
      </w:r>
      <w:r w:rsidRPr="00124001">
        <w:rPr>
          <w:rFonts w:cstheme="minorHAnsi"/>
          <w:color w:val="auto"/>
        </w:rPr>
        <w:t>το έλλειμμα του Α’ τριμήνου του 2021 παρουσιάζεται μειωμένο κατά 891 εκατ. ευρώ σε σχέση με τον στόχο για το διάστημα</w:t>
      </w:r>
      <w:r w:rsidR="00203C86">
        <w:rPr>
          <w:rFonts w:cstheme="minorHAnsi"/>
          <w:color w:val="auto"/>
        </w:rPr>
        <w:t xml:space="preserve"> αυτό</w:t>
      </w:r>
      <w:r w:rsidRPr="00124001">
        <w:rPr>
          <w:rFonts w:cstheme="minorHAnsi"/>
          <w:color w:val="auto"/>
        </w:rPr>
        <w:t xml:space="preserve">, όπως αυτός είχε τεθεί στην εισηγητική έκθεση του Προϋπολογισμού του 2021. </w:t>
      </w:r>
    </w:p>
    <w:p w14:paraId="5B90802C" w14:textId="5EA4AEF6" w:rsidR="000F4F90" w:rsidRPr="00124001" w:rsidRDefault="000F4F90" w:rsidP="00124001">
      <w:pPr>
        <w:spacing w:after="160"/>
        <w:rPr>
          <w:rFonts w:cstheme="minorHAnsi"/>
          <w:color w:val="auto"/>
        </w:rPr>
      </w:pPr>
      <w:r w:rsidRPr="00124001">
        <w:rPr>
          <w:rFonts w:cstheme="minorHAnsi"/>
          <w:color w:val="auto"/>
        </w:rPr>
        <w:t>Το πρωτογενές αποτέλεσμα διαμορφώθηκε σε έλλειμμα ύψους 3.413 εκατ. ευρώ, έναντι του στόχου για πρωτογενές έλλειμμα 4.365 εκατ. ευρώ και έναντι πρωτογενούς πλεονάσματος 494 εκατ. ευρώ για την ίδια περίοδο το 2020.</w:t>
      </w:r>
      <w:r w:rsidR="00781029">
        <w:rPr>
          <w:rFonts w:cstheme="minorHAnsi"/>
          <w:color w:val="auto"/>
        </w:rPr>
        <w:t xml:space="preserve"> Η καλύτερη επίδοση σε σχέση με τον στόχο οφείλεται αποκλειστικά </w:t>
      </w:r>
      <w:r w:rsidR="00761934">
        <w:rPr>
          <w:rFonts w:cstheme="minorHAnsi"/>
          <w:color w:val="auto"/>
        </w:rPr>
        <w:t>στο ότι δεν</w:t>
      </w:r>
      <w:r w:rsidR="00781029">
        <w:rPr>
          <w:rFonts w:cstheme="minorHAnsi"/>
          <w:color w:val="auto"/>
        </w:rPr>
        <w:t xml:space="preserve"> </w:t>
      </w:r>
      <w:r w:rsidR="00761934">
        <w:rPr>
          <w:rFonts w:cstheme="minorHAnsi"/>
          <w:color w:val="auto"/>
        </w:rPr>
        <w:t>εκτελέστηκε</w:t>
      </w:r>
      <w:r w:rsidR="00781029">
        <w:rPr>
          <w:rFonts w:cstheme="minorHAnsi"/>
          <w:color w:val="auto"/>
        </w:rPr>
        <w:t xml:space="preserve"> μεγάλο</w:t>
      </w:r>
      <w:r w:rsidR="00761934">
        <w:rPr>
          <w:rFonts w:cstheme="minorHAnsi"/>
          <w:color w:val="auto"/>
        </w:rPr>
        <w:t xml:space="preserve"> μέρο</w:t>
      </w:r>
      <w:r w:rsidR="00203C86">
        <w:rPr>
          <w:rFonts w:cstheme="minorHAnsi"/>
          <w:color w:val="auto"/>
        </w:rPr>
        <w:t>ς πρωτογενών δαπανών (</w:t>
      </w:r>
      <w:r w:rsidR="0020516B">
        <w:rPr>
          <w:rFonts w:cstheme="minorHAnsi"/>
          <w:color w:val="auto"/>
        </w:rPr>
        <w:t>Υπό</w:t>
      </w:r>
      <w:r w:rsidR="00781029">
        <w:rPr>
          <w:rFonts w:cstheme="minorHAnsi"/>
          <w:color w:val="auto"/>
        </w:rPr>
        <w:t xml:space="preserve"> εκτέλεση </w:t>
      </w:r>
      <w:r w:rsidR="00761934">
        <w:rPr>
          <w:rFonts w:cstheme="minorHAnsi"/>
          <w:color w:val="auto"/>
        </w:rPr>
        <w:t xml:space="preserve">κατά </w:t>
      </w:r>
      <w:r w:rsidR="00781029">
        <w:rPr>
          <w:rFonts w:cstheme="minorHAnsi"/>
          <w:color w:val="auto"/>
        </w:rPr>
        <w:t>3.062 εκατ. ευρώ), το α’ τρίμηνο, οι οποίες ωστόσο αναμένεται να εκτελεστούν τους επόμενους μήνες.</w:t>
      </w:r>
    </w:p>
    <w:p w14:paraId="5191FF76" w14:textId="77777777" w:rsidR="000F4F90" w:rsidRDefault="000F4F90" w:rsidP="000F4F90">
      <w:pPr>
        <w:spacing w:after="0"/>
        <w:ind w:firstLine="720"/>
        <w:rPr>
          <w:rFonts w:cstheme="minorHAnsi"/>
          <w:b/>
        </w:rPr>
      </w:pPr>
    </w:p>
    <w:p w14:paraId="690225C9" w14:textId="6355ADF6" w:rsidR="000F4F90" w:rsidRPr="007D6510" w:rsidRDefault="007E4882" w:rsidP="00124001">
      <w:pPr>
        <w:spacing w:after="0"/>
        <w:rPr>
          <w:iCs/>
          <w:color w:val="00B0F0"/>
          <w:sz w:val="20"/>
          <w:szCs w:val="20"/>
        </w:rPr>
      </w:pPr>
      <w:bookmarkStart w:id="162" w:name="_Ref72407840"/>
      <w:bookmarkStart w:id="163" w:name="_Toc73435777"/>
      <w:r w:rsidRPr="007D6510">
        <w:rPr>
          <w:sz w:val="20"/>
          <w:szCs w:val="20"/>
        </w:rPr>
        <w:t xml:space="preserve">Πίνακας </w:t>
      </w:r>
      <w:r w:rsidRPr="007D6510">
        <w:rPr>
          <w:i/>
          <w:sz w:val="20"/>
          <w:szCs w:val="20"/>
        </w:rPr>
        <w:fldChar w:fldCharType="begin"/>
      </w:r>
      <w:r w:rsidRPr="007D6510">
        <w:rPr>
          <w:sz w:val="20"/>
          <w:szCs w:val="20"/>
        </w:rPr>
        <w:instrText xml:space="preserve"> SEQ Πίνακας \* ARABIC </w:instrText>
      </w:r>
      <w:r w:rsidRPr="007D6510">
        <w:rPr>
          <w:i/>
          <w:sz w:val="20"/>
          <w:szCs w:val="20"/>
        </w:rPr>
        <w:fldChar w:fldCharType="separate"/>
      </w:r>
      <w:r w:rsidR="00CC05A7">
        <w:rPr>
          <w:noProof/>
          <w:sz w:val="20"/>
          <w:szCs w:val="20"/>
        </w:rPr>
        <w:t>16</w:t>
      </w:r>
      <w:r w:rsidRPr="007D6510">
        <w:rPr>
          <w:i/>
          <w:sz w:val="20"/>
          <w:szCs w:val="20"/>
        </w:rPr>
        <w:fldChar w:fldCharType="end"/>
      </w:r>
      <w:bookmarkEnd w:id="162"/>
      <w:r w:rsidRPr="007D6510">
        <w:rPr>
          <w:color w:val="00B0F0"/>
          <w:sz w:val="20"/>
          <w:szCs w:val="20"/>
        </w:rPr>
        <w:t>:</w:t>
      </w:r>
      <w:r w:rsidRPr="007D6510">
        <w:rPr>
          <w:iCs/>
          <w:color w:val="00B0F0"/>
          <w:sz w:val="20"/>
          <w:szCs w:val="20"/>
        </w:rPr>
        <w:t xml:space="preserve"> </w:t>
      </w:r>
      <w:r w:rsidR="000F4F90" w:rsidRPr="007D6510">
        <w:rPr>
          <w:iCs/>
          <w:color w:val="00B0F0"/>
          <w:sz w:val="20"/>
          <w:szCs w:val="20"/>
        </w:rPr>
        <w:t>Εκτέλεση Κρατικού Προϋπολογισμού Ιανουάριος-Μάρτιος 2021 (εκατ. ευρώ)</w:t>
      </w:r>
      <w:bookmarkEnd w:id="163"/>
    </w:p>
    <w:tbl>
      <w:tblPr>
        <w:tblW w:w="8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8"/>
        <w:gridCol w:w="915"/>
        <w:gridCol w:w="1071"/>
        <w:gridCol w:w="1286"/>
        <w:gridCol w:w="990"/>
        <w:gridCol w:w="1164"/>
      </w:tblGrid>
      <w:tr w:rsidR="007E4882" w:rsidRPr="007E4882" w14:paraId="7EEEC054" w14:textId="77777777" w:rsidTr="00124001">
        <w:trPr>
          <w:trHeight w:val="629"/>
          <w:jc w:val="center"/>
        </w:trPr>
        <w:tc>
          <w:tcPr>
            <w:tcW w:w="3558" w:type="dxa"/>
            <w:shd w:val="clear" w:color="auto" w:fill="BDD6EE" w:themeFill="accent1" w:themeFillTint="66"/>
            <w:vAlign w:val="center"/>
          </w:tcPr>
          <w:p w14:paraId="12707AA5" w14:textId="77777777" w:rsidR="000F4F90" w:rsidRPr="007E4882" w:rsidRDefault="000F4F90" w:rsidP="00124001">
            <w:pPr>
              <w:spacing w:after="0" w:line="240" w:lineRule="auto"/>
              <w:rPr>
                <w:rFonts w:eastAsia="Times New Roman" w:cstheme="minorHAnsi"/>
                <w:b/>
                <w:bCs/>
                <w:color w:val="auto"/>
                <w:sz w:val="18"/>
                <w:szCs w:val="18"/>
                <w:lang w:eastAsia="el-GR"/>
              </w:rPr>
            </w:pPr>
          </w:p>
        </w:tc>
        <w:tc>
          <w:tcPr>
            <w:tcW w:w="1957" w:type="dxa"/>
            <w:gridSpan w:val="2"/>
            <w:shd w:val="clear" w:color="auto" w:fill="BDD6EE" w:themeFill="accent1" w:themeFillTint="66"/>
            <w:vAlign w:val="center"/>
          </w:tcPr>
          <w:p w14:paraId="001DD1A1" w14:textId="77777777" w:rsidR="000F4F90" w:rsidRPr="007E4882" w:rsidRDefault="000F4F90" w:rsidP="00124001">
            <w:pPr>
              <w:spacing w:after="0" w:line="240" w:lineRule="auto"/>
              <w:jc w:val="center"/>
              <w:rPr>
                <w:rFonts w:eastAsia="Times New Roman" w:cstheme="minorHAnsi"/>
                <w:color w:val="auto"/>
                <w:sz w:val="18"/>
                <w:szCs w:val="18"/>
                <w:lang w:eastAsia="el-GR"/>
              </w:rPr>
            </w:pPr>
            <w:r w:rsidRPr="007E4882">
              <w:rPr>
                <w:rFonts w:cstheme="minorHAnsi"/>
                <w:b/>
                <w:color w:val="auto"/>
                <w:sz w:val="18"/>
                <w:szCs w:val="18"/>
              </w:rPr>
              <w:t>Πραγματοποιήσεις</w:t>
            </w:r>
          </w:p>
        </w:tc>
        <w:tc>
          <w:tcPr>
            <w:tcW w:w="1286" w:type="dxa"/>
            <w:shd w:val="clear" w:color="auto" w:fill="BDD6EE" w:themeFill="accent1" w:themeFillTint="66"/>
            <w:vAlign w:val="center"/>
          </w:tcPr>
          <w:p w14:paraId="12FFBE1F" w14:textId="77777777" w:rsidR="000F4F90" w:rsidRPr="007E4882" w:rsidRDefault="000F4F90" w:rsidP="00124001">
            <w:pPr>
              <w:spacing w:after="0" w:line="240" w:lineRule="auto"/>
              <w:jc w:val="center"/>
              <w:rPr>
                <w:rFonts w:eastAsia="Times New Roman" w:cstheme="minorHAnsi"/>
                <w:color w:val="auto"/>
                <w:sz w:val="18"/>
                <w:szCs w:val="18"/>
                <w:lang w:eastAsia="el-GR"/>
              </w:rPr>
            </w:pPr>
            <w:r w:rsidRPr="007E4882">
              <w:rPr>
                <w:rFonts w:cstheme="minorHAnsi"/>
                <w:b/>
                <w:color w:val="auto"/>
                <w:sz w:val="18"/>
                <w:szCs w:val="18"/>
              </w:rPr>
              <w:t>Εκτιμήσεις*</w:t>
            </w:r>
          </w:p>
        </w:tc>
        <w:tc>
          <w:tcPr>
            <w:tcW w:w="2154" w:type="dxa"/>
            <w:gridSpan w:val="2"/>
            <w:shd w:val="clear" w:color="auto" w:fill="BDD6EE" w:themeFill="accent1" w:themeFillTint="66"/>
            <w:noWrap/>
            <w:vAlign w:val="center"/>
          </w:tcPr>
          <w:p w14:paraId="782D5A51" w14:textId="77777777" w:rsidR="000F4F90" w:rsidRPr="007E4882" w:rsidRDefault="000F4F90" w:rsidP="00124001">
            <w:pPr>
              <w:spacing w:after="0" w:line="240" w:lineRule="auto"/>
              <w:jc w:val="center"/>
              <w:rPr>
                <w:rFonts w:eastAsia="Times New Roman" w:cstheme="minorHAnsi"/>
                <w:b/>
                <w:color w:val="auto"/>
                <w:sz w:val="18"/>
                <w:szCs w:val="18"/>
                <w:lang w:eastAsia="el-GR"/>
              </w:rPr>
            </w:pPr>
            <w:r w:rsidRPr="007E4882">
              <w:rPr>
                <w:rFonts w:eastAsia="Times New Roman" w:cstheme="minorHAnsi"/>
                <w:b/>
                <w:color w:val="auto"/>
                <w:sz w:val="18"/>
                <w:szCs w:val="18"/>
                <w:lang w:eastAsia="el-GR"/>
              </w:rPr>
              <w:t>Διαφορά</w:t>
            </w:r>
          </w:p>
        </w:tc>
      </w:tr>
      <w:tr w:rsidR="007E4882" w:rsidRPr="007E4882" w14:paraId="3FF8143E" w14:textId="77777777" w:rsidTr="00124001">
        <w:trPr>
          <w:trHeight w:val="629"/>
          <w:jc w:val="center"/>
        </w:trPr>
        <w:tc>
          <w:tcPr>
            <w:tcW w:w="3558" w:type="dxa"/>
            <w:shd w:val="clear" w:color="auto" w:fill="BDD6EE" w:themeFill="accent1" w:themeFillTint="66"/>
            <w:vAlign w:val="center"/>
            <w:hideMark/>
          </w:tcPr>
          <w:p w14:paraId="28553FF1" w14:textId="77777777" w:rsidR="000F4F90" w:rsidRPr="007E4882" w:rsidRDefault="000F4F90" w:rsidP="00124001">
            <w:pPr>
              <w:spacing w:after="0" w:line="240" w:lineRule="auto"/>
              <w:rPr>
                <w:rFonts w:eastAsia="Times New Roman" w:cstheme="minorHAnsi"/>
                <w:b/>
                <w:bCs/>
                <w:color w:val="auto"/>
                <w:sz w:val="18"/>
                <w:szCs w:val="18"/>
                <w:lang w:eastAsia="el-GR"/>
              </w:rPr>
            </w:pPr>
            <w:r w:rsidRPr="007E4882">
              <w:rPr>
                <w:rFonts w:eastAsia="Times New Roman" w:cstheme="minorHAnsi"/>
                <w:b/>
                <w:bCs/>
                <w:color w:val="auto"/>
                <w:sz w:val="18"/>
                <w:szCs w:val="18"/>
                <w:lang w:eastAsia="el-GR"/>
              </w:rPr>
              <w:t> </w:t>
            </w:r>
          </w:p>
        </w:tc>
        <w:tc>
          <w:tcPr>
            <w:tcW w:w="908" w:type="dxa"/>
            <w:shd w:val="clear" w:color="auto" w:fill="BDD6EE" w:themeFill="accent1" w:themeFillTint="66"/>
            <w:vAlign w:val="center"/>
            <w:hideMark/>
          </w:tcPr>
          <w:p w14:paraId="6982C9E7" w14:textId="77777777" w:rsidR="000F4F90" w:rsidRPr="007E4882" w:rsidRDefault="000F4F90" w:rsidP="00124001">
            <w:pPr>
              <w:spacing w:after="0" w:line="240" w:lineRule="auto"/>
              <w:jc w:val="center"/>
              <w:rPr>
                <w:rFonts w:eastAsia="Times New Roman" w:cstheme="minorHAnsi"/>
                <w:b/>
                <w:color w:val="auto"/>
                <w:sz w:val="18"/>
                <w:szCs w:val="18"/>
                <w:lang w:eastAsia="el-GR"/>
              </w:rPr>
            </w:pPr>
            <w:r w:rsidRPr="007E4882">
              <w:rPr>
                <w:rFonts w:eastAsia="Times New Roman" w:cstheme="minorHAnsi"/>
                <w:b/>
                <w:color w:val="auto"/>
                <w:sz w:val="18"/>
                <w:szCs w:val="18"/>
                <w:lang w:eastAsia="el-GR"/>
              </w:rPr>
              <w:t>2020</w:t>
            </w:r>
          </w:p>
        </w:tc>
        <w:tc>
          <w:tcPr>
            <w:tcW w:w="1048" w:type="dxa"/>
            <w:shd w:val="clear" w:color="auto" w:fill="BDD6EE" w:themeFill="accent1" w:themeFillTint="66"/>
            <w:vAlign w:val="center"/>
            <w:hideMark/>
          </w:tcPr>
          <w:p w14:paraId="59889C73" w14:textId="77777777" w:rsidR="000F4F90" w:rsidRPr="007E4882" w:rsidRDefault="000F4F90" w:rsidP="00124001">
            <w:pPr>
              <w:spacing w:after="0" w:line="240" w:lineRule="auto"/>
              <w:jc w:val="center"/>
              <w:rPr>
                <w:rFonts w:eastAsia="Times New Roman" w:cstheme="minorHAnsi"/>
                <w:b/>
                <w:color w:val="auto"/>
                <w:sz w:val="18"/>
                <w:szCs w:val="18"/>
                <w:lang w:eastAsia="el-GR"/>
              </w:rPr>
            </w:pPr>
            <w:r w:rsidRPr="007E4882">
              <w:rPr>
                <w:rFonts w:eastAsia="Times New Roman" w:cstheme="minorHAnsi"/>
                <w:b/>
                <w:color w:val="auto"/>
                <w:sz w:val="18"/>
                <w:szCs w:val="18"/>
                <w:lang w:eastAsia="el-GR"/>
              </w:rPr>
              <w:t>2021</w:t>
            </w:r>
          </w:p>
        </w:tc>
        <w:tc>
          <w:tcPr>
            <w:tcW w:w="1286" w:type="dxa"/>
            <w:shd w:val="clear" w:color="auto" w:fill="BDD6EE" w:themeFill="accent1" w:themeFillTint="66"/>
            <w:vAlign w:val="center"/>
            <w:hideMark/>
          </w:tcPr>
          <w:p w14:paraId="68E6D971" w14:textId="77777777" w:rsidR="000F4F90" w:rsidRPr="007E4882" w:rsidRDefault="000F4F90" w:rsidP="00124001">
            <w:pPr>
              <w:spacing w:after="0" w:line="240" w:lineRule="auto"/>
              <w:jc w:val="center"/>
              <w:rPr>
                <w:rFonts w:eastAsia="Times New Roman" w:cstheme="minorHAnsi"/>
                <w:b/>
                <w:color w:val="auto"/>
                <w:sz w:val="18"/>
                <w:szCs w:val="18"/>
                <w:lang w:eastAsia="el-GR"/>
              </w:rPr>
            </w:pPr>
            <w:r w:rsidRPr="007E4882">
              <w:rPr>
                <w:rFonts w:eastAsia="Times New Roman" w:cstheme="minorHAnsi"/>
                <w:b/>
                <w:color w:val="auto"/>
                <w:sz w:val="18"/>
                <w:szCs w:val="18"/>
                <w:lang w:eastAsia="el-GR"/>
              </w:rPr>
              <w:t>Π/Υ 2021</w:t>
            </w:r>
          </w:p>
        </w:tc>
        <w:tc>
          <w:tcPr>
            <w:tcW w:w="990" w:type="dxa"/>
            <w:shd w:val="clear" w:color="auto" w:fill="BDD6EE" w:themeFill="accent1" w:themeFillTint="66"/>
            <w:noWrap/>
            <w:vAlign w:val="center"/>
            <w:hideMark/>
          </w:tcPr>
          <w:p w14:paraId="7B30B2F1" w14:textId="77777777" w:rsidR="000F4F90" w:rsidRPr="007E4882" w:rsidRDefault="000F4F90" w:rsidP="00124001">
            <w:pPr>
              <w:spacing w:after="0" w:line="240" w:lineRule="auto"/>
              <w:jc w:val="center"/>
              <w:rPr>
                <w:rFonts w:eastAsia="Times New Roman" w:cstheme="minorHAnsi"/>
                <w:b/>
                <w:color w:val="auto"/>
                <w:sz w:val="18"/>
                <w:szCs w:val="18"/>
                <w:lang w:eastAsia="el-GR"/>
              </w:rPr>
            </w:pPr>
            <w:r w:rsidRPr="007E4882">
              <w:rPr>
                <w:rFonts w:eastAsia="Times New Roman" w:cstheme="minorHAnsi"/>
                <w:b/>
                <w:color w:val="auto"/>
                <w:sz w:val="18"/>
                <w:szCs w:val="18"/>
                <w:lang w:eastAsia="el-GR"/>
              </w:rPr>
              <w:t>2021-2020</w:t>
            </w:r>
          </w:p>
        </w:tc>
        <w:tc>
          <w:tcPr>
            <w:tcW w:w="1163" w:type="dxa"/>
            <w:shd w:val="clear" w:color="auto" w:fill="BDD6EE" w:themeFill="accent1" w:themeFillTint="66"/>
            <w:vAlign w:val="center"/>
            <w:hideMark/>
          </w:tcPr>
          <w:p w14:paraId="164DC12A" w14:textId="77777777" w:rsidR="000F4F90" w:rsidRPr="007E4882" w:rsidRDefault="000F4F90" w:rsidP="00124001">
            <w:pPr>
              <w:spacing w:after="0" w:line="240" w:lineRule="auto"/>
              <w:jc w:val="center"/>
              <w:rPr>
                <w:rFonts w:eastAsia="Times New Roman" w:cstheme="minorHAnsi"/>
                <w:b/>
                <w:color w:val="auto"/>
                <w:sz w:val="18"/>
                <w:szCs w:val="18"/>
                <w:lang w:eastAsia="el-GR"/>
              </w:rPr>
            </w:pPr>
            <w:r w:rsidRPr="007E4882">
              <w:rPr>
                <w:rFonts w:eastAsia="Times New Roman" w:cstheme="minorHAnsi"/>
                <w:b/>
                <w:color w:val="auto"/>
                <w:sz w:val="18"/>
                <w:szCs w:val="18"/>
                <w:lang w:eastAsia="el-GR"/>
              </w:rPr>
              <w:t>2021-Εκτιμήσεις</w:t>
            </w:r>
          </w:p>
        </w:tc>
      </w:tr>
      <w:tr w:rsidR="007E4882" w:rsidRPr="007E4882" w14:paraId="60E3718F" w14:textId="77777777" w:rsidTr="00124001">
        <w:trPr>
          <w:trHeight w:val="475"/>
          <w:jc w:val="center"/>
        </w:trPr>
        <w:tc>
          <w:tcPr>
            <w:tcW w:w="3558" w:type="dxa"/>
            <w:shd w:val="clear" w:color="auto" w:fill="D9D9D9" w:themeFill="background1" w:themeFillShade="D9"/>
            <w:vAlign w:val="center"/>
            <w:hideMark/>
          </w:tcPr>
          <w:p w14:paraId="2B2D59E7" w14:textId="77777777" w:rsidR="000F4F90" w:rsidRPr="007E4882" w:rsidRDefault="000F4F90" w:rsidP="00124001">
            <w:pPr>
              <w:spacing w:after="0" w:line="240" w:lineRule="auto"/>
              <w:rPr>
                <w:rFonts w:eastAsia="Times New Roman" w:cstheme="minorHAnsi"/>
                <w:b/>
                <w:bCs/>
                <w:color w:val="auto"/>
                <w:sz w:val="18"/>
                <w:szCs w:val="18"/>
                <w:lang w:eastAsia="el-GR"/>
              </w:rPr>
            </w:pPr>
            <w:r w:rsidRPr="007E4882">
              <w:rPr>
                <w:rFonts w:eastAsia="Times New Roman" w:cstheme="minorHAnsi"/>
                <w:b/>
                <w:bCs/>
                <w:color w:val="auto"/>
                <w:sz w:val="18"/>
                <w:szCs w:val="18"/>
                <w:lang w:eastAsia="el-GR"/>
              </w:rPr>
              <w:t>1. Καθαρά Έσοδα Κρατικού Προϋπ/σμού (α-β)</w:t>
            </w:r>
          </w:p>
        </w:tc>
        <w:tc>
          <w:tcPr>
            <w:tcW w:w="908" w:type="dxa"/>
            <w:shd w:val="clear" w:color="auto" w:fill="D9D9D9" w:themeFill="background1" w:themeFillShade="D9"/>
            <w:noWrap/>
            <w:vAlign w:val="bottom"/>
            <w:hideMark/>
          </w:tcPr>
          <w:p w14:paraId="05DEC26C" w14:textId="77777777" w:rsidR="000F4F90" w:rsidRPr="007E4882" w:rsidRDefault="000F4F90" w:rsidP="00124001">
            <w:pPr>
              <w:spacing w:after="0" w:line="240" w:lineRule="auto"/>
              <w:jc w:val="center"/>
              <w:rPr>
                <w:rFonts w:eastAsia="Times New Roman" w:cstheme="minorHAnsi"/>
                <w:b/>
                <w:bCs/>
                <w:color w:val="auto"/>
                <w:sz w:val="18"/>
                <w:szCs w:val="18"/>
                <w:lang w:eastAsia="el-GR"/>
              </w:rPr>
            </w:pPr>
            <w:r w:rsidRPr="007E4882">
              <w:rPr>
                <w:rFonts w:eastAsia="Times New Roman" w:cstheme="minorHAnsi"/>
                <w:b/>
                <w:bCs/>
                <w:color w:val="auto"/>
                <w:sz w:val="18"/>
                <w:szCs w:val="18"/>
                <w:lang w:eastAsia="el-GR"/>
              </w:rPr>
              <w:t>11.103</w:t>
            </w:r>
          </w:p>
          <w:p w14:paraId="4DD551FF" w14:textId="77777777" w:rsidR="000F4F90" w:rsidRPr="007E4882" w:rsidRDefault="000F4F90" w:rsidP="00124001">
            <w:pPr>
              <w:spacing w:after="0" w:line="240" w:lineRule="auto"/>
              <w:jc w:val="center"/>
              <w:rPr>
                <w:rFonts w:eastAsia="Times New Roman" w:cstheme="minorHAnsi"/>
                <w:b/>
                <w:bCs/>
                <w:color w:val="auto"/>
                <w:sz w:val="18"/>
                <w:szCs w:val="18"/>
                <w:lang w:eastAsia="el-GR"/>
              </w:rPr>
            </w:pPr>
          </w:p>
        </w:tc>
        <w:tc>
          <w:tcPr>
            <w:tcW w:w="1048" w:type="dxa"/>
            <w:shd w:val="clear" w:color="auto" w:fill="D9D9D9" w:themeFill="background1" w:themeFillShade="D9"/>
            <w:noWrap/>
            <w:vAlign w:val="bottom"/>
            <w:hideMark/>
          </w:tcPr>
          <w:p w14:paraId="0BB77649" w14:textId="77777777" w:rsidR="000F4F90" w:rsidRPr="007E4882" w:rsidRDefault="000F4F90" w:rsidP="00124001">
            <w:pPr>
              <w:spacing w:after="0" w:line="240" w:lineRule="auto"/>
              <w:jc w:val="center"/>
              <w:rPr>
                <w:rFonts w:eastAsia="Times New Roman" w:cstheme="minorHAnsi"/>
                <w:b/>
                <w:bCs/>
                <w:color w:val="auto"/>
                <w:sz w:val="18"/>
                <w:szCs w:val="18"/>
                <w:lang w:eastAsia="el-GR"/>
              </w:rPr>
            </w:pPr>
            <w:r w:rsidRPr="007E4882">
              <w:rPr>
                <w:rFonts w:eastAsia="Times New Roman" w:cstheme="minorHAnsi"/>
                <w:b/>
                <w:bCs/>
                <w:color w:val="auto"/>
                <w:sz w:val="18"/>
                <w:szCs w:val="18"/>
                <w:lang w:eastAsia="el-GR"/>
              </w:rPr>
              <w:t>11.509</w:t>
            </w:r>
          </w:p>
          <w:p w14:paraId="18418F69" w14:textId="77777777" w:rsidR="000F4F90" w:rsidRPr="007E4882" w:rsidRDefault="000F4F90" w:rsidP="00124001">
            <w:pPr>
              <w:spacing w:after="0" w:line="240" w:lineRule="auto"/>
              <w:jc w:val="center"/>
              <w:rPr>
                <w:rFonts w:eastAsia="Times New Roman" w:cstheme="minorHAnsi"/>
                <w:b/>
                <w:bCs/>
                <w:color w:val="auto"/>
                <w:sz w:val="18"/>
                <w:szCs w:val="18"/>
                <w:lang w:eastAsia="el-GR"/>
              </w:rPr>
            </w:pPr>
          </w:p>
        </w:tc>
        <w:tc>
          <w:tcPr>
            <w:tcW w:w="1286" w:type="dxa"/>
            <w:shd w:val="clear" w:color="auto" w:fill="D9D9D9" w:themeFill="background1" w:themeFillShade="D9"/>
            <w:noWrap/>
            <w:vAlign w:val="bottom"/>
            <w:hideMark/>
          </w:tcPr>
          <w:p w14:paraId="26276E29" w14:textId="77777777" w:rsidR="000F4F90" w:rsidRPr="007E4882" w:rsidRDefault="000F4F90" w:rsidP="00124001">
            <w:pPr>
              <w:spacing w:after="0" w:line="240" w:lineRule="auto"/>
              <w:jc w:val="center"/>
              <w:rPr>
                <w:rFonts w:eastAsia="Times New Roman" w:cstheme="minorHAnsi"/>
                <w:b/>
                <w:bCs/>
                <w:color w:val="auto"/>
                <w:sz w:val="18"/>
                <w:szCs w:val="18"/>
                <w:lang w:eastAsia="el-GR"/>
              </w:rPr>
            </w:pPr>
            <w:r w:rsidRPr="007E4882">
              <w:rPr>
                <w:rFonts w:eastAsia="Times New Roman" w:cstheme="minorHAnsi"/>
                <w:b/>
                <w:bCs/>
                <w:color w:val="auto"/>
                <w:sz w:val="18"/>
                <w:szCs w:val="18"/>
                <w:lang w:eastAsia="el-GR"/>
              </w:rPr>
              <w:t>12.167</w:t>
            </w:r>
          </w:p>
          <w:p w14:paraId="51B9EB84" w14:textId="77777777" w:rsidR="000F4F90" w:rsidRPr="007E4882" w:rsidRDefault="000F4F90" w:rsidP="00124001">
            <w:pPr>
              <w:spacing w:after="0" w:line="240" w:lineRule="auto"/>
              <w:jc w:val="center"/>
              <w:rPr>
                <w:rFonts w:eastAsia="Times New Roman" w:cstheme="minorHAnsi"/>
                <w:b/>
                <w:bCs/>
                <w:color w:val="auto"/>
                <w:sz w:val="18"/>
                <w:szCs w:val="18"/>
                <w:lang w:eastAsia="el-GR"/>
              </w:rPr>
            </w:pPr>
          </w:p>
        </w:tc>
        <w:tc>
          <w:tcPr>
            <w:tcW w:w="990" w:type="dxa"/>
            <w:shd w:val="clear" w:color="auto" w:fill="D9D9D9" w:themeFill="background1" w:themeFillShade="D9"/>
            <w:noWrap/>
            <w:vAlign w:val="bottom"/>
            <w:hideMark/>
          </w:tcPr>
          <w:p w14:paraId="648D11E0" w14:textId="77777777" w:rsidR="000F4F90" w:rsidRPr="007E4882" w:rsidRDefault="000F4F90" w:rsidP="00124001">
            <w:pPr>
              <w:spacing w:after="0" w:line="240" w:lineRule="auto"/>
              <w:jc w:val="center"/>
              <w:rPr>
                <w:rFonts w:eastAsia="Times New Roman" w:cstheme="minorHAnsi"/>
                <w:b/>
                <w:bCs/>
                <w:color w:val="auto"/>
                <w:sz w:val="18"/>
                <w:szCs w:val="18"/>
                <w:lang w:eastAsia="el-GR"/>
              </w:rPr>
            </w:pPr>
            <w:r w:rsidRPr="007E4882">
              <w:rPr>
                <w:rFonts w:eastAsia="Times New Roman" w:cstheme="minorHAnsi"/>
                <w:b/>
                <w:bCs/>
                <w:color w:val="auto"/>
                <w:sz w:val="18"/>
                <w:szCs w:val="18"/>
                <w:lang w:eastAsia="el-GR"/>
              </w:rPr>
              <w:t>406</w:t>
            </w:r>
          </w:p>
          <w:p w14:paraId="12F39FEF" w14:textId="77777777" w:rsidR="000F4F90" w:rsidRPr="007E4882" w:rsidRDefault="000F4F90" w:rsidP="00124001">
            <w:pPr>
              <w:spacing w:after="0" w:line="240" w:lineRule="auto"/>
              <w:jc w:val="center"/>
              <w:rPr>
                <w:rFonts w:eastAsia="Times New Roman" w:cstheme="minorHAnsi"/>
                <w:b/>
                <w:bCs/>
                <w:color w:val="auto"/>
                <w:sz w:val="18"/>
                <w:szCs w:val="18"/>
                <w:lang w:eastAsia="el-GR"/>
              </w:rPr>
            </w:pPr>
          </w:p>
        </w:tc>
        <w:tc>
          <w:tcPr>
            <w:tcW w:w="1163" w:type="dxa"/>
            <w:shd w:val="clear" w:color="auto" w:fill="D9D9D9" w:themeFill="background1" w:themeFillShade="D9"/>
            <w:noWrap/>
            <w:vAlign w:val="bottom"/>
            <w:hideMark/>
          </w:tcPr>
          <w:p w14:paraId="274B5A55" w14:textId="77777777" w:rsidR="000F4F90" w:rsidRPr="007E4882" w:rsidRDefault="000F4F90" w:rsidP="00124001">
            <w:pPr>
              <w:spacing w:after="0" w:line="240" w:lineRule="auto"/>
              <w:jc w:val="center"/>
              <w:rPr>
                <w:rFonts w:eastAsia="Times New Roman" w:cstheme="minorHAnsi"/>
                <w:b/>
                <w:bCs/>
                <w:color w:val="auto"/>
                <w:sz w:val="18"/>
                <w:szCs w:val="18"/>
                <w:lang w:eastAsia="el-GR"/>
              </w:rPr>
            </w:pPr>
            <w:r w:rsidRPr="007E4882">
              <w:rPr>
                <w:rFonts w:eastAsia="Times New Roman" w:cstheme="minorHAnsi"/>
                <w:b/>
                <w:bCs/>
                <w:color w:val="auto"/>
                <w:sz w:val="18"/>
                <w:szCs w:val="18"/>
                <w:lang w:eastAsia="el-GR"/>
              </w:rPr>
              <w:t>-658</w:t>
            </w:r>
          </w:p>
          <w:p w14:paraId="10D545CD" w14:textId="77777777" w:rsidR="000F4F90" w:rsidRPr="007E4882" w:rsidRDefault="000F4F90" w:rsidP="00124001">
            <w:pPr>
              <w:spacing w:after="0" w:line="240" w:lineRule="auto"/>
              <w:jc w:val="center"/>
              <w:rPr>
                <w:rFonts w:eastAsia="Times New Roman" w:cstheme="minorHAnsi"/>
                <w:b/>
                <w:bCs/>
                <w:color w:val="auto"/>
                <w:sz w:val="18"/>
                <w:szCs w:val="18"/>
                <w:lang w:eastAsia="el-GR"/>
              </w:rPr>
            </w:pPr>
          </w:p>
        </w:tc>
      </w:tr>
      <w:tr w:rsidR="007E4882" w:rsidRPr="007E4882" w14:paraId="5359BE07" w14:textId="77777777" w:rsidTr="00124001">
        <w:trPr>
          <w:trHeight w:val="209"/>
          <w:jc w:val="center"/>
        </w:trPr>
        <w:tc>
          <w:tcPr>
            <w:tcW w:w="3558" w:type="dxa"/>
            <w:shd w:val="clear" w:color="auto" w:fill="auto"/>
            <w:vAlign w:val="center"/>
            <w:hideMark/>
          </w:tcPr>
          <w:p w14:paraId="10885B9C" w14:textId="77777777" w:rsidR="000F4F90" w:rsidRPr="007E4882" w:rsidRDefault="000F4F90" w:rsidP="00124001">
            <w:pPr>
              <w:spacing w:after="0" w:line="240" w:lineRule="auto"/>
              <w:rPr>
                <w:rFonts w:eastAsia="Times New Roman" w:cstheme="minorHAnsi"/>
                <w:color w:val="auto"/>
                <w:sz w:val="18"/>
                <w:szCs w:val="18"/>
                <w:lang w:eastAsia="el-GR"/>
              </w:rPr>
            </w:pPr>
            <w:r w:rsidRPr="007E4882">
              <w:rPr>
                <w:rFonts w:eastAsia="Times New Roman" w:cstheme="minorHAnsi"/>
                <w:color w:val="auto"/>
                <w:sz w:val="18"/>
                <w:szCs w:val="18"/>
                <w:lang w:eastAsia="el-GR"/>
              </w:rPr>
              <w:t>α. Συνολικά έσοδα</w:t>
            </w:r>
          </w:p>
        </w:tc>
        <w:tc>
          <w:tcPr>
            <w:tcW w:w="908" w:type="dxa"/>
            <w:shd w:val="clear" w:color="auto" w:fill="auto"/>
            <w:noWrap/>
            <w:vAlign w:val="center"/>
            <w:hideMark/>
          </w:tcPr>
          <w:p w14:paraId="5A2F2F49" w14:textId="77777777" w:rsidR="000F4F90" w:rsidRPr="007E4882" w:rsidRDefault="000F4F90" w:rsidP="00124001">
            <w:pPr>
              <w:spacing w:after="0" w:line="240" w:lineRule="auto"/>
              <w:jc w:val="center"/>
              <w:rPr>
                <w:rFonts w:eastAsia="Times New Roman" w:cstheme="minorHAnsi"/>
                <w:color w:val="auto"/>
                <w:sz w:val="18"/>
                <w:szCs w:val="18"/>
                <w:lang w:eastAsia="el-GR"/>
              </w:rPr>
            </w:pPr>
            <w:r w:rsidRPr="007E4882">
              <w:rPr>
                <w:rFonts w:eastAsia="Times New Roman" w:cstheme="minorHAnsi"/>
                <w:color w:val="auto"/>
                <w:sz w:val="18"/>
                <w:szCs w:val="18"/>
                <w:lang w:eastAsia="el-GR"/>
              </w:rPr>
              <w:t>12.162</w:t>
            </w:r>
          </w:p>
        </w:tc>
        <w:tc>
          <w:tcPr>
            <w:tcW w:w="1048" w:type="dxa"/>
            <w:shd w:val="clear" w:color="auto" w:fill="auto"/>
            <w:noWrap/>
            <w:vAlign w:val="center"/>
            <w:hideMark/>
          </w:tcPr>
          <w:p w14:paraId="5F35E586" w14:textId="77777777" w:rsidR="000F4F90" w:rsidRPr="007E4882" w:rsidRDefault="000F4F90" w:rsidP="00124001">
            <w:pPr>
              <w:spacing w:after="0" w:line="240" w:lineRule="auto"/>
              <w:jc w:val="center"/>
              <w:rPr>
                <w:rFonts w:eastAsia="Times New Roman" w:cstheme="minorHAnsi"/>
                <w:color w:val="auto"/>
                <w:sz w:val="18"/>
                <w:szCs w:val="18"/>
                <w:lang w:eastAsia="el-GR"/>
              </w:rPr>
            </w:pPr>
            <w:r w:rsidRPr="007E4882">
              <w:rPr>
                <w:rFonts w:eastAsia="Times New Roman" w:cstheme="minorHAnsi"/>
                <w:color w:val="auto"/>
                <w:sz w:val="18"/>
                <w:szCs w:val="18"/>
                <w:lang w:eastAsia="el-GR"/>
              </w:rPr>
              <w:t>12.647</w:t>
            </w:r>
          </w:p>
        </w:tc>
        <w:tc>
          <w:tcPr>
            <w:tcW w:w="1286" w:type="dxa"/>
            <w:shd w:val="clear" w:color="auto" w:fill="auto"/>
            <w:noWrap/>
            <w:vAlign w:val="center"/>
            <w:hideMark/>
          </w:tcPr>
          <w:p w14:paraId="31B33600" w14:textId="77777777" w:rsidR="000F4F90" w:rsidRPr="007E4882" w:rsidRDefault="000F4F90" w:rsidP="00124001">
            <w:pPr>
              <w:spacing w:after="0" w:line="240" w:lineRule="auto"/>
              <w:jc w:val="center"/>
              <w:rPr>
                <w:rFonts w:eastAsia="Times New Roman" w:cstheme="minorHAnsi"/>
                <w:color w:val="auto"/>
                <w:sz w:val="18"/>
                <w:szCs w:val="18"/>
                <w:lang w:eastAsia="el-GR"/>
              </w:rPr>
            </w:pPr>
            <w:r w:rsidRPr="007E4882">
              <w:rPr>
                <w:rFonts w:eastAsia="Times New Roman" w:cstheme="minorHAnsi"/>
                <w:color w:val="auto"/>
                <w:sz w:val="18"/>
                <w:szCs w:val="18"/>
                <w:lang w:eastAsia="el-GR"/>
              </w:rPr>
              <w:t>13.214</w:t>
            </w:r>
          </w:p>
        </w:tc>
        <w:tc>
          <w:tcPr>
            <w:tcW w:w="990" w:type="dxa"/>
            <w:shd w:val="clear" w:color="auto" w:fill="auto"/>
            <w:noWrap/>
            <w:vAlign w:val="center"/>
            <w:hideMark/>
          </w:tcPr>
          <w:p w14:paraId="432B5C31" w14:textId="77777777" w:rsidR="000F4F90" w:rsidRPr="007E4882" w:rsidRDefault="000F4F90" w:rsidP="00124001">
            <w:pPr>
              <w:spacing w:after="0" w:line="240" w:lineRule="auto"/>
              <w:jc w:val="center"/>
              <w:rPr>
                <w:rFonts w:eastAsia="Times New Roman" w:cstheme="minorHAnsi"/>
                <w:color w:val="auto"/>
                <w:sz w:val="18"/>
                <w:szCs w:val="18"/>
                <w:lang w:eastAsia="el-GR"/>
              </w:rPr>
            </w:pPr>
            <w:r w:rsidRPr="007E4882">
              <w:rPr>
                <w:rFonts w:eastAsia="Times New Roman" w:cstheme="minorHAnsi"/>
                <w:color w:val="auto"/>
                <w:sz w:val="18"/>
                <w:szCs w:val="18"/>
                <w:lang w:eastAsia="el-GR"/>
              </w:rPr>
              <w:t>485</w:t>
            </w:r>
          </w:p>
        </w:tc>
        <w:tc>
          <w:tcPr>
            <w:tcW w:w="1163" w:type="dxa"/>
            <w:shd w:val="clear" w:color="auto" w:fill="auto"/>
            <w:noWrap/>
            <w:vAlign w:val="center"/>
            <w:hideMark/>
          </w:tcPr>
          <w:p w14:paraId="717C947F" w14:textId="77777777" w:rsidR="000F4F90" w:rsidRPr="007E4882" w:rsidRDefault="000F4F90" w:rsidP="00124001">
            <w:pPr>
              <w:spacing w:after="0" w:line="240" w:lineRule="auto"/>
              <w:jc w:val="center"/>
              <w:rPr>
                <w:rFonts w:eastAsia="Times New Roman" w:cstheme="minorHAnsi"/>
                <w:color w:val="auto"/>
                <w:sz w:val="18"/>
                <w:szCs w:val="18"/>
                <w:lang w:eastAsia="el-GR"/>
              </w:rPr>
            </w:pPr>
            <w:r w:rsidRPr="007E4882">
              <w:rPr>
                <w:rFonts w:eastAsia="Times New Roman" w:cstheme="minorHAnsi"/>
                <w:color w:val="auto"/>
                <w:sz w:val="18"/>
                <w:szCs w:val="18"/>
                <w:lang w:eastAsia="el-GR"/>
              </w:rPr>
              <w:t>-567</w:t>
            </w:r>
          </w:p>
        </w:tc>
      </w:tr>
      <w:tr w:rsidR="007E4882" w:rsidRPr="007E4882" w14:paraId="03771583" w14:textId="77777777" w:rsidTr="00124001">
        <w:trPr>
          <w:trHeight w:val="209"/>
          <w:jc w:val="center"/>
        </w:trPr>
        <w:tc>
          <w:tcPr>
            <w:tcW w:w="3558" w:type="dxa"/>
            <w:shd w:val="clear" w:color="auto" w:fill="auto"/>
            <w:noWrap/>
            <w:vAlign w:val="center"/>
            <w:hideMark/>
          </w:tcPr>
          <w:p w14:paraId="34DBEFFB" w14:textId="77777777" w:rsidR="000F4F90" w:rsidRPr="007E4882" w:rsidRDefault="000F4F90" w:rsidP="00124001">
            <w:pPr>
              <w:spacing w:after="0" w:line="240" w:lineRule="auto"/>
              <w:rPr>
                <w:rFonts w:eastAsia="Times New Roman" w:cstheme="minorHAnsi"/>
                <w:color w:val="auto"/>
                <w:sz w:val="18"/>
                <w:szCs w:val="18"/>
                <w:lang w:eastAsia="el-GR"/>
              </w:rPr>
            </w:pPr>
            <w:r w:rsidRPr="007E4882">
              <w:rPr>
                <w:rFonts w:eastAsia="Times New Roman" w:cstheme="minorHAnsi"/>
                <w:color w:val="auto"/>
                <w:sz w:val="18"/>
                <w:szCs w:val="18"/>
                <w:lang w:eastAsia="el-GR"/>
              </w:rPr>
              <w:t>β. Επιστροφές φόρων</w:t>
            </w:r>
          </w:p>
        </w:tc>
        <w:tc>
          <w:tcPr>
            <w:tcW w:w="908" w:type="dxa"/>
            <w:shd w:val="clear" w:color="auto" w:fill="auto"/>
            <w:noWrap/>
            <w:vAlign w:val="center"/>
            <w:hideMark/>
          </w:tcPr>
          <w:p w14:paraId="74923710" w14:textId="77777777" w:rsidR="000F4F90" w:rsidRPr="007E4882" w:rsidRDefault="000F4F90" w:rsidP="00124001">
            <w:pPr>
              <w:spacing w:after="0" w:line="240" w:lineRule="auto"/>
              <w:jc w:val="center"/>
              <w:rPr>
                <w:rFonts w:eastAsia="Times New Roman" w:cstheme="minorHAnsi"/>
                <w:color w:val="auto"/>
                <w:sz w:val="18"/>
                <w:szCs w:val="18"/>
                <w:lang w:eastAsia="el-GR"/>
              </w:rPr>
            </w:pPr>
            <w:r w:rsidRPr="007E4882">
              <w:rPr>
                <w:rFonts w:eastAsia="Times New Roman" w:cstheme="minorHAnsi"/>
                <w:color w:val="auto"/>
                <w:sz w:val="18"/>
                <w:szCs w:val="18"/>
                <w:lang w:eastAsia="el-GR"/>
              </w:rPr>
              <w:t>1.058</w:t>
            </w:r>
          </w:p>
        </w:tc>
        <w:tc>
          <w:tcPr>
            <w:tcW w:w="1048" w:type="dxa"/>
            <w:shd w:val="clear" w:color="auto" w:fill="auto"/>
            <w:noWrap/>
            <w:vAlign w:val="center"/>
            <w:hideMark/>
          </w:tcPr>
          <w:p w14:paraId="28575A93" w14:textId="77777777" w:rsidR="000F4F90" w:rsidRPr="007E4882" w:rsidRDefault="000F4F90" w:rsidP="00124001">
            <w:pPr>
              <w:spacing w:after="0" w:line="240" w:lineRule="auto"/>
              <w:jc w:val="center"/>
              <w:rPr>
                <w:rFonts w:eastAsia="Times New Roman" w:cstheme="minorHAnsi"/>
                <w:color w:val="auto"/>
                <w:sz w:val="18"/>
                <w:szCs w:val="18"/>
                <w:lang w:eastAsia="el-GR"/>
              </w:rPr>
            </w:pPr>
            <w:r w:rsidRPr="007E4882">
              <w:rPr>
                <w:rFonts w:eastAsia="Times New Roman" w:cstheme="minorHAnsi"/>
                <w:color w:val="auto"/>
                <w:sz w:val="18"/>
                <w:szCs w:val="18"/>
                <w:lang w:eastAsia="el-GR"/>
              </w:rPr>
              <w:t>983</w:t>
            </w:r>
          </w:p>
        </w:tc>
        <w:tc>
          <w:tcPr>
            <w:tcW w:w="1286" w:type="dxa"/>
            <w:shd w:val="clear" w:color="auto" w:fill="auto"/>
            <w:noWrap/>
            <w:vAlign w:val="center"/>
            <w:hideMark/>
          </w:tcPr>
          <w:p w14:paraId="3A3A7353" w14:textId="77777777" w:rsidR="000F4F90" w:rsidRPr="007E4882" w:rsidRDefault="000F4F90" w:rsidP="00124001">
            <w:pPr>
              <w:spacing w:after="0" w:line="240" w:lineRule="auto"/>
              <w:jc w:val="center"/>
              <w:rPr>
                <w:rFonts w:eastAsia="Times New Roman" w:cstheme="minorHAnsi"/>
                <w:color w:val="auto"/>
                <w:sz w:val="18"/>
                <w:szCs w:val="18"/>
                <w:lang w:eastAsia="el-GR"/>
              </w:rPr>
            </w:pPr>
            <w:r w:rsidRPr="007E4882">
              <w:rPr>
                <w:rFonts w:eastAsia="Times New Roman" w:cstheme="minorHAnsi"/>
                <w:color w:val="auto"/>
                <w:sz w:val="18"/>
                <w:szCs w:val="18"/>
                <w:lang w:eastAsia="el-GR"/>
              </w:rPr>
              <w:t>1.047</w:t>
            </w:r>
          </w:p>
        </w:tc>
        <w:tc>
          <w:tcPr>
            <w:tcW w:w="990" w:type="dxa"/>
            <w:shd w:val="clear" w:color="auto" w:fill="auto"/>
            <w:noWrap/>
            <w:vAlign w:val="center"/>
            <w:hideMark/>
          </w:tcPr>
          <w:p w14:paraId="6F66FA49" w14:textId="77777777" w:rsidR="000F4F90" w:rsidRPr="007E4882" w:rsidRDefault="000F4F90" w:rsidP="00124001">
            <w:pPr>
              <w:spacing w:after="0" w:line="240" w:lineRule="auto"/>
              <w:jc w:val="center"/>
              <w:rPr>
                <w:rFonts w:eastAsia="Times New Roman" w:cstheme="minorHAnsi"/>
                <w:color w:val="auto"/>
                <w:sz w:val="18"/>
                <w:szCs w:val="18"/>
                <w:lang w:eastAsia="el-GR"/>
              </w:rPr>
            </w:pPr>
            <w:r w:rsidRPr="007E4882">
              <w:rPr>
                <w:rFonts w:eastAsia="Times New Roman" w:cstheme="minorHAnsi"/>
                <w:color w:val="auto"/>
                <w:sz w:val="18"/>
                <w:szCs w:val="18"/>
                <w:lang w:eastAsia="el-GR"/>
              </w:rPr>
              <w:t>-75</w:t>
            </w:r>
          </w:p>
        </w:tc>
        <w:tc>
          <w:tcPr>
            <w:tcW w:w="1163" w:type="dxa"/>
            <w:shd w:val="clear" w:color="auto" w:fill="auto"/>
            <w:noWrap/>
            <w:vAlign w:val="center"/>
            <w:hideMark/>
          </w:tcPr>
          <w:p w14:paraId="5C9CB921" w14:textId="77777777" w:rsidR="000F4F90" w:rsidRPr="007E4882" w:rsidRDefault="000F4F90" w:rsidP="00124001">
            <w:pPr>
              <w:spacing w:after="0" w:line="240" w:lineRule="auto"/>
              <w:jc w:val="center"/>
              <w:rPr>
                <w:rFonts w:eastAsia="Times New Roman" w:cstheme="minorHAnsi"/>
                <w:color w:val="auto"/>
                <w:sz w:val="18"/>
                <w:szCs w:val="18"/>
                <w:lang w:eastAsia="el-GR"/>
              </w:rPr>
            </w:pPr>
            <w:r w:rsidRPr="007E4882">
              <w:rPr>
                <w:rFonts w:eastAsia="Times New Roman" w:cstheme="minorHAnsi"/>
                <w:color w:val="auto"/>
                <w:sz w:val="18"/>
                <w:szCs w:val="18"/>
                <w:lang w:eastAsia="el-GR"/>
              </w:rPr>
              <w:t>-64</w:t>
            </w:r>
          </w:p>
        </w:tc>
      </w:tr>
      <w:tr w:rsidR="007E4882" w:rsidRPr="007E4882" w14:paraId="26DB1993" w14:textId="77777777" w:rsidTr="00124001">
        <w:trPr>
          <w:trHeight w:val="209"/>
          <w:jc w:val="center"/>
        </w:trPr>
        <w:tc>
          <w:tcPr>
            <w:tcW w:w="3558" w:type="dxa"/>
            <w:shd w:val="clear" w:color="auto" w:fill="D9D9D9" w:themeFill="background1" w:themeFillShade="D9"/>
            <w:noWrap/>
            <w:vAlign w:val="center"/>
            <w:hideMark/>
          </w:tcPr>
          <w:p w14:paraId="0A80F2FF" w14:textId="77777777" w:rsidR="000F4F90" w:rsidRPr="007E4882" w:rsidRDefault="000F4F90" w:rsidP="00124001">
            <w:pPr>
              <w:spacing w:after="0" w:line="240" w:lineRule="auto"/>
              <w:rPr>
                <w:rFonts w:eastAsia="Times New Roman" w:cstheme="minorHAnsi"/>
                <w:b/>
                <w:bCs/>
                <w:color w:val="auto"/>
                <w:sz w:val="18"/>
                <w:szCs w:val="18"/>
                <w:lang w:eastAsia="el-GR"/>
              </w:rPr>
            </w:pPr>
            <w:r w:rsidRPr="007E4882">
              <w:rPr>
                <w:rFonts w:eastAsia="Times New Roman" w:cstheme="minorHAnsi"/>
                <w:b/>
                <w:bCs/>
                <w:color w:val="auto"/>
                <w:sz w:val="18"/>
                <w:szCs w:val="18"/>
                <w:lang w:eastAsia="el-GR"/>
              </w:rPr>
              <w:t>2. Δαπάνες Κρατικού Προϋπολογισμού</w:t>
            </w:r>
          </w:p>
        </w:tc>
        <w:tc>
          <w:tcPr>
            <w:tcW w:w="908" w:type="dxa"/>
            <w:shd w:val="clear" w:color="auto" w:fill="D9D9D9" w:themeFill="background1" w:themeFillShade="D9"/>
            <w:noWrap/>
            <w:vAlign w:val="center"/>
            <w:hideMark/>
          </w:tcPr>
          <w:p w14:paraId="0FF6E127" w14:textId="77777777" w:rsidR="000F4F90" w:rsidRPr="007E4882" w:rsidRDefault="000F4F90" w:rsidP="00124001">
            <w:pPr>
              <w:spacing w:after="0" w:line="240" w:lineRule="auto"/>
              <w:jc w:val="center"/>
              <w:rPr>
                <w:rFonts w:eastAsia="Times New Roman" w:cstheme="minorHAnsi"/>
                <w:b/>
                <w:bCs/>
                <w:color w:val="auto"/>
                <w:sz w:val="18"/>
                <w:szCs w:val="18"/>
                <w:lang w:eastAsia="el-GR"/>
              </w:rPr>
            </w:pPr>
            <w:r w:rsidRPr="007E4882">
              <w:rPr>
                <w:rFonts w:eastAsia="Times New Roman" w:cstheme="minorHAnsi"/>
                <w:b/>
                <w:bCs/>
                <w:color w:val="auto"/>
                <w:sz w:val="18"/>
                <w:szCs w:val="18"/>
                <w:lang w:eastAsia="el-GR"/>
              </w:rPr>
              <w:t>12.926</w:t>
            </w:r>
          </w:p>
        </w:tc>
        <w:tc>
          <w:tcPr>
            <w:tcW w:w="1048" w:type="dxa"/>
            <w:shd w:val="clear" w:color="auto" w:fill="D9D9D9" w:themeFill="background1" w:themeFillShade="D9"/>
            <w:noWrap/>
            <w:vAlign w:val="center"/>
            <w:hideMark/>
          </w:tcPr>
          <w:p w14:paraId="0D2857B5" w14:textId="77777777" w:rsidR="000F4F90" w:rsidRPr="007E4882" w:rsidRDefault="000F4F90" w:rsidP="00124001">
            <w:pPr>
              <w:spacing w:after="0" w:line="240" w:lineRule="auto"/>
              <w:jc w:val="center"/>
              <w:rPr>
                <w:rFonts w:eastAsia="Times New Roman" w:cstheme="minorHAnsi"/>
                <w:b/>
                <w:bCs/>
                <w:color w:val="auto"/>
                <w:sz w:val="18"/>
                <w:szCs w:val="18"/>
                <w:lang w:eastAsia="el-GR"/>
              </w:rPr>
            </w:pPr>
            <w:r w:rsidRPr="007E4882">
              <w:rPr>
                <w:rFonts w:eastAsia="Times New Roman" w:cstheme="minorHAnsi"/>
                <w:b/>
                <w:bCs/>
                <w:color w:val="auto"/>
                <w:sz w:val="18"/>
                <w:szCs w:val="18"/>
                <w:lang w:eastAsia="el-GR"/>
              </w:rPr>
              <w:t>17.222</w:t>
            </w:r>
          </w:p>
        </w:tc>
        <w:tc>
          <w:tcPr>
            <w:tcW w:w="1286" w:type="dxa"/>
            <w:shd w:val="clear" w:color="auto" w:fill="D9D9D9" w:themeFill="background1" w:themeFillShade="D9"/>
            <w:noWrap/>
            <w:vAlign w:val="center"/>
            <w:hideMark/>
          </w:tcPr>
          <w:p w14:paraId="5FB9799E" w14:textId="77777777" w:rsidR="000F4F90" w:rsidRPr="007E4882" w:rsidRDefault="000F4F90" w:rsidP="00124001">
            <w:pPr>
              <w:spacing w:after="0" w:line="240" w:lineRule="auto"/>
              <w:jc w:val="center"/>
              <w:rPr>
                <w:rFonts w:eastAsia="Times New Roman" w:cstheme="minorHAnsi"/>
                <w:b/>
                <w:bCs/>
                <w:color w:val="auto"/>
                <w:sz w:val="18"/>
                <w:szCs w:val="18"/>
                <w:lang w:eastAsia="el-GR"/>
              </w:rPr>
            </w:pPr>
            <w:r w:rsidRPr="007E4882">
              <w:rPr>
                <w:rFonts w:eastAsia="Times New Roman" w:cstheme="minorHAnsi"/>
                <w:b/>
                <w:bCs/>
                <w:color w:val="auto"/>
                <w:sz w:val="18"/>
                <w:szCs w:val="18"/>
                <w:lang w:eastAsia="el-GR"/>
              </w:rPr>
              <w:t>18.771</w:t>
            </w:r>
          </w:p>
        </w:tc>
        <w:tc>
          <w:tcPr>
            <w:tcW w:w="990" w:type="dxa"/>
            <w:shd w:val="clear" w:color="auto" w:fill="D9D9D9" w:themeFill="background1" w:themeFillShade="D9"/>
            <w:noWrap/>
            <w:vAlign w:val="center"/>
            <w:hideMark/>
          </w:tcPr>
          <w:p w14:paraId="697B8B72" w14:textId="77777777" w:rsidR="000F4F90" w:rsidRPr="007E4882" w:rsidRDefault="000F4F90" w:rsidP="00124001">
            <w:pPr>
              <w:spacing w:after="0" w:line="240" w:lineRule="auto"/>
              <w:jc w:val="center"/>
              <w:rPr>
                <w:rFonts w:eastAsia="Times New Roman" w:cstheme="minorHAnsi"/>
                <w:b/>
                <w:bCs/>
                <w:color w:val="auto"/>
                <w:sz w:val="18"/>
                <w:szCs w:val="18"/>
                <w:lang w:eastAsia="el-GR"/>
              </w:rPr>
            </w:pPr>
            <w:r w:rsidRPr="007E4882">
              <w:rPr>
                <w:rFonts w:eastAsia="Times New Roman" w:cstheme="minorHAnsi"/>
                <w:b/>
                <w:bCs/>
                <w:color w:val="auto"/>
                <w:sz w:val="18"/>
                <w:szCs w:val="18"/>
                <w:lang w:eastAsia="el-GR"/>
              </w:rPr>
              <w:t>4.296</w:t>
            </w:r>
          </w:p>
        </w:tc>
        <w:tc>
          <w:tcPr>
            <w:tcW w:w="1163" w:type="dxa"/>
            <w:shd w:val="clear" w:color="auto" w:fill="D9D9D9" w:themeFill="background1" w:themeFillShade="D9"/>
            <w:noWrap/>
            <w:vAlign w:val="center"/>
            <w:hideMark/>
          </w:tcPr>
          <w:p w14:paraId="43A18794" w14:textId="77777777" w:rsidR="000F4F90" w:rsidRPr="007E4882" w:rsidRDefault="000F4F90" w:rsidP="00124001">
            <w:pPr>
              <w:spacing w:after="0" w:line="240" w:lineRule="auto"/>
              <w:jc w:val="center"/>
              <w:rPr>
                <w:rFonts w:eastAsia="Times New Roman" w:cstheme="minorHAnsi"/>
                <w:b/>
                <w:bCs/>
                <w:color w:val="auto"/>
                <w:sz w:val="18"/>
                <w:szCs w:val="18"/>
                <w:lang w:eastAsia="el-GR"/>
              </w:rPr>
            </w:pPr>
            <w:r w:rsidRPr="007E4882">
              <w:rPr>
                <w:rFonts w:eastAsia="Times New Roman" w:cstheme="minorHAnsi"/>
                <w:b/>
                <w:bCs/>
                <w:color w:val="auto"/>
                <w:sz w:val="18"/>
                <w:szCs w:val="18"/>
                <w:lang w:eastAsia="el-GR"/>
              </w:rPr>
              <w:t>-1.549</w:t>
            </w:r>
          </w:p>
        </w:tc>
      </w:tr>
      <w:tr w:rsidR="007E4882" w:rsidRPr="007E4882" w14:paraId="09D85AF9" w14:textId="77777777" w:rsidTr="00124001">
        <w:trPr>
          <w:trHeight w:val="209"/>
          <w:jc w:val="center"/>
        </w:trPr>
        <w:tc>
          <w:tcPr>
            <w:tcW w:w="3558" w:type="dxa"/>
            <w:shd w:val="clear" w:color="auto" w:fill="auto"/>
            <w:noWrap/>
            <w:vAlign w:val="center"/>
            <w:hideMark/>
          </w:tcPr>
          <w:p w14:paraId="3E70E9F4" w14:textId="77777777" w:rsidR="000F4F90" w:rsidRPr="007E4882" w:rsidRDefault="000F4F90" w:rsidP="00124001">
            <w:pPr>
              <w:spacing w:after="0" w:line="240" w:lineRule="auto"/>
              <w:rPr>
                <w:rFonts w:eastAsia="Times New Roman" w:cstheme="minorHAnsi"/>
                <w:color w:val="auto"/>
                <w:sz w:val="18"/>
                <w:szCs w:val="18"/>
                <w:lang w:eastAsia="el-GR"/>
              </w:rPr>
            </w:pPr>
            <w:r w:rsidRPr="007E4882">
              <w:rPr>
                <w:rFonts w:eastAsia="Times New Roman" w:cstheme="minorHAnsi"/>
                <w:color w:val="auto"/>
                <w:sz w:val="18"/>
                <w:szCs w:val="18"/>
                <w:lang w:eastAsia="el-GR"/>
              </w:rPr>
              <w:t>α. Πρωτογενείς Δαπάνες</w:t>
            </w:r>
            <w:r w:rsidRPr="007E4882">
              <w:rPr>
                <w:rFonts w:eastAsia="Times New Roman" w:cstheme="minorHAnsi"/>
                <w:color w:val="auto"/>
                <w:sz w:val="18"/>
                <w:szCs w:val="18"/>
                <w:vertAlign w:val="superscript"/>
                <w:lang w:eastAsia="el-GR"/>
              </w:rPr>
              <w:t>(1)</w:t>
            </w:r>
          </w:p>
        </w:tc>
        <w:tc>
          <w:tcPr>
            <w:tcW w:w="908" w:type="dxa"/>
            <w:shd w:val="clear" w:color="auto" w:fill="auto"/>
            <w:noWrap/>
            <w:vAlign w:val="center"/>
            <w:hideMark/>
          </w:tcPr>
          <w:p w14:paraId="0CCC0F68" w14:textId="77777777" w:rsidR="000F4F90" w:rsidRPr="007E4882" w:rsidRDefault="000F4F90" w:rsidP="00124001">
            <w:pPr>
              <w:spacing w:after="0" w:line="240" w:lineRule="auto"/>
              <w:jc w:val="center"/>
              <w:rPr>
                <w:rFonts w:eastAsia="Times New Roman" w:cstheme="minorHAnsi"/>
                <w:color w:val="auto"/>
                <w:sz w:val="18"/>
                <w:szCs w:val="18"/>
                <w:lang w:eastAsia="el-GR"/>
              </w:rPr>
            </w:pPr>
            <w:r w:rsidRPr="007E4882">
              <w:rPr>
                <w:rFonts w:eastAsia="Times New Roman" w:cstheme="minorHAnsi"/>
                <w:color w:val="auto"/>
                <w:sz w:val="18"/>
                <w:szCs w:val="18"/>
                <w:lang w:eastAsia="el-GR"/>
              </w:rPr>
              <w:t>9.800</w:t>
            </w:r>
          </w:p>
        </w:tc>
        <w:tc>
          <w:tcPr>
            <w:tcW w:w="1048" w:type="dxa"/>
            <w:shd w:val="clear" w:color="auto" w:fill="auto"/>
            <w:noWrap/>
            <w:vAlign w:val="center"/>
            <w:hideMark/>
          </w:tcPr>
          <w:p w14:paraId="0B77D37D" w14:textId="77777777" w:rsidR="000F4F90" w:rsidRPr="007E4882" w:rsidRDefault="000F4F90" w:rsidP="00124001">
            <w:pPr>
              <w:spacing w:after="0" w:line="240" w:lineRule="auto"/>
              <w:jc w:val="center"/>
              <w:rPr>
                <w:rFonts w:eastAsia="Times New Roman" w:cstheme="minorHAnsi"/>
                <w:color w:val="auto"/>
                <w:sz w:val="18"/>
                <w:szCs w:val="18"/>
                <w:lang w:eastAsia="el-GR"/>
              </w:rPr>
            </w:pPr>
            <w:r w:rsidRPr="007E4882">
              <w:rPr>
                <w:rFonts w:eastAsia="Times New Roman" w:cstheme="minorHAnsi"/>
                <w:color w:val="auto"/>
                <w:sz w:val="18"/>
                <w:szCs w:val="18"/>
                <w:lang w:eastAsia="el-GR"/>
              </w:rPr>
              <w:t>12.574</w:t>
            </w:r>
          </w:p>
        </w:tc>
        <w:tc>
          <w:tcPr>
            <w:tcW w:w="1286" w:type="dxa"/>
            <w:shd w:val="clear" w:color="auto" w:fill="auto"/>
            <w:noWrap/>
            <w:vAlign w:val="center"/>
            <w:hideMark/>
          </w:tcPr>
          <w:p w14:paraId="0EF91990" w14:textId="77777777" w:rsidR="000F4F90" w:rsidRPr="007E4882" w:rsidRDefault="000F4F90" w:rsidP="00124001">
            <w:pPr>
              <w:spacing w:after="0" w:line="240" w:lineRule="auto"/>
              <w:jc w:val="center"/>
              <w:rPr>
                <w:rFonts w:eastAsia="Times New Roman" w:cstheme="minorHAnsi"/>
                <w:color w:val="auto"/>
                <w:sz w:val="18"/>
                <w:szCs w:val="18"/>
                <w:lang w:eastAsia="el-GR"/>
              </w:rPr>
            </w:pPr>
            <w:r w:rsidRPr="007E4882">
              <w:rPr>
                <w:rFonts w:eastAsia="Times New Roman" w:cstheme="minorHAnsi"/>
                <w:color w:val="auto"/>
                <w:sz w:val="18"/>
                <w:szCs w:val="18"/>
                <w:lang w:eastAsia="el-GR"/>
              </w:rPr>
              <w:t>15.636</w:t>
            </w:r>
          </w:p>
        </w:tc>
        <w:tc>
          <w:tcPr>
            <w:tcW w:w="990" w:type="dxa"/>
            <w:shd w:val="clear" w:color="auto" w:fill="auto"/>
            <w:noWrap/>
            <w:vAlign w:val="center"/>
            <w:hideMark/>
          </w:tcPr>
          <w:p w14:paraId="055650CE" w14:textId="77777777" w:rsidR="000F4F90" w:rsidRPr="007E4882" w:rsidRDefault="000F4F90" w:rsidP="00124001">
            <w:pPr>
              <w:spacing w:after="0" w:line="240" w:lineRule="auto"/>
              <w:jc w:val="center"/>
              <w:rPr>
                <w:rFonts w:eastAsia="Times New Roman" w:cstheme="minorHAnsi"/>
                <w:color w:val="auto"/>
                <w:sz w:val="18"/>
                <w:szCs w:val="18"/>
                <w:lang w:eastAsia="el-GR"/>
              </w:rPr>
            </w:pPr>
            <w:r w:rsidRPr="007E4882">
              <w:rPr>
                <w:rFonts w:eastAsia="Times New Roman" w:cstheme="minorHAnsi"/>
                <w:color w:val="auto"/>
                <w:sz w:val="18"/>
                <w:szCs w:val="18"/>
                <w:lang w:eastAsia="el-GR"/>
              </w:rPr>
              <w:t>2.774</w:t>
            </w:r>
          </w:p>
        </w:tc>
        <w:tc>
          <w:tcPr>
            <w:tcW w:w="1163" w:type="dxa"/>
            <w:shd w:val="clear" w:color="auto" w:fill="auto"/>
            <w:noWrap/>
            <w:vAlign w:val="center"/>
            <w:hideMark/>
          </w:tcPr>
          <w:p w14:paraId="5B6697BF" w14:textId="77777777" w:rsidR="000F4F90" w:rsidRPr="007E4882" w:rsidRDefault="000F4F90" w:rsidP="00124001">
            <w:pPr>
              <w:spacing w:after="0" w:line="240" w:lineRule="auto"/>
              <w:jc w:val="center"/>
              <w:rPr>
                <w:rFonts w:eastAsia="Times New Roman" w:cstheme="minorHAnsi"/>
                <w:color w:val="auto"/>
                <w:sz w:val="18"/>
                <w:szCs w:val="18"/>
                <w:lang w:eastAsia="el-GR"/>
              </w:rPr>
            </w:pPr>
            <w:r w:rsidRPr="007E4882">
              <w:rPr>
                <w:rFonts w:eastAsia="Times New Roman" w:cstheme="minorHAnsi"/>
                <w:color w:val="auto"/>
                <w:sz w:val="18"/>
                <w:szCs w:val="18"/>
                <w:lang w:eastAsia="el-GR"/>
              </w:rPr>
              <w:t>-3.062</w:t>
            </w:r>
          </w:p>
        </w:tc>
      </w:tr>
      <w:tr w:rsidR="007E4882" w:rsidRPr="007E4882" w14:paraId="352FC73E" w14:textId="77777777" w:rsidTr="00124001">
        <w:trPr>
          <w:trHeight w:val="209"/>
          <w:jc w:val="center"/>
        </w:trPr>
        <w:tc>
          <w:tcPr>
            <w:tcW w:w="3558" w:type="dxa"/>
            <w:shd w:val="clear" w:color="auto" w:fill="auto"/>
            <w:noWrap/>
            <w:vAlign w:val="center"/>
            <w:hideMark/>
          </w:tcPr>
          <w:p w14:paraId="4C26BB1A" w14:textId="77777777" w:rsidR="000F4F90" w:rsidRPr="007E4882" w:rsidRDefault="000F4F90" w:rsidP="00124001">
            <w:pPr>
              <w:spacing w:after="0" w:line="240" w:lineRule="auto"/>
              <w:rPr>
                <w:rFonts w:eastAsia="Times New Roman" w:cstheme="minorHAnsi"/>
                <w:color w:val="auto"/>
                <w:sz w:val="18"/>
                <w:szCs w:val="18"/>
                <w:lang w:eastAsia="el-GR"/>
              </w:rPr>
            </w:pPr>
            <w:r w:rsidRPr="007E4882">
              <w:rPr>
                <w:rFonts w:eastAsia="Times New Roman" w:cstheme="minorHAnsi"/>
                <w:color w:val="auto"/>
                <w:sz w:val="18"/>
                <w:szCs w:val="18"/>
                <w:lang w:eastAsia="el-GR"/>
              </w:rPr>
              <w:t>β. Τόκοι</w:t>
            </w:r>
          </w:p>
        </w:tc>
        <w:tc>
          <w:tcPr>
            <w:tcW w:w="908" w:type="dxa"/>
            <w:shd w:val="clear" w:color="auto" w:fill="auto"/>
            <w:noWrap/>
            <w:vAlign w:val="center"/>
            <w:hideMark/>
          </w:tcPr>
          <w:p w14:paraId="04E4BA94" w14:textId="77777777" w:rsidR="000F4F90" w:rsidRPr="007E4882" w:rsidRDefault="000F4F90" w:rsidP="00124001">
            <w:pPr>
              <w:spacing w:after="0" w:line="240" w:lineRule="auto"/>
              <w:jc w:val="center"/>
              <w:rPr>
                <w:rFonts w:eastAsia="Times New Roman" w:cstheme="minorHAnsi"/>
                <w:color w:val="auto"/>
                <w:sz w:val="18"/>
                <w:szCs w:val="18"/>
                <w:lang w:eastAsia="el-GR"/>
              </w:rPr>
            </w:pPr>
            <w:r w:rsidRPr="007E4882">
              <w:rPr>
                <w:rFonts w:eastAsia="Times New Roman" w:cstheme="minorHAnsi"/>
                <w:color w:val="auto"/>
                <w:sz w:val="18"/>
                <w:szCs w:val="18"/>
                <w:lang w:eastAsia="el-GR"/>
              </w:rPr>
              <w:t>2.317</w:t>
            </w:r>
          </w:p>
        </w:tc>
        <w:tc>
          <w:tcPr>
            <w:tcW w:w="1048" w:type="dxa"/>
            <w:shd w:val="clear" w:color="auto" w:fill="auto"/>
            <w:noWrap/>
            <w:vAlign w:val="center"/>
            <w:hideMark/>
          </w:tcPr>
          <w:p w14:paraId="55D662FB" w14:textId="77777777" w:rsidR="000F4F90" w:rsidRPr="007E4882" w:rsidRDefault="000F4F90" w:rsidP="00124001">
            <w:pPr>
              <w:spacing w:after="0" w:line="240" w:lineRule="auto"/>
              <w:jc w:val="center"/>
              <w:rPr>
                <w:rFonts w:eastAsia="Times New Roman" w:cstheme="minorHAnsi"/>
                <w:color w:val="auto"/>
                <w:sz w:val="18"/>
                <w:szCs w:val="18"/>
                <w:lang w:eastAsia="el-GR"/>
              </w:rPr>
            </w:pPr>
            <w:r w:rsidRPr="007E4882">
              <w:rPr>
                <w:rFonts w:eastAsia="Times New Roman" w:cstheme="minorHAnsi"/>
                <w:color w:val="auto"/>
                <w:sz w:val="18"/>
                <w:szCs w:val="18"/>
                <w:lang w:eastAsia="el-GR"/>
              </w:rPr>
              <w:t>2.456</w:t>
            </w:r>
          </w:p>
        </w:tc>
        <w:tc>
          <w:tcPr>
            <w:tcW w:w="1286" w:type="dxa"/>
            <w:shd w:val="clear" w:color="auto" w:fill="auto"/>
            <w:noWrap/>
            <w:vAlign w:val="center"/>
            <w:hideMark/>
          </w:tcPr>
          <w:p w14:paraId="1CA01F43" w14:textId="77777777" w:rsidR="000F4F90" w:rsidRPr="007E4882" w:rsidRDefault="000F4F90" w:rsidP="00124001">
            <w:pPr>
              <w:spacing w:after="0" w:line="240" w:lineRule="auto"/>
              <w:jc w:val="center"/>
              <w:rPr>
                <w:rFonts w:eastAsia="Times New Roman" w:cstheme="minorHAnsi"/>
                <w:color w:val="auto"/>
                <w:sz w:val="18"/>
                <w:szCs w:val="18"/>
                <w:lang w:eastAsia="el-GR"/>
              </w:rPr>
            </w:pPr>
            <w:r w:rsidRPr="007E4882">
              <w:rPr>
                <w:rFonts w:eastAsia="Times New Roman" w:cstheme="minorHAnsi"/>
                <w:color w:val="auto"/>
                <w:sz w:val="18"/>
                <w:szCs w:val="18"/>
                <w:lang w:eastAsia="el-GR"/>
              </w:rPr>
              <w:t>2.240</w:t>
            </w:r>
          </w:p>
        </w:tc>
        <w:tc>
          <w:tcPr>
            <w:tcW w:w="990" w:type="dxa"/>
            <w:shd w:val="clear" w:color="auto" w:fill="auto"/>
            <w:noWrap/>
            <w:vAlign w:val="center"/>
            <w:hideMark/>
          </w:tcPr>
          <w:p w14:paraId="45DC0C48" w14:textId="77777777" w:rsidR="000F4F90" w:rsidRPr="007E4882" w:rsidRDefault="000F4F90" w:rsidP="00124001">
            <w:pPr>
              <w:spacing w:after="0" w:line="240" w:lineRule="auto"/>
              <w:jc w:val="center"/>
              <w:rPr>
                <w:rFonts w:eastAsia="Times New Roman" w:cstheme="minorHAnsi"/>
                <w:color w:val="auto"/>
                <w:sz w:val="18"/>
                <w:szCs w:val="18"/>
                <w:lang w:eastAsia="el-GR"/>
              </w:rPr>
            </w:pPr>
            <w:r w:rsidRPr="007E4882">
              <w:rPr>
                <w:rFonts w:eastAsia="Times New Roman" w:cstheme="minorHAnsi"/>
                <w:color w:val="auto"/>
                <w:sz w:val="18"/>
                <w:szCs w:val="18"/>
                <w:lang w:eastAsia="el-GR"/>
              </w:rPr>
              <w:t>139</w:t>
            </w:r>
          </w:p>
        </w:tc>
        <w:tc>
          <w:tcPr>
            <w:tcW w:w="1163" w:type="dxa"/>
            <w:shd w:val="clear" w:color="auto" w:fill="auto"/>
            <w:noWrap/>
            <w:vAlign w:val="center"/>
            <w:hideMark/>
          </w:tcPr>
          <w:p w14:paraId="25CFEFD0" w14:textId="77777777" w:rsidR="000F4F90" w:rsidRPr="007E4882" w:rsidRDefault="000F4F90" w:rsidP="00124001">
            <w:pPr>
              <w:spacing w:after="0" w:line="240" w:lineRule="auto"/>
              <w:jc w:val="center"/>
              <w:rPr>
                <w:rFonts w:eastAsia="Times New Roman" w:cstheme="minorHAnsi"/>
                <w:color w:val="auto"/>
                <w:sz w:val="18"/>
                <w:szCs w:val="18"/>
                <w:lang w:eastAsia="el-GR"/>
              </w:rPr>
            </w:pPr>
            <w:r w:rsidRPr="007E4882">
              <w:rPr>
                <w:rFonts w:eastAsia="Times New Roman" w:cstheme="minorHAnsi"/>
                <w:color w:val="auto"/>
                <w:sz w:val="18"/>
                <w:szCs w:val="18"/>
                <w:lang w:eastAsia="el-GR"/>
              </w:rPr>
              <w:t>216</w:t>
            </w:r>
          </w:p>
        </w:tc>
      </w:tr>
      <w:tr w:rsidR="007E4882" w:rsidRPr="007E4882" w14:paraId="64ABDB3E" w14:textId="77777777" w:rsidTr="00124001">
        <w:trPr>
          <w:trHeight w:val="209"/>
          <w:jc w:val="center"/>
        </w:trPr>
        <w:tc>
          <w:tcPr>
            <w:tcW w:w="3558" w:type="dxa"/>
            <w:shd w:val="clear" w:color="auto" w:fill="auto"/>
            <w:noWrap/>
            <w:vAlign w:val="center"/>
            <w:hideMark/>
          </w:tcPr>
          <w:p w14:paraId="04FB76B6" w14:textId="77777777" w:rsidR="000F4F90" w:rsidRPr="007E4882" w:rsidRDefault="000F4F90" w:rsidP="00124001">
            <w:pPr>
              <w:spacing w:after="0" w:line="240" w:lineRule="auto"/>
              <w:rPr>
                <w:rFonts w:eastAsia="Times New Roman" w:cstheme="minorHAnsi"/>
                <w:color w:val="auto"/>
                <w:sz w:val="18"/>
                <w:szCs w:val="18"/>
                <w:lang w:eastAsia="el-GR"/>
              </w:rPr>
            </w:pPr>
            <w:r w:rsidRPr="007E4882">
              <w:rPr>
                <w:rFonts w:eastAsia="Times New Roman" w:cstheme="minorHAnsi"/>
                <w:color w:val="auto"/>
                <w:sz w:val="18"/>
                <w:szCs w:val="18"/>
                <w:lang w:eastAsia="el-GR"/>
              </w:rPr>
              <w:t>γ. Δαπάνες ΠΔΕ</w:t>
            </w:r>
          </w:p>
        </w:tc>
        <w:tc>
          <w:tcPr>
            <w:tcW w:w="908" w:type="dxa"/>
            <w:shd w:val="clear" w:color="auto" w:fill="auto"/>
            <w:noWrap/>
            <w:vAlign w:val="center"/>
            <w:hideMark/>
          </w:tcPr>
          <w:p w14:paraId="3E05C7C9" w14:textId="77777777" w:rsidR="000F4F90" w:rsidRPr="007E4882" w:rsidRDefault="000F4F90" w:rsidP="00124001">
            <w:pPr>
              <w:spacing w:after="0" w:line="240" w:lineRule="auto"/>
              <w:jc w:val="center"/>
              <w:rPr>
                <w:rFonts w:eastAsia="Times New Roman" w:cstheme="minorHAnsi"/>
                <w:color w:val="auto"/>
                <w:sz w:val="18"/>
                <w:szCs w:val="18"/>
                <w:lang w:eastAsia="el-GR"/>
              </w:rPr>
            </w:pPr>
            <w:r w:rsidRPr="007E4882">
              <w:rPr>
                <w:rFonts w:eastAsia="Times New Roman" w:cstheme="minorHAnsi"/>
                <w:color w:val="auto"/>
                <w:sz w:val="18"/>
                <w:szCs w:val="18"/>
                <w:lang w:eastAsia="el-GR"/>
              </w:rPr>
              <w:t>809</w:t>
            </w:r>
          </w:p>
        </w:tc>
        <w:tc>
          <w:tcPr>
            <w:tcW w:w="1048" w:type="dxa"/>
            <w:shd w:val="clear" w:color="auto" w:fill="auto"/>
            <w:noWrap/>
            <w:vAlign w:val="center"/>
            <w:hideMark/>
          </w:tcPr>
          <w:p w14:paraId="7ECE2F2D" w14:textId="77777777" w:rsidR="000F4F90" w:rsidRPr="007E4882" w:rsidRDefault="000F4F90" w:rsidP="00124001">
            <w:pPr>
              <w:spacing w:after="0" w:line="240" w:lineRule="auto"/>
              <w:jc w:val="center"/>
              <w:rPr>
                <w:rFonts w:eastAsia="Times New Roman" w:cstheme="minorHAnsi"/>
                <w:color w:val="auto"/>
                <w:sz w:val="18"/>
                <w:szCs w:val="18"/>
                <w:lang w:eastAsia="el-GR"/>
              </w:rPr>
            </w:pPr>
            <w:r w:rsidRPr="007E4882">
              <w:rPr>
                <w:rFonts w:eastAsia="Times New Roman" w:cstheme="minorHAnsi"/>
                <w:color w:val="auto"/>
                <w:sz w:val="18"/>
                <w:szCs w:val="18"/>
                <w:lang w:eastAsia="el-GR"/>
              </w:rPr>
              <w:t>2.192</w:t>
            </w:r>
          </w:p>
        </w:tc>
        <w:tc>
          <w:tcPr>
            <w:tcW w:w="1286" w:type="dxa"/>
            <w:shd w:val="clear" w:color="auto" w:fill="auto"/>
            <w:noWrap/>
            <w:vAlign w:val="center"/>
            <w:hideMark/>
          </w:tcPr>
          <w:p w14:paraId="46F4C44A" w14:textId="77777777" w:rsidR="000F4F90" w:rsidRPr="007E4882" w:rsidRDefault="000F4F90" w:rsidP="00124001">
            <w:pPr>
              <w:spacing w:after="0" w:line="240" w:lineRule="auto"/>
              <w:jc w:val="center"/>
              <w:rPr>
                <w:rFonts w:eastAsia="Times New Roman" w:cstheme="minorHAnsi"/>
                <w:color w:val="auto"/>
                <w:sz w:val="18"/>
                <w:szCs w:val="18"/>
                <w:lang w:eastAsia="el-GR"/>
              </w:rPr>
            </w:pPr>
            <w:r w:rsidRPr="007E4882">
              <w:rPr>
                <w:rFonts w:eastAsia="Times New Roman" w:cstheme="minorHAnsi"/>
                <w:color w:val="auto"/>
                <w:sz w:val="18"/>
                <w:szCs w:val="18"/>
                <w:lang w:eastAsia="el-GR"/>
              </w:rPr>
              <w:t>895</w:t>
            </w:r>
          </w:p>
        </w:tc>
        <w:tc>
          <w:tcPr>
            <w:tcW w:w="990" w:type="dxa"/>
            <w:shd w:val="clear" w:color="auto" w:fill="auto"/>
            <w:noWrap/>
            <w:vAlign w:val="center"/>
            <w:hideMark/>
          </w:tcPr>
          <w:p w14:paraId="371B16F0" w14:textId="77777777" w:rsidR="000F4F90" w:rsidRPr="007E4882" w:rsidRDefault="000F4F90" w:rsidP="00124001">
            <w:pPr>
              <w:spacing w:after="0" w:line="240" w:lineRule="auto"/>
              <w:jc w:val="center"/>
              <w:rPr>
                <w:rFonts w:eastAsia="Times New Roman" w:cstheme="minorHAnsi"/>
                <w:color w:val="auto"/>
                <w:sz w:val="18"/>
                <w:szCs w:val="18"/>
                <w:lang w:eastAsia="el-GR"/>
              </w:rPr>
            </w:pPr>
            <w:r w:rsidRPr="007E4882">
              <w:rPr>
                <w:rFonts w:eastAsia="Times New Roman" w:cstheme="minorHAnsi"/>
                <w:color w:val="auto"/>
                <w:sz w:val="18"/>
                <w:szCs w:val="18"/>
                <w:lang w:eastAsia="el-GR"/>
              </w:rPr>
              <w:t>1.383</w:t>
            </w:r>
          </w:p>
        </w:tc>
        <w:tc>
          <w:tcPr>
            <w:tcW w:w="1163" w:type="dxa"/>
            <w:shd w:val="clear" w:color="auto" w:fill="auto"/>
            <w:noWrap/>
            <w:vAlign w:val="center"/>
            <w:hideMark/>
          </w:tcPr>
          <w:p w14:paraId="254BB6AD" w14:textId="77777777" w:rsidR="000F4F90" w:rsidRPr="007E4882" w:rsidRDefault="000F4F90" w:rsidP="00124001">
            <w:pPr>
              <w:spacing w:after="0" w:line="240" w:lineRule="auto"/>
              <w:jc w:val="center"/>
              <w:rPr>
                <w:rFonts w:eastAsia="Times New Roman" w:cstheme="minorHAnsi"/>
                <w:color w:val="auto"/>
                <w:sz w:val="18"/>
                <w:szCs w:val="18"/>
                <w:lang w:eastAsia="el-GR"/>
              </w:rPr>
            </w:pPr>
            <w:r w:rsidRPr="007E4882">
              <w:rPr>
                <w:rFonts w:eastAsia="Times New Roman" w:cstheme="minorHAnsi"/>
                <w:color w:val="auto"/>
                <w:sz w:val="18"/>
                <w:szCs w:val="18"/>
                <w:lang w:eastAsia="el-GR"/>
              </w:rPr>
              <w:t>1.297</w:t>
            </w:r>
          </w:p>
        </w:tc>
      </w:tr>
      <w:tr w:rsidR="007E4882" w:rsidRPr="007E4882" w14:paraId="3DE52388" w14:textId="77777777" w:rsidTr="00124001">
        <w:trPr>
          <w:trHeight w:val="209"/>
          <w:jc w:val="center"/>
        </w:trPr>
        <w:tc>
          <w:tcPr>
            <w:tcW w:w="3558" w:type="dxa"/>
            <w:shd w:val="clear" w:color="auto" w:fill="D9D9D9" w:themeFill="background1" w:themeFillShade="D9"/>
            <w:noWrap/>
            <w:vAlign w:val="center"/>
            <w:hideMark/>
          </w:tcPr>
          <w:p w14:paraId="3006D5E8" w14:textId="77777777" w:rsidR="000F4F90" w:rsidRPr="007E4882" w:rsidRDefault="000F4F90" w:rsidP="00124001">
            <w:pPr>
              <w:spacing w:after="0" w:line="240" w:lineRule="auto"/>
              <w:rPr>
                <w:rFonts w:eastAsia="Times New Roman" w:cstheme="minorHAnsi"/>
                <w:b/>
                <w:bCs/>
                <w:color w:val="auto"/>
                <w:sz w:val="18"/>
                <w:szCs w:val="18"/>
                <w:lang w:eastAsia="el-GR"/>
              </w:rPr>
            </w:pPr>
            <w:r w:rsidRPr="007E4882">
              <w:rPr>
                <w:rFonts w:eastAsia="Times New Roman" w:cstheme="minorHAnsi"/>
                <w:b/>
                <w:bCs/>
                <w:color w:val="auto"/>
                <w:sz w:val="18"/>
                <w:szCs w:val="18"/>
                <w:lang w:eastAsia="el-GR"/>
              </w:rPr>
              <w:t>3. Ισοζύγιο Κρατικού Προϋπολογισμού</w:t>
            </w:r>
            <w:r w:rsidRPr="007E4882">
              <w:rPr>
                <w:rFonts w:eastAsia="Times New Roman" w:cstheme="minorHAnsi"/>
                <w:b/>
                <w:bCs/>
                <w:color w:val="auto"/>
                <w:sz w:val="18"/>
                <w:szCs w:val="18"/>
                <w:vertAlign w:val="superscript"/>
                <w:lang w:eastAsia="el-GR"/>
              </w:rPr>
              <w:t>(2)</w:t>
            </w:r>
          </w:p>
        </w:tc>
        <w:tc>
          <w:tcPr>
            <w:tcW w:w="908" w:type="dxa"/>
            <w:shd w:val="clear" w:color="auto" w:fill="D9D9D9" w:themeFill="background1" w:themeFillShade="D9"/>
            <w:noWrap/>
            <w:vAlign w:val="center"/>
            <w:hideMark/>
          </w:tcPr>
          <w:p w14:paraId="1148ECD7" w14:textId="77777777" w:rsidR="000F4F90" w:rsidRPr="007E4882" w:rsidRDefault="000F4F90" w:rsidP="00124001">
            <w:pPr>
              <w:spacing w:after="0" w:line="240" w:lineRule="auto"/>
              <w:jc w:val="center"/>
              <w:rPr>
                <w:rFonts w:eastAsia="Times New Roman" w:cstheme="minorHAnsi"/>
                <w:b/>
                <w:bCs/>
                <w:color w:val="auto"/>
                <w:sz w:val="18"/>
                <w:szCs w:val="18"/>
                <w:lang w:eastAsia="el-GR"/>
              </w:rPr>
            </w:pPr>
            <w:r w:rsidRPr="007E4882">
              <w:rPr>
                <w:rFonts w:eastAsia="Times New Roman" w:cstheme="minorHAnsi"/>
                <w:b/>
                <w:bCs/>
                <w:color w:val="auto"/>
                <w:sz w:val="18"/>
                <w:szCs w:val="18"/>
                <w:lang w:eastAsia="el-GR"/>
              </w:rPr>
              <w:t>-1.823</w:t>
            </w:r>
          </w:p>
        </w:tc>
        <w:tc>
          <w:tcPr>
            <w:tcW w:w="1048" w:type="dxa"/>
            <w:shd w:val="clear" w:color="auto" w:fill="D9D9D9" w:themeFill="background1" w:themeFillShade="D9"/>
            <w:noWrap/>
            <w:vAlign w:val="center"/>
            <w:hideMark/>
          </w:tcPr>
          <w:p w14:paraId="35B2B97D" w14:textId="77777777" w:rsidR="000F4F90" w:rsidRPr="007E4882" w:rsidRDefault="000F4F90" w:rsidP="00124001">
            <w:pPr>
              <w:spacing w:after="0" w:line="240" w:lineRule="auto"/>
              <w:jc w:val="center"/>
              <w:rPr>
                <w:rFonts w:eastAsia="Times New Roman" w:cstheme="minorHAnsi"/>
                <w:b/>
                <w:bCs/>
                <w:color w:val="auto"/>
                <w:sz w:val="18"/>
                <w:szCs w:val="18"/>
                <w:lang w:val="en-US" w:eastAsia="el-GR"/>
              </w:rPr>
            </w:pPr>
            <w:r w:rsidRPr="007E4882">
              <w:rPr>
                <w:rFonts w:eastAsia="Times New Roman" w:cstheme="minorHAnsi"/>
                <w:b/>
                <w:bCs/>
                <w:color w:val="auto"/>
                <w:sz w:val="18"/>
                <w:szCs w:val="18"/>
                <w:lang w:eastAsia="el-GR"/>
              </w:rPr>
              <w:t>-5.71</w:t>
            </w:r>
            <w:r w:rsidRPr="007E4882">
              <w:rPr>
                <w:rFonts w:eastAsia="Times New Roman" w:cstheme="minorHAnsi"/>
                <w:b/>
                <w:bCs/>
                <w:color w:val="auto"/>
                <w:sz w:val="18"/>
                <w:szCs w:val="18"/>
                <w:lang w:val="en-US" w:eastAsia="el-GR"/>
              </w:rPr>
              <w:t>4</w:t>
            </w:r>
          </w:p>
        </w:tc>
        <w:tc>
          <w:tcPr>
            <w:tcW w:w="1286" w:type="dxa"/>
            <w:shd w:val="clear" w:color="auto" w:fill="D9D9D9" w:themeFill="background1" w:themeFillShade="D9"/>
            <w:noWrap/>
            <w:vAlign w:val="center"/>
            <w:hideMark/>
          </w:tcPr>
          <w:p w14:paraId="2482D1E5" w14:textId="77777777" w:rsidR="000F4F90" w:rsidRPr="007E4882" w:rsidRDefault="000F4F90" w:rsidP="00124001">
            <w:pPr>
              <w:spacing w:after="0" w:line="240" w:lineRule="auto"/>
              <w:jc w:val="center"/>
              <w:rPr>
                <w:rFonts w:eastAsia="Times New Roman" w:cstheme="minorHAnsi"/>
                <w:b/>
                <w:bCs/>
                <w:color w:val="auto"/>
                <w:sz w:val="18"/>
                <w:szCs w:val="18"/>
                <w:lang w:eastAsia="el-GR"/>
              </w:rPr>
            </w:pPr>
            <w:r w:rsidRPr="007E4882">
              <w:rPr>
                <w:rFonts w:eastAsia="Times New Roman" w:cstheme="minorHAnsi"/>
                <w:b/>
                <w:bCs/>
                <w:color w:val="auto"/>
                <w:sz w:val="18"/>
                <w:szCs w:val="18"/>
                <w:lang w:eastAsia="el-GR"/>
              </w:rPr>
              <w:t>-6.604</w:t>
            </w:r>
          </w:p>
        </w:tc>
        <w:tc>
          <w:tcPr>
            <w:tcW w:w="990" w:type="dxa"/>
            <w:shd w:val="clear" w:color="auto" w:fill="D9D9D9" w:themeFill="background1" w:themeFillShade="D9"/>
            <w:noWrap/>
            <w:vAlign w:val="center"/>
            <w:hideMark/>
          </w:tcPr>
          <w:p w14:paraId="49BAFDBB" w14:textId="77777777" w:rsidR="000F4F90" w:rsidRPr="007E4882" w:rsidRDefault="000F4F90" w:rsidP="00124001">
            <w:pPr>
              <w:spacing w:after="0" w:line="240" w:lineRule="auto"/>
              <w:jc w:val="center"/>
              <w:rPr>
                <w:rFonts w:eastAsia="Times New Roman" w:cstheme="minorHAnsi"/>
                <w:b/>
                <w:bCs/>
                <w:color w:val="auto"/>
                <w:sz w:val="18"/>
                <w:szCs w:val="18"/>
                <w:lang w:val="en-US" w:eastAsia="el-GR"/>
              </w:rPr>
            </w:pPr>
            <w:r w:rsidRPr="007E4882">
              <w:rPr>
                <w:rFonts w:eastAsia="Times New Roman" w:cstheme="minorHAnsi"/>
                <w:b/>
                <w:bCs/>
                <w:color w:val="auto"/>
                <w:sz w:val="18"/>
                <w:szCs w:val="18"/>
                <w:lang w:eastAsia="el-GR"/>
              </w:rPr>
              <w:t>-</w:t>
            </w:r>
            <w:r w:rsidRPr="007E4882">
              <w:rPr>
                <w:rFonts w:eastAsia="Times New Roman" w:cstheme="minorHAnsi"/>
                <w:b/>
                <w:bCs/>
                <w:color w:val="auto"/>
                <w:sz w:val="18"/>
                <w:szCs w:val="18"/>
                <w:lang w:val="en-US" w:eastAsia="el-GR"/>
              </w:rPr>
              <w:t>3</w:t>
            </w:r>
            <w:r w:rsidRPr="007E4882">
              <w:rPr>
                <w:rFonts w:eastAsia="Times New Roman" w:cstheme="minorHAnsi"/>
                <w:b/>
                <w:bCs/>
                <w:color w:val="auto"/>
                <w:sz w:val="18"/>
                <w:szCs w:val="18"/>
                <w:lang w:eastAsia="el-GR"/>
              </w:rPr>
              <w:t>.</w:t>
            </w:r>
            <w:r w:rsidRPr="007E4882">
              <w:rPr>
                <w:rFonts w:eastAsia="Times New Roman" w:cstheme="minorHAnsi"/>
                <w:b/>
                <w:bCs/>
                <w:color w:val="auto"/>
                <w:sz w:val="18"/>
                <w:szCs w:val="18"/>
                <w:lang w:val="en-US" w:eastAsia="el-GR"/>
              </w:rPr>
              <w:t>891</w:t>
            </w:r>
          </w:p>
        </w:tc>
        <w:tc>
          <w:tcPr>
            <w:tcW w:w="1163" w:type="dxa"/>
            <w:shd w:val="clear" w:color="auto" w:fill="D9D9D9" w:themeFill="background1" w:themeFillShade="D9"/>
            <w:noWrap/>
            <w:vAlign w:val="center"/>
            <w:hideMark/>
          </w:tcPr>
          <w:p w14:paraId="25A4C9F9" w14:textId="77777777" w:rsidR="000F4F90" w:rsidRPr="007E4882" w:rsidRDefault="000F4F90" w:rsidP="00124001">
            <w:pPr>
              <w:spacing w:after="0" w:line="240" w:lineRule="auto"/>
              <w:jc w:val="center"/>
              <w:rPr>
                <w:rFonts w:eastAsia="Times New Roman" w:cstheme="minorHAnsi"/>
                <w:b/>
                <w:bCs/>
                <w:color w:val="auto"/>
                <w:sz w:val="18"/>
                <w:szCs w:val="18"/>
                <w:lang w:val="en-US" w:eastAsia="el-GR"/>
              </w:rPr>
            </w:pPr>
            <w:r w:rsidRPr="007E4882">
              <w:rPr>
                <w:rFonts w:eastAsia="Times New Roman" w:cstheme="minorHAnsi"/>
                <w:b/>
                <w:bCs/>
                <w:color w:val="auto"/>
                <w:sz w:val="18"/>
                <w:szCs w:val="18"/>
                <w:lang w:eastAsia="el-GR"/>
              </w:rPr>
              <w:t>-</w:t>
            </w:r>
            <w:r w:rsidRPr="007E4882">
              <w:rPr>
                <w:rFonts w:eastAsia="Times New Roman" w:cstheme="minorHAnsi"/>
                <w:b/>
                <w:bCs/>
                <w:color w:val="auto"/>
                <w:sz w:val="18"/>
                <w:szCs w:val="18"/>
                <w:lang w:val="en-US" w:eastAsia="el-GR"/>
              </w:rPr>
              <w:t>890</w:t>
            </w:r>
          </w:p>
        </w:tc>
      </w:tr>
      <w:tr w:rsidR="007E4882" w:rsidRPr="007E4882" w14:paraId="70BB5595" w14:textId="77777777" w:rsidTr="00124001">
        <w:trPr>
          <w:trHeight w:val="209"/>
          <w:jc w:val="center"/>
        </w:trPr>
        <w:tc>
          <w:tcPr>
            <w:tcW w:w="3558" w:type="dxa"/>
            <w:shd w:val="clear" w:color="auto" w:fill="auto"/>
            <w:noWrap/>
            <w:vAlign w:val="center"/>
            <w:hideMark/>
          </w:tcPr>
          <w:p w14:paraId="1A90FC97" w14:textId="77777777" w:rsidR="000F4F90" w:rsidRPr="007E4882" w:rsidRDefault="000F4F90" w:rsidP="00124001">
            <w:pPr>
              <w:spacing w:after="0" w:line="240" w:lineRule="auto"/>
              <w:rPr>
                <w:rFonts w:eastAsia="Times New Roman" w:cstheme="minorHAnsi"/>
                <w:color w:val="auto"/>
                <w:sz w:val="18"/>
                <w:szCs w:val="18"/>
                <w:lang w:eastAsia="el-GR"/>
              </w:rPr>
            </w:pPr>
            <w:r w:rsidRPr="007E4882">
              <w:rPr>
                <w:rFonts w:eastAsia="Times New Roman" w:cstheme="minorHAnsi"/>
                <w:color w:val="auto"/>
                <w:sz w:val="18"/>
                <w:szCs w:val="18"/>
                <w:lang w:eastAsia="el-GR"/>
              </w:rPr>
              <w:t>ως % του ΑΕΠ</w:t>
            </w:r>
          </w:p>
        </w:tc>
        <w:tc>
          <w:tcPr>
            <w:tcW w:w="908" w:type="dxa"/>
            <w:shd w:val="clear" w:color="auto" w:fill="auto"/>
            <w:noWrap/>
            <w:vAlign w:val="bottom"/>
            <w:hideMark/>
          </w:tcPr>
          <w:p w14:paraId="4736DAB6" w14:textId="77777777" w:rsidR="000F4F90" w:rsidRPr="007E4882" w:rsidRDefault="000F4F90" w:rsidP="00124001">
            <w:pPr>
              <w:jc w:val="center"/>
              <w:rPr>
                <w:rFonts w:cstheme="minorHAnsi"/>
                <w:color w:val="auto"/>
                <w:sz w:val="18"/>
                <w:szCs w:val="18"/>
              </w:rPr>
            </w:pPr>
            <w:r w:rsidRPr="007E4882">
              <w:rPr>
                <w:rFonts w:cstheme="minorHAnsi"/>
                <w:color w:val="auto"/>
                <w:sz w:val="18"/>
                <w:szCs w:val="18"/>
              </w:rPr>
              <w:t>-1,1%</w:t>
            </w:r>
          </w:p>
        </w:tc>
        <w:tc>
          <w:tcPr>
            <w:tcW w:w="1048" w:type="dxa"/>
            <w:shd w:val="clear" w:color="auto" w:fill="auto"/>
            <w:noWrap/>
            <w:vAlign w:val="bottom"/>
            <w:hideMark/>
          </w:tcPr>
          <w:p w14:paraId="1E715841" w14:textId="77777777" w:rsidR="000F4F90" w:rsidRPr="007E4882" w:rsidRDefault="000F4F90" w:rsidP="00124001">
            <w:pPr>
              <w:jc w:val="center"/>
              <w:rPr>
                <w:rFonts w:cstheme="minorHAnsi"/>
                <w:color w:val="auto"/>
                <w:sz w:val="18"/>
                <w:szCs w:val="18"/>
              </w:rPr>
            </w:pPr>
            <w:r w:rsidRPr="007E4882">
              <w:rPr>
                <w:rFonts w:cstheme="minorHAnsi"/>
                <w:color w:val="auto"/>
                <w:sz w:val="18"/>
                <w:szCs w:val="18"/>
              </w:rPr>
              <w:t>-3,3%</w:t>
            </w:r>
          </w:p>
        </w:tc>
        <w:tc>
          <w:tcPr>
            <w:tcW w:w="1286" w:type="dxa"/>
            <w:shd w:val="clear" w:color="auto" w:fill="auto"/>
            <w:noWrap/>
            <w:vAlign w:val="bottom"/>
            <w:hideMark/>
          </w:tcPr>
          <w:p w14:paraId="7D536ACF" w14:textId="77777777" w:rsidR="000F4F90" w:rsidRPr="007E4882" w:rsidRDefault="000F4F90" w:rsidP="00124001">
            <w:pPr>
              <w:jc w:val="center"/>
              <w:rPr>
                <w:rFonts w:cstheme="minorHAnsi"/>
                <w:color w:val="auto"/>
                <w:sz w:val="18"/>
                <w:szCs w:val="18"/>
              </w:rPr>
            </w:pPr>
            <w:r w:rsidRPr="007E4882">
              <w:rPr>
                <w:rFonts w:cstheme="minorHAnsi"/>
                <w:color w:val="auto"/>
                <w:sz w:val="18"/>
                <w:szCs w:val="18"/>
              </w:rPr>
              <w:t>-3,8%</w:t>
            </w:r>
          </w:p>
        </w:tc>
        <w:tc>
          <w:tcPr>
            <w:tcW w:w="990" w:type="dxa"/>
            <w:shd w:val="clear" w:color="auto" w:fill="auto"/>
            <w:noWrap/>
            <w:vAlign w:val="center"/>
            <w:hideMark/>
          </w:tcPr>
          <w:p w14:paraId="0435860F" w14:textId="77777777" w:rsidR="000F4F90" w:rsidRPr="007E4882" w:rsidRDefault="000F4F90" w:rsidP="00124001">
            <w:pPr>
              <w:spacing w:after="0" w:line="240" w:lineRule="auto"/>
              <w:jc w:val="center"/>
              <w:rPr>
                <w:rFonts w:eastAsia="Times New Roman" w:cstheme="minorHAnsi"/>
                <w:color w:val="auto"/>
                <w:sz w:val="18"/>
                <w:szCs w:val="18"/>
                <w:lang w:eastAsia="el-GR"/>
              </w:rPr>
            </w:pPr>
          </w:p>
        </w:tc>
        <w:tc>
          <w:tcPr>
            <w:tcW w:w="1163" w:type="dxa"/>
            <w:shd w:val="clear" w:color="auto" w:fill="auto"/>
            <w:noWrap/>
            <w:vAlign w:val="center"/>
            <w:hideMark/>
          </w:tcPr>
          <w:p w14:paraId="14648E7F" w14:textId="77777777" w:rsidR="000F4F90" w:rsidRPr="007E4882" w:rsidRDefault="000F4F90" w:rsidP="00124001">
            <w:pPr>
              <w:spacing w:after="0" w:line="240" w:lineRule="auto"/>
              <w:jc w:val="center"/>
              <w:rPr>
                <w:rFonts w:eastAsia="Times New Roman" w:cstheme="minorHAnsi"/>
                <w:color w:val="auto"/>
                <w:sz w:val="18"/>
                <w:szCs w:val="18"/>
                <w:lang w:eastAsia="el-GR"/>
              </w:rPr>
            </w:pPr>
          </w:p>
        </w:tc>
      </w:tr>
      <w:tr w:rsidR="007E4882" w:rsidRPr="007E4882" w14:paraId="343B0286" w14:textId="77777777" w:rsidTr="00124001">
        <w:trPr>
          <w:trHeight w:val="209"/>
          <w:jc w:val="center"/>
        </w:trPr>
        <w:tc>
          <w:tcPr>
            <w:tcW w:w="3558" w:type="dxa"/>
            <w:shd w:val="clear" w:color="auto" w:fill="D9D9D9" w:themeFill="background1" w:themeFillShade="D9"/>
            <w:noWrap/>
            <w:vAlign w:val="center"/>
            <w:hideMark/>
          </w:tcPr>
          <w:p w14:paraId="5DCF1EDA" w14:textId="77777777" w:rsidR="000F4F90" w:rsidRPr="007E4882" w:rsidRDefault="000F4F90" w:rsidP="00124001">
            <w:pPr>
              <w:spacing w:after="0" w:line="240" w:lineRule="auto"/>
              <w:rPr>
                <w:rFonts w:eastAsia="Times New Roman" w:cstheme="minorHAnsi"/>
                <w:b/>
                <w:bCs/>
                <w:color w:val="auto"/>
                <w:sz w:val="18"/>
                <w:szCs w:val="18"/>
                <w:lang w:eastAsia="el-GR"/>
              </w:rPr>
            </w:pPr>
            <w:r w:rsidRPr="007E4882">
              <w:rPr>
                <w:rFonts w:eastAsia="Times New Roman" w:cstheme="minorHAnsi"/>
                <w:b/>
                <w:bCs/>
                <w:color w:val="auto"/>
                <w:sz w:val="18"/>
                <w:szCs w:val="18"/>
                <w:lang w:eastAsia="el-GR"/>
              </w:rPr>
              <w:t>4. Πρωτογενές Αποτέλεσμα</w:t>
            </w:r>
            <w:r w:rsidRPr="007E4882">
              <w:rPr>
                <w:rFonts w:eastAsia="Times New Roman" w:cstheme="minorHAnsi"/>
                <w:bCs/>
                <w:color w:val="auto"/>
                <w:sz w:val="18"/>
                <w:szCs w:val="18"/>
                <w:vertAlign w:val="superscript"/>
                <w:lang w:eastAsia="el-GR"/>
              </w:rPr>
              <w:t xml:space="preserve"> (3)</w:t>
            </w:r>
          </w:p>
        </w:tc>
        <w:tc>
          <w:tcPr>
            <w:tcW w:w="908" w:type="dxa"/>
            <w:shd w:val="clear" w:color="auto" w:fill="D9D9D9" w:themeFill="background1" w:themeFillShade="D9"/>
            <w:noWrap/>
            <w:vAlign w:val="center"/>
            <w:hideMark/>
          </w:tcPr>
          <w:p w14:paraId="6DDF766C" w14:textId="77777777" w:rsidR="000F4F90" w:rsidRPr="007E4882" w:rsidRDefault="000F4F90" w:rsidP="00124001">
            <w:pPr>
              <w:spacing w:after="0" w:line="240" w:lineRule="auto"/>
              <w:jc w:val="center"/>
              <w:rPr>
                <w:rFonts w:eastAsia="Times New Roman" w:cstheme="minorHAnsi"/>
                <w:b/>
                <w:bCs/>
                <w:color w:val="auto"/>
                <w:sz w:val="18"/>
                <w:szCs w:val="18"/>
                <w:lang w:eastAsia="el-GR"/>
              </w:rPr>
            </w:pPr>
            <w:r w:rsidRPr="007E4882">
              <w:rPr>
                <w:rFonts w:eastAsia="Times New Roman" w:cstheme="minorHAnsi"/>
                <w:b/>
                <w:bCs/>
                <w:color w:val="auto"/>
                <w:sz w:val="18"/>
                <w:szCs w:val="18"/>
                <w:lang w:eastAsia="el-GR"/>
              </w:rPr>
              <w:t>494</w:t>
            </w:r>
          </w:p>
        </w:tc>
        <w:tc>
          <w:tcPr>
            <w:tcW w:w="1048" w:type="dxa"/>
            <w:shd w:val="clear" w:color="auto" w:fill="D9D9D9" w:themeFill="background1" w:themeFillShade="D9"/>
            <w:noWrap/>
            <w:vAlign w:val="center"/>
            <w:hideMark/>
          </w:tcPr>
          <w:p w14:paraId="30CEF649" w14:textId="77777777" w:rsidR="000F4F90" w:rsidRPr="007E4882" w:rsidRDefault="000F4F90" w:rsidP="00124001">
            <w:pPr>
              <w:spacing w:after="0" w:line="240" w:lineRule="auto"/>
              <w:jc w:val="center"/>
              <w:rPr>
                <w:rFonts w:eastAsia="Times New Roman" w:cstheme="minorHAnsi"/>
                <w:b/>
                <w:bCs/>
                <w:color w:val="auto"/>
                <w:sz w:val="18"/>
                <w:szCs w:val="18"/>
                <w:lang w:eastAsia="el-GR"/>
              </w:rPr>
            </w:pPr>
            <w:r w:rsidRPr="007E4882">
              <w:rPr>
                <w:rFonts w:eastAsia="Times New Roman" w:cstheme="minorHAnsi"/>
                <w:b/>
                <w:bCs/>
                <w:color w:val="auto"/>
                <w:sz w:val="18"/>
                <w:szCs w:val="18"/>
                <w:lang w:eastAsia="el-GR"/>
              </w:rPr>
              <w:t>-3.413</w:t>
            </w:r>
          </w:p>
        </w:tc>
        <w:tc>
          <w:tcPr>
            <w:tcW w:w="1286" w:type="dxa"/>
            <w:shd w:val="clear" w:color="auto" w:fill="D9D9D9" w:themeFill="background1" w:themeFillShade="D9"/>
            <w:noWrap/>
            <w:vAlign w:val="center"/>
            <w:hideMark/>
          </w:tcPr>
          <w:p w14:paraId="0ECB1B79" w14:textId="77777777" w:rsidR="000F4F90" w:rsidRPr="007E4882" w:rsidRDefault="000F4F90" w:rsidP="00124001">
            <w:pPr>
              <w:spacing w:after="0" w:line="240" w:lineRule="auto"/>
              <w:jc w:val="center"/>
              <w:rPr>
                <w:rFonts w:eastAsia="Times New Roman" w:cstheme="minorHAnsi"/>
                <w:b/>
                <w:bCs/>
                <w:color w:val="auto"/>
                <w:sz w:val="18"/>
                <w:szCs w:val="18"/>
                <w:lang w:eastAsia="el-GR"/>
              </w:rPr>
            </w:pPr>
            <w:r w:rsidRPr="007E4882">
              <w:rPr>
                <w:rFonts w:eastAsia="Times New Roman" w:cstheme="minorHAnsi"/>
                <w:b/>
                <w:bCs/>
                <w:color w:val="auto"/>
                <w:sz w:val="18"/>
                <w:szCs w:val="18"/>
                <w:lang w:eastAsia="el-GR"/>
              </w:rPr>
              <w:t>-4.365</w:t>
            </w:r>
          </w:p>
        </w:tc>
        <w:tc>
          <w:tcPr>
            <w:tcW w:w="990" w:type="dxa"/>
            <w:shd w:val="clear" w:color="auto" w:fill="D9D9D9" w:themeFill="background1" w:themeFillShade="D9"/>
            <w:noWrap/>
            <w:vAlign w:val="center"/>
            <w:hideMark/>
          </w:tcPr>
          <w:p w14:paraId="20E9B957" w14:textId="77777777" w:rsidR="000F4F90" w:rsidRPr="007E4882" w:rsidRDefault="000F4F90" w:rsidP="00124001">
            <w:pPr>
              <w:spacing w:after="0" w:line="240" w:lineRule="auto"/>
              <w:jc w:val="center"/>
              <w:rPr>
                <w:rFonts w:eastAsia="Times New Roman" w:cstheme="minorHAnsi"/>
                <w:b/>
                <w:bCs/>
                <w:color w:val="auto"/>
                <w:sz w:val="18"/>
                <w:szCs w:val="18"/>
                <w:lang w:eastAsia="el-GR"/>
              </w:rPr>
            </w:pPr>
            <w:r w:rsidRPr="007E4882">
              <w:rPr>
                <w:rFonts w:eastAsia="Times New Roman" w:cstheme="minorHAnsi"/>
                <w:b/>
                <w:bCs/>
                <w:color w:val="auto"/>
                <w:sz w:val="18"/>
                <w:szCs w:val="18"/>
                <w:lang w:eastAsia="el-GR"/>
              </w:rPr>
              <w:t>-3.907</w:t>
            </w:r>
          </w:p>
        </w:tc>
        <w:tc>
          <w:tcPr>
            <w:tcW w:w="1163" w:type="dxa"/>
            <w:shd w:val="clear" w:color="auto" w:fill="D9D9D9" w:themeFill="background1" w:themeFillShade="D9"/>
            <w:noWrap/>
            <w:vAlign w:val="center"/>
            <w:hideMark/>
          </w:tcPr>
          <w:p w14:paraId="417803EA" w14:textId="77777777" w:rsidR="000F4F90" w:rsidRPr="007E4882" w:rsidRDefault="000F4F90" w:rsidP="00124001">
            <w:pPr>
              <w:spacing w:after="0" w:line="240" w:lineRule="auto"/>
              <w:jc w:val="center"/>
              <w:rPr>
                <w:rFonts w:eastAsia="Times New Roman" w:cstheme="minorHAnsi"/>
                <w:b/>
                <w:bCs/>
                <w:color w:val="auto"/>
                <w:sz w:val="18"/>
                <w:szCs w:val="18"/>
                <w:lang w:eastAsia="el-GR"/>
              </w:rPr>
            </w:pPr>
            <w:r w:rsidRPr="007E4882">
              <w:rPr>
                <w:rFonts w:eastAsia="Times New Roman" w:cstheme="minorHAnsi"/>
                <w:b/>
                <w:bCs/>
                <w:color w:val="auto"/>
                <w:sz w:val="18"/>
                <w:szCs w:val="18"/>
                <w:lang w:eastAsia="el-GR"/>
              </w:rPr>
              <w:t>952</w:t>
            </w:r>
          </w:p>
        </w:tc>
      </w:tr>
      <w:tr w:rsidR="007E4882" w:rsidRPr="007E4882" w14:paraId="29665FAB" w14:textId="77777777" w:rsidTr="00124001">
        <w:trPr>
          <w:trHeight w:val="236"/>
          <w:jc w:val="center"/>
        </w:trPr>
        <w:tc>
          <w:tcPr>
            <w:tcW w:w="3558" w:type="dxa"/>
            <w:shd w:val="clear" w:color="auto" w:fill="auto"/>
            <w:noWrap/>
            <w:vAlign w:val="center"/>
            <w:hideMark/>
          </w:tcPr>
          <w:p w14:paraId="56DC9257" w14:textId="77777777" w:rsidR="000F4F90" w:rsidRPr="007E4882" w:rsidRDefault="000F4F90" w:rsidP="00124001">
            <w:pPr>
              <w:spacing w:after="0" w:line="240" w:lineRule="auto"/>
              <w:rPr>
                <w:rFonts w:eastAsia="Times New Roman" w:cstheme="minorHAnsi"/>
                <w:color w:val="auto"/>
                <w:sz w:val="18"/>
                <w:szCs w:val="18"/>
                <w:lang w:eastAsia="el-GR"/>
              </w:rPr>
            </w:pPr>
            <w:r w:rsidRPr="007E4882">
              <w:rPr>
                <w:rFonts w:eastAsia="Times New Roman" w:cstheme="minorHAnsi"/>
                <w:color w:val="auto"/>
                <w:sz w:val="18"/>
                <w:szCs w:val="18"/>
                <w:lang w:eastAsia="el-GR"/>
              </w:rPr>
              <w:t>ως % του ΑΕΠ</w:t>
            </w:r>
          </w:p>
        </w:tc>
        <w:tc>
          <w:tcPr>
            <w:tcW w:w="908" w:type="dxa"/>
            <w:shd w:val="clear" w:color="auto" w:fill="auto"/>
            <w:noWrap/>
            <w:vAlign w:val="bottom"/>
            <w:hideMark/>
          </w:tcPr>
          <w:p w14:paraId="66E6EE44" w14:textId="77777777" w:rsidR="000F4F90" w:rsidRPr="007E4882" w:rsidRDefault="000F4F90" w:rsidP="00124001">
            <w:pPr>
              <w:jc w:val="center"/>
              <w:rPr>
                <w:rFonts w:cstheme="minorHAnsi"/>
                <w:color w:val="auto"/>
                <w:sz w:val="18"/>
                <w:szCs w:val="18"/>
              </w:rPr>
            </w:pPr>
            <w:r w:rsidRPr="007E4882">
              <w:rPr>
                <w:rFonts w:cstheme="minorHAnsi"/>
                <w:color w:val="auto"/>
                <w:sz w:val="18"/>
                <w:szCs w:val="18"/>
              </w:rPr>
              <w:t xml:space="preserve">0,3% </w:t>
            </w:r>
          </w:p>
        </w:tc>
        <w:tc>
          <w:tcPr>
            <w:tcW w:w="1048" w:type="dxa"/>
            <w:shd w:val="clear" w:color="auto" w:fill="auto"/>
            <w:noWrap/>
            <w:vAlign w:val="bottom"/>
            <w:hideMark/>
          </w:tcPr>
          <w:p w14:paraId="444F9EAA" w14:textId="77777777" w:rsidR="000F4F90" w:rsidRPr="007E4882" w:rsidRDefault="000F4F90" w:rsidP="00124001">
            <w:pPr>
              <w:jc w:val="center"/>
              <w:rPr>
                <w:rFonts w:cstheme="minorHAnsi"/>
                <w:color w:val="auto"/>
                <w:sz w:val="18"/>
                <w:szCs w:val="18"/>
              </w:rPr>
            </w:pPr>
            <w:r w:rsidRPr="007E4882">
              <w:rPr>
                <w:rFonts w:cstheme="minorHAnsi"/>
                <w:color w:val="auto"/>
                <w:sz w:val="18"/>
                <w:szCs w:val="18"/>
              </w:rPr>
              <w:t>-2,0%</w:t>
            </w:r>
          </w:p>
        </w:tc>
        <w:tc>
          <w:tcPr>
            <w:tcW w:w="1286" w:type="dxa"/>
            <w:shd w:val="clear" w:color="auto" w:fill="auto"/>
            <w:noWrap/>
            <w:vAlign w:val="bottom"/>
            <w:hideMark/>
          </w:tcPr>
          <w:p w14:paraId="3D86B22E" w14:textId="77777777" w:rsidR="000F4F90" w:rsidRPr="007E4882" w:rsidRDefault="000F4F90" w:rsidP="00124001">
            <w:pPr>
              <w:jc w:val="center"/>
              <w:rPr>
                <w:rFonts w:cstheme="minorHAnsi"/>
                <w:color w:val="auto"/>
                <w:sz w:val="18"/>
                <w:szCs w:val="18"/>
              </w:rPr>
            </w:pPr>
            <w:r w:rsidRPr="007E4882">
              <w:rPr>
                <w:rFonts w:cstheme="minorHAnsi"/>
                <w:color w:val="auto"/>
                <w:sz w:val="18"/>
                <w:szCs w:val="18"/>
              </w:rPr>
              <w:t>-2,5%</w:t>
            </w:r>
          </w:p>
        </w:tc>
        <w:tc>
          <w:tcPr>
            <w:tcW w:w="990" w:type="dxa"/>
            <w:shd w:val="clear" w:color="auto" w:fill="auto"/>
            <w:noWrap/>
            <w:vAlign w:val="center"/>
            <w:hideMark/>
          </w:tcPr>
          <w:p w14:paraId="736E610E" w14:textId="77777777" w:rsidR="000F4F90" w:rsidRPr="007E4882" w:rsidRDefault="000F4F90" w:rsidP="00124001">
            <w:pPr>
              <w:spacing w:after="0" w:line="240" w:lineRule="auto"/>
              <w:jc w:val="center"/>
              <w:rPr>
                <w:rFonts w:eastAsia="Times New Roman" w:cstheme="minorHAnsi"/>
                <w:color w:val="auto"/>
                <w:sz w:val="18"/>
                <w:szCs w:val="18"/>
                <w:lang w:eastAsia="el-GR"/>
              </w:rPr>
            </w:pPr>
          </w:p>
        </w:tc>
        <w:tc>
          <w:tcPr>
            <w:tcW w:w="1163" w:type="dxa"/>
            <w:shd w:val="clear" w:color="auto" w:fill="auto"/>
            <w:noWrap/>
            <w:vAlign w:val="center"/>
            <w:hideMark/>
          </w:tcPr>
          <w:p w14:paraId="6C8E47D3" w14:textId="77777777" w:rsidR="000F4F90" w:rsidRPr="007E4882" w:rsidRDefault="000F4F90" w:rsidP="00124001">
            <w:pPr>
              <w:spacing w:after="0" w:line="240" w:lineRule="auto"/>
              <w:jc w:val="center"/>
              <w:rPr>
                <w:rFonts w:eastAsia="Times New Roman" w:cstheme="minorHAnsi"/>
                <w:color w:val="auto"/>
                <w:sz w:val="18"/>
                <w:szCs w:val="18"/>
                <w:lang w:eastAsia="el-GR"/>
              </w:rPr>
            </w:pPr>
          </w:p>
        </w:tc>
      </w:tr>
      <w:tr w:rsidR="007E4882" w:rsidRPr="007E4882" w14:paraId="754253FB" w14:textId="77777777" w:rsidTr="00124001">
        <w:trPr>
          <w:trHeight w:val="209"/>
          <w:jc w:val="center"/>
        </w:trPr>
        <w:tc>
          <w:tcPr>
            <w:tcW w:w="3558" w:type="dxa"/>
            <w:shd w:val="clear" w:color="auto" w:fill="D9D9D9" w:themeFill="background1" w:themeFillShade="D9"/>
            <w:noWrap/>
            <w:vAlign w:val="center"/>
            <w:hideMark/>
          </w:tcPr>
          <w:p w14:paraId="5770D9E4" w14:textId="77777777" w:rsidR="000F4F90" w:rsidRPr="007E4882" w:rsidRDefault="000F4F90" w:rsidP="00124001">
            <w:pPr>
              <w:spacing w:after="0" w:line="240" w:lineRule="auto"/>
              <w:rPr>
                <w:rFonts w:eastAsia="Times New Roman" w:cstheme="minorHAnsi"/>
                <w:b/>
                <w:bCs/>
                <w:i/>
                <w:color w:val="auto"/>
                <w:sz w:val="18"/>
                <w:szCs w:val="18"/>
                <w:lang w:eastAsia="el-GR"/>
              </w:rPr>
            </w:pPr>
            <w:r w:rsidRPr="007E4882">
              <w:rPr>
                <w:rFonts w:eastAsia="Times New Roman" w:cstheme="minorHAnsi"/>
                <w:b/>
                <w:bCs/>
                <w:i/>
                <w:color w:val="auto"/>
                <w:sz w:val="18"/>
                <w:szCs w:val="18"/>
                <w:lang w:eastAsia="el-GR"/>
              </w:rPr>
              <w:t>ΑΕΠ (τρέχουσες τιμές)**</w:t>
            </w:r>
          </w:p>
        </w:tc>
        <w:tc>
          <w:tcPr>
            <w:tcW w:w="908" w:type="dxa"/>
            <w:shd w:val="clear" w:color="auto" w:fill="D9D9D9" w:themeFill="background1" w:themeFillShade="D9"/>
            <w:noWrap/>
            <w:vAlign w:val="bottom"/>
            <w:hideMark/>
          </w:tcPr>
          <w:p w14:paraId="1F63F791" w14:textId="77777777" w:rsidR="000F4F90" w:rsidRPr="007E4882" w:rsidRDefault="000F4F90" w:rsidP="00124001">
            <w:pPr>
              <w:jc w:val="center"/>
              <w:rPr>
                <w:rFonts w:cstheme="minorHAnsi"/>
                <w:b/>
                <w:bCs/>
                <w:color w:val="auto"/>
                <w:sz w:val="18"/>
                <w:szCs w:val="18"/>
              </w:rPr>
            </w:pPr>
            <w:r w:rsidRPr="007E4882">
              <w:rPr>
                <w:rFonts w:cstheme="minorHAnsi"/>
                <w:b/>
                <w:bCs/>
                <w:color w:val="auto"/>
                <w:sz w:val="18"/>
                <w:szCs w:val="18"/>
              </w:rPr>
              <w:t>165.830</w:t>
            </w:r>
          </w:p>
        </w:tc>
        <w:tc>
          <w:tcPr>
            <w:tcW w:w="1048" w:type="dxa"/>
            <w:shd w:val="clear" w:color="auto" w:fill="D9D9D9" w:themeFill="background1" w:themeFillShade="D9"/>
            <w:noWrap/>
            <w:vAlign w:val="center"/>
            <w:hideMark/>
          </w:tcPr>
          <w:p w14:paraId="591D3331" w14:textId="77777777" w:rsidR="000F4F90" w:rsidRPr="007E4882" w:rsidRDefault="000F4F90" w:rsidP="00124001">
            <w:pPr>
              <w:jc w:val="center"/>
              <w:rPr>
                <w:rFonts w:cstheme="minorHAnsi"/>
                <w:b/>
                <w:bCs/>
                <w:color w:val="auto"/>
                <w:sz w:val="18"/>
                <w:szCs w:val="18"/>
              </w:rPr>
            </w:pPr>
            <w:r w:rsidRPr="007E4882">
              <w:rPr>
                <w:rFonts w:cstheme="minorHAnsi"/>
                <w:b/>
                <w:bCs/>
                <w:color w:val="auto"/>
                <w:sz w:val="18"/>
                <w:szCs w:val="18"/>
              </w:rPr>
              <w:t>17</w:t>
            </w:r>
            <w:r w:rsidRPr="007E4882">
              <w:rPr>
                <w:rFonts w:cstheme="minorHAnsi"/>
                <w:b/>
                <w:bCs/>
                <w:color w:val="auto"/>
                <w:sz w:val="18"/>
                <w:szCs w:val="18"/>
                <w:lang w:val="en-US"/>
              </w:rPr>
              <w:t>2</w:t>
            </w:r>
            <w:r w:rsidRPr="007E4882">
              <w:rPr>
                <w:rFonts w:cstheme="minorHAnsi"/>
                <w:b/>
                <w:bCs/>
                <w:color w:val="auto"/>
                <w:sz w:val="18"/>
                <w:szCs w:val="18"/>
              </w:rPr>
              <w:t>.</w:t>
            </w:r>
            <w:r w:rsidRPr="007E4882">
              <w:rPr>
                <w:rFonts w:cstheme="minorHAnsi"/>
                <w:b/>
                <w:bCs/>
                <w:color w:val="auto"/>
                <w:sz w:val="18"/>
                <w:szCs w:val="18"/>
                <w:lang w:val="en-US"/>
              </w:rPr>
              <w:t>089</w:t>
            </w:r>
            <w:r w:rsidRPr="007E4882">
              <w:rPr>
                <w:rFonts w:cstheme="minorHAnsi"/>
                <w:b/>
                <w:bCs/>
                <w:color w:val="auto"/>
                <w:sz w:val="18"/>
                <w:szCs w:val="18"/>
              </w:rPr>
              <w:t>**</w:t>
            </w:r>
          </w:p>
        </w:tc>
        <w:tc>
          <w:tcPr>
            <w:tcW w:w="1286" w:type="dxa"/>
            <w:shd w:val="clear" w:color="auto" w:fill="D9D9D9" w:themeFill="background1" w:themeFillShade="D9"/>
            <w:noWrap/>
            <w:vAlign w:val="center"/>
            <w:hideMark/>
          </w:tcPr>
          <w:p w14:paraId="5041BD82" w14:textId="77777777" w:rsidR="000F4F90" w:rsidRPr="007E4882" w:rsidRDefault="000F4F90" w:rsidP="00124001">
            <w:pPr>
              <w:jc w:val="center"/>
              <w:rPr>
                <w:rFonts w:cstheme="minorHAnsi"/>
                <w:b/>
                <w:bCs/>
                <w:color w:val="auto"/>
                <w:sz w:val="18"/>
                <w:szCs w:val="18"/>
                <w:highlight w:val="yellow"/>
              </w:rPr>
            </w:pPr>
            <w:r w:rsidRPr="007E4882">
              <w:rPr>
                <w:rFonts w:cstheme="minorHAnsi"/>
                <w:b/>
                <w:bCs/>
                <w:color w:val="auto"/>
                <w:sz w:val="18"/>
                <w:szCs w:val="18"/>
              </w:rPr>
              <w:t>171.934***</w:t>
            </w:r>
          </w:p>
        </w:tc>
        <w:tc>
          <w:tcPr>
            <w:tcW w:w="990" w:type="dxa"/>
            <w:shd w:val="clear" w:color="auto" w:fill="D9D9D9" w:themeFill="background1" w:themeFillShade="D9"/>
            <w:noWrap/>
            <w:vAlign w:val="center"/>
            <w:hideMark/>
          </w:tcPr>
          <w:p w14:paraId="051014D9" w14:textId="77777777" w:rsidR="000F4F90" w:rsidRPr="007E4882" w:rsidRDefault="000F4F90" w:rsidP="00124001">
            <w:pPr>
              <w:spacing w:after="0" w:line="240" w:lineRule="auto"/>
              <w:jc w:val="center"/>
              <w:rPr>
                <w:rFonts w:eastAsia="Times New Roman" w:cstheme="minorHAnsi"/>
                <w:i/>
                <w:color w:val="auto"/>
                <w:sz w:val="18"/>
                <w:szCs w:val="18"/>
                <w:lang w:eastAsia="el-GR"/>
              </w:rPr>
            </w:pPr>
          </w:p>
        </w:tc>
        <w:tc>
          <w:tcPr>
            <w:tcW w:w="1163" w:type="dxa"/>
            <w:shd w:val="clear" w:color="auto" w:fill="D9D9D9" w:themeFill="background1" w:themeFillShade="D9"/>
            <w:noWrap/>
            <w:vAlign w:val="center"/>
            <w:hideMark/>
          </w:tcPr>
          <w:p w14:paraId="54FC7C88" w14:textId="77777777" w:rsidR="000F4F90" w:rsidRPr="007E4882" w:rsidRDefault="000F4F90" w:rsidP="00124001">
            <w:pPr>
              <w:spacing w:after="0" w:line="240" w:lineRule="auto"/>
              <w:jc w:val="center"/>
              <w:rPr>
                <w:rFonts w:eastAsia="Times New Roman" w:cstheme="minorHAnsi"/>
                <w:i/>
                <w:color w:val="auto"/>
                <w:sz w:val="18"/>
                <w:szCs w:val="18"/>
                <w:lang w:eastAsia="el-GR"/>
              </w:rPr>
            </w:pPr>
          </w:p>
        </w:tc>
      </w:tr>
    </w:tbl>
    <w:p w14:paraId="0C9CB794" w14:textId="77777777" w:rsidR="000F4F90" w:rsidRPr="007E4882" w:rsidRDefault="000F4F90" w:rsidP="000F4F90">
      <w:pPr>
        <w:spacing w:after="0" w:line="240" w:lineRule="auto"/>
        <w:rPr>
          <w:rFonts w:cstheme="minorHAnsi"/>
          <w:i/>
          <w:color w:val="auto"/>
          <w:sz w:val="18"/>
          <w:szCs w:val="18"/>
        </w:rPr>
      </w:pPr>
      <w:r w:rsidRPr="007E4882">
        <w:rPr>
          <w:rFonts w:cstheme="minorHAnsi"/>
          <w:i/>
          <w:color w:val="auto"/>
          <w:sz w:val="18"/>
          <w:szCs w:val="18"/>
        </w:rPr>
        <w:t>Πηγή: Μηνιαίο Δελτίο Εκτέλεσης Κρατικού Προϋπολογισμού Ιανουάριος- Μάρτιος  2021 (τροποποιημένη ταμειακή βάση)</w:t>
      </w:r>
    </w:p>
    <w:p w14:paraId="733B51C0" w14:textId="77777777" w:rsidR="000F4F90" w:rsidRPr="007E4882" w:rsidRDefault="000F4F90" w:rsidP="000F4F90">
      <w:pPr>
        <w:spacing w:after="0" w:line="240" w:lineRule="auto"/>
        <w:rPr>
          <w:rFonts w:cstheme="minorHAnsi"/>
          <w:color w:val="auto"/>
          <w:sz w:val="18"/>
          <w:szCs w:val="18"/>
        </w:rPr>
      </w:pPr>
      <w:r w:rsidRPr="007E4882">
        <w:rPr>
          <w:rFonts w:cstheme="minorHAnsi"/>
          <w:color w:val="auto"/>
          <w:sz w:val="18"/>
          <w:szCs w:val="18"/>
        </w:rPr>
        <w:t>*Στόχοι του Προϋπολογισμού 2021, προσαρμοσμένοι στα συνολικά μεγέθη όπως αποτυπώνονται στις εκτιμήσεις της εισηγητικής έκθεσης του Προϋπολογισμού 2021 και στο τριμηνιαίο δελτίο Ιανουάριος- Μάρτιος 2021.</w:t>
      </w:r>
    </w:p>
    <w:p w14:paraId="45BC1A4D" w14:textId="77777777" w:rsidR="000F4F90" w:rsidRPr="007E4882" w:rsidRDefault="000F4F90" w:rsidP="000F4F90">
      <w:pPr>
        <w:spacing w:after="0" w:line="240" w:lineRule="auto"/>
        <w:rPr>
          <w:rFonts w:cstheme="minorHAnsi"/>
          <w:color w:val="auto"/>
          <w:sz w:val="18"/>
          <w:szCs w:val="18"/>
        </w:rPr>
      </w:pPr>
      <w:r w:rsidRPr="007E4882">
        <w:rPr>
          <w:rFonts w:cstheme="minorHAnsi"/>
          <w:color w:val="auto"/>
          <w:sz w:val="18"/>
          <w:szCs w:val="18"/>
        </w:rPr>
        <w:t xml:space="preserve">** Για το ΑΕΠ 2021 υιοθετήθηκε η πρόβλεψη του Προγράμματος Σταθερότητας (Απρίλιος 2021), του Υπουργείου Οικονομικών, για αύξηση του ΑΕΠ σε τρέχουσες τιμές κατά 3,8% σε σχέση με το 2020.  </w:t>
      </w:r>
    </w:p>
    <w:p w14:paraId="5C49D702" w14:textId="31FAA639" w:rsidR="000F4F90" w:rsidRPr="007E4882" w:rsidRDefault="000F4F90" w:rsidP="000F4F90">
      <w:pPr>
        <w:spacing w:after="0" w:line="240" w:lineRule="auto"/>
        <w:rPr>
          <w:rFonts w:cstheme="minorHAnsi"/>
          <w:color w:val="auto"/>
          <w:sz w:val="18"/>
          <w:szCs w:val="18"/>
        </w:rPr>
      </w:pPr>
      <w:r w:rsidRPr="007E4882">
        <w:rPr>
          <w:rFonts w:cstheme="minorHAnsi"/>
          <w:color w:val="auto"/>
          <w:sz w:val="18"/>
          <w:szCs w:val="18"/>
        </w:rPr>
        <w:t>***Για το ΑΕΠ 2021 υιοθετήθηκε η εκτίμηση της Εισηγητική</w:t>
      </w:r>
      <w:r w:rsidR="0020516B">
        <w:rPr>
          <w:rFonts w:cstheme="minorHAnsi"/>
          <w:color w:val="auto"/>
          <w:sz w:val="18"/>
          <w:szCs w:val="18"/>
        </w:rPr>
        <w:t>ς</w:t>
      </w:r>
      <w:r w:rsidRPr="007E4882">
        <w:rPr>
          <w:rFonts w:cstheme="minorHAnsi"/>
          <w:color w:val="auto"/>
          <w:sz w:val="18"/>
          <w:szCs w:val="18"/>
        </w:rPr>
        <w:t xml:space="preserve"> Έκθεσης Προϋπολογισμού 2021</w:t>
      </w:r>
    </w:p>
    <w:p w14:paraId="17CA5C2B" w14:textId="77777777" w:rsidR="000F4F90" w:rsidRPr="007E4882" w:rsidRDefault="000F4F90" w:rsidP="000F4F90">
      <w:pPr>
        <w:pStyle w:val="ListParagraph"/>
        <w:numPr>
          <w:ilvl w:val="0"/>
          <w:numId w:val="26"/>
        </w:numPr>
        <w:spacing w:after="0" w:line="240" w:lineRule="auto"/>
        <w:contextualSpacing w:val="0"/>
        <w:rPr>
          <w:rFonts w:cstheme="minorHAnsi"/>
          <w:color w:val="auto"/>
          <w:sz w:val="18"/>
          <w:szCs w:val="18"/>
        </w:rPr>
      </w:pPr>
      <w:r w:rsidRPr="007E4882">
        <w:rPr>
          <w:rFonts w:cstheme="minorHAnsi"/>
          <w:color w:val="auto"/>
          <w:sz w:val="18"/>
          <w:szCs w:val="18"/>
        </w:rPr>
        <w:t>Πρωτογενείς δαπάνες: Το σύνολο των δαπανών εκτός των τόκων και δαπανών ΠΔΕ</w:t>
      </w:r>
    </w:p>
    <w:p w14:paraId="493E9B70" w14:textId="77777777" w:rsidR="000F4F90" w:rsidRPr="007E4882" w:rsidRDefault="000F4F90" w:rsidP="000F4F90">
      <w:pPr>
        <w:pStyle w:val="ListParagraph"/>
        <w:numPr>
          <w:ilvl w:val="0"/>
          <w:numId w:val="26"/>
        </w:numPr>
        <w:spacing w:after="0" w:line="240" w:lineRule="auto"/>
        <w:contextualSpacing w:val="0"/>
        <w:rPr>
          <w:rFonts w:cstheme="minorHAnsi"/>
          <w:color w:val="auto"/>
          <w:sz w:val="18"/>
          <w:szCs w:val="18"/>
        </w:rPr>
      </w:pPr>
      <w:r w:rsidRPr="007E4882">
        <w:rPr>
          <w:rFonts w:cstheme="minorHAnsi"/>
          <w:color w:val="auto"/>
          <w:sz w:val="18"/>
          <w:szCs w:val="18"/>
        </w:rPr>
        <w:t xml:space="preserve">Ισοζύγιο Κρατικού Π/Υ: Καθαρά έσοδα – δαπάνες </w:t>
      </w:r>
    </w:p>
    <w:p w14:paraId="01DDEBE9" w14:textId="77777777" w:rsidR="000F4F90" w:rsidRPr="007E4882" w:rsidRDefault="000F4F90" w:rsidP="000F4F90">
      <w:pPr>
        <w:pStyle w:val="ListParagraph"/>
        <w:numPr>
          <w:ilvl w:val="0"/>
          <w:numId w:val="26"/>
        </w:numPr>
        <w:spacing w:after="0" w:line="240" w:lineRule="auto"/>
        <w:contextualSpacing w:val="0"/>
        <w:rPr>
          <w:rFonts w:cstheme="minorHAnsi"/>
          <w:color w:val="auto"/>
          <w:sz w:val="18"/>
          <w:szCs w:val="18"/>
        </w:rPr>
      </w:pPr>
      <w:r w:rsidRPr="007E4882">
        <w:rPr>
          <w:rFonts w:cstheme="minorHAnsi"/>
          <w:color w:val="auto"/>
          <w:sz w:val="18"/>
          <w:szCs w:val="18"/>
        </w:rPr>
        <w:t xml:space="preserve">Πρωτογενές αποτέλεσμα: Ισοζύγιο Κ.Π. + τόκοι –  επιστροφές δαπανών για τόκους </w:t>
      </w:r>
    </w:p>
    <w:p w14:paraId="39B0036A" w14:textId="77777777" w:rsidR="000F4F90" w:rsidRDefault="000F4F90" w:rsidP="000F4F90">
      <w:pPr>
        <w:spacing w:line="360" w:lineRule="auto"/>
        <w:rPr>
          <w:rFonts w:cstheme="minorHAnsi"/>
          <w:sz w:val="24"/>
          <w:szCs w:val="24"/>
        </w:rPr>
      </w:pPr>
    </w:p>
    <w:p w14:paraId="307FD513" w14:textId="23269E8D" w:rsidR="000F4F90" w:rsidRPr="007E4882" w:rsidRDefault="000F4F90" w:rsidP="007E4882">
      <w:pPr>
        <w:spacing w:after="160"/>
        <w:rPr>
          <w:rFonts w:cstheme="minorHAnsi"/>
          <w:color w:val="auto"/>
        </w:rPr>
      </w:pPr>
      <w:r w:rsidRPr="007E4882">
        <w:rPr>
          <w:rFonts w:cstheme="minorHAnsi"/>
          <w:color w:val="auto"/>
        </w:rPr>
        <w:t>Τα καθαρά έσοδα</w:t>
      </w:r>
      <w:r w:rsidRPr="007E4882">
        <w:rPr>
          <w:rStyle w:val="FootnoteReference"/>
          <w:rFonts w:cstheme="minorHAnsi"/>
          <w:color w:val="auto"/>
        </w:rPr>
        <w:footnoteReference w:id="17"/>
      </w:r>
      <w:r w:rsidRPr="007E4882">
        <w:rPr>
          <w:rFonts w:cstheme="minorHAnsi"/>
          <w:color w:val="auto"/>
        </w:rPr>
        <w:t xml:space="preserve"> του </w:t>
      </w:r>
      <w:r w:rsidR="00761934">
        <w:rPr>
          <w:rFonts w:cstheme="minorHAnsi"/>
          <w:color w:val="auto"/>
        </w:rPr>
        <w:t>ΚΠ</w:t>
      </w:r>
      <w:r w:rsidR="00203C86">
        <w:rPr>
          <w:rFonts w:cstheme="minorHAnsi"/>
          <w:color w:val="auto"/>
        </w:rPr>
        <w:t xml:space="preserve"> το Α’ τριμήνο</w:t>
      </w:r>
      <w:r w:rsidRPr="007E4882">
        <w:rPr>
          <w:rFonts w:cstheme="minorHAnsi"/>
          <w:color w:val="auto"/>
        </w:rPr>
        <w:t xml:space="preserve"> του 2021 διαμορφώθηκαν σε 11,5 δισ. ευρώ περίπου </w:t>
      </w:r>
      <w:r w:rsidRPr="00781029">
        <w:rPr>
          <w:rFonts w:cstheme="minorHAnsi"/>
          <w:i/>
          <w:color w:val="auto"/>
        </w:rPr>
        <w:t>(</w:t>
      </w:r>
      <w:r w:rsidR="00781029" w:rsidRPr="00781029">
        <w:rPr>
          <w:rFonts w:cstheme="minorHAnsi"/>
          <w:i/>
          <w:color w:val="auto"/>
        </w:rPr>
        <w:fldChar w:fldCharType="begin"/>
      </w:r>
      <w:r w:rsidR="00781029" w:rsidRPr="00781029">
        <w:rPr>
          <w:rFonts w:cstheme="minorHAnsi"/>
          <w:i/>
          <w:color w:val="auto"/>
        </w:rPr>
        <w:instrText xml:space="preserve"> REF _Ref72408145 \h  \* MERGEFORMAT </w:instrText>
      </w:r>
      <w:r w:rsidR="00781029" w:rsidRPr="00781029">
        <w:rPr>
          <w:rFonts w:cstheme="minorHAnsi"/>
          <w:i/>
          <w:color w:val="auto"/>
        </w:rPr>
      </w:r>
      <w:r w:rsidR="00781029" w:rsidRPr="00781029">
        <w:rPr>
          <w:rFonts w:cstheme="minorHAnsi"/>
          <w:i/>
          <w:color w:val="auto"/>
        </w:rPr>
        <w:fldChar w:fldCharType="separate"/>
      </w:r>
      <w:r w:rsidR="00CC05A7" w:rsidRPr="00CC05A7">
        <w:rPr>
          <w:i/>
          <w:color w:val="auto"/>
        </w:rPr>
        <w:t xml:space="preserve">Πίνακας </w:t>
      </w:r>
      <w:r w:rsidR="00CC05A7" w:rsidRPr="00CC05A7">
        <w:rPr>
          <w:i/>
          <w:noProof/>
          <w:color w:val="auto"/>
        </w:rPr>
        <w:t>17</w:t>
      </w:r>
      <w:r w:rsidR="00781029" w:rsidRPr="00781029">
        <w:rPr>
          <w:rFonts w:cstheme="minorHAnsi"/>
          <w:i/>
          <w:color w:val="auto"/>
        </w:rPr>
        <w:fldChar w:fldCharType="end"/>
      </w:r>
      <w:r w:rsidRPr="007E4882">
        <w:rPr>
          <w:rFonts w:cstheme="minorHAnsi"/>
          <w:color w:val="auto"/>
        </w:rPr>
        <w:t>), αυξημένα κατά 406 εκατ. ευρώ σε σχέση με πέρυσι, αλλά λιγότερα κατά 658 εκατ. ευρώ σε σχέση με το</w:t>
      </w:r>
      <w:r w:rsidR="00761934">
        <w:rPr>
          <w:rFonts w:cstheme="minorHAnsi"/>
          <w:color w:val="auto"/>
        </w:rPr>
        <w:t>ν</w:t>
      </w:r>
      <w:r w:rsidRPr="007E4882">
        <w:rPr>
          <w:rFonts w:cstheme="minorHAnsi"/>
          <w:color w:val="auto"/>
        </w:rPr>
        <w:t xml:space="preserve"> στόχο. </w:t>
      </w:r>
    </w:p>
    <w:p w14:paraId="331E0309" w14:textId="5992C68C" w:rsidR="000F4F90" w:rsidRPr="007E4882" w:rsidRDefault="000F4F90" w:rsidP="007E4882">
      <w:pPr>
        <w:spacing w:after="160"/>
        <w:rPr>
          <w:rFonts w:cstheme="minorHAnsi"/>
          <w:b/>
          <w:i/>
          <w:color w:val="auto"/>
          <w:highlight w:val="cyan"/>
        </w:rPr>
      </w:pPr>
      <w:r w:rsidRPr="007E4882">
        <w:rPr>
          <w:rFonts w:cstheme="minorHAnsi"/>
          <w:color w:val="auto"/>
        </w:rPr>
        <w:t xml:space="preserve">Σε σχέση με πέρυσι, η αύξηση προήλθε κυρίως </w:t>
      </w:r>
      <w:r w:rsidR="00761934">
        <w:rPr>
          <w:rFonts w:cstheme="minorHAnsi"/>
          <w:color w:val="auto"/>
        </w:rPr>
        <w:t>από</w:t>
      </w:r>
      <w:r w:rsidR="00781029">
        <w:rPr>
          <w:rFonts w:cstheme="minorHAnsi"/>
          <w:color w:val="auto"/>
        </w:rPr>
        <w:t xml:space="preserve"> </w:t>
      </w:r>
      <w:r w:rsidR="00761934">
        <w:rPr>
          <w:rFonts w:cstheme="minorHAnsi"/>
          <w:color w:val="auto"/>
        </w:rPr>
        <w:t>αύξηση</w:t>
      </w:r>
      <w:r w:rsidRPr="007E4882">
        <w:rPr>
          <w:rFonts w:cstheme="minorHAnsi"/>
          <w:color w:val="auto"/>
        </w:rPr>
        <w:t xml:space="preserve"> των φορολογικών εσόδων κατά 90 εκατ. ευρώ, των εσόδων από πωλήσεις αγαθών και υπηρεσιών κατά 27 εκατ. ευρώ και των λοιπών τρεχόντων εσόδων κατά  246 εκατ. ευρώ</w:t>
      </w:r>
      <w:r w:rsidR="00761934">
        <w:rPr>
          <w:rFonts w:cstheme="minorHAnsi"/>
          <w:color w:val="auto"/>
        </w:rPr>
        <w:t xml:space="preserve"> (</w:t>
      </w:r>
      <w:r w:rsidRPr="007E4882">
        <w:rPr>
          <w:rFonts w:cstheme="minorHAnsi"/>
          <w:color w:val="auto"/>
        </w:rPr>
        <w:t>τα</w:t>
      </w:r>
      <w:r w:rsidR="00761934">
        <w:rPr>
          <w:rFonts w:cstheme="minorHAnsi"/>
          <w:color w:val="auto"/>
        </w:rPr>
        <w:t xml:space="preserve"> τελευταία αφορούν </w:t>
      </w:r>
      <w:r w:rsidRPr="007E4882">
        <w:rPr>
          <w:rFonts w:cstheme="minorHAnsi"/>
          <w:color w:val="auto"/>
        </w:rPr>
        <w:t>κυρίως εισπράξεις από τις εταιρίες κινητής τηλεφωνία</w:t>
      </w:r>
      <w:r w:rsidR="00761934">
        <w:rPr>
          <w:rFonts w:cstheme="minorHAnsi"/>
          <w:color w:val="auto"/>
        </w:rPr>
        <w:t>ς για τις άδειες πέμπτης γενιάς</w:t>
      </w:r>
      <w:r w:rsidRPr="007E4882">
        <w:rPr>
          <w:rFonts w:cstheme="minorHAnsi"/>
          <w:color w:val="auto"/>
        </w:rPr>
        <w:t>.</w:t>
      </w:r>
      <w:r w:rsidRPr="007E4882">
        <w:rPr>
          <w:rFonts w:cstheme="minorHAnsi"/>
          <w:b/>
          <w:i/>
          <w:color w:val="auto"/>
          <w:highlight w:val="cyan"/>
        </w:rPr>
        <w:t xml:space="preserve"> </w:t>
      </w:r>
    </w:p>
    <w:p w14:paraId="21672E8A" w14:textId="3B98E021" w:rsidR="000F4F90" w:rsidRPr="007D6510" w:rsidRDefault="007E4882" w:rsidP="007E4882">
      <w:pPr>
        <w:spacing w:after="0"/>
        <w:rPr>
          <w:iCs/>
          <w:color w:val="00B0F0"/>
          <w:sz w:val="20"/>
          <w:szCs w:val="20"/>
        </w:rPr>
      </w:pPr>
      <w:bookmarkStart w:id="164" w:name="_Ref72408145"/>
      <w:bookmarkStart w:id="165" w:name="_Toc73435778"/>
      <w:r w:rsidRPr="007D6510">
        <w:rPr>
          <w:sz w:val="20"/>
          <w:szCs w:val="20"/>
        </w:rPr>
        <w:t xml:space="preserve">Πίνακας </w:t>
      </w:r>
      <w:r w:rsidRPr="007D6510">
        <w:rPr>
          <w:i/>
          <w:sz w:val="20"/>
          <w:szCs w:val="20"/>
        </w:rPr>
        <w:fldChar w:fldCharType="begin"/>
      </w:r>
      <w:r w:rsidRPr="007D6510">
        <w:rPr>
          <w:sz w:val="20"/>
          <w:szCs w:val="20"/>
        </w:rPr>
        <w:instrText xml:space="preserve"> SEQ Πίνακας \* ARABIC </w:instrText>
      </w:r>
      <w:r w:rsidRPr="007D6510">
        <w:rPr>
          <w:i/>
          <w:sz w:val="20"/>
          <w:szCs w:val="20"/>
        </w:rPr>
        <w:fldChar w:fldCharType="separate"/>
      </w:r>
      <w:r w:rsidR="00CC05A7">
        <w:rPr>
          <w:noProof/>
          <w:sz w:val="20"/>
          <w:szCs w:val="20"/>
        </w:rPr>
        <w:t>17</w:t>
      </w:r>
      <w:r w:rsidRPr="007D6510">
        <w:rPr>
          <w:i/>
          <w:sz w:val="20"/>
          <w:szCs w:val="20"/>
        </w:rPr>
        <w:fldChar w:fldCharType="end"/>
      </w:r>
      <w:bookmarkEnd w:id="164"/>
      <w:r w:rsidRPr="007D6510">
        <w:rPr>
          <w:color w:val="00B0F0"/>
          <w:sz w:val="20"/>
          <w:szCs w:val="20"/>
        </w:rPr>
        <w:t>:</w:t>
      </w:r>
      <w:r w:rsidRPr="007D6510">
        <w:rPr>
          <w:iCs/>
          <w:color w:val="00B0F0"/>
          <w:sz w:val="20"/>
          <w:szCs w:val="20"/>
        </w:rPr>
        <w:t xml:space="preserve"> </w:t>
      </w:r>
      <w:r w:rsidR="000F4F90" w:rsidRPr="007D6510">
        <w:rPr>
          <w:iCs/>
          <w:color w:val="00B0F0"/>
          <w:sz w:val="20"/>
          <w:szCs w:val="20"/>
        </w:rPr>
        <w:t>Έσοδα Κρατικού Προϋπολογισμού Ιανουάριος-Μάρτιος  2021 (εκατ. ευρώ)</w:t>
      </w:r>
      <w:bookmarkEnd w:id="165"/>
    </w:p>
    <w:tbl>
      <w:tblPr>
        <w:tblW w:w="9453" w:type="dxa"/>
        <w:jc w:val="center"/>
        <w:tblLayout w:type="fixed"/>
        <w:tblLook w:val="04A0" w:firstRow="1" w:lastRow="0" w:firstColumn="1" w:lastColumn="0" w:noHBand="0" w:noVBand="1"/>
      </w:tblPr>
      <w:tblGrid>
        <w:gridCol w:w="2453"/>
        <w:gridCol w:w="917"/>
        <w:gridCol w:w="1106"/>
        <w:gridCol w:w="1276"/>
        <w:gridCol w:w="792"/>
        <w:gridCol w:w="1058"/>
        <w:gridCol w:w="793"/>
        <w:gridCol w:w="1058"/>
      </w:tblGrid>
      <w:tr w:rsidR="000F4F90" w:rsidRPr="007E4882" w14:paraId="3DD7CC24" w14:textId="77777777" w:rsidTr="00124001">
        <w:trPr>
          <w:trHeight w:val="311"/>
          <w:jc w:val="center"/>
        </w:trPr>
        <w:tc>
          <w:tcPr>
            <w:tcW w:w="2453" w:type="dxa"/>
            <w:tcBorders>
              <w:top w:val="single" w:sz="4" w:space="0" w:color="auto"/>
              <w:left w:val="single" w:sz="4" w:space="0" w:color="auto"/>
              <w:right w:val="single" w:sz="4" w:space="0" w:color="auto"/>
            </w:tcBorders>
            <w:shd w:val="clear" w:color="auto" w:fill="BDD6EE" w:themeFill="accent1" w:themeFillTint="66"/>
            <w:vAlign w:val="bottom"/>
          </w:tcPr>
          <w:p w14:paraId="0E711570" w14:textId="77777777" w:rsidR="000F4F90" w:rsidRPr="007E4882" w:rsidRDefault="000F4F90" w:rsidP="00124001">
            <w:pPr>
              <w:spacing w:after="0" w:line="240" w:lineRule="auto"/>
              <w:rPr>
                <w:rFonts w:eastAsia="Times New Roman" w:cstheme="minorHAnsi"/>
                <w:b/>
                <w:bCs/>
                <w:color w:val="auto"/>
                <w:sz w:val="20"/>
                <w:szCs w:val="20"/>
              </w:rPr>
            </w:pPr>
          </w:p>
        </w:tc>
        <w:tc>
          <w:tcPr>
            <w:tcW w:w="2023" w:type="dxa"/>
            <w:gridSpan w:val="2"/>
            <w:tcBorders>
              <w:top w:val="single" w:sz="4" w:space="0" w:color="auto"/>
              <w:left w:val="single" w:sz="4" w:space="0" w:color="auto"/>
              <w:right w:val="single" w:sz="4" w:space="0" w:color="auto"/>
            </w:tcBorders>
            <w:shd w:val="clear" w:color="auto" w:fill="BDD6EE" w:themeFill="accent1" w:themeFillTint="66"/>
            <w:noWrap/>
          </w:tcPr>
          <w:p w14:paraId="23503119" w14:textId="77777777" w:rsidR="000F4F90" w:rsidRPr="007E4882" w:rsidRDefault="000F4F90" w:rsidP="00124001">
            <w:pPr>
              <w:jc w:val="center"/>
              <w:rPr>
                <w:rFonts w:cstheme="minorHAnsi"/>
                <w:b/>
                <w:color w:val="auto"/>
                <w:sz w:val="20"/>
                <w:szCs w:val="20"/>
              </w:rPr>
            </w:pPr>
            <w:r w:rsidRPr="007E4882">
              <w:rPr>
                <w:rFonts w:cstheme="minorHAnsi"/>
                <w:b/>
                <w:color w:val="auto"/>
                <w:sz w:val="20"/>
                <w:szCs w:val="20"/>
              </w:rPr>
              <w:t>Πραγματοποιήσεις</w:t>
            </w:r>
          </w:p>
        </w:tc>
        <w:tc>
          <w:tcPr>
            <w:tcW w:w="1276" w:type="dxa"/>
            <w:tcBorders>
              <w:top w:val="single" w:sz="4" w:space="0" w:color="auto"/>
              <w:left w:val="single" w:sz="4" w:space="0" w:color="auto"/>
              <w:right w:val="single" w:sz="4" w:space="0" w:color="auto"/>
            </w:tcBorders>
            <w:shd w:val="clear" w:color="auto" w:fill="BDD6EE" w:themeFill="accent1" w:themeFillTint="66"/>
            <w:noWrap/>
          </w:tcPr>
          <w:p w14:paraId="56784387" w14:textId="77777777" w:rsidR="000F4F90" w:rsidRPr="007E4882" w:rsidRDefault="000F4F90" w:rsidP="00124001">
            <w:pPr>
              <w:jc w:val="center"/>
              <w:rPr>
                <w:rFonts w:cstheme="minorHAnsi"/>
                <w:b/>
                <w:color w:val="auto"/>
                <w:sz w:val="20"/>
                <w:szCs w:val="20"/>
              </w:rPr>
            </w:pPr>
            <w:r w:rsidRPr="007E4882">
              <w:rPr>
                <w:rFonts w:cstheme="minorHAnsi"/>
                <w:b/>
                <w:color w:val="auto"/>
                <w:sz w:val="20"/>
                <w:szCs w:val="20"/>
              </w:rPr>
              <w:t>Εκτιμήσεις</w:t>
            </w:r>
          </w:p>
        </w:tc>
        <w:tc>
          <w:tcPr>
            <w:tcW w:w="1850" w:type="dxa"/>
            <w:gridSpan w:val="2"/>
            <w:tcBorders>
              <w:top w:val="single" w:sz="4" w:space="0" w:color="auto"/>
              <w:left w:val="single" w:sz="4" w:space="0" w:color="auto"/>
              <w:right w:val="single" w:sz="4" w:space="0" w:color="auto"/>
            </w:tcBorders>
            <w:shd w:val="clear" w:color="auto" w:fill="BDD6EE" w:themeFill="accent1" w:themeFillTint="66"/>
            <w:noWrap/>
          </w:tcPr>
          <w:p w14:paraId="5EC37BC4" w14:textId="77777777" w:rsidR="000F4F90" w:rsidRPr="007E4882" w:rsidRDefault="000F4F90" w:rsidP="00124001">
            <w:pPr>
              <w:jc w:val="center"/>
              <w:rPr>
                <w:rFonts w:cstheme="minorHAnsi"/>
                <w:b/>
                <w:color w:val="auto"/>
                <w:sz w:val="20"/>
                <w:szCs w:val="20"/>
              </w:rPr>
            </w:pPr>
            <w:r w:rsidRPr="007E4882">
              <w:rPr>
                <w:rFonts w:cstheme="minorHAnsi"/>
                <w:b/>
                <w:color w:val="auto"/>
                <w:sz w:val="20"/>
                <w:szCs w:val="20"/>
              </w:rPr>
              <w:t>Διαφορά</w:t>
            </w:r>
          </w:p>
        </w:tc>
        <w:tc>
          <w:tcPr>
            <w:tcW w:w="1851" w:type="dxa"/>
            <w:gridSpan w:val="2"/>
            <w:tcBorders>
              <w:top w:val="single" w:sz="4" w:space="0" w:color="auto"/>
              <w:left w:val="single" w:sz="4" w:space="0" w:color="auto"/>
              <w:right w:val="single" w:sz="4" w:space="0" w:color="auto"/>
            </w:tcBorders>
            <w:shd w:val="clear" w:color="auto" w:fill="BDD6EE" w:themeFill="accent1" w:themeFillTint="66"/>
            <w:noWrap/>
          </w:tcPr>
          <w:p w14:paraId="0C6FF35C" w14:textId="77777777" w:rsidR="000F4F90" w:rsidRPr="007E4882" w:rsidRDefault="000F4F90" w:rsidP="007E4882">
            <w:pPr>
              <w:jc w:val="center"/>
              <w:rPr>
                <w:rFonts w:cstheme="minorHAnsi"/>
                <w:b/>
                <w:color w:val="auto"/>
                <w:sz w:val="20"/>
                <w:szCs w:val="20"/>
              </w:rPr>
            </w:pPr>
            <w:r w:rsidRPr="007E4882">
              <w:rPr>
                <w:rFonts w:cstheme="minorHAnsi"/>
                <w:b/>
                <w:color w:val="auto"/>
                <w:sz w:val="20"/>
                <w:szCs w:val="20"/>
              </w:rPr>
              <w:t>% μεταβολή</w:t>
            </w:r>
          </w:p>
        </w:tc>
      </w:tr>
      <w:tr w:rsidR="000F4F90" w:rsidRPr="007E4882" w14:paraId="72A32804" w14:textId="77777777" w:rsidTr="00124001">
        <w:trPr>
          <w:trHeight w:val="311"/>
          <w:jc w:val="center"/>
        </w:trPr>
        <w:tc>
          <w:tcPr>
            <w:tcW w:w="2453" w:type="dxa"/>
            <w:tcBorders>
              <w:left w:val="single" w:sz="4" w:space="0" w:color="auto"/>
              <w:bottom w:val="single" w:sz="4" w:space="0" w:color="auto"/>
              <w:right w:val="single" w:sz="4" w:space="0" w:color="auto"/>
            </w:tcBorders>
            <w:shd w:val="clear" w:color="auto" w:fill="BDD6EE" w:themeFill="accent1" w:themeFillTint="66"/>
            <w:vAlign w:val="bottom"/>
          </w:tcPr>
          <w:p w14:paraId="1ABF5201" w14:textId="77777777" w:rsidR="000F4F90" w:rsidRPr="007E4882" w:rsidRDefault="000F4F90" w:rsidP="00124001">
            <w:pPr>
              <w:spacing w:after="0" w:line="240" w:lineRule="auto"/>
              <w:rPr>
                <w:rFonts w:eastAsia="Times New Roman" w:cstheme="minorHAnsi"/>
                <w:b/>
                <w:bCs/>
                <w:color w:val="auto"/>
                <w:sz w:val="20"/>
                <w:szCs w:val="20"/>
              </w:rPr>
            </w:pPr>
          </w:p>
        </w:tc>
        <w:tc>
          <w:tcPr>
            <w:tcW w:w="917" w:type="dxa"/>
            <w:tcBorders>
              <w:top w:val="nil"/>
              <w:left w:val="single" w:sz="4" w:space="0" w:color="auto"/>
              <w:bottom w:val="single" w:sz="4" w:space="0" w:color="auto"/>
              <w:right w:val="nil"/>
            </w:tcBorders>
            <w:shd w:val="clear" w:color="auto" w:fill="BDD6EE" w:themeFill="accent1" w:themeFillTint="66"/>
            <w:noWrap/>
          </w:tcPr>
          <w:p w14:paraId="38B9AA6F" w14:textId="77777777" w:rsidR="000F4F90" w:rsidRPr="007E4882" w:rsidRDefault="000F4F90" w:rsidP="007E4882">
            <w:pPr>
              <w:jc w:val="center"/>
              <w:rPr>
                <w:rFonts w:cstheme="minorHAnsi"/>
                <w:b/>
                <w:color w:val="auto"/>
                <w:sz w:val="20"/>
                <w:szCs w:val="20"/>
              </w:rPr>
            </w:pPr>
            <w:r w:rsidRPr="007E4882">
              <w:rPr>
                <w:rFonts w:cstheme="minorHAnsi"/>
                <w:b/>
                <w:color w:val="auto"/>
                <w:sz w:val="20"/>
                <w:szCs w:val="20"/>
              </w:rPr>
              <w:t>2020</w:t>
            </w:r>
          </w:p>
        </w:tc>
        <w:tc>
          <w:tcPr>
            <w:tcW w:w="1106" w:type="dxa"/>
            <w:tcBorders>
              <w:top w:val="nil"/>
              <w:left w:val="nil"/>
              <w:bottom w:val="single" w:sz="4" w:space="0" w:color="auto"/>
              <w:right w:val="single" w:sz="4" w:space="0" w:color="auto"/>
            </w:tcBorders>
            <w:shd w:val="clear" w:color="auto" w:fill="BDD6EE" w:themeFill="accent1" w:themeFillTint="66"/>
            <w:noWrap/>
          </w:tcPr>
          <w:p w14:paraId="45CC3566" w14:textId="77777777" w:rsidR="000F4F90" w:rsidRPr="007E4882" w:rsidRDefault="000F4F90" w:rsidP="007E4882">
            <w:pPr>
              <w:jc w:val="center"/>
              <w:rPr>
                <w:rFonts w:cstheme="minorHAnsi"/>
                <w:b/>
                <w:color w:val="auto"/>
                <w:sz w:val="20"/>
                <w:szCs w:val="20"/>
              </w:rPr>
            </w:pPr>
            <w:r w:rsidRPr="007E4882">
              <w:rPr>
                <w:rFonts w:cstheme="minorHAnsi"/>
                <w:b/>
                <w:color w:val="auto"/>
                <w:sz w:val="20"/>
                <w:szCs w:val="20"/>
              </w:rPr>
              <w:t>2021</w:t>
            </w:r>
          </w:p>
        </w:tc>
        <w:tc>
          <w:tcPr>
            <w:tcW w:w="1276" w:type="dxa"/>
            <w:tcBorders>
              <w:top w:val="nil"/>
              <w:left w:val="single" w:sz="4" w:space="0" w:color="auto"/>
              <w:bottom w:val="single" w:sz="4" w:space="0" w:color="auto"/>
              <w:right w:val="single" w:sz="4" w:space="0" w:color="auto"/>
            </w:tcBorders>
            <w:shd w:val="clear" w:color="auto" w:fill="BDD6EE" w:themeFill="accent1" w:themeFillTint="66"/>
            <w:noWrap/>
          </w:tcPr>
          <w:p w14:paraId="46295210" w14:textId="77777777" w:rsidR="000F4F90" w:rsidRPr="007E4882" w:rsidRDefault="000F4F90" w:rsidP="007E4882">
            <w:pPr>
              <w:jc w:val="center"/>
              <w:rPr>
                <w:rFonts w:cstheme="minorHAnsi"/>
                <w:b/>
                <w:color w:val="auto"/>
                <w:sz w:val="20"/>
                <w:szCs w:val="20"/>
              </w:rPr>
            </w:pPr>
            <w:r w:rsidRPr="007E4882">
              <w:rPr>
                <w:rFonts w:cstheme="minorHAnsi"/>
                <w:b/>
                <w:color w:val="auto"/>
                <w:sz w:val="20"/>
                <w:szCs w:val="20"/>
              </w:rPr>
              <w:t>Π/Υ 2021</w:t>
            </w:r>
          </w:p>
        </w:tc>
        <w:tc>
          <w:tcPr>
            <w:tcW w:w="792" w:type="dxa"/>
            <w:tcBorders>
              <w:top w:val="nil"/>
              <w:left w:val="single" w:sz="4" w:space="0" w:color="auto"/>
              <w:bottom w:val="single" w:sz="4" w:space="0" w:color="auto"/>
              <w:right w:val="nil"/>
            </w:tcBorders>
            <w:shd w:val="clear" w:color="auto" w:fill="BDD6EE" w:themeFill="accent1" w:themeFillTint="66"/>
            <w:noWrap/>
          </w:tcPr>
          <w:p w14:paraId="3A3DF8A5" w14:textId="77777777" w:rsidR="000F4F90" w:rsidRPr="007E4882" w:rsidRDefault="000F4F90" w:rsidP="007E4882">
            <w:pPr>
              <w:jc w:val="center"/>
              <w:rPr>
                <w:rFonts w:cstheme="minorHAnsi"/>
                <w:b/>
                <w:color w:val="auto"/>
                <w:sz w:val="20"/>
                <w:szCs w:val="20"/>
              </w:rPr>
            </w:pPr>
            <w:r w:rsidRPr="007E4882">
              <w:rPr>
                <w:rFonts w:cstheme="minorHAnsi"/>
                <w:b/>
                <w:color w:val="auto"/>
                <w:sz w:val="20"/>
                <w:szCs w:val="20"/>
              </w:rPr>
              <w:t>2021-2020</w:t>
            </w:r>
          </w:p>
        </w:tc>
        <w:tc>
          <w:tcPr>
            <w:tcW w:w="1058" w:type="dxa"/>
            <w:tcBorders>
              <w:top w:val="nil"/>
              <w:left w:val="nil"/>
              <w:bottom w:val="single" w:sz="4" w:space="0" w:color="auto"/>
              <w:right w:val="single" w:sz="4" w:space="0" w:color="auto"/>
            </w:tcBorders>
            <w:shd w:val="clear" w:color="auto" w:fill="BDD6EE" w:themeFill="accent1" w:themeFillTint="66"/>
            <w:noWrap/>
          </w:tcPr>
          <w:p w14:paraId="76789AB2" w14:textId="77777777" w:rsidR="000F4F90" w:rsidRPr="007E4882" w:rsidRDefault="000F4F90" w:rsidP="007E4882">
            <w:pPr>
              <w:jc w:val="center"/>
              <w:rPr>
                <w:rFonts w:cstheme="minorHAnsi"/>
                <w:b/>
                <w:color w:val="auto"/>
                <w:sz w:val="20"/>
                <w:szCs w:val="20"/>
              </w:rPr>
            </w:pPr>
            <w:r w:rsidRPr="007E4882">
              <w:rPr>
                <w:rFonts w:cstheme="minorHAnsi"/>
                <w:b/>
                <w:color w:val="auto"/>
                <w:sz w:val="20"/>
                <w:szCs w:val="20"/>
              </w:rPr>
              <w:t>2021-Εκτιμήσ.</w:t>
            </w:r>
          </w:p>
        </w:tc>
        <w:tc>
          <w:tcPr>
            <w:tcW w:w="793" w:type="dxa"/>
            <w:tcBorders>
              <w:top w:val="nil"/>
              <w:left w:val="single" w:sz="4" w:space="0" w:color="auto"/>
              <w:bottom w:val="single" w:sz="4" w:space="0" w:color="auto"/>
              <w:right w:val="nil"/>
            </w:tcBorders>
            <w:shd w:val="clear" w:color="auto" w:fill="BDD6EE" w:themeFill="accent1" w:themeFillTint="66"/>
            <w:noWrap/>
          </w:tcPr>
          <w:p w14:paraId="0BD386D1" w14:textId="77777777" w:rsidR="000F4F90" w:rsidRPr="007E4882" w:rsidRDefault="000F4F90" w:rsidP="007E4882">
            <w:pPr>
              <w:jc w:val="center"/>
              <w:rPr>
                <w:rFonts w:cstheme="minorHAnsi"/>
                <w:b/>
                <w:color w:val="auto"/>
                <w:sz w:val="20"/>
                <w:szCs w:val="20"/>
              </w:rPr>
            </w:pPr>
            <w:r w:rsidRPr="007E4882">
              <w:rPr>
                <w:rFonts w:cstheme="minorHAnsi"/>
                <w:b/>
                <w:color w:val="auto"/>
                <w:sz w:val="20"/>
                <w:szCs w:val="20"/>
              </w:rPr>
              <w:t>2021-2020</w:t>
            </w:r>
          </w:p>
        </w:tc>
        <w:tc>
          <w:tcPr>
            <w:tcW w:w="1058" w:type="dxa"/>
            <w:tcBorders>
              <w:top w:val="nil"/>
              <w:left w:val="nil"/>
              <w:bottom w:val="single" w:sz="4" w:space="0" w:color="auto"/>
              <w:right w:val="single" w:sz="4" w:space="0" w:color="auto"/>
            </w:tcBorders>
            <w:shd w:val="clear" w:color="auto" w:fill="BDD6EE" w:themeFill="accent1" w:themeFillTint="66"/>
            <w:noWrap/>
          </w:tcPr>
          <w:p w14:paraId="4CE7C5FC" w14:textId="77777777" w:rsidR="000F4F90" w:rsidRPr="007E4882" w:rsidRDefault="000F4F90" w:rsidP="007E4882">
            <w:pPr>
              <w:jc w:val="center"/>
              <w:rPr>
                <w:rFonts w:cstheme="minorHAnsi"/>
                <w:b/>
                <w:color w:val="auto"/>
                <w:sz w:val="20"/>
                <w:szCs w:val="20"/>
              </w:rPr>
            </w:pPr>
            <w:r w:rsidRPr="007E4882">
              <w:rPr>
                <w:rFonts w:cstheme="minorHAnsi"/>
                <w:b/>
                <w:color w:val="auto"/>
                <w:sz w:val="20"/>
                <w:szCs w:val="20"/>
              </w:rPr>
              <w:t>2021-Εκτιμήσ.</w:t>
            </w:r>
          </w:p>
        </w:tc>
      </w:tr>
      <w:tr w:rsidR="000F4F90" w:rsidRPr="007E4882" w14:paraId="3D014BAF" w14:textId="77777777" w:rsidTr="00124001">
        <w:trPr>
          <w:trHeight w:val="311"/>
          <w:jc w:val="center"/>
        </w:trPr>
        <w:tc>
          <w:tcPr>
            <w:tcW w:w="2453" w:type="dxa"/>
            <w:tcBorders>
              <w:top w:val="single" w:sz="4" w:space="0" w:color="auto"/>
              <w:left w:val="single" w:sz="8" w:space="0" w:color="auto"/>
              <w:bottom w:val="single" w:sz="4" w:space="0" w:color="auto"/>
              <w:right w:val="single" w:sz="4" w:space="0" w:color="auto"/>
            </w:tcBorders>
            <w:shd w:val="clear" w:color="auto" w:fill="D9D9D9" w:themeFill="background1" w:themeFillShade="D9"/>
            <w:vAlign w:val="bottom"/>
          </w:tcPr>
          <w:p w14:paraId="784308A0" w14:textId="77777777" w:rsidR="000F4F90" w:rsidRPr="007E4882" w:rsidRDefault="000F4F90" w:rsidP="00124001">
            <w:pPr>
              <w:spacing w:after="0" w:line="240" w:lineRule="auto"/>
              <w:rPr>
                <w:rFonts w:eastAsia="Times New Roman" w:cstheme="minorHAnsi"/>
                <w:b/>
                <w:bCs/>
                <w:color w:val="auto"/>
                <w:sz w:val="20"/>
                <w:szCs w:val="20"/>
              </w:rPr>
            </w:pPr>
            <w:r w:rsidRPr="007E4882">
              <w:rPr>
                <w:rFonts w:eastAsia="Times New Roman" w:cstheme="minorHAnsi"/>
                <w:b/>
                <w:bCs/>
                <w:color w:val="auto"/>
                <w:sz w:val="20"/>
                <w:szCs w:val="20"/>
              </w:rPr>
              <w:t>Καθαρά Έσοδα ΚΠ (Ι+ΙΙ+ΙΙΙ+ΙV+V+IV-β)</w:t>
            </w:r>
          </w:p>
        </w:tc>
        <w:tc>
          <w:tcPr>
            <w:tcW w:w="917" w:type="dxa"/>
            <w:tcBorders>
              <w:top w:val="single" w:sz="4" w:space="0" w:color="auto"/>
              <w:left w:val="single" w:sz="4" w:space="0" w:color="auto"/>
              <w:bottom w:val="single" w:sz="4" w:space="0" w:color="auto"/>
              <w:right w:val="nil"/>
            </w:tcBorders>
            <w:shd w:val="clear" w:color="auto" w:fill="D9D9D9" w:themeFill="background1" w:themeFillShade="D9"/>
            <w:noWrap/>
            <w:vAlign w:val="bottom"/>
          </w:tcPr>
          <w:p w14:paraId="3EAEE6F9" w14:textId="77777777" w:rsidR="000F4F90" w:rsidRPr="007E4882" w:rsidRDefault="000F4F90" w:rsidP="007E4882">
            <w:pPr>
              <w:jc w:val="center"/>
              <w:rPr>
                <w:rFonts w:cstheme="minorHAnsi"/>
                <w:b/>
                <w:bCs/>
                <w:color w:val="auto"/>
                <w:sz w:val="20"/>
                <w:szCs w:val="20"/>
              </w:rPr>
            </w:pPr>
            <w:r w:rsidRPr="007E4882">
              <w:rPr>
                <w:rFonts w:cstheme="minorHAnsi"/>
                <w:b/>
                <w:bCs/>
                <w:color w:val="auto"/>
                <w:sz w:val="20"/>
                <w:szCs w:val="20"/>
              </w:rPr>
              <w:t>11.103</w:t>
            </w:r>
          </w:p>
        </w:tc>
        <w:tc>
          <w:tcPr>
            <w:tcW w:w="1106"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56DFBA3E" w14:textId="77777777" w:rsidR="000F4F90" w:rsidRPr="007E4882" w:rsidRDefault="000F4F90" w:rsidP="007E4882">
            <w:pPr>
              <w:jc w:val="center"/>
              <w:rPr>
                <w:rFonts w:cstheme="minorHAnsi"/>
                <w:b/>
                <w:bCs/>
                <w:color w:val="auto"/>
                <w:sz w:val="20"/>
                <w:szCs w:val="20"/>
              </w:rPr>
            </w:pPr>
            <w:r w:rsidRPr="007E4882">
              <w:rPr>
                <w:rFonts w:cstheme="minorHAnsi"/>
                <w:b/>
                <w:bCs/>
                <w:color w:val="auto"/>
                <w:sz w:val="20"/>
                <w:szCs w:val="20"/>
              </w:rPr>
              <w:t>11.509</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5FF8C9EB" w14:textId="77777777" w:rsidR="000F4F90" w:rsidRPr="007E4882" w:rsidRDefault="000F4F90" w:rsidP="007E4882">
            <w:pPr>
              <w:jc w:val="center"/>
              <w:rPr>
                <w:rFonts w:cstheme="minorHAnsi"/>
                <w:b/>
                <w:bCs/>
                <w:color w:val="auto"/>
                <w:sz w:val="20"/>
                <w:szCs w:val="20"/>
              </w:rPr>
            </w:pPr>
            <w:r w:rsidRPr="007E4882">
              <w:rPr>
                <w:rFonts w:cstheme="minorHAnsi"/>
                <w:b/>
                <w:bCs/>
                <w:color w:val="auto"/>
                <w:sz w:val="20"/>
                <w:szCs w:val="20"/>
              </w:rPr>
              <w:t>12.167</w:t>
            </w:r>
          </w:p>
        </w:tc>
        <w:tc>
          <w:tcPr>
            <w:tcW w:w="792" w:type="dxa"/>
            <w:tcBorders>
              <w:top w:val="single" w:sz="4" w:space="0" w:color="auto"/>
              <w:left w:val="single" w:sz="4" w:space="0" w:color="auto"/>
              <w:bottom w:val="single" w:sz="4" w:space="0" w:color="auto"/>
              <w:right w:val="nil"/>
            </w:tcBorders>
            <w:shd w:val="clear" w:color="auto" w:fill="D9D9D9" w:themeFill="background1" w:themeFillShade="D9"/>
            <w:noWrap/>
            <w:vAlign w:val="bottom"/>
          </w:tcPr>
          <w:p w14:paraId="66671DB3" w14:textId="77777777" w:rsidR="000F4F90" w:rsidRPr="007E4882" w:rsidRDefault="000F4F90" w:rsidP="007E4882">
            <w:pPr>
              <w:jc w:val="center"/>
              <w:rPr>
                <w:rFonts w:cstheme="minorHAnsi"/>
                <w:b/>
                <w:bCs/>
                <w:color w:val="auto"/>
                <w:sz w:val="20"/>
                <w:szCs w:val="20"/>
                <w:lang w:val="en-US"/>
              </w:rPr>
            </w:pPr>
            <w:r w:rsidRPr="007E4882">
              <w:rPr>
                <w:rFonts w:cstheme="minorHAnsi"/>
                <w:b/>
                <w:bCs/>
                <w:color w:val="auto"/>
                <w:sz w:val="20"/>
                <w:szCs w:val="20"/>
              </w:rPr>
              <w:t>4</w:t>
            </w:r>
            <w:r w:rsidRPr="007E4882">
              <w:rPr>
                <w:rFonts w:cstheme="minorHAnsi"/>
                <w:b/>
                <w:bCs/>
                <w:color w:val="auto"/>
                <w:sz w:val="20"/>
                <w:szCs w:val="20"/>
                <w:lang w:val="en-US"/>
              </w:rPr>
              <w:t>06</w:t>
            </w:r>
          </w:p>
        </w:tc>
        <w:tc>
          <w:tcPr>
            <w:tcW w:w="1058"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1CEB5A5C" w14:textId="77777777" w:rsidR="000F4F90" w:rsidRPr="007E4882" w:rsidRDefault="000F4F90" w:rsidP="007E4882">
            <w:pPr>
              <w:jc w:val="center"/>
              <w:rPr>
                <w:rFonts w:cstheme="minorHAnsi"/>
                <w:b/>
                <w:bCs/>
                <w:color w:val="auto"/>
                <w:sz w:val="20"/>
                <w:szCs w:val="20"/>
                <w:lang w:val="en-US"/>
              </w:rPr>
            </w:pPr>
            <w:r w:rsidRPr="007E4882">
              <w:rPr>
                <w:rFonts w:cstheme="minorHAnsi"/>
                <w:b/>
                <w:bCs/>
                <w:color w:val="auto"/>
                <w:sz w:val="20"/>
                <w:szCs w:val="20"/>
                <w:lang w:val="en-US"/>
              </w:rPr>
              <w:t>-658</w:t>
            </w:r>
          </w:p>
        </w:tc>
        <w:tc>
          <w:tcPr>
            <w:tcW w:w="793" w:type="dxa"/>
            <w:tcBorders>
              <w:top w:val="single" w:sz="4" w:space="0" w:color="auto"/>
              <w:left w:val="single" w:sz="4" w:space="0" w:color="auto"/>
              <w:bottom w:val="single" w:sz="4" w:space="0" w:color="auto"/>
              <w:right w:val="nil"/>
            </w:tcBorders>
            <w:shd w:val="clear" w:color="auto" w:fill="D9D9D9" w:themeFill="background1" w:themeFillShade="D9"/>
            <w:noWrap/>
            <w:vAlign w:val="bottom"/>
          </w:tcPr>
          <w:p w14:paraId="0BF63858" w14:textId="77777777" w:rsidR="000F4F90" w:rsidRPr="007E4882" w:rsidRDefault="000F4F90" w:rsidP="007E4882">
            <w:pPr>
              <w:jc w:val="center"/>
              <w:rPr>
                <w:rFonts w:cstheme="minorHAnsi"/>
                <w:b/>
                <w:bCs/>
                <w:color w:val="auto"/>
                <w:sz w:val="20"/>
                <w:szCs w:val="20"/>
                <w:lang w:val="en-US"/>
              </w:rPr>
            </w:pPr>
            <w:r w:rsidRPr="007E4882">
              <w:rPr>
                <w:rFonts w:cstheme="minorHAnsi"/>
                <w:b/>
                <w:bCs/>
                <w:color w:val="auto"/>
                <w:sz w:val="20"/>
                <w:szCs w:val="20"/>
                <w:lang w:val="en-US"/>
              </w:rPr>
              <w:t>4%</w:t>
            </w:r>
          </w:p>
        </w:tc>
        <w:tc>
          <w:tcPr>
            <w:tcW w:w="1058" w:type="dxa"/>
            <w:tcBorders>
              <w:top w:val="single" w:sz="4" w:space="0" w:color="auto"/>
              <w:left w:val="nil"/>
              <w:bottom w:val="single" w:sz="4" w:space="0" w:color="auto"/>
              <w:right w:val="single" w:sz="8" w:space="0" w:color="auto"/>
            </w:tcBorders>
            <w:shd w:val="clear" w:color="auto" w:fill="D9D9D9" w:themeFill="background1" w:themeFillShade="D9"/>
            <w:noWrap/>
            <w:vAlign w:val="bottom"/>
          </w:tcPr>
          <w:p w14:paraId="7FDC2EEE" w14:textId="77777777" w:rsidR="000F4F90" w:rsidRPr="007E4882" w:rsidRDefault="000F4F90" w:rsidP="007E4882">
            <w:pPr>
              <w:jc w:val="center"/>
              <w:rPr>
                <w:rFonts w:cstheme="minorHAnsi"/>
                <w:color w:val="auto"/>
                <w:sz w:val="20"/>
                <w:szCs w:val="20"/>
              </w:rPr>
            </w:pPr>
            <w:r w:rsidRPr="007E4882">
              <w:rPr>
                <w:rFonts w:cstheme="minorHAnsi"/>
                <w:color w:val="auto"/>
                <w:sz w:val="20"/>
                <w:szCs w:val="20"/>
              </w:rPr>
              <w:t>-</w:t>
            </w:r>
            <w:r w:rsidRPr="007E4882">
              <w:rPr>
                <w:rFonts w:cstheme="minorHAnsi"/>
                <w:color w:val="auto"/>
                <w:sz w:val="20"/>
                <w:szCs w:val="20"/>
                <w:lang w:val="en-US"/>
              </w:rPr>
              <w:t>5</w:t>
            </w:r>
            <w:r w:rsidRPr="007E4882">
              <w:rPr>
                <w:rFonts w:cstheme="minorHAnsi"/>
                <w:color w:val="auto"/>
                <w:sz w:val="20"/>
                <w:szCs w:val="20"/>
              </w:rPr>
              <w:t>%</w:t>
            </w:r>
          </w:p>
        </w:tc>
      </w:tr>
      <w:tr w:rsidR="000F4F90" w:rsidRPr="007E4882" w14:paraId="201C38AD" w14:textId="77777777" w:rsidTr="00124001">
        <w:trPr>
          <w:trHeight w:val="311"/>
          <w:jc w:val="center"/>
        </w:trPr>
        <w:tc>
          <w:tcPr>
            <w:tcW w:w="2453"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75C14FB6" w14:textId="77777777" w:rsidR="000F4F90" w:rsidRPr="007E4882" w:rsidRDefault="000F4F90" w:rsidP="00124001">
            <w:pPr>
              <w:spacing w:after="0" w:line="240" w:lineRule="auto"/>
              <w:rPr>
                <w:rFonts w:eastAsia="Times New Roman" w:cstheme="minorHAnsi"/>
                <w:color w:val="auto"/>
                <w:sz w:val="20"/>
                <w:szCs w:val="20"/>
              </w:rPr>
            </w:pPr>
            <w:r w:rsidRPr="007E4882">
              <w:rPr>
                <w:rFonts w:eastAsia="Times New Roman" w:cstheme="minorHAnsi"/>
                <w:color w:val="auto"/>
                <w:sz w:val="20"/>
                <w:szCs w:val="20"/>
              </w:rPr>
              <w:t>I.   Φόροι</w:t>
            </w:r>
          </w:p>
        </w:tc>
        <w:tc>
          <w:tcPr>
            <w:tcW w:w="917" w:type="dxa"/>
            <w:tcBorders>
              <w:top w:val="single" w:sz="4" w:space="0" w:color="auto"/>
              <w:left w:val="single" w:sz="4" w:space="0" w:color="auto"/>
              <w:bottom w:val="single" w:sz="8" w:space="0" w:color="auto"/>
              <w:right w:val="nil"/>
            </w:tcBorders>
            <w:shd w:val="clear" w:color="auto" w:fill="auto"/>
            <w:noWrap/>
            <w:vAlign w:val="center"/>
          </w:tcPr>
          <w:p w14:paraId="141C02D7" w14:textId="77777777" w:rsidR="000F4F90" w:rsidRPr="007E4882" w:rsidRDefault="000F4F90" w:rsidP="007E4882">
            <w:pPr>
              <w:spacing w:after="0" w:line="240" w:lineRule="auto"/>
              <w:jc w:val="center"/>
              <w:rPr>
                <w:rFonts w:cstheme="minorHAnsi"/>
                <w:color w:val="auto"/>
                <w:sz w:val="20"/>
                <w:szCs w:val="20"/>
              </w:rPr>
            </w:pPr>
            <w:r w:rsidRPr="007E4882">
              <w:rPr>
                <w:rFonts w:cstheme="minorHAnsi"/>
                <w:color w:val="auto"/>
                <w:sz w:val="20"/>
                <w:szCs w:val="20"/>
              </w:rPr>
              <w:t>10.419</w:t>
            </w:r>
          </w:p>
        </w:tc>
        <w:tc>
          <w:tcPr>
            <w:tcW w:w="1106" w:type="dxa"/>
            <w:tcBorders>
              <w:top w:val="single" w:sz="4" w:space="0" w:color="auto"/>
              <w:left w:val="nil"/>
              <w:bottom w:val="single" w:sz="8" w:space="0" w:color="auto"/>
              <w:right w:val="single" w:sz="4" w:space="0" w:color="auto"/>
            </w:tcBorders>
            <w:shd w:val="clear" w:color="auto" w:fill="auto"/>
            <w:noWrap/>
            <w:vAlign w:val="center"/>
          </w:tcPr>
          <w:p w14:paraId="11A5A031" w14:textId="77777777" w:rsidR="000F4F90" w:rsidRPr="007E4882" w:rsidRDefault="000F4F90" w:rsidP="007E4882">
            <w:pPr>
              <w:spacing w:after="0" w:line="240" w:lineRule="auto"/>
              <w:jc w:val="center"/>
              <w:rPr>
                <w:rFonts w:cstheme="minorHAnsi"/>
                <w:color w:val="auto"/>
                <w:sz w:val="20"/>
                <w:szCs w:val="20"/>
              </w:rPr>
            </w:pPr>
            <w:r w:rsidRPr="007E4882">
              <w:rPr>
                <w:rFonts w:cstheme="minorHAnsi"/>
                <w:color w:val="auto"/>
                <w:sz w:val="20"/>
                <w:szCs w:val="20"/>
              </w:rPr>
              <w:t>10.509</w:t>
            </w:r>
          </w:p>
        </w:tc>
        <w:tc>
          <w:tcPr>
            <w:tcW w:w="127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9FF201D" w14:textId="77777777" w:rsidR="000F4F90" w:rsidRPr="007E4882" w:rsidRDefault="000F4F90" w:rsidP="007E4882">
            <w:pPr>
              <w:spacing w:after="0" w:line="240" w:lineRule="auto"/>
              <w:jc w:val="center"/>
              <w:rPr>
                <w:rFonts w:cstheme="minorHAnsi"/>
                <w:color w:val="auto"/>
                <w:sz w:val="20"/>
                <w:szCs w:val="20"/>
              </w:rPr>
            </w:pPr>
            <w:r w:rsidRPr="007E4882">
              <w:rPr>
                <w:rFonts w:cstheme="minorHAnsi"/>
                <w:color w:val="auto"/>
                <w:sz w:val="20"/>
                <w:szCs w:val="20"/>
              </w:rPr>
              <w:t>10.868</w:t>
            </w:r>
          </w:p>
        </w:tc>
        <w:tc>
          <w:tcPr>
            <w:tcW w:w="792" w:type="dxa"/>
            <w:tcBorders>
              <w:top w:val="single" w:sz="4" w:space="0" w:color="auto"/>
              <w:left w:val="single" w:sz="4" w:space="0" w:color="auto"/>
              <w:bottom w:val="single" w:sz="8" w:space="0" w:color="auto"/>
              <w:right w:val="nil"/>
            </w:tcBorders>
            <w:shd w:val="clear" w:color="auto" w:fill="auto"/>
            <w:noWrap/>
            <w:vAlign w:val="center"/>
          </w:tcPr>
          <w:p w14:paraId="6B7FC7BB" w14:textId="7632138E" w:rsidR="000F4F90" w:rsidRPr="007E4882" w:rsidRDefault="000F4F90" w:rsidP="007E4882">
            <w:pPr>
              <w:spacing w:after="0" w:line="240" w:lineRule="auto"/>
              <w:jc w:val="center"/>
              <w:rPr>
                <w:rFonts w:cstheme="minorHAnsi"/>
                <w:color w:val="auto"/>
                <w:sz w:val="20"/>
                <w:szCs w:val="20"/>
                <w:lang w:val="en-US"/>
              </w:rPr>
            </w:pPr>
            <w:r w:rsidRPr="007E4882">
              <w:rPr>
                <w:rFonts w:cstheme="minorHAnsi"/>
                <w:color w:val="auto"/>
                <w:sz w:val="20"/>
                <w:szCs w:val="20"/>
                <w:lang w:val="en-US"/>
              </w:rPr>
              <w:t>90</w:t>
            </w:r>
          </w:p>
        </w:tc>
        <w:tc>
          <w:tcPr>
            <w:tcW w:w="1058" w:type="dxa"/>
            <w:tcBorders>
              <w:top w:val="single" w:sz="4" w:space="0" w:color="auto"/>
              <w:left w:val="nil"/>
              <w:bottom w:val="single" w:sz="8" w:space="0" w:color="auto"/>
              <w:right w:val="single" w:sz="4" w:space="0" w:color="auto"/>
            </w:tcBorders>
            <w:shd w:val="clear" w:color="auto" w:fill="auto"/>
            <w:noWrap/>
            <w:vAlign w:val="center"/>
          </w:tcPr>
          <w:p w14:paraId="201E50EA" w14:textId="77777777" w:rsidR="000F4F90" w:rsidRPr="007E4882" w:rsidRDefault="000F4F90" w:rsidP="007E4882">
            <w:pPr>
              <w:spacing w:after="0" w:line="240" w:lineRule="auto"/>
              <w:jc w:val="center"/>
              <w:rPr>
                <w:rFonts w:cstheme="minorHAnsi"/>
                <w:color w:val="auto"/>
                <w:sz w:val="20"/>
                <w:szCs w:val="20"/>
              </w:rPr>
            </w:pPr>
            <w:r w:rsidRPr="007E4882">
              <w:rPr>
                <w:rFonts w:cstheme="minorHAnsi"/>
                <w:color w:val="auto"/>
                <w:sz w:val="20"/>
                <w:szCs w:val="20"/>
              </w:rPr>
              <w:t>-359</w:t>
            </w:r>
          </w:p>
        </w:tc>
        <w:tc>
          <w:tcPr>
            <w:tcW w:w="793" w:type="dxa"/>
            <w:tcBorders>
              <w:top w:val="single" w:sz="4" w:space="0" w:color="auto"/>
              <w:left w:val="single" w:sz="4" w:space="0" w:color="auto"/>
              <w:bottom w:val="single" w:sz="8" w:space="0" w:color="auto"/>
              <w:right w:val="nil"/>
            </w:tcBorders>
            <w:shd w:val="clear" w:color="auto" w:fill="auto"/>
            <w:noWrap/>
            <w:vAlign w:val="bottom"/>
            <w:hideMark/>
          </w:tcPr>
          <w:p w14:paraId="4612DDC6" w14:textId="77777777" w:rsidR="000F4F90" w:rsidRPr="007E4882" w:rsidRDefault="000F4F90" w:rsidP="007E4882">
            <w:pPr>
              <w:jc w:val="center"/>
              <w:rPr>
                <w:rFonts w:cstheme="minorHAnsi"/>
                <w:color w:val="auto"/>
                <w:sz w:val="20"/>
                <w:szCs w:val="20"/>
              </w:rPr>
            </w:pPr>
            <w:r w:rsidRPr="007E4882">
              <w:rPr>
                <w:rFonts w:cstheme="minorHAnsi"/>
                <w:color w:val="auto"/>
                <w:sz w:val="20"/>
                <w:szCs w:val="20"/>
              </w:rPr>
              <w:t>1%</w:t>
            </w:r>
          </w:p>
        </w:tc>
        <w:tc>
          <w:tcPr>
            <w:tcW w:w="1058" w:type="dxa"/>
            <w:tcBorders>
              <w:top w:val="single" w:sz="4" w:space="0" w:color="auto"/>
              <w:left w:val="nil"/>
              <w:bottom w:val="single" w:sz="8" w:space="0" w:color="auto"/>
              <w:right w:val="single" w:sz="8" w:space="0" w:color="auto"/>
            </w:tcBorders>
            <w:shd w:val="clear" w:color="auto" w:fill="auto"/>
            <w:noWrap/>
            <w:vAlign w:val="bottom"/>
            <w:hideMark/>
          </w:tcPr>
          <w:p w14:paraId="5CD2DAAE" w14:textId="77777777" w:rsidR="000F4F90" w:rsidRPr="007E4882" w:rsidRDefault="000F4F90" w:rsidP="007E4882">
            <w:pPr>
              <w:jc w:val="center"/>
              <w:rPr>
                <w:rFonts w:cstheme="minorHAnsi"/>
                <w:color w:val="auto"/>
                <w:sz w:val="20"/>
                <w:szCs w:val="20"/>
              </w:rPr>
            </w:pPr>
            <w:r w:rsidRPr="007E4882">
              <w:rPr>
                <w:rFonts w:cstheme="minorHAnsi"/>
                <w:color w:val="auto"/>
                <w:sz w:val="20"/>
                <w:szCs w:val="20"/>
              </w:rPr>
              <w:t>-3%</w:t>
            </w:r>
          </w:p>
        </w:tc>
      </w:tr>
      <w:tr w:rsidR="000F4F90" w:rsidRPr="007E4882" w14:paraId="755020C4" w14:textId="77777777" w:rsidTr="00124001">
        <w:trPr>
          <w:trHeight w:val="311"/>
          <w:jc w:val="center"/>
        </w:trPr>
        <w:tc>
          <w:tcPr>
            <w:tcW w:w="245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75B71B29" w14:textId="77777777" w:rsidR="000F4F90" w:rsidRPr="007E4882" w:rsidRDefault="000F4F90" w:rsidP="00124001">
            <w:pPr>
              <w:spacing w:after="0" w:line="240" w:lineRule="auto"/>
              <w:rPr>
                <w:rFonts w:eastAsia="Times New Roman" w:cstheme="minorHAnsi"/>
                <w:color w:val="auto"/>
                <w:sz w:val="20"/>
                <w:szCs w:val="20"/>
              </w:rPr>
            </w:pPr>
            <w:r w:rsidRPr="007E4882">
              <w:rPr>
                <w:rFonts w:eastAsia="Times New Roman" w:cstheme="minorHAnsi"/>
                <w:color w:val="auto"/>
                <w:sz w:val="20"/>
                <w:szCs w:val="20"/>
              </w:rPr>
              <w:t>II.  Κοινωνικές εισφορές</w:t>
            </w:r>
          </w:p>
        </w:tc>
        <w:tc>
          <w:tcPr>
            <w:tcW w:w="917" w:type="dxa"/>
            <w:tcBorders>
              <w:top w:val="single" w:sz="8" w:space="0" w:color="auto"/>
              <w:left w:val="single" w:sz="4" w:space="0" w:color="auto"/>
              <w:bottom w:val="single" w:sz="8" w:space="0" w:color="auto"/>
              <w:right w:val="nil"/>
            </w:tcBorders>
            <w:shd w:val="clear" w:color="auto" w:fill="auto"/>
            <w:noWrap/>
            <w:vAlign w:val="center"/>
          </w:tcPr>
          <w:p w14:paraId="0C99FDB1" w14:textId="77777777" w:rsidR="000F4F90" w:rsidRPr="007E4882" w:rsidRDefault="000F4F90" w:rsidP="007E4882">
            <w:pPr>
              <w:spacing w:after="0" w:line="240" w:lineRule="auto"/>
              <w:jc w:val="center"/>
              <w:rPr>
                <w:rFonts w:cstheme="minorHAnsi"/>
                <w:color w:val="auto"/>
                <w:sz w:val="20"/>
                <w:szCs w:val="20"/>
              </w:rPr>
            </w:pPr>
            <w:r w:rsidRPr="007E4882">
              <w:rPr>
                <w:rFonts w:cstheme="minorHAnsi"/>
                <w:color w:val="auto"/>
                <w:sz w:val="20"/>
                <w:szCs w:val="20"/>
              </w:rPr>
              <w:t>14</w:t>
            </w:r>
          </w:p>
        </w:tc>
        <w:tc>
          <w:tcPr>
            <w:tcW w:w="1106" w:type="dxa"/>
            <w:tcBorders>
              <w:top w:val="single" w:sz="8" w:space="0" w:color="auto"/>
              <w:left w:val="nil"/>
              <w:bottom w:val="single" w:sz="8" w:space="0" w:color="auto"/>
              <w:right w:val="single" w:sz="4" w:space="0" w:color="auto"/>
            </w:tcBorders>
            <w:shd w:val="clear" w:color="auto" w:fill="auto"/>
            <w:noWrap/>
            <w:vAlign w:val="center"/>
          </w:tcPr>
          <w:p w14:paraId="0AA62447" w14:textId="77777777" w:rsidR="000F4F90" w:rsidRPr="007E4882" w:rsidRDefault="000F4F90" w:rsidP="007E4882">
            <w:pPr>
              <w:spacing w:after="0" w:line="240" w:lineRule="auto"/>
              <w:jc w:val="center"/>
              <w:rPr>
                <w:rFonts w:cstheme="minorHAnsi"/>
                <w:color w:val="auto"/>
                <w:sz w:val="20"/>
                <w:szCs w:val="20"/>
              </w:rPr>
            </w:pPr>
            <w:r w:rsidRPr="007E4882">
              <w:rPr>
                <w:rFonts w:cstheme="minorHAnsi"/>
                <w:color w:val="auto"/>
                <w:sz w:val="20"/>
                <w:szCs w:val="20"/>
              </w:rPr>
              <w:t>14</w:t>
            </w:r>
          </w:p>
        </w:tc>
        <w:tc>
          <w:tcPr>
            <w:tcW w:w="1276" w:type="dxa"/>
            <w:tcBorders>
              <w:top w:val="single" w:sz="8" w:space="0" w:color="auto"/>
              <w:left w:val="single" w:sz="4" w:space="0" w:color="auto"/>
              <w:bottom w:val="single" w:sz="8" w:space="0" w:color="auto"/>
              <w:right w:val="single" w:sz="4" w:space="0" w:color="auto"/>
            </w:tcBorders>
            <w:shd w:val="clear" w:color="auto" w:fill="auto"/>
            <w:noWrap/>
            <w:vAlign w:val="center"/>
          </w:tcPr>
          <w:p w14:paraId="22CA7B61" w14:textId="77777777" w:rsidR="000F4F90" w:rsidRPr="007E4882" w:rsidRDefault="000F4F90" w:rsidP="007E4882">
            <w:pPr>
              <w:spacing w:after="0" w:line="240" w:lineRule="auto"/>
              <w:jc w:val="center"/>
              <w:rPr>
                <w:rFonts w:cstheme="minorHAnsi"/>
                <w:color w:val="auto"/>
                <w:sz w:val="20"/>
                <w:szCs w:val="20"/>
              </w:rPr>
            </w:pPr>
            <w:r w:rsidRPr="007E4882">
              <w:rPr>
                <w:rFonts w:cstheme="minorHAnsi"/>
                <w:color w:val="auto"/>
                <w:sz w:val="20"/>
                <w:szCs w:val="20"/>
              </w:rPr>
              <w:t>14</w:t>
            </w:r>
          </w:p>
        </w:tc>
        <w:tc>
          <w:tcPr>
            <w:tcW w:w="792" w:type="dxa"/>
            <w:tcBorders>
              <w:top w:val="single" w:sz="8" w:space="0" w:color="auto"/>
              <w:left w:val="single" w:sz="4" w:space="0" w:color="auto"/>
              <w:bottom w:val="single" w:sz="8" w:space="0" w:color="auto"/>
              <w:right w:val="nil"/>
            </w:tcBorders>
            <w:shd w:val="clear" w:color="auto" w:fill="auto"/>
            <w:noWrap/>
            <w:vAlign w:val="center"/>
          </w:tcPr>
          <w:p w14:paraId="4CEC0BEF" w14:textId="7A25293E" w:rsidR="000F4F90" w:rsidRPr="007E4882" w:rsidRDefault="000F4F90" w:rsidP="007E4882">
            <w:pPr>
              <w:spacing w:after="0" w:line="240" w:lineRule="auto"/>
              <w:jc w:val="center"/>
              <w:rPr>
                <w:rFonts w:cstheme="minorHAnsi"/>
                <w:color w:val="auto"/>
                <w:sz w:val="20"/>
                <w:szCs w:val="20"/>
                <w:lang w:val="en-US"/>
              </w:rPr>
            </w:pPr>
            <w:r w:rsidRPr="007E4882">
              <w:rPr>
                <w:rFonts w:cstheme="minorHAnsi"/>
                <w:color w:val="auto"/>
                <w:sz w:val="20"/>
                <w:szCs w:val="20"/>
                <w:lang w:val="en-US"/>
              </w:rPr>
              <w:t>0</w:t>
            </w:r>
          </w:p>
        </w:tc>
        <w:tc>
          <w:tcPr>
            <w:tcW w:w="1058" w:type="dxa"/>
            <w:tcBorders>
              <w:top w:val="single" w:sz="8" w:space="0" w:color="auto"/>
              <w:left w:val="nil"/>
              <w:bottom w:val="single" w:sz="8" w:space="0" w:color="auto"/>
              <w:right w:val="single" w:sz="4" w:space="0" w:color="auto"/>
            </w:tcBorders>
            <w:shd w:val="clear" w:color="auto" w:fill="auto"/>
            <w:noWrap/>
            <w:vAlign w:val="center"/>
          </w:tcPr>
          <w:p w14:paraId="1692A58C" w14:textId="7EAC16B2" w:rsidR="000F4F90" w:rsidRPr="007E4882" w:rsidRDefault="000F4F90" w:rsidP="007E4882">
            <w:pPr>
              <w:spacing w:after="0" w:line="240" w:lineRule="auto"/>
              <w:jc w:val="center"/>
              <w:rPr>
                <w:rFonts w:cstheme="minorHAnsi"/>
                <w:color w:val="auto"/>
                <w:sz w:val="20"/>
                <w:szCs w:val="20"/>
                <w:lang w:val="en-US"/>
              </w:rPr>
            </w:pPr>
            <w:r w:rsidRPr="007E4882">
              <w:rPr>
                <w:rFonts w:cstheme="minorHAnsi"/>
                <w:color w:val="auto"/>
                <w:sz w:val="20"/>
                <w:szCs w:val="20"/>
                <w:lang w:val="en-US"/>
              </w:rPr>
              <w:t>0</w:t>
            </w:r>
          </w:p>
        </w:tc>
        <w:tc>
          <w:tcPr>
            <w:tcW w:w="793" w:type="dxa"/>
            <w:tcBorders>
              <w:top w:val="single" w:sz="8" w:space="0" w:color="auto"/>
              <w:left w:val="single" w:sz="4" w:space="0" w:color="auto"/>
              <w:bottom w:val="single" w:sz="8" w:space="0" w:color="auto"/>
              <w:right w:val="nil"/>
            </w:tcBorders>
            <w:shd w:val="clear" w:color="auto" w:fill="auto"/>
            <w:noWrap/>
            <w:vAlign w:val="bottom"/>
            <w:hideMark/>
          </w:tcPr>
          <w:p w14:paraId="12E5978C" w14:textId="77777777" w:rsidR="000F4F90" w:rsidRPr="007E4882" w:rsidRDefault="000F4F90" w:rsidP="007E4882">
            <w:pPr>
              <w:jc w:val="center"/>
              <w:rPr>
                <w:rFonts w:cstheme="minorHAnsi"/>
                <w:color w:val="auto"/>
                <w:sz w:val="20"/>
                <w:szCs w:val="20"/>
              </w:rPr>
            </w:pPr>
            <w:r w:rsidRPr="007E4882">
              <w:rPr>
                <w:rFonts w:cstheme="minorHAnsi"/>
                <w:color w:val="auto"/>
                <w:sz w:val="20"/>
                <w:szCs w:val="20"/>
              </w:rPr>
              <w:t>0%</w:t>
            </w:r>
          </w:p>
        </w:tc>
        <w:tc>
          <w:tcPr>
            <w:tcW w:w="1058" w:type="dxa"/>
            <w:tcBorders>
              <w:top w:val="single" w:sz="8" w:space="0" w:color="auto"/>
              <w:left w:val="nil"/>
              <w:bottom w:val="single" w:sz="8" w:space="0" w:color="auto"/>
              <w:right w:val="single" w:sz="8" w:space="0" w:color="auto"/>
            </w:tcBorders>
            <w:shd w:val="clear" w:color="auto" w:fill="auto"/>
            <w:noWrap/>
            <w:vAlign w:val="bottom"/>
            <w:hideMark/>
          </w:tcPr>
          <w:p w14:paraId="0CF3855E" w14:textId="77777777" w:rsidR="000F4F90" w:rsidRPr="007E4882" w:rsidRDefault="000F4F90" w:rsidP="007E4882">
            <w:pPr>
              <w:jc w:val="center"/>
              <w:rPr>
                <w:rFonts w:cstheme="minorHAnsi"/>
                <w:color w:val="auto"/>
                <w:sz w:val="20"/>
                <w:szCs w:val="20"/>
              </w:rPr>
            </w:pPr>
            <w:r w:rsidRPr="007E4882">
              <w:rPr>
                <w:rFonts w:cstheme="minorHAnsi"/>
                <w:color w:val="auto"/>
                <w:sz w:val="20"/>
                <w:szCs w:val="20"/>
              </w:rPr>
              <w:t>0%</w:t>
            </w:r>
          </w:p>
        </w:tc>
      </w:tr>
      <w:tr w:rsidR="000F4F90" w:rsidRPr="007E4882" w14:paraId="3F579387" w14:textId="77777777" w:rsidTr="00124001">
        <w:trPr>
          <w:trHeight w:val="311"/>
          <w:jc w:val="center"/>
        </w:trPr>
        <w:tc>
          <w:tcPr>
            <w:tcW w:w="245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E05F332" w14:textId="77777777" w:rsidR="000F4F90" w:rsidRPr="007E4882" w:rsidRDefault="000F4F90" w:rsidP="00124001">
            <w:pPr>
              <w:spacing w:after="0" w:line="240" w:lineRule="auto"/>
              <w:rPr>
                <w:rFonts w:eastAsia="Times New Roman" w:cstheme="minorHAnsi"/>
                <w:color w:val="auto"/>
                <w:sz w:val="20"/>
                <w:szCs w:val="20"/>
              </w:rPr>
            </w:pPr>
            <w:r w:rsidRPr="007E4882">
              <w:rPr>
                <w:rFonts w:eastAsia="Times New Roman" w:cstheme="minorHAnsi"/>
                <w:color w:val="auto"/>
                <w:sz w:val="20"/>
                <w:szCs w:val="20"/>
              </w:rPr>
              <w:t>III. Μεταβιβάσεις</w:t>
            </w:r>
          </w:p>
        </w:tc>
        <w:tc>
          <w:tcPr>
            <w:tcW w:w="917" w:type="dxa"/>
            <w:tcBorders>
              <w:top w:val="single" w:sz="8" w:space="0" w:color="auto"/>
              <w:left w:val="single" w:sz="4" w:space="0" w:color="auto"/>
              <w:bottom w:val="single" w:sz="8" w:space="0" w:color="auto"/>
              <w:right w:val="nil"/>
            </w:tcBorders>
            <w:shd w:val="clear" w:color="auto" w:fill="auto"/>
            <w:noWrap/>
            <w:vAlign w:val="center"/>
          </w:tcPr>
          <w:p w14:paraId="654F7F88" w14:textId="77777777" w:rsidR="000F4F90" w:rsidRPr="007E4882" w:rsidRDefault="000F4F90" w:rsidP="007E4882">
            <w:pPr>
              <w:spacing w:after="0" w:line="240" w:lineRule="auto"/>
              <w:jc w:val="center"/>
              <w:rPr>
                <w:rFonts w:cstheme="minorHAnsi"/>
                <w:color w:val="auto"/>
                <w:sz w:val="20"/>
                <w:szCs w:val="20"/>
              </w:rPr>
            </w:pPr>
            <w:r w:rsidRPr="007E4882">
              <w:rPr>
                <w:rFonts w:cstheme="minorHAnsi"/>
                <w:color w:val="auto"/>
                <w:sz w:val="20"/>
                <w:szCs w:val="20"/>
              </w:rPr>
              <w:t>1.181</w:t>
            </w:r>
          </w:p>
        </w:tc>
        <w:tc>
          <w:tcPr>
            <w:tcW w:w="1106" w:type="dxa"/>
            <w:tcBorders>
              <w:top w:val="single" w:sz="8" w:space="0" w:color="auto"/>
              <w:left w:val="nil"/>
              <w:bottom w:val="single" w:sz="8" w:space="0" w:color="auto"/>
              <w:right w:val="single" w:sz="4" w:space="0" w:color="auto"/>
            </w:tcBorders>
            <w:shd w:val="clear" w:color="auto" w:fill="auto"/>
            <w:noWrap/>
            <w:vAlign w:val="center"/>
          </w:tcPr>
          <w:p w14:paraId="35DC715A" w14:textId="77777777" w:rsidR="000F4F90" w:rsidRPr="007E4882" w:rsidRDefault="000F4F90" w:rsidP="007E4882">
            <w:pPr>
              <w:spacing w:after="0" w:line="240" w:lineRule="auto"/>
              <w:jc w:val="center"/>
              <w:rPr>
                <w:rFonts w:cstheme="minorHAnsi"/>
                <w:color w:val="auto"/>
                <w:sz w:val="20"/>
                <w:szCs w:val="20"/>
              </w:rPr>
            </w:pPr>
            <w:r w:rsidRPr="007E4882">
              <w:rPr>
                <w:rFonts w:cstheme="minorHAnsi"/>
                <w:color w:val="auto"/>
                <w:sz w:val="20"/>
                <w:szCs w:val="20"/>
              </w:rPr>
              <w:t>1.148</w:t>
            </w:r>
          </w:p>
        </w:tc>
        <w:tc>
          <w:tcPr>
            <w:tcW w:w="1276" w:type="dxa"/>
            <w:tcBorders>
              <w:top w:val="single" w:sz="8" w:space="0" w:color="auto"/>
              <w:left w:val="single" w:sz="4" w:space="0" w:color="auto"/>
              <w:bottom w:val="single" w:sz="8" w:space="0" w:color="auto"/>
              <w:right w:val="single" w:sz="4" w:space="0" w:color="auto"/>
            </w:tcBorders>
            <w:shd w:val="clear" w:color="auto" w:fill="auto"/>
            <w:noWrap/>
            <w:vAlign w:val="center"/>
          </w:tcPr>
          <w:p w14:paraId="64F56794" w14:textId="77777777" w:rsidR="000F4F90" w:rsidRPr="007E4882" w:rsidRDefault="000F4F90" w:rsidP="007E4882">
            <w:pPr>
              <w:spacing w:after="0" w:line="240" w:lineRule="auto"/>
              <w:jc w:val="center"/>
              <w:rPr>
                <w:rFonts w:cstheme="minorHAnsi"/>
                <w:color w:val="auto"/>
                <w:sz w:val="20"/>
                <w:szCs w:val="20"/>
              </w:rPr>
            </w:pPr>
            <w:r w:rsidRPr="007E4882">
              <w:rPr>
                <w:rFonts w:cstheme="minorHAnsi"/>
                <w:color w:val="auto"/>
                <w:sz w:val="20"/>
                <w:szCs w:val="20"/>
              </w:rPr>
              <w:t>1.538</w:t>
            </w:r>
          </w:p>
        </w:tc>
        <w:tc>
          <w:tcPr>
            <w:tcW w:w="792" w:type="dxa"/>
            <w:tcBorders>
              <w:top w:val="single" w:sz="8" w:space="0" w:color="auto"/>
              <w:left w:val="single" w:sz="4" w:space="0" w:color="auto"/>
              <w:bottom w:val="single" w:sz="8" w:space="0" w:color="auto"/>
              <w:right w:val="nil"/>
            </w:tcBorders>
            <w:shd w:val="clear" w:color="auto" w:fill="auto"/>
            <w:noWrap/>
            <w:vAlign w:val="center"/>
          </w:tcPr>
          <w:p w14:paraId="35938975" w14:textId="2AEFAF83" w:rsidR="000F4F90" w:rsidRPr="007E4882" w:rsidRDefault="000F4F90" w:rsidP="007E4882">
            <w:pPr>
              <w:spacing w:after="0" w:line="240" w:lineRule="auto"/>
              <w:jc w:val="center"/>
              <w:rPr>
                <w:rFonts w:cstheme="minorHAnsi"/>
                <w:color w:val="auto"/>
                <w:sz w:val="20"/>
                <w:szCs w:val="20"/>
                <w:lang w:val="en-US"/>
              </w:rPr>
            </w:pPr>
            <w:r w:rsidRPr="007E4882">
              <w:rPr>
                <w:rFonts w:cstheme="minorHAnsi"/>
                <w:color w:val="auto"/>
                <w:sz w:val="20"/>
                <w:szCs w:val="20"/>
                <w:lang w:val="en-US"/>
              </w:rPr>
              <w:t>-33</w:t>
            </w:r>
          </w:p>
        </w:tc>
        <w:tc>
          <w:tcPr>
            <w:tcW w:w="1058" w:type="dxa"/>
            <w:tcBorders>
              <w:top w:val="single" w:sz="8" w:space="0" w:color="auto"/>
              <w:left w:val="nil"/>
              <w:bottom w:val="single" w:sz="8" w:space="0" w:color="auto"/>
              <w:right w:val="single" w:sz="4" w:space="0" w:color="auto"/>
            </w:tcBorders>
            <w:shd w:val="clear" w:color="auto" w:fill="auto"/>
            <w:noWrap/>
            <w:vAlign w:val="center"/>
          </w:tcPr>
          <w:p w14:paraId="780D2E88" w14:textId="77777777" w:rsidR="000F4F90" w:rsidRPr="007E4882" w:rsidRDefault="000F4F90" w:rsidP="007E4882">
            <w:pPr>
              <w:spacing w:after="0" w:line="240" w:lineRule="auto"/>
              <w:jc w:val="center"/>
              <w:rPr>
                <w:rFonts w:cstheme="minorHAnsi"/>
                <w:color w:val="auto"/>
                <w:sz w:val="20"/>
                <w:szCs w:val="20"/>
                <w:lang w:val="en-US"/>
              </w:rPr>
            </w:pPr>
            <w:r w:rsidRPr="007E4882">
              <w:rPr>
                <w:rFonts w:cstheme="minorHAnsi"/>
                <w:color w:val="auto"/>
                <w:sz w:val="20"/>
                <w:szCs w:val="20"/>
                <w:lang w:val="en-US"/>
              </w:rPr>
              <w:t>-390</w:t>
            </w:r>
          </w:p>
        </w:tc>
        <w:tc>
          <w:tcPr>
            <w:tcW w:w="793" w:type="dxa"/>
            <w:tcBorders>
              <w:top w:val="single" w:sz="8" w:space="0" w:color="auto"/>
              <w:left w:val="single" w:sz="4" w:space="0" w:color="auto"/>
              <w:bottom w:val="single" w:sz="8" w:space="0" w:color="auto"/>
              <w:right w:val="nil"/>
            </w:tcBorders>
            <w:shd w:val="clear" w:color="auto" w:fill="auto"/>
            <w:noWrap/>
            <w:vAlign w:val="bottom"/>
            <w:hideMark/>
          </w:tcPr>
          <w:p w14:paraId="2CBF203A" w14:textId="77777777" w:rsidR="000F4F90" w:rsidRPr="007E4882" w:rsidRDefault="000F4F90" w:rsidP="007E4882">
            <w:pPr>
              <w:jc w:val="center"/>
              <w:rPr>
                <w:rFonts w:cstheme="minorHAnsi"/>
                <w:color w:val="auto"/>
                <w:sz w:val="20"/>
                <w:szCs w:val="20"/>
              </w:rPr>
            </w:pPr>
            <w:r w:rsidRPr="007E4882">
              <w:rPr>
                <w:rFonts w:cstheme="minorHAnsi"/>
                <w:color w:val="auto"/>
                <w:sz w:val="20"/>
                <w:szCs w:val="20"/>
              </w:rPr>
              <w:t>-3%</w:t>
            </w:r>
          </w:p>
        </w:tc>
        <w:tc>
          <w:tcPr>
            <w:tcW w:w="1058" w:type="dxa"/>
            <w:tcBorders>
              <w:top w:val="single" w:sz="8" w:space="0" w:color="auto"/>
              <w:left w:val="nil"/>
              <w:bottom w:val="single" w:sz="8" w:space="0" w:color="auto"/>
              <w:right w:val="single" w:sz="8" w:space="0" w:color="auto"/>
            </w:tcBorders>
            <w:shd w:val="clear" w:color="auto" w:fill="auto"/>
            <w:noWrap/>
            <w:vAlign w:val="bottom"/>
            <w:hideMark/>
          </w:tcPr>
          <w:p w14:paraId="3B441E9F" w14:textId="77777777" w:rsidR="000F4F90" w:rsidRPr="007E4882" w:rsidRDefault="000F4F90" w:rsidP="007E4882">
            <w:pPr>
              <w:jc w:val="center"/>
              <w:rPr>
                <w:rFonts w:cstheme="minorHAnsi"/>
                <w:color w:val="auto"/>
                <w:sz w:val="20"/>
                <w:szCs w:val="20"/>
              </w:rPr>
            </w:pPr>
            <w:r w:rsidRPr="007E4882">
              <w:rPr>
                <w:rFonts w:cstheme="minorHAnsi"/>
                <w:color w:val="auto"/>
                <w:sz w:val="20"/>
                <w:szCs w:val="20"/>
              </w:rPr>
              <w:t>-</w:t>
            </w:r>
            <w:r w:rsidRPr="007E4882">
              <w:rPr>
                <w:rFonts w:cstheme="minorHAnsi"/>
                <w:color w:val="auto"/>
                <w:sz w:val="20"/>
                <w:szCs w:val="20"/>
                <w:lang w:val="en-US"/>
              </w:rPr>
              <w:t>25</w:t>
            </w:r>
            <w:r w:rsidRPr="007E4882">
              <w:rPr>
                <w:rFonts w:cstheme="minorHAnsi"/>
                <w:color w:val="auto"/>
                <w:sz w:val="20"/>
                <w:szCs w:val="20"/>
              </w:rPr>
              <w:t>%</w:t>
            </w:r>
          </w:p>
        </w:tc>
      </w:tr>
      <w:tr w:rsidR="000F4F90" w:rsidRPr="007E4882" w14:paraId="0373B732" w14:textId="77777777" w:rsidTr="00124001">
        <w:trPr>
          <w:trHeight w:val="311"/>
          <w:jc w:val="center"/>
        </w:trPr>
        <w:tc>
          <w:tcPr>
            <w:tcW w:w="245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DC36CC0" w14:textId="77777777" w:rsidR="000F4F90" w:rsidRPr="007E4882" w:rsidRDefault="000F4F90" w:rsidP="00124001">
            <w:pPr>
              <w:spacing w:after="0" w:line="240" w:lineRule="auto"/>
              <w:rPr>
                <w:rFonts w:eastAsia="Times New Roman" w:cstheme="minorHAnsi"/>
                <w:color w:val="auto"/>
                <w:sz w:val="20"/>
                <w:szCs w:val="20"/>
              </w:rPr>
            </w:pPr>
            <w:r w:rsidRPr="007E4882">
              <w:rPr>
                <w:rFonts w:eastAsia="Times New Roman" w:cstheme="minorHAnsi"/>
                <w:color w:val="auto"/>
                <w:sz w:val="20"/>
                <w:szCs w:val="20"/>
              </w:rPr>
              <w:t>IV. Πωλήσεις αγαθών και υπηρεσιών</w:t>
            </w:r>
          </w:p>
        </w:tc>
        <w:tc>
          <w:tcPr>
            <w:tcW w:w="917" w:type="dxa"/>
            <w:tcBorders>
              <w:top w:val="single" w:sz="8" w:space="0" w:color="auto"/>
              <w:left w:val="single" w:sz="4" w:space="0" w:color="auto"/>
              <w:bottom w:val="single" w:sz="8" w:space="0" w:color="auto"/>
              <w:right w:val="nil"/>
            </w:tcBorders>
            <w:shd w:val="clear" w:color="auto" w:fill="auto"/>
            <w:noWrap/>
            <w:vAlign w:val="center"/>
          </w:tcPr>
          <w:p w14:paraId="6D2FB8E5" w14:textId="77777777" w:rsidR="000F4F90" w:rsidRPr="007E4882" w:rsidRDefault="000F4F90" w:rsidP="007E4882">
            <w:pPr>
              <w:spacing w:after="0" w:line="240" w:lineRule="auto"/>
              <w:jc w:val="center"/>
              <w:rPr>
                <w:rFonts w:cstheme="minorHAnsi"/>
                <w:color w:val="auto"/>
                <w:sz w:val="20"/>
                <w:szCs w:val="20"/>
              </w:rPr>
            </w:pPr>
            <w:r w:rsidRPr="007E4882">
              <w:rPr>
                <w:rFonts w:cstheme="minorHAnsi"/>
                <w:color w:val="auto"/>
                <w:sz w:val="20"/>
                <w:szCs w:val="20"/>
              </w:rPr>
              <w:t>115</w:t>
            </w:r>
          </w:p>
        </w:tc>
        <w:tc>
          <w:tcPr>
            <w:tcW w:w="1106" w:type="dxa"/>
            <w:tcBorders>
              <w:top w:val="single" w:sz="8" w:space="0" w:color="auto"/>
              <w:left w:val="nil"/>
              <w:bottom w:val="single" w:sz="8" w:space="0" w:color="auto"/>
              <w:right w:val="single" w:sz="4" w:space="0" w:color="auto"/>
            </w:tcBorders>
            <w:shd w:val="clear" w:color="auto" w:fill="auto"/>
            <w:noWrap/>
            <w:vAlign w:val="center"/>
          </w:tcPr>
          <w:p w14:paraId="5AD51D67" w14:textId="77777777" w:rsidR="000F4F90" w:rsidRPr="007E4882" w:rsidRDefault="000F4F90" w:rsidP="007E4882">
            <w:pPr>
              <w:spacing w:after="0" w:line="240" w:lineRule="auto"/>
              <w:jc w:val="center"/>
              <w:rPr>
                <w:rFonts w:cstheme="minorHAnsi"/>
                <w:color w:val="auto"/>
                <w:sz w:val="20"/>
                <w:szCs w:val="20"/>
              </w:rPr>
            </w:pPr>
            <w:r w:rsidRPr="007E4882">
              <w:rPr>
                <w:rFonts w:cstheme="minorHAnsi"/>
                <w:color w:val="auto"/>
                <w:sz w:val="20"/>
                <w:szCs w:val="20"/>
              </w:rPr>
              <w:t>142</w:t>
            </w:r>
          </w:p>
        </w:tc>
        <w:tc>
          <w:tcPr>
            <w:tcW w:w="1276" w:type="dxa"/>
            <w:tcBorders>
              <w:top w:val="single" w:sz="8" w:space="0" w:color="auto"/>
              <w:left w:val="single" w:sz="4" w:space="0" w:color="auto"/>
              <w:bottom w:val="single" w:sz="8" w:space="0" w:color="auto"/>
              <w:right w:val="single" w:sz="4" w:space="0" w:color="auto"/>
            </w:tcBorders>
            <w:shd w:val="clear" w:color="auto" w:fill="auto"/>
            <w:noWrap/>
            <w:vAlign w:val="center"/>
          </w:tcPr>
          <w:p w14:paraId="3CD5EE21" w14:textId="77777777" w:rsidR="000F4F90" w:rsidRPr="007E4882" w:rsidRDefault="000F4F90" w:rsidP="007E4882">
            <w:pPr>
              <w:spacing w:after="0" w:line="240" w:lineRule="auto"/>
              <w:jc w:val="center"/>
              <w:rPr>
                <w:rFonts w:cstheme="minorHAnsi"/>
                <w:color w:val="auto"/>
                <w:sz w:val="20"/>
                <w:szCs w:val="20"/>
              </w:rPr>
            </w:pPr>
            <w:r w:rsidRPr="007E4882">
              <w:rPr>
                <w:rFonts w:cstheme="minorHAnsi"/>
                <w:color w:val="auto"/>
                <w:sz w:val="20"/>
                <w:szCs w:val="20"/>
              </w:rPr>
              <w:t>131</w:t>
            </w:r>
          </w:p>
        </w:tc>
        <w:tc>
          <w:tcPr>
            <w:tcW w:w="792" w:type="dxa"/>
            <w:tcBorders>
              <w:top w:val="single" w:sz="8" w:space="0" w:color="auto"/>
              <w:left w:val="single" w:sz="4" w:space="0" w:color="auto"/>
              <w:bottom w:val="single" w:sz="8" w:space="0" w:color="auto"/>
              <w:right w:val="nil"/>
            </w:tcBorders>
            <w:shd w:val="clear" w:color="auto" w:fill="auto"/>
            <w:noWrap/>
            <w:vAlign w:val="center"/>
          </w:tcPr>
          <w:p w14:paraId="761D4F89" w14:textId="482D1060" w:rsidR="000F4F90" w:rsidRPr="007E4882" w:rsidRDefault="000F4F90" w:rsidP="007E4882">
            <w:pPr>
              <w:spacing w:after="0" w:line="240" w:lineRule="auto"/>
              <w:jc w:val="center"/>
              <w:rPr>
                <w:rFonts w:cstheme="minorHAnsi"/>
                <w:color w:val="auto"/>
                <w:sz w:val="20"/>
                <w:szCs w:val="20"/>
                <w:lang w:val="en-US"/>
              </w:rPr>
            </w:pPr>
            <w:r w:rsidRPr="007E4882">
              <w:rPr>
                <w:rFonts w:cstheme="minorHAnsi"/>
                <w:color w:val="auto"/>
                <w:sz w:val="20"/>
                <w:szCs w:val="20"/>
                <w:lang w:val="en-US"/>
              </w:rPr>
              <w:t>27</w:t>
            </w:r>
          </w:p>
        </w:tc>
        <w:tc>
          <w:tcPr>
            <w:tcW w:w="1058" w:type="dxa"/>
            <w:tcBorders>
              <w:top w:val="single" w:sz="8" w:space="0" w:color="auto"/>
              <w:left w:val="nil"/>
              <w:bottom w:val="single" w:sz="8" w:space="0" w:color="auto"/>
              <w:right w:val="single" w:sz="4" w:space="0" w:color="auto"/>
            </w:tcBorders>
            <w:shd w:val="clear" w:color="auto" w:fill="auto"/>
            <w:noWrap/>
            <w:vAlign w:val="center"/>
          </w:tcPr>
          <w:p w14:paraId="5D813C05" w14:textId="03DA2046" w:rsidR="000F4F90" w:rsidRPr="007E4882" w:rsidRDefault="000F4F90" w:rsidP="007E4882">
            <w:pPr>
              <w:spacing w:after="0" w:line="240" w:lineRule="auto"/>
              <w:jc w:val="center"/>
              <w:rPr>
                <w:rFonts w:cstheme="minorHAnsi"/>
                <w:color w:val="auto"/>
                <w:sz w:val="20"/>
                <w:szCs w:val="20"/>
                <w:lang w:val="en-US"/>
              </w:rPr>
            </w:pPr>
            <w:r w:rsidRPr="007E4882">
              <w:rPr>
                <w:rFonts w:cstheme="minorHAnsi"/>
                <w:color w:val="auto"/>
                <w:sz w:val="20"/>
                <w:szCs w:val="20"/>
                <w:lang w:val="en-US"/>
              </w:rPr>
              <w:t>11</w:t>
            </w:r>
          </w:p>
        </w:tc>
        <w:tc>
          <w:tcPr>
            <w:tcW w:w="793" w:type="dxa"/>
            <w:tcBorders>
              <w:top w:val="single" w:sz="8" w:space="0" w:color="auto"/>
              <w:left w:val="single" w:sz="4" w:space="0" w:color="auto"/>
              <w:bottom w:val="single" w:sz="8" w:space="0" w:color="auto"/>
              <w:right w:val="nil"/>
            </w:tcBorders>
            <w:shd w:val="clear" w:color="auto" w:fill="auto"/>
            <w:noWrap/>
            <w:vAlign w:val="bottom"/>
            <w:hideMark/>
          </w:tcPr>
          <w:p w14:paraId="41E87265" w14:textId="77777777" w:rsidR="000F4F90" w:rsidRPr="007E4882" w:rsidRDefault="000F4F90" w:rsidP="007E4882">
            <w:pPr>
              <w:jc w:val="center"/>
              <w:rPr>
                <w:rFonts w:cstheme="minorHAnsi"/>
                <w:color w:val="auto"/>
                <w:sz w:val="20"/>
                <w:szCs w:val="20"/>
              </w:rPr>
            </w:pPr>
            <w:r w:rsidRPr="007E4882">
              <w:rPr>
                <w:rFonts w:cstheme="minorHAnsi"/>
                <w:color w:val="auto"/>
                <w:sz w:val="20"/>
                <w:szCs w:val="20"/>
              </w:rPr>
              <w:t>23%</w:t>
            </w:r>
          </w:p>
        </w:tc>
        <w:tc>
          <w:tcPr>
            <w:tcW w:w="1058" w:type="dxa"/>
            <w:tcBorders>
              <w:top w:val="single" w:sz="8" w:space="0" w:color="auto"/>
              <w:left w:val="nil"/>
              <w:bottom w:val="single" w:sz="8" w:space="0" w:color="auto"/>
              <w:right w:val="single" w:sz="8" w:space="0" w:color="auto"/>
            </w:tcBorders>
            <w:shd w:val="clear" w:color="auto" w:fill="auto"/>
            <w:noWrap/>
            <w:vAlign w:val="bottom"/>
            <w:hideMark/>
          </w:tcPr>
          <w:p w14:paraId="0D7959B9" w14:textId="77777777" w:rsidR="000F4F90" w:rsidRPr="007E4882" w:rsidRDefault="000F4F90" w:rsidP="007E4882">
            <w:pPr>
              <w:jc w:val="center"/>
              <w:rPr>
                <w:rFonts w:cstheme="minorHAnsi"/>
                <w:color w:val="auto"/>
                <w:sz w:val="20"/>
                <w:szCs w:val="20"/>
              </w:rPr>
            </w:pPr>
            <w:r w:rsidRPr="007E4882">
              <w:rPr>
                <w:rFonts w:cstheme="minorHAnsi"/>
                <w:color w:val="auto"/>
                <w:sz w:val="20"/>
                <w:szCs w:val="20"/>
              </w:rPr>
              <w:t>8%</w:t>
            </w:r>
          </w:p>
        </w:tc>
      </w:tr>
      <w:tr w:rsidR="000F4F90" w:rsidRPr="007E4882" w14:paraId="0934FC92" w14:textId="77777777" w:rsidTr="00124001">
        <w:trPr>
          <w:trHeight w:val="311"/>
          <w:jc w:val="center"/>
        </w:trPr>
        <w:tc>
          <w:tcPr>
            <w:tcW w:w="245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0947BA5B" w14:textId="77777777" w:rsidR="000F4F90" w:rsidRPr="007E4882" w:rsidRDefault="000F4F90" w:rsidP="00124001">
            <w:pPr>
              <w:spacing w:after="0" w:line="240" w:lineRule="auto"/>
              <w:rPr>
                <w:rFonts w:eastAsia="Times New Roman" w:cstheme="minorHAnsi"/>
                <w:color w:val="auto"/>
                <w:sz w:val="20"/>
                <w:szCs w:val="20"/>
              </w:rPr>
            </w:pPr>
            <w:r w:rsidRPr="007E4882">
              <w:rPr>
                <w:rFonts w:eastAsia="Times New Roman" w:cstheme="minorHAnsi"/>
                <w:color w:val="auto"/>
                <w:sz w:val="20"/>
                <w:szCs w:val="20"/>
              </w:rPr>
              <w:t>V.  Λοιπά τρέχοντα έσοδα</w:t>
            </w:r>
          </w:p>
        </w:tc>
        <w:tc>
          <w:tcPr>
            <w:tcW w:w="917" w:type="dxa"/>
            <w:tcBorders>
              <w:top w:val="single" w:sz="8" w:space="0" w:color="auto"/>
              <w:left w:val="single" w:sz="4" w:space="0" w:color="auto"/>
              <w:bottom w:val="single" w:sz="8" w:space="0" w:color="auto"/>
              <w:right w:val="nil"/>
            </w:tcBorders>
            <w:shd w:val="clear" w:color="auto" w:fill="auto"/>
            <w:noWrap/>
            <w:vAlign w:val="center"/>
          </w:tcPr>
          <w:p w14:paraId="1FC4E996" w14:textId="77777777" w:rsidR="000F4F90" w:rsidRPr="007E4882" w:rsidRDefault="000F4F90" w:rsidP="007E4882">
            <w:pPr>
              <w:spacing w:after="0" w:line="240" w:lineRule="auto"/>
              <w:jc w:val="center"/>
              <w:rPr>
                <w:rFonts w:cstheme="minorHAnsi"/>
                <w:color w:val="auto"/>
                <w:sz w:val="20"/>
                <w:szCs w:val="20"/>
              </w:rPr>
            </w:pPr>
            <w:r w:rsidRPr="007E4882">
              <w:rPr>
                <w:rFonts w:cstheme="minorHAnsi"/>
                <w:color w:val="auto"/>
                <w:sz w:val="20"/>
                <w:szCs w:val="20"/>
              </w:rPr>
              <w:t>431</w:t>
            </w:r>
          </w:p>
        </w:tc>
        <w:tc>
          <w:tcPr>
            <w:tcW w:w="1106" w:type="dxa"/>
            <w:tcBorders>
              <w:top w:val="single" w:sz="8" w:space="0" w:color="auto"/>
              <w:left w:val="nil"/>
              <w:bottom w:val="single" w:sz="8" w:space="0" w:color="auto"/>
              <w:right w:val="single" w:sz="4" w:space="0" w:color="auto"/>
            </w:tcBorders>
            <w:shd w:val="clear" w:color="auto" w:fill="auto"/>
            <w:noWrap/>
            <w:vAlign w:val="center"/>
          </w:tcPr>
          <w:p w14:paraId="6041DFA1" w14:textId="77777777" w:rsidR="000F4F90" w:rsidRPr="007E4882" w:rsidRDefault="000F4F90" w:rsidP="007E4882">
            <w:pPr>
              <w:spacing w:after="0" w:line="240" w:lineRule="auto"/>
              <w:jc w:val="center"/>
              <w:rPr>
                <w:rFonts w:cstheme="minorHAnsi"/>
                <w:color w:val="auto"/>
                <w:sz w:val="20"/>
                <w:szCs w:val="20"/>
              </w:rPr>
            </w:pPr>
            <w:r w:rsidRPr="007E4882">
              <w:rPr>
                <w:rFonts w:cstheme="minorHAnsi"/>
                <w:color w:val="auto"/>
                <w:sz w:val="20"/>
                <w:szCs w:val="20"/>
              </w:rPr>
              <w:t>677</w:t>
            </w:r>
          </w:p>
        </w:tc>
        <w:tc>
          <w:tcPr>
            <w:tcW w:w="1276" w:type="dxa"/>
            <w:tcBorders>
              <w:top w:val="single" w:sz="8" w:space="0" w:color="auto"/>
              <w:left w:val="single" w:sz="4" w:space="0" w:color="auto"/>
              <w:bottom w:val="single" w:sz="8" w:space="0" w:color="auto"/>
              <w:right w:val="single" w:sz="4" w:space="0" w:color="auto"/>
            </w:tcBorders>
            <w:shd w:val="clear" w:color="auto" w:fill="auto"/>
            <w:noWrap/>
            <w:vAlign w:val="center"/>
          </w:tcPr>
          <w:p w14:paraId="5A2D0FE9" w14:textId="77777777" w:rsidR="000F4F90" w:rsidRPr="007E4882" w:rsidRDefault="000F4F90" w:rsidP="007E4882">
            <w:pPr>
              <w:spacing w:after="0" w:line="240" w:lineRule="auto"/>
              <w:jc w:val="center"/>
              <w:rPr>
                <w:rFonts w:cstheme="minorHAnsi"/>
                <w:color w:val="auto"/>
                <w:sz w:val="20"/>
                <w:szCs w:val="20"/>
              </w:rPr>
            </w:pPr>
            <w:r w:rsidRPr="007E4882">
              <w:rPr>
                <w:rFonts w:cstheme="minorHAnsi"/>
                <w:color w:val="auto"/>
                <w:sz w:val="20"/>
                <w:szCs w:val="20"/>
              </w:rPr>
              <w:t>360</w:t>
            </w:r>
          </w:p>
        </w:tc>
        <w:tc>
          <w:tcPr>
            <w:tcW w:w="792" w:type="dxa"/>
            <w:tcBorders>
              <w:top w:val="single" w:sz="8" w:space="0" w:color="auto"/>
              <w:left w:val="single" w:sz="4" w:space="0" w:color="auto"/>
              <w:bottom w:val="single" w:sz="8" w:space="0" w:color="auto"/>
              <w:right w:val="nil"/>
            </w:tcBorders>
            <w:shd w:val="clear" w:color="auto" w:fill="auto"/>
            <w:noWrap/>
            <w:vAlign w:val="center"/>
          </w:tcPr>
          <w:p w14:paraId="0DC8311E" w14:textId="77777777" w:rsidR="000F4F90" w:rsidRPr="007E4882" w:rsidRDefault="000F4F90" w:rsidP="007E4882">
            <w:pPr>
              <w:spacing w:after="0" w:line="240" w:lineRule="auto"/>
              <w:jc w:val="center"/>
              <w:rPr>
                <w:rFonts w:cstheme="minorHAnsi"/>
                <w:color w:val="auto"/>
                <w:sz w:val="20"/>
                <w:szCs w:val="20"/>
                <w:lang w:val="en-US"/>
              </w:rPr>
            </w:pPr>
            <w:r w:rsidRPr="007E4882">
              <w:rPr>
                <w:rFonts w:cstheme="minorHAnsi"/>
                <w:color w:val="auto"/>
                <w:sz w:val="20"/>
                <w:szCs w:val="20"/>
                <w:lang w:val="en-US"/>
              </w:rPr>
              <w:t>246</w:t>
            </w:r>
          </w:p>
        </w:tc>
        <w:tc>
          <w:tcPr>
            <w:tcW w:w="1058" w:type="dxa"/>
            <w:tcBorders>
              <w:top w:val="single" w:sz="8" w:space="0" w:color="auto"/>
              <w:left w:val="nil"/>
              <w:bottom w:val="single" w:sz="8" w:space="0" w:color="auto"/>
              <w:right w:val="single" w:sz="4" w:space="0" w:color="auto"/>
            </w:tcBorders>
            <w:shd w:val="clear" w:color="auto" w:fill="auto"/>
            <w:noWrap/>
            <w:vAlign w:val="center"/>
          </w:tcPr>
          <w:p w14:paraId="54110CB6" w14:textId="6214D866" w:rsidR="000F4F90" w:rsidRPr="007E4882" w:rsidRDefault="000F4F90" w:rsidP="007E4882">
            <w:pPr>
              <w:spacing w:after="0" w:line="240" w:lineRule="auto"/>
              <w:jc w:val="center"/>
              <w:rPr>
                <w:rFonts w:cstheme="minorHAnsi"/>
                <w:color w:val="auto"/>
                <w:sz w:val="20"/>
                <w:szCs w:val="20"/>
                <w:lang w:val="en-US"/>
              </w:rPr>
            </w:pPr>
            <w:r w:rsidRPr="007E4882">
              <w:rPr>
                <w:rFonts w:cstheme="minorHAnsi"/>
                <w:color w:val="auto"/>
                <w:sz w:val="20"/>
                <w:szCs w:val="20"/>
                <w:lang w:val="en-US"/>
              </w:rPr>
              <w:t>316</w:t>
            </w:r>
          </w:p>
        </w:tc>
        <w:tc>
          <w:tcPr>
            <w:tcW w:w="793" w:type="dxa"/>
            <w:tcBorders>
              <w:top w:val="single" w:sz="8" w:space="0" w:color="auto"/>
              <w:left w:val="single" w:sz="4" w:space="0" w:color="auto"/>
              <w:bottom w:val="single" w:sz="8" w:space="0" w:color="auto"/>
              <w:right w:val="nil"/>
            </w:tcBorders>
            <w:shd w:val="clear" w:color="auto" w:fill="auto"/>
            <w:noWrap/>
            <w:vAlign w:val="bottom"/>
            <w:hideMark/>
          </w:tcPr>
          <w:p w14:paraId="2D218087" w14:textId="77777777" w:rsidR="000F4F90" w:rsidRPr="007E4882" w:rsidRDefault="000F4F90" w:rsidP="007E4882">
            <w:pPr>
              <w:jc w:val="center"/>
              <w:rPr>
                <w:rFonts w:cstheme="minorHAnsi"/>
                <w:color w:val="auto"/>
                <w:sz w:val="20"/>
                <w:szCs w:val="20"/>
              </w:rPr>
            </w:pPr>
            <w:r w:rsidRPr="007E4882">
              <w:rPr>
                <w:rFonts w:cstheme="minorHAnsi"/>
                <w:color w:val="auto"/>
                <w:sz w:val="20"/>
                <w:szCs w:val="20"/>
              </w:rPr>
              <w:t>57%</w:t>
            </w:r>
          </w:p>
        </w:tc>
        <w:tc>
          <w:tcPr>
            <w:tcW w:w="1058" w:type="dxa"/>
            <w:tcBorders>
              <w:top w:val="single" w:sz="8" w:space="0" w:color="auto"/>
              <w:left w:val="nil"/>
              <w:bottom w:val="single" w:sz="8" w:space="0" w:color="auto"/>
              <w:right w:val="single" w:sz="8" w:space="0" w:color="auto"/>
            </w:tcBorders>
            <w:shd w:val="clear" w:color="auto" w:fill="auto"/>
            <w:noWrap/>
            <w:vAlign w:val="bottom"/>
            <w:hideMark/>
          </w:tcPr>
          <w:p w14:paraId="794C8FC9" w14:textId="77777777" w:rsidR="000F4F90" w:rsidRPr="007E4882" w:rsidRDefault="000F4F90" w:rsidP="007E4882">
            <w:pPr>
              <w:jc w:val="center"/>
              <w:rPr>
                <w:rFonts w:cstheme="minorHAnsi"/>
                <w:color w:val="auto"/>
                <w:sz w:val="20"/>
                <w:szCs w:val="20"/>
              </w:rPr>
            </w:pPr>
            <w:r w:rsidRPr="007E4882">
              <w:rPr>
                <w:rFonts w:cstheme="minorHAnsi"/>
                <w:color w:val="auto"/>
                <w:sz w:val="20"/>
                <w:szCs w:val="20"/>
                <w:lang w:val="en-US"/>
              </w:rPr>
              <w:t>88</w:t>
            </w:r>
            <w:r w:rsidRPr="007E4882">
              <w:rPr>
                <w:rFonts w:cstheme="minorHAnsi"/>
                <w:color w:val="auto"/>
                <w:sz w:val="20"/>
                <w:szCs w:val="20"/>
              </w:rPr>
              <w:t>%</w:t>
            </w:r>
          </w:p>
        </w:tc>
      </w:tr>
      <w:tr w:rsidR="000F4F90" w:rsidRPr="007E4882" w14:paraId="520B4BB1" w14:textId="77777777" w:rsidTr="00124001">
        <w:trPr>
          <w:trHeight w:val="622"/>
          <w:jc w:val="center"/>
        </w:trPr>
        <w:tc>
          <w:tcPr>
            <w:tcW w:w="2453"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50CA2BE7" w14:textId="77777777" w:rsidR="000F4F90" w:rsidRPr="007E4882" w:rsidRDefault="000F4F90" w:rsidP="00124001">
            <w:pPr>
              <w:spacing w:after="0" w:line="240" w:lineRule="auto"/>
              <w:rPr>
                <w:rFonts w:eastAsia="Times New Roman" w:cstheme="minorHAnsi"/>
                <w:color w:val="auto"/>
                <w:sz w:val="20"/>
                <w:szCs w:val="20"/>
              </w:rPr>
            </w:pPr>
            <w:r w:rsidRPr="007E4882">
              <w:rPr>
                <w:rFonts w:eastAsia="Times New Roman" w:cstheme="minorHAnsi"/>
                <w:color w:val="auto"/>
                <w:sz w:val="20"/>
                <w:szCs w:val="20"/>
              </w:rPr>
              <w:t>VI.  Πωλήσεις παγίων περιουσιακών στοιχείων και τιμαλφών</w:t>
            </w:r>
          </w:p>
        </w:tc>
        <w:tc>
          <w:tcPr>
            <w:tcW w:w="917" w:type="dxa"/>
            <w:tcBorders>
              <w:top w:val="single" w:sz="8" w:space="0" w:color="auto"/>
              <w:left w:val="single" w:sz="4" w:space="0" w:color="auto"/>
              <w:bottom w:val="single" w:sz="8" w:space="0" w:color="auto"/>
              <w:right w:val="nil"/>
            </w:tcBorders>
            <w:shd w:val="clear" w:color="auto" w:fill="auto"/>
            <w:noWrap/>
            <w:vAlign w:val="center"/>
          </w:tcPr>
          <w:p w14:paraId="770325F7" w14:textId="77777777" w:rsidR="000F4F90" w:rsidRPr="007E4882" w:rsidRDefault="000F4F90" w:rsidP="007E4882">
            <w:pPr>
              <w:spacing w:after="0" w:line="240" w:lineRule="auto"/>
              <w:jc w:val="center"/>
              <w:rPr>
                <w:rFonts w:cstheme="minorHAnsi"/>
                <w:color w:val="auto"/>
                <w:sz w:val="20"/>
                <w:szCs w:val="20"/>
                <w:lang w:val="en-US"/>
              </w:rPr>
            </w:pPr>
            <w:r w:rsidRPr="007E4882">
              <w:rPr>
                <w:rFonts w:cstheme="minorHAnsi"/>
                <w:color w:val="auto"/>
                <w:sz w:val="20"/>
                <w:szCs w:val="20"/>
                <w:lang w:val="en-US"/>
              </w:rPr>
              <w:t>2</w:t>
            </w:r>
          </w:p>
        </w:tc>
        <w:tc>
          <w:tcPr>
            <w:tcW w:w="1106" w:type="dxa"/>
            <w:tcBorders>
              <w:top w:val="single" w:sz="8" w:space="0" w:color="auto"/>
              <w:left w:val="nil"/>
              <w:bottom w:val="single" w:sz="8" w:space="0" w:color="auto"/>
              <w:right w:val="single" w:sz="4" w:space="0" w:color="auto"/>
            </w:tcBorders>
            <w:shd w:val="clear" w:color="auto" w:fill="auto"/>
            <w:noWrap/>
            <w:vAlign w:val="center"/>
          </w:tcPr>
          <w:p w14:paraId="4ED467E5" w14:textId="54BE9905" w:rsidR="000F4F90" w:rsidRPr="007E4882" w:rsidRDefault="000F4F90" w:rsidP="007E4882">
            <w:pPr>
              <w:spacing w:after="0" w:line="240" w:lineRule="auto"/>
              <w:jc w:val="center"/>
              <w:rPr>
                <w:rFonts w:cstheme="minorHAnsi"/>
                <w:color w:val="auto"/>
                <w:sz w:val="20"/>
                <w:szCs w:val="20"/>
                <w:lang w:val="en-US"/>
              </w:rPr>
            </w:pPr>
            <w:r w:rsidRPr="007E4882">
              <w:rPr>
                <w:rFonts w:cstheme="minorHAnsi"/>
                <w:color w:val="auto"/>
                <w:sz w:val="20"/>
                <w:szCs w:val="20"/>
                <w:lang w:val="en-US"/>
              </w:rPr>
              <w:t>2</w:t>
            </w:r>
          </w:p>
        </w:tc>
        <w:tc>
          <w:tcPr>
            <w:tcW w:w="1276" w:type="dxa"/>
            <w:tcBorders>
              <w:top w:val="single" w:sz="8" w:space="0" w:color="auto"/>
              <w:left w:val="single" w:sz="4" w:space="0" w:color="auto"/>
              <w:bottom w:val="single" w:sz="8" w:space="0" w:color="auto"/>
              <w:right w:val="single" w:sz="4" w:space="0" w:color="auto"/>
            </w:tcBorders>
            <w:shd w:val="clear" w:color="auto" w:fill="auto"/>
            <w:noWrap/>
            <w:vAlign w:val="center"/>
          </w:tcPr>
          <w:p w14:paraId="45A29D13" w14:textId="2F013819" w:rsidR="000F4F90" w:rsidRPr="007E4882" w:rsidRDefault="000F4F90" w:rsidP="007E4882">
            <w:pPr>
              <w:spacing w:after="0" w:line="240" w:lineRule="auto"/>
              <w:jc w:val="center"/>
              <w:rPr>
                <w:rFonts w:cstheme="minorHAnsi"/>
                <w:color w:val="auto"/>
                <w:sz w:val="20"/>
                <w:szCs w:val="20"/>
                <w:lang w:val="en-US"/>
              </w:rPr>
            </w:pPr>
            <w:r w:rsidRPr="007E4882">
              <w:rPr>
                <w:rFonts w:cstheme="minorHAnsi"/>
                <w:color w:val="auto"/>
                <w:sz w:val="20"/>
                <w:szCs w:val="20"/>
                <w:lang w:val="en-US"/>
              </w:rPr>
              <w:t>303</w:t>
            </w:r>
          </w:p>
        </w:tc>
        <w:tc>
          <w:tcPr>
            <w:tcW w:w="792" w:type="dxa"/>
            <w:tcBorders>
              <w:top w:val="single" w:sz="8" w:space="0" w:color="auto"/>
              <w:left w:val="single" w:sz="4" w:space="0" w:color="auto"/>
              <w:bottom w:val="single" w:sz="8" w:space="0" w:color="auto"/>
              <w:right w:val="nil"/>
            </w:tcBorders>
            <w:shd w:val="clear" w:color="auto" w:fill="auto"/>
            <w:noWrap/>
            <w:vAlign w:val="center"/>
          </w:tcPr>
          <w:p w14:paraId="0A70B66D" w14:textId="5CD1E468" w:rsidR="000F4F90" w:rsidRPr="007E4882" w:rsidRDefault="000F4F90" w:rsidP="007E4882">
            <w:pPr>
              <w:spacing w:after="0" w:line="240" w:lineRule="auto"/>
              <w:jc w:val="center"/>
              <w:rPr>
                <w:rFonts w:cstheme="minorHAnsi"/>
                <w:color w:val="auto"/>
                <w:sz w:val="20"/>
                <w:szCs w:val="20"/>
                <w:lang w:val="en-US"/>
              </w:rPr>
            </w:pPr>
            <w:r w:rsidRPr="007E4882">
              <w:rPr>
                <w:rFonts w:cstheme="minorHAnsi"/>
                <w:color w:val="auto"/>
                <w:sz w:val="20"/>
                <w:szCs w:val="20"/>
                <w:lang w:val="en-US"/>
              </w:rPr>
              <w:t>0</w:t>
            </w:r>
          </w:p>
        </w:tc>
        <w:tc>
          <w:tcPr>
            <w:tcW w:w="1058" w:type="dxa"/>
            <w:tcBorders>
              <w:top w:val="single" w:sz="8" w:space="0" w:color="auto"/>
              <w:left w:val="nil"/>
              <w:bottom w:val="single" w:sz="8" w:space="0" w:color="auto"/>
              <w:right w:val="single" w:sz="4" w:space="0" w:color="auto"/>
            </w:tcBorders>
            <w:shd w:val="clear" w:color="auto" w:fill="auto"/>
            <w:noWrap/>
            <w:vAlign w:val="center"/>
          </w:tcPr>
          <w:p w14:paraId="211322E1" w14:textId="77777777" w:rsidR="000F4F90" w:rsidRPr="007E4882" w:rsidRDefault="000F4F90" w:rsidP="007E4882">
            <w:pPr>
              <w:spacing w:after="0" w:line="240" w:lineRule="auto"/>
              <w:jc w:val="center"/>
              <w:rPr>
                <w:rFonts w:cstheme="minorHAnsi"/>
                <w:color w:val="auto"/>
                <w:sz w:val="20"/>
                <w:szCs w:val="20"/>
                <w:lang w:val="en-US"/>
              </w:rPr>
            </w:pPr>
            <w:r w:rsidRPr="007E4882">
              <w:rPr>
                <w:rFonts w:cstheme="minorHAnsi"/>
                <w:color w:val="auto"/>
                <w:sz w:val="20"/>
                <w:szCs w:val="20"/>
                <w:lang w:val="en-US"/>
              </w:rPr>
              <w:t>-301</w:t>
            </w:r>
          </w:p>
        </w:tc>
        <w:tc>
          <w:tcPr>
            <w:tcW w:w="793" w:type="dxa"/>
            <w:tcBorders>
              <w:top w:val="single" w:sz="8" w:space="0" w:color="auto"/>
              <w:left w:val="single" w:sz="4" w:space="0" w:color="auto"/>
              <w:bottom w:val="single" w:sz="8" w:space="0" w:color="auto"/>
              <w:right w:val="nil"/>
            </w:tcBorders>
            <w:shd w:val="clear" w:color="auto" w:fill="auto"/>
            <w:noWrap/>
            <w:vAlign w:val="bottom"/>
            <w:hideMark/>
          </w:tcPr>
          <w:p w14:paraId="762DDCD0" w14:textId="77777777" w:rsidR="000F4F90" w:rsidRPr="007E4882" w:rsidRDefault="000F4F90" w:rsidP="007E4882">
            <w:pPr>
              <w:jc w:val="center"/>
              <w:rPr>
                <w:rFonts w:cstheme="minorHAnsi"/>
                <w:color w:val="auto"/>
                <w:sz w:val="20"/>
                <w:szCs w:val="20"/>
              </w:rPr>
            </w:pPr>
            <w:r w:rsidRPr="007E4882">
              <w:rPr>
                <w:rFonts w:cstheme="minorHAnsi"/>
                <w:color w:val="auto"/>
                <w:sz w:val="20"/>
                <w:szCs w:val="20"/>
              </w:rPr>
              <w:t>0%</w:t>
            </w:r>
          </w:p>
        </w:tc>
        <w:tc>
          <w:tcPr>
            <w:tcW w:w="1058" w:type="dxa"/>
            <w:tcBorders>
              <w:top w:val="single" w:sz="8" w:space="0" w:color="auto"/>
              <w:left w:val="nil"/>
              <w:bottom w:val="single" w:sz="8" w:space="0" w:color="auto"/>
              <w:right w:val="single" w:sz="8" w:space="0" w:color="auto"/>
            </w:tcBorders>
            <w:shd w:val="clear" w:color="auto" w:fill="auto"/>
            <w:noWrap/>
            <w:vAlign w:val="bottom"/>
            <w:hideMark/>
          </w:tcPr>
          <w:p w14:paraId="587D17EA" w14:textId="77777777" w:rsidR="000F4F90" w:rsidRPr="007E4882" w:rsidRDefault="000F4F90" w:rsidP="007E4882">
            <w:pPr>
              <w:jc w:val="center"/>
              <w:rPr>
                <w:rFonts w:cstheme="minorHAnsi"/>
                <w:color w:val="auto"/>
                <w:sz w:val="20"/>
                <w:szCs w:val="20"/>
              </w:rPr>
            </w:pPr>
            <w:r w:rsidRPr="007E4882">
              <w:rPr>
                <w:rFonts w:cstheme="minorHAnsi"/>
                <w:color w:val="auto"/>
                <w:sz w:val="20"/>
                <w:szCs w:val="20"/>
              </w:rPr>
              <w:t>-</w:t>
            </w:r>
            <w:r w:rsidRPr="007E4882">
              <w:rPr>
                <w:rFonts w:cstheme="minorHAnsi"/>
                <w:color w:val="auto"/>
                <w:sz w:val="20"/>
                <w:szCs w:val="20"/>
                <w:lang w:val="en-US"/>
              </w:rPr>
              <w:t>99</w:t>
            </w:r>
            <w:r w:rsidRPr="007E4882">
              <w:rPr>
                <w:rFonts w:cstheme="minorHAnsi"/>
                <w:color w:val="auto"/>
                <w:sz w:val="20"/>
                <w:szCs w:val="20"/>
              </w:rPr>
              <w:t>%</w:t>
            </w:r>
          </w:p>
        </w:tc>
      </w:tr>
      <w:tr w:rsidR="000F4F90" w:rsidRPr="007E4882" w14:paraId="16C46C16" w14:textId="77777777" w:rsidTr="00124001">
        <w:trPr>
          <w:trHeight w:val="82"/>
          <w:jc w:val="center"/>
        </w:trPr>
        <w:tc>
          <w:tcPr>
            <w:tcW w:w="245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6639D6B" w14:textId="77777777" w:rsidR="000F4F90" w:rsidRPr="007E4882" w:rsidRDefault="000F4F90" w:rsidP="00124001">
            <w:pPr>
              <w:spacing w:after="0" w:line="240" w:lineRule="auto"/>
              <w:rPr>
                <w:rFonts w:eastAsia="Times New Roman" w:cstheme="minorHAnsi"/>
                <w:color w:val="auto"/>
                <w:sz w:val="20"/>
                <w:szCs w:val="20"/>
              </w:rPr>
            </w:pPr>
            <w:r w:rsidRPr="007E4882">
              <w:rPr>
                <w:rFonts w:eastAsia="Times New Roman" w:cstheme="minorHAnsi"/>
                <w:color w:val="auto"/>
                <w:sz w:val="20"/>
                <w:szCs w:val="20"/>
              </w:rPr>
              <w:t xml:space="preserve">β.   Επιστροφές φόρων </w:t>
            </w:r>
          </w:p>
        </w:tc>
        <w:tc>
          <w:tcPr>
            <w:tcW w:w="917" w:type="dxa"/>
            <w:tcBorders>
              <w:top w:val="single" w:sz="8" w:space="0" w:color="auto"/>
              <w:left w:val="single" w:sz="4" w:space="0" w:color="auto"/>
              <w:bottom w:val="single" w:sz="4" w:space="0" w:color="auto"/>
              <w:right w:val="nil"/>
            </w:tcBorders>
            <w:shd w:val="clear" w:color="auto" w:fill="auto"/>
            <w:noWrap/>
            <w:vAlign w:val="center"/>
          </w:tcPr>
          <w:p w14:paraId="069ADCBA" w14:textId="77777777" w:rsidR="000F4F90" w:rsidRPr="007E4882" w:rsidRDefault="000F4F90" w:rsidP="007E4882">
            <w:pPr>
              <w:spacing w:after="0" w:line="240" w:lineRule="auto"/>
              <w:jc w:val="center"/>
              <w:rPr>
                <w:rFonts w:cstheme="minorHAnsi"/>
                <w:color w:val="auto"/>
                <w:sz w:val="20"/>
                <w:szCs w:val="20"/>
                <w:lang w:val="en-US"/>
              </w:rPr>
            </w:pPr>
            <w:r w:rsidRPr="007E4882">
              <w:rPr>
                <w:rFonts w:cstheme="minorHAnsi"/>
                <w:color w:val="auto"/>
                <w:sz w:val="20"/>
                <w:szCs w:val="20"/>
                <w:lang w:val="en-US"/>
              </w:rPr>
              <w:t>1.058</w:t>
            </w:r>
          </w:p>
        </w:tc>
        <w:tc>
          <w:tcPr>
            <w:tcW w:w="1106" w:type="dxa"/>
            <w:tcBorders>
              <w:top w:val="single" w:sz="8" w:space="0" w:color="auto"/>
              <w:left w:val="nil"/>
              <w:bottom w:val="single" w:sz="4" w:space="0" w:color="auto"/>
              <w:right w:val="single" w:sz="4" w:space="0" w:color="auto"/>
            </w:tcBorders>
            <w:shd w:val="clear" w:color="auto" w:fill="auto"/>
            <w:noWrap/>
            <w:vAlign w:val="center"/>
          </w:tcPr>
          <w:p w14:paraId="7E1290A7" w14:textId="7B345500" w:rsidR="000F4F90" w:rsidRPr="007E4882" w:rsidRDefault="000F4F90" w:rsidP="007E4882">
            <w:pPr>
              <w:spacing w:after="0" w:line="240" w:lineRule="auto"/>
              <w:jc w:val="center"/>
              <w:rPr>
                <w:rFonts w:cstheme="minorHAnsi"/>
                <w:color w:val="auto"/>
                <w:sz w:val="20"/>
                <w:szCs w:val="20"/>
                <w:lang w:val="en-US"/>
              </w:rPr>
            </w:pPr>
            <w:r w:rsidRPr="007E4882">
              <w:rPr>
                <w:rFonts w:cstheme="minorHAnsi"/>
                <w:color w:val="auto"/>
                <w:sz w:val="20"/>
                <w:szCs w:val="20"/>
                <w:lang w:val="en-US"/>
              </w:rPr>
              <w:t>983</w:t>
            </w:r>
          </w:p>
        </w:tc>
        <w:tc>
          <w:tcPr>
            <w:tcW w:w="1276" w:type="dxa"/>
            <w:tcBorders>
              <w:top w:val="single" w:sz="8" w:space="0" w:color="auto"/>
              <w:left w:val="single" w:sz="4" w:space="0" w:color="auto"/>
              <w:bottom w:val="single" w:sz="4" w:space="0" w:color="auto"/>
              <w:right w:val="single" w:sz="4" w:space="0" w:color="auto"/>
            </w:tcBorders>
            <w:shd w:val="clear" w:color="auto" w:fill="auto"/>
            <w:noWrap/>
            <w:vAlign w:val="center"/>
          </w:tcPr>
          <w:p w14:paraId="294442A4" w14:textId="77777777" w:rsidR="000F4F90" w:rsidRPr="007E4882" w:rsidRDefault="000F4F90" w:rsidP="007E4882">
            <w:pPr>
              <w:spacing w:after="0" w:line="240" w:lineRule="auto"/>
              <w:jc w:val="center"/>
              <w:rPr>
                <w:rFonts w:cstheme="minorHAnsi"/>
                <w:color w:val="auto"/>
                <w:sz w:val="20"/>
                <w:szCs w:val="20"/>
                <w:lang w:val="en-US"/>
              </w:rPr>
            </w:pPr>
            <w:r w:rsidRPr="007E4882">
              <w:rPr>
                <w:rFonts w:cstheme="minorHAnsi"/>
                <w:color w:val="auto"/>
                <w:sz w:val="20"/>
                <w:szCs w:val="20"/>
              </w:rPr>
              <w:t>1.</w:t>
            </w:r>
            <w:r w:rsidRPr="007E4882">
              <w:rPr>
                <w:rFonts w:cstheme="minorHAnsi"/>
                <w:color w:val="auto"/>
                <w:sz w:val="20"/>
                <w:szCs w:val="20"/>
                <w:lang w:val="en-US"/>
              </w:rPr>
              <w:t>047</w:t>
            </w:r>
          </w:p>
        </w:tc>
        <w:tc>
          <w:tcPr>
            <w:tcW w:w="792" w:type="dxa"/>
            <w:tcBorders>
              <w:top w:val="single" w:sz="8" w:space="0" w:color="auto"/>
              <w:left w:val="single" w:sz="4" w:space="0" w:color="auto"/>
              <w:bottom w:val="single" w:sz="4" w:space="0" w:color="auto"/>
              <w:right w:val="nil"/>
            </w:tcBorders>
            <w:shd w:val="clear" w:color="auto" w:fill="auto"/>
            <w:noWrap/>
            <w:vAlign w:val="center"/>
          </w:tcPr>
          <w:p w14:paraId="3ABD5DAD" w14:textId="77777777" w:rsidR="000F4F90" w:rsidRPr="007E4882" w:rsidRDefault="000F4F90" w:rsidP="007E4882">
            <w:pPr>
              <w:spacing w:after="0" w:line="240" w:lineRule="auto"/>
              <w:jc w:val="center"/>
              <w:rPr>
                <w:rFonts w:cstheme="minorHAnsi"/>
                <w:color w:val="auto"/>
                <w:sz w:val="20"/>
                <w:szCs w:val="20"/>
                <w:lang w:val="en-US"/>
              </w:rPr>
            </w:pPr>
            <w:r w:rsidRPr="007E4882">
              <w:rPr>
                <w:rFonts w:cstheme="minorHAnsi"/>
                <w:color w:val="auto"/>
                <w:sz w:val="20"/>
                <w:szCs w:val="20"/>
              </w:rPr>
              <w:t>-</w:t>
            </w:r>
            <w:r w:rsidRPr="007E4882">
              <w:rPr>
                <w:rFonts w:cstheme="minorHAnsi"/>
                <w:color w:val="auto"/>
                <w:sz w:val="20"/>
                <w:szCs w:val="20"/>
                <w:lang w:val="en-US"/>
              </w:rPr>
              <w:t>75</w:t>
            </w:r>
          </w:p>
        </w:tc>
        <w:tc>
          <w:tcPr>
            <w:tcW w:w="1058" w:type="dxa"/>
            <w:tcBorders>
              <w:top w:val="single" w:sz="8" w:space="0" w:color="auto"/>
              <w:left w:val="nil"/>
              <w:bottom w:val="single" w:sz="4" w:space="0" w:color="auto"/>
              <w:right w:val="single" w:sz="4" w:space="0" w:color="auto"/>
            </w:tcBorders>
            <w:shd w:val="clear" w:color="auto" w:fill="auto"/>
            <w:noWrap/>
            <w:vAlign w:val="center"/>
          </w:tcPr>
          <w:p w14:paraId="0DBF965C" w14:textId="21ADDE6F" w:rsidR="000F4F90" w:rsidRPr="007E4882" w:rsidRDefault="000F4F90" w:rsidP="007E4882">
            <w:pPr>
              <w:spacing w:after="0" w:line="240" w:lineRule="auto"/>
              <w:jc w:val="center"/>
              <w:rPr>
                <w:rFonts w:cstheme="minorHAnsi"/>
                <w:color w:val="auto"/>
                <w:sz w:val="20"/>
                <w:szCs w:val="20"/>
                <w:lang w:val="en-US"/>
              </w:rPr>
            </w:pPr>
            <w:r w:rsidRPr="007E4882">
              <w:rPr>
                <w:rFonts w:cstheme="minorHAnsi"/>
                <w:color w:val="auto"/>
                <w:sz w:val="20"/>
                <w:szCs w:val="20"/>
                <w:lang w:val="en-US"/>
              </w:rPr>
              <w:t>-64</w:t>
            </w:r>
          </w:p>
        </w:tc>
        <w:tc>
          <w:tcPr>
            <w:tcW w:w="793" w:type="dxa"/>
            <w:tcBorders>
              <w:top w:val="single" w:sz="8" w:space="0" w:color="auto"/>
              <w:left w:val="single" w:sz="4" w:space="0" w:color="auto"/>
              <w:bottom w:val="single" w:sz="8" w:space="0" w:color="auto"/>
              <w:right w:val="nil"/>
            </w:tcBorders>
            <w:shd w:val="clear" w:color="auto" w:fill="auto"/>
            <w:noWrap/>
            <w:vAlign w:val="bottom"/>
            <w:hideMark/>
          </w:tcPr>
          <w:p w14:paraId="09F7F91A" w14:textId="77777777" w:rsidR="000F4F90" w:rsidRPr="007E4882" w:rsidRDefault="000F4F90" w:rsidP="007E4882">
            <w:pPr>
              <w:jc w:val="center"/>
              <w:rPr>
                <w:rFonts w:cstheme="minorHAnsi"/>
                <w:color w:val="auto"/>
                <w:sz w:val="20"/>
                <w:szCs w:val="20"/>
              </w:rPr>
            </w:pPr>
            <w:r w:rsidRPr="007E4882">
              <w:rPr>
                <w:rFonts w:cstheme="minorHAnsi"/>
                <w:color w:val="auto"/>
                <w:sz w:val="20"/>
                <w:szCs w:val="20"/>
              </w:rPr>
              <w:t>-7%</w:t>
            </w:r>
          </w:p>
        </w:tc>
        <w:tc>
          <w:tcPr>
            <w:tcW w:w="1058" w:type="dxa"/>
            <w:tcBorders>
              <w:top w:val="single" w:sz="8" w:space="0" w:color="auto"/>
              <w:left w:val="nil"/>
              <w:bottom w:val="single" w:sz="8" w:space="0" w:color="auto"/>
              <w:right w:val="single" w:sz="8" w:space="0" w:color="auto"/>
            </w:tcBorders>
            <w:shd w:val="clear" w:color="auto" w:fill="auto"/>
            <w:noWrap/>
            <w:vAlign w:val="bottom"/>
            <w:hideMark/>
          </w:tcPr>
          <w:p w14:paraId="091C1E56" w14:textId="77777777" w:rsidR="000F4F90" w:rsidRPr="007E4882" w:rsidRDefault="000F4F90" w:rsidP="007E4882">
            <w:pPr>
              <w:jc w:val="center"/>
              <w:rPr>
                <w:rFonts w:cstheme="minorHAnsi"/>
                <w:color w:val="auto"/>
                <w:sz w:val="20"/>
                <w:szCs w:val="20"/>
              </w:rPr>
            </w:pPr>
            <w:r w:rsidRPr="007E4882">
              <w:rPr>
                <w:rFonts w:cstheme="minorHAnsi"/>
                <w:color w:val="auto"/>
                <w:sz w:val="20"/>
                <w:szCs w:val="20"/>
              </w:rPr>
              <w:t>-</w:t>
            </w:r>
            <w:r w:rsidRPr="007E4882">
              <w:rPr>
                <w:rFonts w:cstheme="minorHAnsi"/>
                <w:color w:val="auto"/>
                <w:sz w:val="20"/>
                <w:szCs w:val="20"/>
                <w:lang w:val="en-US"/>
              </w:rPr>
              <w:t>6</w:t>
            </w:r>
            <w:r w:rsidRPr="007E4882">
              <w:rPr>
                <w:rFonts w:cstheme="minorHAnsi"/>
                <w:color w:val="auto"/>
                <w:sz w:val="20"/>
                <w:szCs w:val="20"/>
              </w:rPr>
              <w:t>%</w:t>
            </w:r>
          </w:p>
        </w:tc>
      </w:tr>
    </w:tbl>
    <w:p w14:paraId="08734D3B" w14:textId="77777777" w:rsidR="000F4F90" w:rsidRPr="007E4882" w:rsidRDefault="000F4F90" w:rsidP="000F4F90">
      <w:pPr>
        <w:spacing w:after="0"/>
        <w:rPr>
          <w:rFonts w:cstheme="minorHAnsi"/>
          <w:i/>
          <w:color w:val="auto"/>
          <w:sz w:val="18"/>
          <w:szCs w:val="18"/>
        </w:rPr>
      </w:pPr>
      <w:r w:rsidRPr="007E4882">
        <w:rPr>
          <w:rFonts w:cstheme="minorHAnsi"/>
          <w:i/>
          <w:color w:val="auto"/>
          <w:sz w:val="18"/>
          <w:szCs w:val="18"/>
        </w:rPr>
        <w:t>Πηγή: Μηνιαίο Δελτίο Εκτέλεσης Κρατικού Προϋπολογισμού Απρίλιος 2021 (τροποποιημένη ταμειακή βάση)</w:t>
      </w:r>
    </w:p>
    <w:p w14:paraId="4A667D9D" w14:textId="77777777" w:rsidR="000F4F90" w:rsidRPr="007E4882" w:rsidRDefault="000F4F90" w:rsidP="000F4F90">
      <w:pPr>
        <w:rPr>
          <w:rFonts w:cstheme="minorHAnsi"/>
          <w:color w:val="auto"/>
          <w:sz w:val="18"/>
          <w:szCs w:val="18"/>
        </w:rPr>
      </w:pPr>
      <w:r w:rsidRPr="007E4882">
        <w:rPr>
          <w:rFonts w:cstheme="minorHAnsi"/>
          <w:color w:val="auto"/>
          <w:sz w:val="18"/>
          <w:szCs w:val="18"/>
        </w:rPr>
        <w:t>* Στόχοι του Προϋπολογισμού 2021, προσαρμοσμένοι στα συνολικά μεγέθη όπως αποτυπώνονται στις εκτιμήσεις της εισηγητικής έκθεσης του Προϋπολογισμού 2021.</w:t>
      </w:r>
    </w:p>
    <w:p w14:paraId="336402D2" w14:textId="36B0DC1B" w:rsidR="00761934" w:rsidRPr="007E4882" w:rsidRDefault="00761934" w:rsidP="00761934">
      <w:pPr>
        <w:spacing w:after="160"/>
        <w:rPr>
          <w:rFonts w:cstheme="minorHAnsi"/>
          <w:color w:val="auto"/>
        </w:rPr>
      </w:pPr>
      <w:r w:rsidRPr="007E4882">
        <w:rPr>
          <w:rFonts w:cstheme="minorHAnsi"/>
          <w:color w:val="auto"/>
        </w:rPr>
        <w:t>Ειδικότερα ως προς τα φορολογικά έσοδα, η αύξηση κατά 90 εκατ. ευρώ σε σχέση με πέρυσι οφείλεται αποκλειστικά στην αύξηση των εισπράξεων ΕΝΦΙΑ και Φόρου Εισοδήματος Φυσικών και Νομικών προσώπων λόγω μετάθεσης πληρωμής δύο δόσεων εντός του 2021. Η μετάθεση πληρωμής των «τελών κυκλοφορίας» εντός του 2021 ε</w:t>
      </w:r>
      <w:r>
        <w:rPr>
          <w:rFonts w:cstheme="minorHAnsi"/>
          <w:color w:val="auto"/>
        </w:rPr>
        <w:t>ξηγεί</w:t>
      </w:r>
      <w:r w:rsidRPr="007E4882">
        <w:rPr>
          <w:rFonts w:cstheme="minorHAnsi"/>
          <w:color w:val="auto"/>
        </w:rPr>
        <w:t xml:space="preserve"> επίσης τη μεγάλη ταμειακή αύξηση των λοιπών τρεχόντων φόρων κατά 558 εκατ. ευρώ σε σχέση με πέρυσι. Οι υπόλοιπες κατηγορίες φορολογικών εσόδων κατέγραψαν πτώση</w:t>
      </w:r>
      <w:r>
        <w:rPr>
          <w:rFonts w:cstheme="minorHAnsi"/>
          <w:color w:val="auto"/>
        </w:rPr>
        <w:t>,</w:t>
      </w:r>
      <w:r w:rsidRPr="007E4882">
        <w:rPr>
          <w:rFonts w:cstheme="minorHAnsi"/>
          <w:color w:val="auto"/>
        </w:rPr>
        <w:t xml:space="preserve"> με την μεγαλύτερη εξ αυτών να </w:t>
      </w:r>
      <w:r>
        <w:rPr>
          <w:rFonts w:cstheme="minorHAnsi"/>
          <w:color w:val="auto"/>
        </w:rPr>
        <w:t xml:space="preserve">αφορά </w:t>
      </w:r>
      <w:r w:rsidRPr="007E4882">
        <w:rPr>
          <w:rFonts w:cstheme="minorHAnsi"/>
          <w:color w:val="auto"/>
        </w:rPr>
        <w:t xml:space="preserve">τις εισπράξεις από φόρους επί αγαθών και υπηρεσιών και λοιπών φόρων επί παραγωγής, </w:t>
      </w:r>
      <w:r>
        <w:rPr>
          <w:rFonts w:cstheme="minorHAnsi"/>
          <w:color w:val="auto"/>
        </w:rPr>
        <w:t xml:space="preserve"> συνεπεία της </w:t>
      </w:r>
      <w:r w:rsidRPr="007E4882">
        <w:rPr>
          <w:rFonts w:cstheme="minorHAnsi"/>
          <w:color w:val="auto"/>
        </w:rPr>
        <w:t>παράταση</w:t>
      </w:r>
      <w:r>
        <w:rPr>
          <w:rFonts w:cstheme="minorHAnsi"/>
          <w:color w:val="auto"/>
        </w:rPr>
        <w:t>ς</w:t>
      </w:r>
      <w:r w:rsidRPr="007E4882">
        <w:rPr>
          <w:rFonts w:cstheme="minorHAnsi"/>
          <w:color w:val="auto"/>
        </w:rPr>
        <w:t xml:space="preserve"> των περιοριστικών μέτρων το α’ τρίμηνο του 2021.</w:t>
      </w:r>
    </w:p>
    <w:p w14:paraId="38317BEE" w14:textId="445004CD" w:rsidR="00761934" w:rsidRPr="007E4882" w:rsidRDefault="00761934" w:rsidP="00761934">
      <w:pPr>
        <w:spacing w:after="160"/>
        <w:rPr>
          <w:rFonts w:cstheme="minorHAnsi"/>
          <w:color w:val="auto"/>
        </w:rPr>
      </w:pPr>
      <w:r>
        <w:rPr>
          <w:rFonts w:cstheme="minorHAnsi"/>
          <w:color w:val="auto"/>
        </w:rPr>
        <w:t>Η</w:t>
      </w:r>
      <w:r w:rsidRPr="007E4882">
        <w:rPr>
          <w:rFonts w:cstheme="minorHAnsi"/>
          <w:color w:val="auto"/>
        </w:rPr>
        <w:t xml:space="preserve"> μείωση </w:t>
      </w:r>
      <w:r>
        <w:rPr>
          <w:rFonts w:cstheme="minorHAnsi"/>
          <w:color w:val="auto"/>
        </w:rPr>
        <w:t>σε σχέση με τον στόχο οφείλεται κατά βάση σ</w:t>
      </w:r>
      <w:r w:rsidRPr="007E4882">
        <w:rPr>
          <w:rFonts w:cstheme="minorHAnsi"/>
          <w:color w:val="auto"/>
        </w:rPr>
        <w:t>τ</w:t>
      </w:r>
      <w:r>
        <w:rPr>
          <w:rFonts w:cstheme="minorHAnsi"/>
          <w:color w:val="auto"/>
        </w:rPr>
        <w:t>α</w:t>
      </w:r>
      <w:r w:rsidRPr="007E4882">
        <w:rPr>
          <w:rFonts w:cstheme="minorHAnsi"/>
          <w:color w:val="auto"/>
        </w:rPr>
        <w:t xml:space="preserve"> μειωμέν</w:t>
      </w:r>
      <w:r>
        <w:rPr>
          <w:rFonts w:cstheme="minorHAnsi"/>
          <w:color w:val="auto"/>
        </w:rPr>
        <w:t>α</w:t>
      </w:r>
      <w:r w:rsidRPr="007E4882">
        <w:rPr>
          <w:rFonts w:cstheme="minorHAnsi"/>
          <w:color w:val="auto"/>
        </w:rPr>
        <w:t xml:space="preserve"> κατά 359 εκατ. ευρώ φορολογικ</w:t>
      </w:r>
      <w:r>
        <w:rPr>
          <w:rFonts w:cstheme="minorHAnsi"/>
          <w:color w:val="auto"/>
        </w:rPr>
        <w:t>ά</w:t>
      </w:r>
      <w:r w:rsidRPr="007E4882">
        <w:rPr>
          <w:rFonts w:cstheme="minorHAnsi"/>
          <w:color w:val="auto"/>
        </w:rPr>
        <w:t xml:space="preserve"> </w:t>
      </w:r>
      <w:r>
        <w:rPr>
          <w:rFonts w:cstheme="minorHAnsi"/>
          <w:color w:val="auto"/>
        </w:rPr>
        <w:t>έ</w:t>
      </w:r>
      <w:r w:rsidRPr="007E4882">
        <w:rPr>
          <w:rFonts w:cstheme="minorHAnsi"/>
          <w:color w:val="auto"/>
        </w:rPr>
        <w:t>σ</w:t>
      </w:r>
      <w:r>
        <w:rPr>
          <w:rFonts w:cstheme="minorHAnsi"/>
          <w:color w:val="auto"/>
        </w:rPr>
        <w:t>ο</w:t>
      </w:r>
      <w:r w:rsidRPr="007E4882">
        <w:rPr>
          <w:rFonts w:cstheme="minorHAnsi"/>
          <w:color w:val="auto"/>
        </w:rPr>
        <w:t>δ</w:t>
      </w:r>
      <w:r>
        <w:rPr>
          <w:rFonts w:cstheme="minorHAnsi"/>
          <w:color w:val="auto"/>
        </w:rPr>
        <w:t xml:space="preserve">α και επίσης σε μειώσεις </w:t>
      </w:r>
      <w:r w:rsidRPr="007E4882">
        <w:rPr>
          <w:rFonts w:cstheme="minorHAnsi"/>
          <w:color w:val="auto"/>
        </w:rPr>
        <w:t xml:space="preserve">των μεταβιβάσεων κατά 390 εκατ. ευρώ και των πωλήσεων πάγιων περιουσιακών στοιχείων κατά 301 εκατ. ευρώ.  </w:t>
      </w:r>
      <w:r>
        <w:rPr>
          <w:rFonts w:cstheme="minorHAnsi"/>
          <w:color w:val="auto"/>
        </w:rPr>
        <w:t>Αναφορικά με την υσ</w:t>
      </w:r>
      <w:r w:rsidR="00323C22">
        <w:rPr>
          <w:rFonts w:cstheme="minorHAnsi"/>
          <w:color w:val="auto"/>
        </w:rPr>
        <w:t xml:space="preserve">τέρηση των </w:t>
      </w:r>
      <w:r w:rsidRPr="007E4882">
        <w:rPr>
          <w:rFonts w:cstheme="minorHAnsi"/>
          <w:color w:val="auto"/>
        </w:rPr>
        <w:t>μεταβιβάσε</w:t>
      </w:r>
      <w:r>
        <w:rPr>
          <w:rFonts w:cstheme="minorHAnsi"/>
          <w:color w:val="auto"/>
        </w:rPr>
        <w:t>ων</w:t>
      </w:r>
      <w:r w:rsidRPr="007E4882">
        <w:rPr>
          <w:rFonts w:cstheme="minorHAnsi"/>
          <w:color w:val="auto"/>
        </w:rPr>
        <w:t xml:space="preserve"> ποσό 163 εκατ. ευρώ αφορά έσοδα από ANFAs &amp; SMPs, τ</w:t>
      </w:r>
      <w:r>
        <w:rPr>
          <w:rFonts w:cstheme="minorHAnsi"/>
          <w:color w:val="auto"/>
        </w:rPr>
        <w:t xml:space="preserve">ων οποίων δεν έγινε </w:t>
      </w:r>
      <w:r w:rsidRPr="007E4882">
        <w:rPr>
          <w:rFonts w:cstheme="minorHAnsi"/>
          <w:color w:val="auto"/>
        </w:rPr>
        <w:t>η είσπραξ</w:t>
      </w:r>
      <w:r>
        <w:rPr>
          <w:rFonts w:cstheme="minorHAnsi"/>
          <w:color w:val="auto"/>
        </w:rPr>
        <w:t>η</w:t>
      </w:r>
      <w:r w:rsidRPr="007E4882">
        <w:rPr>
          <w:rFonts w:cstheme="minorHAnsi"/>
          <w:color w:val="auto"/>
        </w:rPr>
        <w:t xml:space="preserve"> </w:t>
      </w:r>
      <w:r>
        <w:rPr>
          <w:rFonts w:cstheme="minorHAnsi"/>
          <w:color w:val="auto"/>
        </w:rPr>
        <w:t xml:space="preserve">αλλά </w:t>
      </w:r>
      <w:r w:rsidRPr="007E4882">
        <w:rPr>
          <w:rFonts w:cstheme="minorHAnsi"/>
          <w:color w:val="auto"/>
        </w:rPr>
        <w:t xml:space="preserve">μετατέθηκε για το επόμενο διάστημα. Επίσης, η μείωση των πωλήσεων παγίων περιουσιακών στοιχείων </w:t>
      </w:r>
      <w:r>
        <w:rPr>
          <w:rFonts w:cstheme="minorHAnsi"/>
          <w:color w:val="auto"/>
        </w:rPr>
        <w:t xml:space="preserve">οφείλεται σε </w:t>
      </w:r>
      <w:r w:rsidRPr="007E4882">
        <w:rPr>
          <w:rFonts w:cstheme="minorHAnsi"/>
          <w:color w:val="auto"/>
        </w:rPr>
        <w:t>ανείσπρακτο ποσό 303 εκατ. ευρώ που προβλεπόταν ως αντίτιμο, από την αξιοποίηση της έκτασης του πρώην Διεθνούς Αεροδρομίου στο Ελληνικό και το οποίο επίσης θα εισπραχθεί το επόμενο διάστημα. Από την άλλη πλευρά, η σημαντική αύξηση έναντι του στόχου κατά  €316</w:t>
      </w:r>
      <w:r>
        <w:rPr>
          <w:rFonts w:cstheme="minorHAnsi"/>
          <w:color w:val="auto"/>
        </w:rPr>
        <w:t xml:space="preserve"> </w:t>
      </w:r>
      <w:r w:rsidRPr="007E4882">
        <w:rPr>
          <w:rFonts w:cstheme="minorHAnsi"/>
          <w:color w:val="auto"/>
        </w:rPr>
        <w:t>εκ</w:t>
      </w:r>
      <w:r>
        <w:rPr>
          <w:rFonts w:cstheme="minorHAnsi"/>
          <w:color w:val="auto"/>
        </w:rPr>
        <w:t>ατ</w:t>
      </w:r>
      <w:r w:rsidRPr="007E4882">
        <w:rPr>
          <w:rFonts w:cstheme="minorHAnsi"/>
          <w:color w:val="auto"/>
        </w:rPr>
        <w:t>. καταγράφηκε στα λοιπά τρέχοντα έσοδα, το οποίο όπως προαναφέρθηκε</w:t>
      </w:r>
      <w:r>
        <w:rPr>
          <w:rFonts w:cstheme="minorHAnsi"/>
          <w:color w:val="auto"/>
        </w:rPr>
        <w:t>,</w:t>
      </w:r>
      <w:r w:rsidRPr="007E4882">
        <w:rPr>
          <w:rFonts w:cstheme="minorHAnsi"/>
          <w:color w:val="auto"/>
        </w:rPr>
        <w:t xml:space="preserve"> αφορά κυρίως τα δίκτυα 5</w:t>
      </w:r>
      <w:r w:rsidRPr="007E4882">
        <w:rPr>
          <w:rFonts w:cstheme="minorHAnsi"/>
          <w:color w:val="auto"/>
          <w:lang w:val="en-US"/>
        </w:rPr>
        <w:t>G</w:t>
      </w:r>
      <w:r w:rsidRPr="007E4882">
        <w:rPr>
          <w:rFonts w:cstheme="minorHAnsi"/>
          <w:color w:val="auto"/>
        </w:rPr>
        <w:t>.</w:t>
      </w:r>
    </w:p>
    <w:p w14:paraId="39F213ED" w14:textId="2337FB9B" w:rsidR="000F4F90" w:rsidRPr="007D6510" w:rsidRDefault="007E4882" w:rsidP="000F4F90">
      <w:pPr>
        <w:spacing w:after="0" w:line="240" w:lineRule="auto"/>
        <w:jc w:val="center"/>
        <w:rPr>
          <w:iCs/>
          <w:color w:val="00B0F0"/>
          <w:sz w:val="20"/>
          <w:szCs w:val="20"/>
        </w:rPr>
      </w:pPr>
      <w:bookmarkStart w:id="166" w:name="_Toc73435779"/>
      <w:r w:rsidRPr="007D6510">
        <w:rPr>
          <w:sz w:val="20"/>
          <w:szCs w:val="20"/>
        </w:rPr>
        <w:t xml:space="preserve">Πίνακας </w:t>
      </w:r>
      <w:r w:rsidRPr="007D6510">
        <w:rPr>
          <w:i/>
          <w:sz w:val="20"/>
          <w:szCs w:val="20"/>
        </w:rPr>
        <w:fldChar w:fldCharType="begin"/>
      </w:r>
      <w:r w:rsidRPr="007D6510">
        <w:rPr>
          <w:sz w:val="20"/>
          <w:szCs w:val="20"/>
        </w:rPr>
        <w:instrText xml:space="preserve"> SEQ Πίνακας \* ARABIC </w:instrText>
      </w:r>
      <w:r w:rsidRPr="007D6510">
        <w:rPr>
          <w:i/>
          <w:sz w:val="20"/>
          <w:szCs w:val="20"/>
        </w:rPr>
        <w:fldChar w:fldCharType="separate"/>
      </w:r>
      <w:r w:rsidR="00CC05A7">
        <w:rPr>
          <w:noProof/>
          <w:sz w:val="20"/>
          <w:szCs w:val="20"/>
        </w:rPr>
        <w:t>18</w:t>
      </w:r>
      <w:r w:rsidRPr="007D6510">
        <w:rPr>
          <w:i/>
          <w:sz w:val="20"/>
          <w:szCs w:val="20"/>
        </w:rPr>
        <w:fldChar w:fldCharType="end"/>
      </w:r>
      <w:r w:rsidRPr="007D6510">
        <w:rPr>
          <w:color w:val="00B0F0"/>
          <w:sz w:val="20"/>
          <w:szCs w:val="20"/>
        </w:rPr>
        <w:t xml:space="preserve">: </w:t>
      </w:r>
      <w:r w:rsidR="000F4F90" w:rsidRPr="007D6510">
        <w:rPr>
          <w:iCs/>
          <w:color w:val="00B0F0"/>
          <w:sz w:val="20"/>
          <w:szCs w:val="20"/>
        </w:rPr>
        <w:t>Φορολογικά Έσοδα Κρατικού Προϋπολογισμού Ιανουάριος- Μάρτιος 2021</w:t>
      </w:r>
      <w:bookmarkEnd w:id="166"/>
    </w:p>
    <w:tbl>
      <w:tblPr>
        <w:tblStyle w:val="TableGrid"/>
        <w:tblW w:w="8318" w:type="dxa"/>
        <w:tblInd w:w="108" w:type="dxa"/>
        <w:tblLook w:val="04A0" w:firstRow="1" w:lastRow="0" w:firstColumn="1" w:lastColumn="0" w:noHBand="0" w:noVBand="1"/>
      </w:tblPr>
      <w:tblGrid>
        <w:gridCol w:w="603"/>
        <w:gridCol w:w="1824"/>
        <w:gridCol w:w="876"/>
        <w:gridCol w:w="876"/>
        <w:gridCol w:w="1101"/>
        <w:gridCol w:w="704"/>
        <w:gridCol w:w="938"/>
        <w:gridCol w:w="828"/>
        <w:gridCol w:w="938"/>
      </w:tblGrid>
      <w:tr w:rsidR="007E4882" w:rsidRPr="007E4882" w14:paraId="59A7304D" w14:textId="77777777" w:rsidTr="005E59F2">
        <w:trPr>
          <w:trHeight w:val="184"/>
        </w:trPr>
        <w:tc>
          <w:tcPr>
            <w:tcW w:w="2336" w:type="dxa"/>
            <w:gridSpan w:val="2"/>
            <w:vMerge w:val="restart"/>
            <w:shd w:val="clear" w:color="auto" w:fill="BDD6EE" w:themeFill="accent1" w:themeFillTint="66"/>
            <w:noWrap/>
            <w:hideMark/>
          </w:tcPr>
          <w:p w14:paraId="16F33BA6" w14:textId="77777777" w:rsidR="000F4F90" w:rsidRPr="007E4882" w:rsidRDefault="000F4F90" w:rsidP="007E4882">
            <w:pPr>
              <w:spacing w:after="0" w:line="240" w:lineRule="auto"/>
              <w:rPr>
                <w:rFonts w:cstheme="minorHAnsi"/>
                <w:b/>
                <w:bCs/>
                <w:color w:val="auto"/>
                <w:sz w:val="18"/>
                <w:szCs w:val="18"/>
              </w:rPr>
            </w:pPr>
            <w:r w:rsidRPr="007E4882">
              <w:rPr>
                <w:rFonts w:cstheme="minorHAnsi"/>
                <w:b/>
                <w:bCs/>
                <w:color w:val="auto"/>
                <w:sz w:val="18"/>
                <w:szCs w:val="18"/>
              </w:rPr>
              <w:t> </w:t>
            </w:r>
          </w:p>
          <w:p w14:paraId="0C440CE6" w14:textId="77777777" w:rsidR="000F4F90" w:rsidRPr="007E4882" w:rsidRDefault="000F4F90" w:rsidP="007E4882">
            <w:pPr>
              <w:spacing w:after="0" w:line="240" w:lineRule="auto"/>
              <w:rPr>
                <w:rFonts w:cstheme="minorHAnsi"/>
                <w:b/>
                <w:bCs/>
                <w:color w:val="auto"/>
                <w:sz w:val="18"/>
                <w:szCs w:val="18"/>
              </w:rPr>
            </w:pPr>
            <w:r w:rsidRPr="007E4882">
              <w:rPr>
                <w:rFonts w:cstheme="minorHAnsi"/>
                <w:b/>
                <w:bCs/>
                <w:color w:val="auto"/>
                <w:sz w:val="18"/>
                <w:szCs w:val="18"/>
              </w:rPr>
              <w:t> </w:t>
            </w:r>
          </w:p>
          <w:p w14:paraId="29AF92DF" w14:textId="77777777" w:rsidR="000F4F90" w:rsidRPr="007E4882" w:rsidRDefault="000F4F90" w:rsidP="007E4882">
            <w:pPr>
              <w:spacing w:after="0" w:line="240" w:lineRule="auto"/>
              <w:rPr>
                <w:rFonts w:cstheme="minorHAnsi"/>
                <w:b/>
                <w:bCs/>
                <w:color w:val="auto"/>
                <w:sz w:val="18"/>
                <w:szCs w:val="18"/>
              </w:rPr>
            </w:pPr>
            <w:r w:rsidRPr="007E4882">
              <w:rPr>
                <w:rFonts w:cstheme="minorHAnsi"/>
                <w:b/>
                <w:bCs/>
                <w:color w:val="auto"/>
                <w:sz w:val="18"/>
                <w:szCs w:val="18"/>
              </w:rPr>
              <w:t> </w:t>
            </w:r>
          </w:p>
          <w:p w14:paraId="4FA23B25" w14:textId="77777777" w:rsidR="000F4F90" w:rsidRPr="007E4882" w:rsidRDefault="000F4F90" w:rsidP="007E4882">
            <w:pPr>
              <w:spacing w:after="0" w:line="240" w:lineRule="auto"/>
              <w:rPr>
                <w:rFonts w:cstheme="minorHAnsi"/>
                <w:b/>
                <w:bCs/>
                <w:color w:val="auto"/>
                <w:sz w:val="18"/>
                <w:szCs w:val="18"/>
              </w:rPr>
            </w:pPr>
            <w:r w:rsidRPr="007E4882">
              <w:rPr>
                <w:rFonts w:cstheme="minorHAnsi"/>
                <w:b/>
                <w:bCs/>
                <w:color w:val="auto"/>
                <w:sz w:val="18"/>
                <w:szCs w:val="18"/>
              </w:rPr>
              <w:t> </w:t>
            </w:r>
          </w:p>
        </w:tc>
        <w:tc>
          <w:tcPr>
            <w:tcW w:w="1674" w:type="dxa"/>
            <w:gridSpan w:val="2"/>
            <w:shd w:val="clear" w:color="auto" w:fill="BDD6EE" w:themeFill="accent1" w:themeFillTint="66"/>
            <w:noWrap/>
            <w:hideMark/>
          </w:tcPr>
          <w:p w14:paraId="1DC3D4E2" w14:textId="77777777" w:rsidR="000F4F90" w:rsidRPr="007E4882" w:rsidRDefault="000F4F90" w:rsidP="007E4882">
            <w:pPr>
              <w:spacing w:after="0" w:line="240" w:lineRule="auto"/>
              <w:jc w:val="center"/>
              <w:rPr>
                <w:rFonts w:cstheme="minorHAnsi"/>
                <w:b/>
                <w:bCs/>
                <w:color w:val="auto"/>
                <w:sz w:val="18"/>
                <w:szCs w:val="18"/>
              </w:rPr>
            </w:pPr>
            <w:r w:rsidRPr="007E4882">
              <w:rPr>
                <w:rFonts w:cstheme="minorHAnsi"/>
                <w:b/>
                <w:bCs/>
                <w:color w:val="auto"/>
                <w:sz w:val="18"/>
                <w:szCs w:val="18"/>
              </w:rPr>
              <w:t>Πραγματοποιήσεις</w:t>
            </w:r>
          </w:p>
        </w:tc>
        <w:tc>
          <w:tcPr>
            <w:tcW w:w="1049" w:type="dxa"/>
            <w:shd w:val="clear" w:color="auto" w:fill="BDD6EE" w:themeFill="accent1" w:themeFillTint="66"/>
            <w:noWrap/>
            <w:hideMark/>
          </w:tcPr>
          <w:p w14:paraId="7CCA9ECA" w14:textId="77777777" w:rsidR="000F4F90" w:rsidRPr="007E4882" w:rsidRDefault="000F4F90" w:rsidP="007E4882">
            <w:pPr>
              <w:spacing w:after="0" w:line="240" w:lineRule="auto"/>
              <w:jc w:val="center"/>
              <w:rPr>
                <w:rFonts w:cstheme="minorHAnsi"/>
                <w:b/>
                <w:bCs/>
                <w:color w:val="auto"/>
                <w:sz w:val="18"/>
                <w:szCs w:val="18"/>
              </w:rPr>
            </w:pPr>
            <w:r w:rsidRPr="007E4882">
              <w:rPr>
                <w:rFonts w:cstheme="minorHAnsi"/>
                <w:b/>
                <w:bCs/>
                <w:color w:val="auto"/>
                <w:sz w:val="18"/>
                <w:szCs w:val="18"/>
              </w:rPr>
              <w:t>Εκτιμήσεις</w:t>
            </w:r>
          </w:p>
        </w:tc>
        <w:tc>
          <w:tcPr>
            <w:tcW w:w="1571" w:type="dxa"/>
            <w:gridSpan w:val="2"/>
            <w:shd w:val="clear" w:color="auto" w:fill="BDD6EE" w:themeFill="accent1" w:themeFillTint="66"/>
            <w:noWrap/>
            <w:hideMark/>
          </w:tcPr>
          <w:p w14:paraId="043AB089" w14:textId="77777777" w:rsidR="000F4F90" w:rsidRPr="007E4882" w:rsidRDefault="000F4F90" w:rsidP="007E4882">
            <w:pPr>
              <w:spacing w:after="0" w:line="240" w:lineRule="auto"/>
              <w:jc w:val="center"/>
              <w:rPr>
                <w:rFonts w:cstheme="minorHAnsi"/>
                <w:b/>
                <w:bCs/>
                <w:color w:val="auto"/>
                <w:sz w:val="18"/>
                <w:szCs w:val="18"/>
              </w:rPr>
            </w:pPr>
            <w:r w:rsidRPr="007E4882">
              <w:rPr>
                <w:rFonts w:cstheme="minorHAnsi"/>
                <w:b/>
                <w:bCs/>
                <w:color w:val="auto"/>
                <w:sz w:val="18"/>
                <w:szCs w:val="18"/>
              </w:rPr>
              <w:t>Διαφορά</w:t>
            </w:r>
          </w:p>
        </w:tc>
        <w:tc>
          <w:tcPr>
            <w:tcW w:w="1688" w:type="dxa"/>
            <w:gridSpan w:val="2"/>
            <w:shd w:val="clear" w:color="auto" w:fill="BDD6EE" w:themeFill="accent1" w:themeFillTint="66"/>
            <w:noWrap/>
            <w:hideMark/>
          </w:tcPr>
          <w:p w14:paraId="5A9322B4" w14:textId="77777777" w:rsidR="000F4F90" w:rsidRPr="007E4882" w:rsidRDefault="000F4F90" w:rsidP="007E4882">
            <w:pPr>
              <w:spacing w:after="0" w:line="240" w:lineRule="auto"/>
              <w:jc w:val="center"/>
              <w:rPr>
                <w:rFonts w:cstheme="minorHAnsi"/>
                <w:b/>
                <w:bCs/>
                <w:color w:val="auto"/>
                <w:sz w:val="18"/>
                <w:szCs w:val="18"/>
              </w:rPr>
            </w:pPr>
            <w:r w:rsidRPr="007E4882">
              <w:rPr>
                <w:rFonts w:cstheme="minorHAnsi"/>
                <w:b/>
                <w:bCs/>
                <w:color w:val="auto"/>
                <w:sz w:val="18"/>
                <w:szCs w:val="18"/>
              </w:rPr>
              <w:t>% μεταβολή</w:t>
            </w:r>
          </w:p>
        </w:tc>
      </w:tr>
      <w:tr w:rsidR="007E4882" w:rsidRPr="007E4882" w14:paraId="700D197D" w14:textId="77777777" w:rsidTr="005E59F2">
        <w:trPr>
          <w:trHeight w:val="184"/>
        </w:trPr>
        <w:tc>
          <w:tcPr>
            <w:tcW w:w="2336" w:type="dxa"/>
            <w:gridSpan w:val="2"/>
            <w:vMerge/>
            <w:shd w:val="clear" w:color="auto" w:fill="BDD6EE" w:themeFill="accent1" w:themeFillTint="66"/>
            <w:noWrap/>
            <w:hideMark/>
          </w:tcPr>
          <w:p w14:paraId="7DF4DCCD" w14:textId="77777777" w:rsidR="000F4F90" w:rsidRPr="007E4882" w:rsidRDefault="000F4F90" w:rsidP="007E4882">
            <w:pPr>
              <w:spacing w:after="0" w:line="240" w:lineRule="auto"/>
              <w:rPr>
                <w:rFonts w:cstheme="minorHAnsi"/>
                <w:b/>
                <w:bCs/>
                <w:color w:val="auto"/>
                <w:sz w:val="18"/>
                <w:szCs w:val="18"/>
              </w:rPr>
            </w:pPr>
          </w:p>
        </w:tc>
        <w:tc>
          <w:tcPr>
            <w:tcW w:w="837" w:type="dxa"/>
            <w:shd w:val="clear" w:color="auto" w:fill="BDD6EE" w:themeFill="accent1" w:themeFillTint="66"/>
            <w:noWrap/>
            <w:hideMark/>
          </w:tcPr>
          <w:p w14:paraId="35C794B7" w14:textId="77777777" w:rsidR="000F4F90" w:rsidRPr="007E4882" w:rsidRDefault="000F4F90" w:rsidP="007E4882">
            <w:pPr>
              <w:spacing w:after="0" w:line="240" w:lineRule="auto"/>
              <w:rPr>
                <w:rFonts w:cstheme="minorHAnsi"/>
                <w:b/>
                <w:bCs/>
                <w:color w:val="auto"/>
                <w:sz w:val="18"/>
                <w:szCs w:val="18"/>
              </w:rPr>
            </w:pPr>
            <w:r w:rsidRPr="007E4882">
              <w:rPr>
                <w:rFonts w:cstheme="minorHAnsi"/>
                <w:b/>
                <w:bCs/>
                <w:color w:val="auto"/>
                <w:sz w:val="18"/>
                <w:szCs w:val="18"/>
              </w:rPr>
              <w:t>2020</w:t>
            </w:r>
          </w:p>
        </w:tc>
        <w:tc>
          <w:tcPr>
            <w:tcW w:w="837" w:type="dxa"/>
            <w:shd w:val="clear" w:color="auto" w:fill="BDD6EE" w:themeFill="accent1" w:themeFillTint="66"/>
            <w:noWrap/>
            <w:hideMark/>
          </w:tcPr>
          <w:p w14:paraId="44A10E37" w14:textId="77777777" w:rsidR="000F4F90" w:rsidRPr="007E4882" w:rsidRDefault="000F4F90" w:rsidP="007E4882">
            <w:pPr>
              <w:spacing w:after="0" w:line="240" w:lineRule="auto"/>
              <w:rPr>
                <w:rFonts w:cstheme="minorHAnsi"/>
                <w:b/>
                <w:bCs/>
                <w:color w:val="auto"/>
                <w:sz w:val="18"/>
                <w:szCs w:val="18"/>
              </w:rPr>
            </w:pPr>
            <w:r w:rsidRPr="007E4882">
              <w:rPr>
                <w:rFonts w:cstheme="minorHAnsi"/>
                <w:b/>
                <w:bCs/>
                <w:color w:val="auto"/>
                <w:sz w:val="18"/>
                <w:szCs w:val="18"/>
              </w:rPr>
              <w:t>2021</w:t>
            </w:r>
          </w:p>
        </w:tc>
        <w:tc>
          <w:tcPr>
            <w:tcW w:w="1049" w:type="dxa"/>
            <w:shd w:val="clear" w:color="auto" w:fill="BDD6EE" w:themeFill="accent1" w:themeFillTint="66"/>
            <w:noWrap/>
            <w:hideMark/>
          </w:tcPr>
          <w:p w14:paraId="71AB36BC" w14:textId="77777777" w:rsidR="000F4F90" w:rsidRPr="007E4882" w:rsidRDefault="000F4F90" w:rsidP="007E4882">
            <w:pPr>
              <w:spacing w:after="0" w:line="240" w:lineRule="auto"/>
              <w:rPr>
                <w:rFonts w:cstheme="minorHAnsi"/>
                <w:b/>
                <w:bCs/>
                <w:color w:val="auto"/>
                <w:sz w:val="18"/>
                <w:szCs w:val="18"/>
              </w:rPr>
            </w:pPr>
            <w:r w:rsidRPr="007E4882">
              <w:rPr>
                <w:rFonts w:cstheme="minorHAnsi"/>
                <w:b/>
                <w:bCs/>
                <w:color w:val="auto"/>
                <w:sz w:val="18"/>
                <w:szCs w:val="18"/>
              </w:rPr>
              <w:t>Π/Υ 2021</w:t>
            </w:r>
          </w:p>
        </w:tc>
        <w:tc>
          <w:tcPr>
            <w:tcW w:w="675" w:type="dxa"/>
            <w:shd w:val="clear" w:color="auto" w:fill="BDD6EE" w:themeFill="accent1" w:themeFillTint="66"/>
            <w:noWrap/>
            <w:hideMark/>
          </w:tcPr>
          <w:p w14:paraId="505FB392" w14:textId="77777777" w:rsidR="000F4F90" w:rsidRPr="007E4882" w:rsidRDefault="000F4F90" w:rsidP="007E4882">
            <w:pPr>
              <w:spacing w:after="0" w:line="240" w:lineRule="auto"/>
              <w:rPr>
                <w:rFonts w:cstheme="minorHAnsi"/>
                <w:b/>
                <w:bCs/>
                <w:color w:val="auto"/>
                <w:sz w:val="18"/>
                <w:szCs w:val="18"/>
              </w:rPr>
            </w:pPr>
            <w:r w:rsidRPr="007E4882">
              <w:rPr>
                <w:rFonts w:cstheme="minorHAnsi"/>
                <w:b/>
                <w:bCs/>
                <w:color w:val="auto"/>
                <w:sz w:val="18"/>
                <w:szCs w:val="18"/>
              </w:rPr>
              <w:t>2021-2020</w:t>
            </w:r>
          </w:p>
        </w:tc>
        <w:tc>
          <w:tcPr>
            <w:tcW w:w="896" w:type="dxa"/>
            <w:shd w:val="clear" w:color="auto" w:fill="BDD6EE" w:themeFill="accent1" w:themeFillTint="66"/>
            <w:noWrap/>
            <w:hideMark/>
          </w:tcPr>
          <w:p w14:paraId="0278C9D3" w14:textId="77777777" w:rsidR="000F4F90" w:rsidRPr="007E4882" w:rsidRDefault="000F4F90" w:rsidP="007E4882">
            <w:pPr>
              <w:spacing w:after="0" w:line="240" w:lineRule="auto"/>
              <w:rPr>
                <w:rFonts w:cstheme="minorHAnsi"/>
                <w:b/>
                <w:bCs/>
                <w:color w:val="auto"/>
                <w:sz w:val="18"/>
                <w:szCs w:val="18"/>
              </w:rPr>
            </w:pPr>
            <w:r w:rsidRPr="007E4882">
              <w:rPr>
                <w:rFonts w:cstheme="minorHAnsi"/>
                <w:b/>
                <w:bCs/>
                <w:color w:val="auto"/>
                <w:sz w:val="18"/>
                <w:szCs w:val="18"/>
              </w:rPr>
              <w:t>2021-Εκτιμήσ.</w:t>
            </w:r>
          </w:p>
        </w:tc>
        <w:tc>
          <w:tcPr>
            <w:tcW w:w="792" w:type="dxa"/>
            <w:shd w:val="clear" w:color="auto" w:fill="BDD6EE" w:themeFill="accent1" w:themeFillTint="66"/>
            <w:noWrap/>
            <w:hideMark/>
          </w:tcPr>
          <w:p w14:paraId="6EE358B3" w14:textId="77777777" w:rsidR="000F4F90" w:rsidRPr="007E4882" w:rsidRDefault="000F4F90" w:rsidP="007E4882">
            <w:pPr>
              <w:spacing w:after="0" w:line="240" w:lineRule="auto"/>
              <w:rPr>
                <w:rFonts w:cstheme="minorHAnsi"/>
                <w:b/>
                <w:bCs/>
                <w:color w:val="auto"/>
                <w:sz w:val="18"/>
                <w:szCs w:val="18"/>
              </w:rPr>
            </w:pPr>
            <w:r w:rsidRPr="007E4882">
              <w:rPr>
                <w:rFonts w:cstheme="minorHAnsi"/>
                <w:b/>
                <w:bCs/>
                <w:color w:val="auto"/>
                <w:sz w:val="18"/>
                <w:szCs w:val="18"/>
              </w:rPr>
              <w:t>2021-2020</w:t>
            </w:r>
          </w:p>
        </w:tc>
        <w:tc>
          <w:tcPr>
            <w:tcW w:w="896" w:type="dxa"/>
            <w:shd w:val="clear" w:color="auto" w:fill="BDD6EE" w:themeFill="accent1" w:themeFillTint="66"/>
            <w:noWrap/>
            <w:hideMark/>
          </w:tcPr>
          <w:p w14:paraId="22CEBBF3" w14:textId="77777777" w:rsidR="000F4F90" w:rsidRPr="007E4882" w:rsidRDefault="000F4F90" w:rsidP="007E4882">
            <w:pPr>
              <w:spacing w:after="0" w:line="240" w:lineRule="auto"/>
              <w:rPr>
                <w:rFonts w:cstheme="minorHAnsi"/>
                <w:b/>
                <w:bCs/>
                <w:color w:val="auto"/>
                <w:sz w:val="18"/>
                <w:szCs w:val="18"/>
              </w:rPr>
            </w:pPr>
            <w:r w:rsidRPr="007E4882">
              <w:rPr>
                <w:rFonts w:cstheme="minorHAnsi"/>
                <w:b/>
                <w:bCs/>
                <w:color w:val="auto"/>
                <w:sz w:val="18"/>
                <w:szCs w:val="18"/>
              </w:rPr>
              <w:t>2021-Εκτιμήσ.</w:t>
            </w:r>
          </w:p>
        </w:tc>
      </w:tr>
      <w:tr w:rsidR="007E4882" w:rsidRPr="007E4882" w14:paraId="0BF237BD" w14:textId="77777777" w:rsidTr="005E59F2">
        <w:trPr>
          <w:trHeight w:val="184"/>
        </w:trPr>
        <w:tc>
          <w:tcPr>
            <w:tcW w:w="603" w:type="dxa"/>
            <w:shd w:val="clear" w:color="auto" w:fill="D9D9D9" w:themeFill="background1" w:themeFillShade="D9"/>
            <w:noWrap/>
            <w:hideMark/>
          </w:tcPr>
          <w:p w14:paraId="4197C3CD" w14:textId="77777777" w:rsidR="000F4F90" w:rsidRPr="007E4882" w:rsidRDefault="000F4F90" w:rsidP="007E4882">
            <w:pPr>
              <w:spacing w:after="0" w:line="240" w:lineRule="auto"/>
              <w:rPr>
                <w:rFonts w:cstheme="minorHAnsi"/>
                <w:b/>
                <w:bCs/>
                <w:color w:val="auto"/>
                <w:sz w:val="18"/>
                <w:szCs w:val="18"/>
              </w:rPr>
            </w:pPr>
            <w:r w:rsidRPr="007E4882">
              <w:rPr>
                <w:rFonts w:cstheme="minorHAnsi"/>
                <w:b/>
                <w:bCs/>
                <w:color w:val="auto"/>
                <w:sz w:val="18"/>
                <w:szCs w:val="18"/>
              </w:rPr>
              <w:t> </w:t>
            </w:r>
          </w:p>
        </w:tc>
        <w:tc>
          <w:tcPr>
            <w:tcW w:w="1730" w:type="dxa"/>
            <w:shd w:val="clear" w:color="auto" w:fill="D9D9D9" w:themeFill="background1" w:themeFillShade="D9"/>
            <w:noWrap/>
            <w:hideMark/>
          </w:tcPr>
          <w:p w14:paraId="763F5ED2" w14:textId="77777777" w:rsidR="000F4F90" w:rsidRPr="007E4882" w:rsidRDefault="000F4F90" w:rsidP="007E4882">
            <w:pPr>
              <w:spacing w:after="0" w:line="240" w:lineRule="auto"/>
              <w:rPr>
                <w:rFonts w:cstheme="minorHAnsi"/>
                <w:b/>
                <w:bCs/>
                <w:color w:val="auto"/>
                <w:sz w:val="18"/>
                <w:szCs w:val="18"/>
              </w:rPr>
            </w:pPr>
            <w:r w:rsidRPr="007E4882">
              <w:rPr>
                <w:rFonts w:cstheme="minorHAnsi"/>
                <w:b/>
                <w:bCs/>
                <w:color w:val="auto"/>
                <w:sz w:val="18"/>
                <w:szCs w:val="18"/>
              </w:rPr>
              <w:t>Φορολογικά Έσοδα (Α+Β+Γ+Δ+Ε+ΣΤ+Ζ)</w:t>
            </w:r>
          </w:p>
        </w:tc>
        <w:tc>
          <w:tcPr>
            <w:tcW w:w="837" w:type="dxa"/>
            <w:shd w:val="clear" w:color="auto" w:fill="D9D9D9" w:themeFill="background1" w:themeFillShade="D9"/>
            <w:noWrap/>
            <w:hideMark/>
          </w:tcPr>
          <w:p w14:paraId="782585D6" w14:textId="77777777" w:rsidR="000F4F90" w:rsidRPr="007E4882" w:rsidRDefault="000F4F90" w:rsidP="007E4882">
            <w:pPr>
              <w:spacing w:after="0" w:line="240" w:lineRule="auto"/>
              <w:rPr>
                <w:rFonts w:cstheme="minorHAnsi"/>
                <w:b/>
                <w:bCs/>
                <w:color w:val="auto"/>
                <w:sz w:val="18"/>
                <w:szCs w:val="18"/>
              </w:rPr>
            </w:pPr>
            <w:r w:rsidRPr="007E4882">
              <w:rPr>
                <w:rFonts w:cstheme="minorHAnsi"/>
                <w:b/>
                <w:bCs/>
                <w:color w:val="auto"/>
                <w:sz w:val="18"/>
                <w:szCs w:val="18"/>
              </w:rPr>
              <w:t>10.419</w:t>
            </w:r>
          </w:p>
        </w:tc>
        <w:tc>
          <w:tcPr>
            <w:tcW w:w="837" w:type="dxa"/>
            <w:shd w:val="clear" w:color="auto" w:fill="D9D9D9" w:themeFill="background1" w:themeFillShade="D9"/>
            <w:noWrap/>
            <w:hideMark/>
          </w:tcPr>
          <w:p w14:paraId="528C6424" w14:textId="77777777" w:rsidR="000F4F90" w:rsidRPr="007E4882" w:rsidRDefault="000F4F90" w:rsidP="007E4882">
            <w:pPr>
              <w:spacing w:after="0" w:line="240" w:lineRule="auto"/>
              <w:rPr>
                <w:rFonts w:cstheme="minorHAnsi"/>
                <w:b/>
                <w:bCs/>
                <w:color w:val="auto"/>
                <w:sz w:val="18"/>
                <w:szCs w:val="18"/>
              </w:rPr>
            </w:pPr>
            <w:r w:rsidRPr="007E4882">
              <w:rPr>
                <w:rFonts w:cstheme="minorHAnsi"/>
                <w:b/>
                <w:bCs/>
                <w:color w:val="auto"/>
                <w:sz w:val="18"/>
                <w:szCs w:val="18"/>
              </w:rPr>
              <w:t>10.509</w:t>
            </w:r>
          </w:p>
        </w:tc>
        <w:tc>
          <w:tcPr>
            <w:tcW w:w="1049" w:type="dxa"/>
            <w:shd w:val="clear" w:color="auto" w:fill="D9D9D9" w:themeFill="background1" w:themeFillShade="D9"/>
            <w:noWrap/>
            <w:hideMark/>
          </w:tcPr>
          <w:p w14:paraId="6EEAAD97" w14:textId="77777777" w:rsidR="000F4F90" w:rsidRPr="007E4882" w:rsidRDefault="000F4F90" w:rsidP="007E4882">
            <w:pPr>
              <w:spacing w:after="0" w:line="240" w:lineRule="auto"/>
              <w:rPr>
                <w:rFonts w:cstheme="minorHAnsi"/>
                <w:b/>
                <w:bCs/>
                <w:color w:val="auto"/>
                <w:sz w:val="18"/>
                <w:szCs w:val="18"/>
              </w:rPr>
            </w:pPr>
            <w:r w:rsidRPr="007E4882">
              <w:rPr>
                <w:rFonts w:cstheme="minorHAnsi"/>
                <w:b/>
                <w:bCs/>
                <w:color w:val="auto"/>
                <w:sz w:val="18"/>
                <w:szCs w:val="18"/>
              </w:rPr>
              <w:t>10.868</w:t>
            </w:r>
          </w:p>
        </w:tc>
        <w:tc>
          <w:tcPr>
            <w:tcW w:w="675" w:type="dxa"/>
            <w:shd w:val="clear" w:color="auto" w:fill="D9D9D9" w:themeFill="background1" w:themeFillShade="D9"/>
            <w:noWrap/>
            <w:hideMark/>
          </w:tcPr>
          <w:p w14:paraId="3C126501" w14:textId="77777777" w:rsidR="000F4F90" w:rsidRPr="007E4882" w:rsidRDefault="000F4F90" w:rsidP="007E4882">
            <w:pPr>
              <w:spacing w:after="0" w:line="240" w:lineRule="auto"/>
              <w:rPr>
                <w:rFonts w:cstheme="minorHAnsi"/>
                <w:b/>
                <w:bCs/>
                <w:color w:val="auto"/>
                <w:sz w:val="18"/>
                <w:szCs w:val="18"/>
              </w:rPr>
            </w:pPr>
            <w:r w:rsidRPr="007E4882">
              <w:rPr>
                <w:rFonts w:cstheme="minorHAnsi"/>
                <w:b/>
                <w:bCs/>
                <w:color w:val="auto"/>
                <w:sz w:val="18"/>
                <w:szCs w:val="18"/>
              </w:rPr>
              <w:t>90</w:t>
            </w:r>
          </w:p>
        </w:tc>
        <w:tc>
          <w:tcPr>
            <w:tcW w:w="896" w:type="dxa"/>
            <w:shd w:val="clear" w:color="auto" w:fill="D9D9D9" w:themeFill="background1" w:themeFillShade="D9"/>
            <w:noWrap/>
            <w:hideMark/>
          </w:tcPr>
          <w:p w14:paraId="28B9A79D" w14:textId="77777777" w:rsidR="000F4F90" w:rsidRPr="007E4882" w:rsidRDefault="000F4F90" w:rsidP="007E4882">
            <w:pPr>
              <w:spacing w:after="0" w:line="240" w:lineRule="auto"/>
              <w:rPr>
                <w:rFonts w:cstheme="minorHAnsi"/>
                <w:b/>
                <w:bCs/>
                <w:color w:val="auto"/>
                <w:sz w:val="18"/>
                <w:szCs w:val="18"/>
              </w:rPr>
            </w:pPr>
            <w:r w:rsidRPr="007E4882">
              <w:rPr>
                <w:rFonts w:cstheme="minorHAnsi"/>
                <w:b/>
                <w:bCs/>
                <w:color w:val="auto"/>
                <w:sz w:val="18"/>
                <w:szCs w:val="18"/>
              </w:rPr>
              <w:t>-359</w:t>
            </w:r>
          </w:p>
        </w:tc>
        <w:tc>
          <w:tcPr>
            <w:tcW w:w="792" w:type="dxa"/>
            <w:shd w:val="clear" w:color="auto" w:fill="D9D9D9" w:themeFill="background1" w:themeFillShade="D9"/>
            <w:noWrap/>
            <w:hideMark/>
          </w:tcPr>
          <w:p w14:paraId="755FFA1D" w14:textId="77777777" w:rsidR="000F4F90" w:rsidRPr="007E4882" w:rsidRDefault="000F4F90" w:rsidP="007E4882">
            <w:pPr>
              <w:spacing w:after="0" w:line="240" w:lineRule="auto"/>
              <w:rPr>
                <w:rFonts w:cstheme="minorHAnsi"/>
                <w:b/>
                <w:bCs/>
                <w:color w:val="auto"/>
                <w:sz w:val="18"/>
                <w:szCs w:val="18"/>
              </w:rPr>
            </w:pPr>
            <w:r w:rsidRPr="007E4882">
              <w:rPr>
                <w:rFonts w:cstheme="minorHAnsi"/>
                <w:b/>
                <w:bCs/>
                <w:color w:val="auto"/>
                <w:sz w:val="18"/>
                <w:szCs w:val="18"/>
              </w:rPr>
              <w:t>0,9%</w:t>
            </w:r>
          </w:p>
        </w:tc>
        <w:tc>
          <w:tcPr>
            <w:tcW w:w="896" w:type="dxa"/>
            <w:shd w:val="clear" w:color="auto" w:fill="D9D9D9" w:themeFill="background1" w:themeFillShade="D9"/>
            <w:noWrap/>
            <w:hideMark/>
          </w:tcPr>
          <w:p w14:paraId="7E0B20B2" w14:textId="77777777" w:rsidR="000F4F90" w:rsidRPr="007E4882" w:rsidRDefault="000F4F90" w:rsidP="007E4882">
            <w:pPr>
              <w:spacing w:after="0" w:line="240" w:lineRule="auto"/>
              <w:rPr>
                <w:rFonts w:cstheme="minorHAnsi"/>
                <w:b/>
                <w:bCs/>
                <w:color w:val="auto"/>
                <w:sz w:val="18"/>
                <w:szCs w:val="18"/>
              </w:rPr>
            </w:pPr>
            <w:r w:rsidRPr="007E4882">
              <w:rPr>
                <w:rFonts w:cstheme="minorHAnsi"/>
                <w:b/>
                <w:bCs/>
                <w:color w:val="auto"/>
                <w:sz w:val="18"/>
                <w:szCs w:val="18"/>
              </w:rPr>
              <w:t>-3,3%</w:t>
            </w:r>
          </w:p>
        </w:tc>
      </w:tr>
      <w:tr w:rsidR="005E59F2" w:rsidRPr="007E4882" w14:paraId="2484A9D2" w14:textId="77777777" w:rsidTr="005E59F2">
        <w:trPr>
          <w:trHeight w:val="184"/>
        </w:trPr>
        <w:tc>
          <w:tcPr>
            <w:tcW w:w="603" w:type="dxa"/>
            <w:shd w:val="clear" w:color="auto" w:fill="F2F2F2" w:themeFill="background1" w:themeFillShade="F2"/>
            <w:noWrap/>
            <w:hideMark/>
          </w:tcPr>
          <w:p w14:paraId="665116DD" w14:textId="77777777" w:rsidR="000F4F90" w:rsidRPr="007E4882" w:rsidRDefault="000F4F90" w:rsidP="007E4882">
            <w:pPr>
              <w:spacing w:after="0" w:line="240" w:lineRule="auto"/>
              <w:rPr>
                <w:rFonts w:cstheme="minorHAnsi"/>
                <w:b/>
                <w:bCs/>
                <w:color w:val="auto"/>
                <w:sz w:val="18"/>
                <w:szCs w:val="18"/>
              </w:rPr>
            </w:pPr>
            <w:r w:rsidRPr="007E4882">
              <w:rPr>
                <w:rFonts w:cstheme="minorHAnsi"/>
                <w:b/>
                <w:bCs/>
                <w:color w:val="auto"/>
                <w:sz w:val="18"/>
                <w:szCs w:val="18"/>
              </w:rPr>
              <w:t xml:space="preserve">A. </w:t>
            </w:r>
          </w:p>
        </w:tc>
        <w:tc>
          <w:tcPr>
            <w:tcW w:w="1730" w:type="dxa"/>
            <w:shd w:val="clear" w:color="auto" w:fill="F2F2F2" w:themeFill="background1" w:themeFillShade="F2"/>
            <w:noWrap/>
            <w:hideMark/>
          </w:tcPr>
          <w:p w14:paraId="4FE707E2" w14:textId="77777777" w:rsidR="000F4F90" w:rsidRPr="007E4882" w:rsidRDefault="000F4F90" w:rsidP="007E4882">
            <w:pPr>
              <w:spacing w:after="0" w:line="240" w:lineRule="auto"/>
              <w:rPr>
                <w:rFonts w:cstheme="minorHAnsi"/>
                <w:b/>
                <w:bCs/>
                <w:color w:val="auto"/>
                <w:sz w:val="18"/>
                <w:szCs w:val="18"/>
              </w:rPr>
            </w:pPr>
            <w:r w:rsidRPr="007E4882">
              <w:rPr>
                <w:rFonts w:cstheme="minorHAnsi"/>
                <w:b/>
                <w:bCs/>
                <w:color w:val="auto"/>
                <w:sz w:val="18"/>
                <w:szCs w:val="18"/>
              </w:rPr>
              <w:t xml:space="preserve">Φόροι επί αγαθών και υπηρεσιών </w:t>
            </w:r>
          </w:p>
        </w:tc>
        <w:tc>
          <w:tcPr>
            <w:tcW w:w="837" w:type="dxa"/>
            <w:shd w:val="clear" w:color="auto" w:fill="F2F2F2" w:themeFill="background1" w:themeFillShade="F2"/>
            <w:noWrap/>
            <w:hideMark/>
          </w:tcPr>
          <w:p w14:paraId="6D263CA5" w14:textId="77777777" w:rsidR="000F4F90" w:rsidRPr="007E4882" w:rsidRDefault="000F4F90" w:rsidP="007E4882">
            <w:pPr>
              <w:spacing w:after="0" w:line="240" w:lineRule="auto"/>
              <w:rPr>
                <w:rFonts w:cstheme="minorHAnsi"/>
                <w:b/>
                <w:bCs/>
                <w:color w:val="auto"/>
                <w:sz w:val="18"/>
                <w:szCs w:val="18"/>
              </w:rPr>
            </w:pPr>
            <w:r w:rsidRPr="007E4882">
              <w:rPr>
                <w:rFonts w:cstheme="minorHAnsi"/>
                <w:b/>
                <w:bCs/>
                <w:color w:val="auto"/>
                <w:sz w:val="18"/>
                <w:szCs w:val="18"/>
              </w:rPr>
              <w:t>6.220</w:t>
            </w:r>
          </w:p>
        </w:tc>
        <w:tc>
          <w:tcPr>
            <w:tcW w:w="837" w:type="dxa"/>
            <w:shd w:val="clear" w:color="auto" w:fill="F2F2F2" w:themeFill="background1" w:themeFillShade="F2"/>
            <w:noWrap/>
            <w:hideMark/>
          </w:tcPr>
          <w:p w14:paraId="6EF17415" w14:textId="77777777" w:rsidR="000F4F90" w:rsidRPr="007E4882" w:rsidRDefault="000F4F90" w:rsidP="007E4882">
            <w:pPr>
              <w:spacing w:after="0" w:line="240" w:lineRule="auto"/>
              <w:rPr>
                <w:rFonts w:cstheme="minorHAnsi"/>
                <w:b/>
                <w:bCs/>
                <w:color w:val="auto"/>
                <w:sz w:val="18"/>
                <w:szCs w:val="18"/>
              </w:rPr>
            </w:pPr>
            <w:r w:rsidRPr="007E4882">
              <w:rPr>
                <w:rFonts w:cstheme="minorHAnsi"/>
                <w:b/>
                <w:bCs/>
                <w:color w:val="auto"/>
                <w:sz w:val="18"/>
                <w:szCs w:val="18"/>
              </w:rPr>
              <w:t>5.764</w:t>
            </w:r>
          </w:p>
        </w:tc>
        <w:tc>
          <w:tcPr>
            <w:tcW w:w="1049" w:type="dxa"/>
            <w:shd w:val="clear" w:color="auto" w:fill="F2F2F2" w:themeFill="background1" w:themeFillShade="F2"/>
            <w:noWrap/>
            <w:hideMark/>
          </w:tcPr>
          <w:p w14:paraId="3FFF4A6E" w14:textId="77777777" w:rsidR="000F4F90" w:rsidRPr="007E4882" w:rsidRDefault="000F4F90" w:rsidP="007E4882">
            <w:pPr>
              <w:spacing w:after="0" w:line="240" w:lineRule="auto"/>
              <w:rPr>
                <w:rFonts w:cstheme="minorHAnsi"/>
                <w:b/>
                <w:bCs/>
                <w:color w:val="auto"/>
                <w:sz w:val="18"/>
                <w:szCs w:val="18"/>
              </w:rPr>
            </w:pPr>
            <w:r w:rsidRPr="007E4882">
              <w:rPr>
                <w:rFonts w:cstheme="minorHAnsi"/>
                <w:b/>
                <w:bCs/>
                <w:color w:val="auto"/>
                <w:sz w:val="18"/>
                <w:szCs w:val="18"/>
              </w:rPr>
              <w:t>6.138</w:t>
            </w:r>
          </w:p>
        </w:tc>
        <w:tc>
          <w:tcPr>
            <w:tcW w:w="675" w:type="dxa"/>
            <w:shd w:val="clear" w:color="auto" w:fill="F2F2F2" w:themeFill="background1" w:themeFillShade="F2"/>
            <w:noWrap/>
            <w:hideMark/>
          </w:tcPr>
          <w:p w14:paraId="3FD74117" w14:textId="77777777" w:rsidR="000F4F90" w:rsidRPr="007E4882" w:rsidRDefault="000F4F90" w:rsidP="007E4882">
            <w:pPr>
              <w:spacing w:after="0" w:line="240" w:lineRule="auto"/>
              <w:rPr>
                <w:rFonts w:cstheme="minorHAnsi"/>
                <w:b/>
                <w:bCs/>
                <w:color w:val="auto"/>
                <w:sz w:val="18"/>
                <w:szCs w:val="18"/>
              </w:rPr>
            </w:pPr>
            <w:r w:rsidRPr="007E4882">
              <w:rPr>
                <w:rFonts w:cstheme="minorHAnsi"/>
                <w:b/>
                <w:bCs/>
                <w:color w:val="auto"/>
                <w:sz w:val="18"/>
                <w:szCs w:val="18"/>
              </w:rPr>
              <w:t>-456</w:t>
            </w:r>
          </w:p>
        </w:tc>
        <w:tc>
          <w:tcPr>
            <w:tcW w:w="896" w:type="dxa"/>
            <w:shd w:val="clear" w:color="auto" w:fill="F2F2F2" w:themeFill="background1" w:themeFillShade="F2"/>
            <w:noWrap/>
            <w:hideMark/>
          </w:tcPr>
          <w:p w14:paraId="3FE8F51C" w14:textId="77777777" w:rsidR="000F4F90" w:rsidRPr="007E4882" w:rsidRDefault="000F4F90" w:rsidP="007E4882">
            <w:pPr>
              <w:spacing w:after="0" w:line="240" w:lineRule="auto"/>
              <w:rPr>
                <w:rFonts w:cstheme="minorHAnsi"/>
                <w:b/>
                <w:bCs/>
                <w:color w:val="auto"/>
                <w:sz w:val="18"/>
                <w:szCs w:val="18"/>
              </w:rPr>
            </w:pPr>
            <w:r w:rsidRPr="007E4882">
              <w:rPr>
                <w:rFonts w:cstheme="minorHAnsi"/>
                <w:b/>
                <w:bCs/>
                <w:color w:val="auto"/>
                <w:sz w:val="18"/>
                <w:szCs w:val="18"/>
              </w:rPr>
              <w:t>-374</w:t>
            </w:r>
          </w:p>
        </w:tc>
        <w:tc>
          <w:tcPr>
            <w:tcW w:w="792" w:type="dxa"/>
            <w:shd w:val="clear" w:color="auto" w:fill="F2F2F2" w:themeFill="background1" w:themeFillShade="F2"/>
            <w:noWrap/>
            <w:hideMark/>
          </w:tcPr>
          <w:p w14:paraId="67100045" w14:textId="77777777" w:rsidR="000F4F90" w:rsidRPr="007E4882" w:rsidRDefault="000F4F90" w:rsidP="007E4882">
            <w:pPr>
              <w:spacing w:after="0" w:line="240" w:lineRule="auto"/>
              <w:rPr>
                <w:rFonts w:cstheme="minorHAnsi"/>
                <w:b/>
                <w:bCs/>
                <w:color w:val="auto"/>
                <w:sz w:val="18"/>
                <w:szCs w:val="18"/>
              </w:rPr>
            </w:pPr>
            <w:r w:rsidRPr="007E4882">
              <w:rPr>
                <w:rFonts w:cstheme="minorHAnsi"/>
                <w:b/>
                <w:bCs/>
                <w:color w:val="auto"/>
                <w:sz w:val="18"/>
                <w:szCs w:val="18"/>
              </w:rPr>
              <w:t>-7,3%</w:t>
            </w:r>
          </w:p>
        </w:tc>
        <w:tc>
          <w:tcPr>
            <w:tcW w:w="896" w:type="dxa"/>
            <w:shd w:val="clear" w:color="auto" w:fill="F2F2F2" w:themeFill="background1" w:themeFillShade="F2"/>
            <w:noWrap/>
            <w:hideMark/>
          </w:tcPr>
          <w:p w14:paraId="6BE753BF" w14:textId="77777777" w:rsidR="000F4F90" w:rsidRPr="007E4882" w:rsidRDefault="000F4F90" w:rsidP="007E4882">
            <w:pPr>
              <w:spacing w:after="0" w:line="240" w:lineRule="auto"/>
              <w:rPr>
                <w:rFonts w:cstheme="minorHAnsi"/>
                <w:b/>
                <w:bCs/>
                <w:color w:val="auto"/>
                <w:sz w:val="18"/>
                <w:szCs w:val="18"/>
              </w:rPr>
            </w:pPr>
            <w:r w:rsidRPr="007E4882">
              <w:rPr>
                <w:rFonts w:cstheme="minorHAnsi"/>
                <w:b/>
                <w:bCs/>
                <w:color w:val="auto"/>
                <w:sz w:val="18"/>
                <w:szCs w:val="18"/>
              </w:rPr>
              <w:t>-6,1%</w:t>
            </w:r>
          </w:p>
        </w:tc>
      </w:tr>
      <w:tr w:rsidR="005E59F2" w:rsidRPr="007E4882" w14:paraId="17B0FE4C" w14:textId="77777777" w:rsidTr="005E59F2">
        <w:trPr>
          <w:trHeight w:val="184"/>
        </w:trPr>
        <w:tc>
          <w:tcPr>
            <w:tcW w:w="603" w:type="dxa"/>
            <w:shd w:val="clear" w:color="auto" w:fill="FFFFFF" w:themeFill="background1"/>
            <w:noWrap/>
            <w:hideMark/>
          </w:tcPr>
          <w:p w14:paraId="10739244" w14:textId="77777777" w:rsidR="000F4F90" w:rsidRPr="00781029" w:rsidRDefault="000F4F90" w:rsidP="007E4882">
            <w:pPr>
              <w:spacing w:after="0" w:line="240" w:lineRule="auto"/>
              <w:rPr>
                <w:rFonts w:cstheme="minorHAnsi"/>
                <w:bCs/>
                <w:color w:val="auto"/>
                <w:sz w:val="18"/>
                <w:szCs w:val="18"/>
              </w:rPr>
            </w:pPr>
            <w:r w:rsidRPr="00781029">
              <w:rPr>
                <w:rFonts w:cstheme="minorHAnsi"/>
                <w:bCs/>
                <w:color w:val="auto"/>
                <w:sz w:val="18"/>
                <w:szCs w:val="18"/>
              </w:rPr>
              <w:t>1</w:t>
            </w:r>
          </w:p>
        </w:tc>
        <w:tc>
          <w:tcPr>
            <w:tcW w:w="1730" w:type="dxa"/>
            <w:shd w:val="clear" w:color="auto" w:fill="FFFFFF" w:themeFill="background1"/>
            <w:noWrap/>
            <w:hideMark/>
          </w:tcPr>
          <w:p w14:paraId="3CBEFE4A" w14:textId="77777777" w:rsidR="000F4F90" w:rsidRPr="00781029" w:rsidRDefault="000F4F90" w:rsidP="007E4882">
            <w:pPr>
              <w:spacing w:after="0" w:line="240" w:lineRule="auto"/>
              <w:rPr>
                <w:rFonts w:cstheme="minorHAnsi"/>
                <w:bCs/>
                <w:color w:val="auto"/>
                <w:sz w:val="18"/>
                <w:szCs w:val="18"/>
              </w:rPr>
            </w:pPr>
            <w:r w:rsidRPr="00781029">
              <w:rPr>
                <w:rFonts w:cstheme="minorHAnsi"/>
                <w:bCs/>
                <w:color w:val="auto"/>
                <w:sz w:val="18"/>
                <w:szCs w:val="18"/>
              </w:rPr>
              <w:t xml:space="preserve">ΦΠΑ </w:t>
            </w:r>
          </w:p>
        </w:tc>
        <w:tc>
          <w:tcPr>
            <w:tcW w:w="837" w:type="dxa"/>
            <w:shd w:val="clear" w:color="auto" w:fill="FFFFFF" w:themeFill="background1"/>
            <w:noWrap/>
            <w:hideMark/>
          </w:tcPr>
          <w:p w14:paraId="062E3095" w14:textId="77777777" w:rsidR="000F4F90" w:rsidRPr="00781029" w:rsidRDefault="000F4F90" w:rsidP="007E4882">
            <w:pPr>
              <w:spacing w:after="0" w:line="240" w:lineRule="auto"/>
              <w:rPr>
                <w:rFonts w:cstheme="minorHAnsi"/>
                <w:bCs/>
                <w:color w:val="auto"/>
                <w:sz w:val="18"/>
                <w:szCs w:val="18"/>
              </w:rPr>
            </w:pPr>
            <w:r w:rsidRPr="00781029">
              <w:rPr>
                <w:rFonts w:cstheme="minorHAnsi"/>
                <w:bCs/>
                <w:color w:val="auto"/>
                <w:sz w:val="18"/>
                <w:szCs w:val="18"/>
              </w:rPr>
              <w:t>3.968</w:t>
            </w:r>
          </w:p>
        </w:tc>
        <w:tc>
          <w:tcPr>
            <w:tcW w:w="837" w:type="dxa"/>
            <w:shd w:val="clear" w:color="auto" w:fill="FFFFFF" w:themeFill="background1"/>
            <w:noWrap/>
            <w:hideMark/>
          </w:tcPr>
          <w:p w14:paraId="350A737C" w14:textId="77777777" w:rsidR="000F4F90" w:rsidRPr="00781029" w:rsidRDefault="000F4F90" w:rsidP="007E4882">
            <w:pPr>
              <w:spacing w:after="0" w:line="240" w:lineRule="auto"/>
              <w:rPr>
                <w:rFonts w:cstheme="minorHAnsi"/>
                <w:bCs/>
                <w:color w:val="auto"/>
                <w:sz w:val="18"/>
                <w:szCs w:val="18"/>
              </w:rPr>
            </w:pPr>
            <w:r w:rsidRPr="00781029">
              <w:rPr>
                <w:rFonts w:cstheme="minorHAnsi"/>
                <w:bCs/>
                <w:color w:val="auto"/>
                <w:sz w:val="18"/>
                <w:szCs w:val="18"/>
              </w:rPr>
              <w:t>3.829</w:t>
            </w:r>
          </w:p>
        </w:tc>
        <w:tc>
          <w:tcPr>
            <w:tcW w:w="1049" w:type="dxa"/>
            <w:shd w:val="clear" w:color="auto" w:fill="FFFFFF" w:themeFill="background1"/>
            <w:noWrap/>
            <w:hideMark/>
          </w:tcPr>
          <w:p w14:paraId="6CFD2E17" w14:textId="77777777" w:rsidR="000F4F90" w:rsidRPr="00781029" w:rsidRDefault="000F4F90" w:rsidP="007E4882">
            <w:pPr>
              <w:spacing w:after="0" w:line="240" w:lineRule="auto"/>
              <w:rPr>
                <w:rFonts w:cstheme="minorHAnsi"/>
                <w:bCs/>
                <w:color w:val="auto"/>
                <w:sz w:val="18"/>
                <w:szCs w:val="18"/>
              </w:rPr>
            </w:pPr>
            <w:r w:rsidRPr="00781029">
              <w:rPr>
                <w:rFonts w:cstheme="minorHAnsi"/>
                <w:bCs/>
                <w:color w:val="auto"/>
                <w:sz w:val="18"/>
                <w:szCs w:val="18"/>
              </w:rPr>
              <w:t>4.090</w:t>
            </w:r>
          </w:p>
        </w:tc>
        <w:tc>
          <w:tcPr>
            <w:tcW w:w="675" w:type="dxa"/>
            <w:shd w:val="clear" w:color="auto" w:fill="FFFFFF" w:themeFill="background1"/>
            <w:noWrap/>
            <w:hideMark/>
          </w:tcPr>
          <w:p w14:paraId="47DE2496" w14:textId="77777777" w:rsidR="000F4F90" w:rsidRPr="00781029" w:rsidRDefault="000F4F90" w:rsidP="007E4882">
            <w:pPr>
              <w:spacing w:after="0" w:line="240" w:lineRule="auto"/>
              <w:rPr>
                <w:rFonts w:cstheme="minorHAnsi"/>
                <w:bCs/>
                <w:color w:val="auto"/>
                <w:sz w:val="18"/>
                <w:szCs w:val="18"/>
              </w:rPr>
            </w:pPr>
            <w:r w:rsidRPr="00781029">
              <w:rPr>
                <w:rFonts w:cstheme="minorHAnsi"/>
                <w:bCs/>
                <w:color w:val="auto"/>
                <w:sz w:val="18"/>
                <w:szCs w:val="18"/>
              </w:rPr>
              <w:t>-139</w:t>
            </w:r>
          </w:p>
        </w:tc>
        <w:tc>
          <w:tcPr>
            <w:tcW w:w="896" w:type="dxa"/>
            <w:shd w:val="clear" w:color="auto" w:fill="FFFFFF" w:themeFill="background1"/>
            <w:noWrap/>
            <w:hideMark/>
          </w:tcPr>
          <w:p w14:paraId="302E6EA0" w14:textId="77777777" w:rsidR="000F4F90" w:rsidRPr="00781029" w:rsidRDefault="000F4F90" w:rsidP="007E4882">
            <w:pPr>
              <w:spacing w:after="0" w:line="240" w:lineRule="auto"/>
              <w:rPr>
                <w:rFonts w:cstheme="minorHAnsi"/>
                <w:bCs/>
                <w:color w:val="auto"/>
                <w:sz w:val="18"/>
                <w:szCs w:val="18"/>
              </w:rPr>
            </w:pPr>
            <w:r w:rsidRPr="00781029">
              <w:rPr>
                <w:rFonts w:cstheme="minorHAnsi"/>
                <w:bCs/>
                <w:color w:val="auto"/>
                <w:sz w:val="18"/>
                <w:szCs w:val="18"/>
              </w:rPr>
              <w:t>-261</w:t>
            </w:r>
          </w:p>
        </w:tc>
        <w:tc>
          <w:tcPr>
            <w:tcW w:w="792" w:type="dxa"/>
            <w:shd w:val="clear" w:color="auto" w:fill="FFFFFF" w:themeFill="background1"/>
            <w:noWrap/>
            <w:hideMark/>
          </w:tcPr>
          <w:p w14:paraId="0056CBB1" w14:textId="77777777" w:rsidR="000F4F90" w:rsidRPr="00781029" w:rsidRDefault="000F4F90" w:rsidP="007E4882">
            <w:pPr>
              <w:spacing w:after="0" w:line="240" w:lineRule="auto"/>
              <w:rPr>
                <w:rFonts w:cstheme="minorHAnsi"/>
                <w:bCs/>
                <w:color w:val="auto"/>
                <w:sz w:val="18"/>
                <w:szCs w:val="18"/>
              </w:rPr>
            </w:pPr>
            <w:r w:rsidRPr="00781029">
              <w:rPr>
                <w:rFonts w:cstheme="minorHAnsi"/>
                <w:bCs/>
                <w:color w:val="auto"/>
                <w:sz w:val="18"/>
                <w:szCs w:val="18"/>
              </w:rPr>
              <w:t>-3,5%</w:t>
            </w:r>
          </w:p>
        </w:tc>
        <w:tc>
          <w:tcPr>
            <w:tcW w:w="896" w:type="dxa"/>
            <w:shd w:val="clear" w:color="auto" w:fill="FFFFFF" w:themeFill="background1"/>
            <w:noWrap/>
            <w:hideMark/>
          </w:tcPr>
          <w:p w14:paraId="1CD0F76E" w14:textId="77777777" w:rsidR="000F4F90" w:rsidRPr="00781029" w:rsidRDefault="000F4F90" w:rsidP="007E4882">
            <w:pPr>
              <w:spacing w:after="0" w:line="240" w:lineRule="auto"/>
              <w:rPr>
                <w:rFonts w:cstheme="minorHAnsi"/>
                <w:bCs/>
                <w:color w:val="auto"/>
                <w:sz w:val="18"/>
                <w:szCs w:val="18"/>
              </w:rPr>
            </w:pPr>
            <w:r w:rsidRPr="00781029">
              <w:rPr>
                <w:rFonts w:cstheme="minorHAnsi"/>
                <w:bCs/>
                <w:color w:val="auto"/>
                <w:sz w:val="18"/>
                <w:szCs w:val="18"/>
              </w:rPr>
              <w:t>-6,4%</w:t>
            </w:r>
          </w:p>
        </w:tc>
      </w:tr>
      <w:tr w:rsidR="005E59F2" w:rsidRPr="007E4882" w14:paraId="4C524113" w14:textId="77777777" w:rsidTr="005E59F2">
        <w:trPr>
          <w:trHeight w:val="665"/>
        </w:trPr>
        <w:tc>
          <w:tcPr>
            <w:tcW w:w="603" w:type="dxa"/>
            <w:shd w:val="clear" w:color="auto" w:fill="FFFFFF" w:themeFill="background1"/>
            <w:noWrap/>
            <w:hideMark/>
          </w:tcPr>
          <w:p w14:paraId="7C186879" w14:textId="77777777" w:rsidR="000F4F90" w:rsidRPr="00781029" w:rsidRDefault="000F4F90" w:rsidP="007E4882">
            <w:pPr>
              <w:spacing w:after="0" w:line="240" w:lineRule="auto"/>
              <w:rPr>
                <w:rFonts w:cstheme="minorHAnsi"/>
                <w:bCs/>
                <w:color w:val="auto"/>
                <w:sz w:val="18"/>
                <w:szCs w:val="18"/>
              </w:rPr>
            </w:pPr>
            <w:r w:rsidRPr="00781029">
              <w:rPr>
                <w:rFonts w:cstheme="minorHAnsi"/>
                <w:bCs/>
                <w:color w:val="auto"/>
                <w:sz w:val="18"/>
                <w:szCs w:val="18"/>
              </w:rPr>
              <w:t>2</w:t>
            </w:r>
          </w:p>
        </w:tc>
        <w:tc>
          <w:tcPr>
            <w:tcW w:w="1730" w:type="dxa"/>
            <w:shd w:val="clear" w:color="auto" w:fill="FFFFFF" w:themeFill="background1"/>
            <w:noWrap/>
            <w:hideMark/>
          </w:tcPr>
          <w:p w14:paraId="4F6CD302" w14:textId="77777777" w:rsidR="000F4F90" w:rsidRPr="00781029" w:rsidRDefault="000F4F90" w:rsidP="007E4882">
            <w:pPr>
              <w:spacing w:after="0" w:line="240" w:lineRule="auto"/>
              <w:rPr>
                <w:rFonts w:cstheme="minorHAnsi"/>
                <w:bCs/>
                <w:color w:val="auto"/>
                <w:sz w:val="18"/>
                <w:szCs w:val="18"/>
              </w:rPr>
            </w:pPr>
            <w:r w:rsidRPr="00781029">
              <w:rPr>
                <w:rFonts w:cstheme="minorHAnsi"/>
                <w:bCs/>
                <w:color w:val="auto"/>
                <w:sz w:val="18"/>
                <w:szCs w:val="18"/>
              </w:rPr>
              <w:t xml:space="preserve">Ειδικοί φόροι κατανάλωσης - ΕΦΚ </w:t>
            </w:r>
          </w:p>
        </w:tc>
        <w:tc>
          <w:tcPr>
            <w:tcW w:w="837" w:type="dxa"/>
            <w:shd w:val="clear" w:color="auto" w:fill="FFFFFF" w:themeFill="background1"/>
            <w:noWrap/>
            <w:hideMark/>
          </w:tcPr>
          <w:p w14:paraId="1CE7C0AE" w14:textId="77777777" w:rsidR="000F4F90" w:rsidRPr="00781029" w:rsidRDefault="000F4F90" w:rsidP="007E4882">
            <w:pPr>
              <w:spacing w:after="0" w:line="240" w:lineRule="auto"/>
              <w:rPr>
                <w:rFonts w:cstheme="minorHAnsi"/>
                <w:bCs/>
                <w:color w:val="auto"/>
                <w:sz w:val="18"/>
                <w:szCs w:val="18"/>
              </w:rPr>
            </w:pPr>
            <w:r w:rsidRPr="00781029">
              <w:rPr>
                <w:rFonts w:cstheme="minorHAnsi"/>
                <w:bCs/>
                <w:color w:val="auto"/>
                <w:sz w:val="18"/>
                <w:szCs w:val="18"/>
              </w:rPr>
              <w:t>1.556</w:t>
            </w:r>
          </w:p>
        </w:tc>
        <w:tc>
          <w:tcPr>
            <w:tcW w:w="837" w:type="dxa"/>
            <w:shd w:val="clear" w:color="auto" w:fill="FFFFFF" w:themeFill="background1"/>
            <w:noWrap/>
            <w:hideMark/>
          </w:tcPr>
          <w:p w14:paraId="01D79B99" w14:textId="77777777" w:rsidR="000F4F90" w:rsidRPr="00781029" w:rsidRDefault="000F4F90" w:rsidP="007E4882">
            <w:pPr>
              <w:spacing w:after="0" w:line="240" w:lineRule="auto"/>
              <w:rPr>
                <w:rFonts w:cstheme="minorHAnsi"/>
                <w:bCs/>
                <w:color w:val="auto"/>
                <w:sz w:val="18"/>
                <w:szCs w:val="18"/>
              </w:rPr>
            </w:pPr>
            <w:r w:rsidRPr="00781029">
              <w:rPr>
                <w:rFonts w:cstheme="minorHAnsi"/>
                <w:bCs/>
                <w:color w:val="auto"/>
                <w:sz w:val="18"/>
                <w:szCs w:val="18"/>
              </w:rPr>
              <w:t>1.361</w:t>
            </w:r>
          </w:p>
        </w:tc>
        <w:tc>
          <w:tcPr>
            <w:tcW w:w="1049" w:type="dxa"/>
            <w:shd w:val="clear" w:color="auto" w:fill="FFFFFF" w:themeFill="background1"/>
            <w:noWrap/>
            <w:hideMark/>
          </w:tcPr>
          <w:p w14:paraId="4778DB87" w14:textId="77777777" w:rsidR="000F4F90" w:rsidRPr="00781029" w:rsidRDefault="000F4F90" w:rsidP="007E4882">
            <w:pPr>
              <w:spacing w:after="0" w:line="240" w:lineRule="auto"/>
              <w:rPr>
                <w:rFonts w:cstheme="minorHAnsi"/>
                <w:bCs/>
                <w:color w:val="auto"/>
                <w:sz w:val="18"/>
                <w:szCs w:val="18"/>
              </w:rPr>
            </w:pPr>
            <w:r w:rsidRPr="00781029">
              <w:rPr>
                <w:rFonts w:cstheme="minorHAnsi"/>
                <w:bCs/>
                <w:color w:val="auto"/>
                <w:sz w:val="18"/>
                <w:szCs w:val="18"/>
              </w:rPr>
              <w:t>1.499</w:t>
            </w:r>
          </w:p>
        </w:tc>
        <w:tc>
          <w:tcPr>
            <w:tcW w:w="675" w:type="dxa"/>
            <w:shd w:val="clear" w:color="auto" w:fill="FFFFFF" w:themeFill="background1"/>
            <w:noWrap/>
            <w:hideMark/>
          </w:tcPr>
          <w:p w14:paraId="028AA490" w14:textId="77777777" w:rsidR="000F4F90" w:rsidRPr="00781029" w:rsidRDefault="000F4F90" w:rsidP="007E4882">
            <w:pPr>
              <w:spacing w:after="0" w:line="240" w:lineRule="auto"/>
              <w:rPr>
                <w:rFonts w:cstheme="minorHAnsi"/>
                <w:bCs/>
                <w:color w:val="auto"/>
                <w:sz w:val="18"/>
                <w:szCs w:val="18"/>
              </w:rPr>
            </w:pPr>
            <w:r w:rsidRPr="00781029">
              <w:rPr>
                <w:rFonts w:cstheme="minorHAnsi"/>
                <w:bCs/>
                <w:color w:val="auto"/>
                <w:sz w:val="18"/>
                <w:szCs w:val="18"/>
              </w:rPr>
              <w:t>-195</w:t>
            </w:r>
          </w:p>
        </w:tc>
        <w:tc>
          <w:tcPr>
            <w:tcW w:w="896" w:type="dxa"/>
            <w:shd w:val="clear" w:color="auto" w:fill="FFFFFF" w:themeFill="background1"/>
            <w:noWrap/>
            <w:hideMark/>
          </w:tcPr>
          <w:p w14:paraId="1BD7DC9D" w14:textId="77777777" w:rsidR="000F4F90" w:rsidRPr="00781029" w:rsidRDefault="000F4F90" w:rsidP="007E4882">
            <w:pPr>
              <w:spacing w:after="0" w:line="240" w:lineRule="auto"/>
              <w:rPr>
                <w:rFonts w:cstheme="minorHAnsi"/>
                <w:bCs/>
                <w:color w:val="auto"/>
                <w:sz w:val="18"/>
                <w:szCs w:val="18"/>
              </w:rPr>
            </w:pPr>
            <w:r w:rsidRPr="00781029">
              <w:rPr>
                <w:rFonts w:cstheme="minorHAnsi"/>
                <w:bCs/>
                <w:color w:val="auto"/>
                <w:sz w:val="18"/>
                <w:szCs w:val="18"/>
              </w:rPr>
              <w:t>-138</w:t>
            </w:r>
          </w:p>
        </w:tc>
        <w:tc>
          <w:tcPr>
            <w:tcW w:w="792" w:type="dxa"/>
            <w:shd w:val="clear" w:color="auto" w:fill="FFFFFF" w:themeFill="background1"/>
            <w:noWrap/>
            <w:hideMark/>
          </w:tcPr>
          <w:p w14:paraId="433744A2" w14:textId="77777777" w:rsidR="000F4F90" w:rsidRPr="00781029" w:rsidRDefault="000F4F90" w:rsidP="007E4882">
            <w:pPr>
              <w:spacing w:after="0" w:line="240" w:lineRule="auto"/>
              <w:rPr>
                <w:rFonts w:cstheme="minorHAnsi"/>
                <w:bCs/>
                <w:color w:val="auto"/>
                <w:sz w:val="18"/>
                <w:szCs w:val="18"/>
              </w:rPr>
            </w:pPr>
            <w:r w:rsidRPr="00781029">
              <w:rPr>
                <w:rFonts w:cstheme="minorHAnsi"/>
                <w:bCs/>
                <w:color w:val="auto"/>
                <w:sz w:val="18"/>
                <w:szCs w:val="18"/>
              </w:rPr>
              <w:t>-12,5%</w:t>
            </w:r>
          </w:p>
        </w:tc>
        <w:tc>
          <w:tcPr>
            <w:tcW w:w="896" w:type="dxa"/>
            <w:shd w:val="clear" w:color="auto" w:fill="FFFFFF" w:themeFill="background1"/>
            <w:noWrap/>
            <w:hideMark/>
          </w:tcPr>
          <w:p w14:paraId="3A50E447" w14:textId="77777777" w:rsidR="000F4F90" w:rsidRPr="00781029" w:rsidRDefault="000F4F90" w:rsidP="007E4882">
            <w:pPr>
              <w:spacing w:after="0" w:line="240" w:lineRule="auto"/>
              <w:rPr>
                <w:rFonts w:cstheme="minorHAnsi"/>
                <w:bCs/>
                <w:color w:val="auto"/>
                <w:sz w:val="18"/>
                <w:szCs w:val="18"/>
              </w:rPr>
            </w:pPr>
            <w:r w:rsidRPr="00781029">
              <w:rPr>
                <w:rFonts w:cstheme="minorHAnsi"/>
                <w:bCs/>
                <w:color w:val="auto"/>
                <w:sz w:val="18"/>
                <w:szCs w:val="18"/>
              </w:rPr>
              <w:t>-9,2%</w:t>
            </w:r>
          </w:p>
        </w:tc>
      </w:tr>
      <w:tr w:rsidR="005E59F2" w:rsidRPr="007E4882" w14:paraId="3CC575AB" w14:textId="77777777" w:rsidTr="005E59F2">
        <w:trPr>
          <w:trHeight w:val="184"/>
        </w:trPr>
        <w:tc>
          <w:tcPr>
            <w:tcW w:w="603" w:type="dxa"/>
            <w:shd w:val="clear" w:color="auto" w:fill="FFFFFF" w:themeFill="background1"/>
            <w:noWrap/>
            <w:hideMark/>
          </w:tcPr>
          <w:p w14:paraId="0A97421C" w14:textId="77777777" w:rsidR="000F4F90" w:rsidRPr="00781029" w:rsidRDefault="000F4F90" w:rsidP="007E4882">
            <w:pPr>
              <w:spacing w:after="0" w:line="240" w:lineRule="auto"/>
              <w:rPr>
                <w:rFonts w:cstheme="minorHAnsi"/>
                <w:bCs/>
                <w:color w:val="auto"/>
                <w:sz w:val="18"/>
                <w:szCs w:val="18"/>
              </w:rPr>
            </w:pPr>
            <w:r w:rsidRPr="00781029">
              <w:rPr>
                <w:rFonts w:cstheme="minorHAnsi"/>
                <w:bCs/>
                <w:color w:val="auto"/>
                <w:sz w:val="18"/>
                <w:szCs w:val="18"/>
              </w:rPr>
              <w:t>3</w:t>
            </w:r>
          </w:p>
        </w:tc>
        <w:tc>
          <w:tcPr>
            <w:tcW w:w="1730" w:type="dxa"/>
            <w:shd w:val="clear" w:color="auto" w:fill="FFFFFF" w:themeFill="background1"/>
            <w:noWrap/>
            <w:hideMark/>
          </w:tcPr>
          <w:p w14:paraId="67CFD53B" w14:textId="77777777" w:rsidR="000F4F90" w:rsidRPr="00781029" w:rsidRDefault="000F4F90" w:rsidP="007E4882">
            <w:pPr>
              <w:spacing w:after="0" w:line="240" w:lineRule="auto"/>
              <w:rPr>
                <w:rFonts w:cstheme="minorHAnsi"/>
                <w:bCs/>
                <w:color w:val="auto"/>
                <w:sz w:val="18"/>
                <w:szCs w:val="18"/>
              </w:rPr>
            </w:pPr>
            <w:r w:rsidRPr="00781029">
              <w:rPr>
                <w:rFonts w:cstheme="minorHAnsi"/>
                <w:bCs/>
                <w:color w:val="auto"/>
                <w:sz w:val="18"/>
                <w:szCs w:val="18"/>
              </w:rPr>
              <w:t>Λοιποί φόροι επί αγαθών και υπηρεσιών</w:t>
            </w:r>
          </w:p>
        </w:tc>
        <w:tc>
          <w:tcPr>
            <w:tcW w:w="837" w:type="dxa"/>
            <w:shd w:val="clear" w:color="auto" w:fill="FFFFFF" w:themeFill="background1"/>
            <w:noWrap/>
            <w:hideMark/>
          </w:tcPr>
          <w:p w14:paraId="2B3426F4" w14:textId="77777777" w:rsidR="000F4F90" w:rsidRPr="00781029" w:rsidRDefault="000F4F90" w:rsidP="007E4882">
            <w:pPr>
              <w:spacing w:after="0" w:line="240" w:lineRule="auto"/>
              <w:rPr>
                <w:rFonts w:cstheme="minorHAnsi"/>
                <w:bCs/>
                <w:color w:val="auto"/>
                <w:sz w:val="18"/>
                <w:szCs w:val="18"/>
              </w:rPr>
            </w:pPr>
            <w:r w:rsidRPr="00781029">
              <w:rPr>
                <w:rFonts w:cstheme="minorHAnsi"/>
                <w:bCs/>
                <w:color w:val="auto"/>
                <w:sz w:val="18"/>
                <w:szCs w:val="18"/>
              </w:rPr>
              <w:t>696</w:t>
            </w:r>
          </w:p>
        </w:tc>
        <w:tc>
          <w:tcPr>
            <w:tcW w:w="837" w:type="dxa"/>
            <w:shd w:val="clear" w:color="auto" w:fill="FFFFFF" w:themeFill="background1"/>
            <w:noWrap/>
            <w:hideMark/>
          </w:tcPr>
          <w:p w14:paraId="0AC73569" w14:textId="77777777" w:rsidR="000F4F90" w:rsidRPr="00781029" w:rsidRDefault="000F4F90" w:rsidP="007E4882">
            <w:pPr>
              <w:spacing w:after="0" w:line="240" w:lineRule="auto"/>
              <w:rPr>
                <w:rFonts w:cstheme="minorHAnsi"/>
                <w:bCs/>
                <w:color w:val="auto"/>
                <w:sz w:val="18"/>
                <w:szCs w:val="18"/>
              </w:rPr>
            </w:pPr>
            <w:r w:rsidRPr="00781029">
              <w:rPr>
                <w:rFonts w:cstheme="minorHAnsi"/>
                <w:bCs/>
                <w:color w:val="auto"/>
                <w:sz w:val="18"/>
                <w:szCs w:val="18"/>
              </w:rPr>
              <w:t>575</w:t>
            </w:r>
          </w:p>
        </w:tc>
        <w:tc>
          <w:tcPr>
            <w:tcW w:w="1049" w:type="dxa"/>
            <w:shd w:val="clear" w:color="auto" w:fill="FFFFFF" w:themeFill="background1"/>
            <w:noWrap/>
            <w:hideMark/>
          </w:tcPr>
          <w:p w14:paraId="1758BDA9" w14:textId="77777777" w:rsidR="000F4F90" w:rsidRPr="00781029" w:rsidRDefault="000F4F90" w:rsidP="007E4882">
            <w:pPr>
              <w:spacing w:after="0" w:line="240" w:lineRule="auto"/>
              <w:rPr>
                <w:rFonts w:cstheme="minorHAnsi"/>
                <w:bCs/>
                <w:color w:val="auto"/>
                <w:sz w:val="18"/>
                <w:szCs w:val="18"/>
              </w:rPr>
            </w:pPr>
            <w:r w:rsidRPr="00781029">
              <w:rPr>
                <w:rFonts w:cstheme="minorHAnsi"/>
                <w:bCs/>
                <w:color w:val="auto"/>
                <w:sz w:val="18"/>
                <w:szCs w:val="18"/>
              </w:rPr>
              <w:t>549</w:t>
            </w:r>
          </w:p>
        </w:tc>
        <w:tc>
          <w:tcPr>
            <w:tcW w:w="675" w:type="dxa"/>
            <w:shd w:val="clear" w:color="auto" w:fill="FFFFFF" w:themeFill="background1"/>
            <w:noWrap/>
            <w:hideMark/>
          </w:tcPr>
          <w:p w14:paraId="4270BEEE" w14:textId="77777777" w:rsidR="000F4F90" w:rsidRPr="00781029" w:rsidRDefault="000F4F90" w:rsidP="007E4882">
            <w:pPr>
              <w:spacing w:after="0" w:line="240" w:lineRule="auto"/>
              <w:rPr>
                <w:rFonts w:cstheme="minorHAnsi"/>
                <w:bCs/>
                <w:color w:val="auto"/>
                <w:sz w:val="18"/>
                <w:szCs w:val="18"/>
              </w:rPr>
            </w:pPr>
            <w:r w:rsidRPr="00781029">
              <w:rPr>
                <w:rFonts w:cstheme="minorHAnsi"/>
                <w:bCs/>
                <w:color w:val="auto"/>
                <w:sz w:val="18"/>
                <w:szCs w:val="18"/>
              </w:rPr>
              <w:t>-121</w:t>
            </w:r>
          </w:p>
        </w:tc>
        <w:tc>
          <w:tcPr>
            <w:tcW w:w="896" w:type="dxa"/>
            <w:shd w:val="clear" w:color="auto" w:fill="FFFFFF" w:themeFill="background1"/>
            <w:noWrap/>
            <w:hideMark/>
          </w:tcPr>
          <w:p w14:paraId="7A5995B0" w14:textId="77777777" w:rsidR="000F4F90" w:rsidRPr="00781029" w:rsidRDefault="000F4F90" w:rsidP="007E4882">
            <w:pPr>
              <w:spacing w:after="0" w:line="240" w:lineRule="auto"/>
              <w:rPr>
                <w:rFonts w:cstheme="minorHAnsi"/>
                <w:color w:val="auto"/>
                <w:sz w:val="18"/>
                <w:szCs w:val="18"/>
              </w:rPr>
            </w:pPr>
            <w:r w:rsidRPr="00781029">
              <w:rPr>
                <w:rFonts w:cstheme="minorHAnsi"/>
                <w:color w:val="auto"/>
                <w:sz w:val="18"/>
                <w:szCs w:val="18"/>
              </w:rPr>
              <w:t>26</w:t>
            </w:r>
          </w:p>
        </w:tc>
        <w:tc>
          <w:tcPr>
            <w:tcW w:w="792" w:type="dxa"/>
            <w:shd w:val="clear" w:color="auto" w:fill="FFFFFF" w:themeFill="background1"/>
            <w:noWrap/>
            <w:hideMark/>
          </w:tcPr>
          <w:p w14:paraId="59D069FC" w14:textId="77777777" w:rsidR="000F4F90" w:rsidRPr="00781029" w:rsidRDefault="000F4F90" w:rsidP="007E4882">
            <w:pPr>
              <w:spacing w:after="0" w:line="240" w:lineRule="auto"/>
              <w:rPr>
                <w:rFonts w:cstheme="minorHAnsi"/>
                <w:bCs/>
                <w:color w:val="auto"/>
                <w:sz w:val="18"/>
                <w:szCs w:val="18"/>
              </w:rPr>
            </w:pPr>
            <w:r w:rsidRPr="00781029">
              <w:rPr>
                <w:rFonts w:cstheme="minorHAnsi"/>
                <w:bCs/>
                <w:color w:val="auto"/>
                <w:sz w:val="18"/>
                <w:szCs w:val="18"/>
              </w:rPr>
              <w:t>-17,4%</w:t>
            </w:r>
          </w:p>
        </w:tc>
        <w:tc>
          <w:tcPr>
            <w:tcW w:w="896" w:type="dxa"/>
            <w:shd w:val="clear" w:color="auto" w:fill="FFFFFF" w:themeFill="background1"/>
            <w:noWrap/>
            <w:hideMark/>
          </w:tcPr>
          <w:p w14:paraId="2B7EDBDD" w14:textId="77777777" w:rsidR="000F4F90" w:rsidRPr="00781029" w:rsidRDefault="000F4F90" w:rsidP="007E4882">
            <w:pPr>
              <w:spacing w:after="0" w:line="240" w:lineRule="auto"/>
              <w:rPr>
                <w:rFonts w:cstheme="minorHAnsi"/>
                <w:bCs/>
                <w:color w:val="auto"/>
                <w:sz w:val="18"/>
                <w:szCs w:val="18"/>
              </w:rPr>
            </w:pPr>
            <w:r w:rsidRPr="00781029">
              <w:rPr>
                <w:rFonts w:cstheme="minorHAnsi"/>
                <w:bCs/>
                <w:color w:val="auto"/>
                <w:sz w:val="18"/>
                <w:szCs w:val="18"/>
              </w:rPr>
              <w:t>4,7%</w:t>
            </w:r>
          </w:p>
        </w:tc>
      </w:tr>
      <w:tr w:rsidR="005E59F2" w:rsidRPr="007E4882" w14:paraId="3143D4B0" w14:textId="77777777" w:rsidTr="005E59F2">
        <w:trPr>
          <w:trHeight w:val="184"/>
        </w:trPr>
        <w:tc>
          <w:tcPr>
            <w:tcW w:w="603" w:type="dxa"/>
            <w:shd w:val="clear" w:color="auto" w:fill="F2F2F2" w:themeFill="background1" w:themeFillShade="F2"/>
            <w:noWrap/>
            <w:hideMark/>
          </w:tcPr>
          <w:p w14:paraId="7E3FE66D" w14:textId="77777777" w:rsidR="000F4F90" w:rsidRPr="007E4882" w:rsidRDefault="000F4F90" w:rsidP="007E4882">
            <w:pPr>
              <w:spacing w:after="0" w:line="240" w:lineRule="auto"/>
              <w:rPr>
                <w:rFonts w:cstheme="minorHAnsi"/>
                <w:b/>
                <w:bCs/>
                <w:color w:val="auto"/>
                <w:sz w:val="18"/>
                <w:szCs w:val="18"/>
              </w:rPr>
            </w:pPr>
            <w:r w:rsidRPr="007E4882">
              <w:rPr>
                <w:rFonts w:cstheme="minorHAnsi"/>
                <w:b/>
                <w:bCs/>
                <w:color w:val="auto"/>
                <w:sz w:val="18"/>
                <w:szCs w:val="18"/>
              </w:rPr>
              <w:t>B.</w:t>
            </w:r>
          </w:p>
        </w:tc>
        <w:tc>
          <w:tcPr>
            <w:tcW w:w="1730" w:type="dxa"/>
            <w:shd w:val="clear" w:color="auto" w:fill="F2F2F2" w:themeFill="background1" w:themeFillShade="F2"/>
            <w:noWrap/>
            <w:hideMark/>
          </w:tcPr>
          <w:p w14:paraId="7477E479" w14:textId="77777777" w:rsidR="000F4F90" w:rsidRPr="007E4882" w:rsidRDefault="000F4F90" w:rsidP="007E4882">
            <w:pPr>
              <w:spacing w:after="0" w:line="240" w:lineRule="auto"/>
              <w:rPr>
                <w:rFonts w:cstheme="minorHAnsi"/>
                <w:b/>
                <w:bCs/>
                <w:color w:val="auto"/>
                <w:sz w:val="18"/>
                <w:szCs w:val="18"/>
              </w:rPr>
            </w:pPr>
            <w:r w:rsidRPr="007E4882">
              <w:rPr>
                <w:rFonts w:cstheme="minorHAnsi"/>
                <w:b/>
                <w:bCs/>
                <w:color w:val="auto"/>
                <w:sz w:val="18"/>
                <w:szCs w:val="18"/>
              </w:rPr>
              <w:t>Φόροι και δασμοί επί εισαγωγών</w:t>
            </w:r>
          </w:p>
        </w:tc>
        <w:tc>
          <w:tcPr>
            <w:tcW w:w="837" w:type="dxa"/>
            <w:shd w:val="clear" w:color="auto" w:fill="F2F2F2" w:themeFill="background1" w:themeFillShade="F2"/>
            <w:noWrap/>
            <w:hideMark/>
          </w:tcPr>
          <w:p w14:paraId="3684DFFB" w14:textId="77777777" w:rsidR="000F4F90" w:rsidRPr="007E4882" w:rsidRDefault="000F4F90" w:rsidP="007E4882">
            <w:pPr>
              <w:spacing w:after="0" w:line="240" w:lineRule="auto"/>
              <w:rPr>
                <w:rFonts w:cstheme="minorHAnsi"/>
                <w:b/>
                <w:bCs/>
                <w:color w:val="auto"/>
                <w:sz w:val="18"/>
                <w:szCs w:val="18"/>
              </w:rPr>
            </w:pPr>
            <w:r w:rsidRPr="007E4882">
              <w:rPr>
                <w:rFonts w:cstheme="minorHAnsi"/>
                <w:b/>
                <w:bCs/>
                <w:color w:val="auto"/>
                <w:sz w:val="18"/>
                <w:szCs w:val="18"/>
              </w:rPr>
              <w:t>70</w:t>
            </w:r>
          </w:p>
        </w:tc>
        <w:tc>
          <w:tcPr>
            <w:tcW w:w="837" w:type="dxa"/>
            <w:shd w:val="clear" w:color="auto" w:fill="F2F2F2" w:themeFill="background1" w:themeFillShade="F2"/>
            <w:noWrap/>
            <w:hideMark/>
          </w:tcPr>
          <w:p w14:paraId="22917AED" w14:textId="77777777" w:rsidR="000F4F90" w:rsidRPr="007E4882" w:rsidRDefault="000F4F90" w:rsidP="007E4882">
            <w:pPr>
              <w:spacing w:after="0" w:line="240" w:lineRule="auto"/>
              <w:rPr>
                <w:rFonts w:cstheme="minorHAnsi"/>
                <w:b/>
                <w:bCs/>
                <w:color w:val="auto"/>
                <w:sz w:val="18"/>
                <w:szCs w:val="18"/>
              </w:rPr>
            </w:pPr>
            <w:r w:rsidRPr="007E4882">
              <w:rPr>
                <w:rFonts w:cstheme="minorHAnsi"/>
                <w:b/>
                <w:bCs/>
                <w:color w:val="auto"/>
                <w:sz w:val="18"/>
                <w:szCs w:val="18"/>
              </w:rPr>
              <w:t>65</w:t>
            </w:r>
          </w:p>
        </w:tc>
        <w:tc>
          <w:tcPr>
            <w:tcW w:w="1049" w:type="dxa"/>
            <w:shd w:val="clear" w:color="auto" w:fill="F2F2F2" w:themeFill="background1" w:themeFillShade="F2"/>
            <w:noWrap/>
            <w:hideMark/>
          </w:tcPr>
          <w:p w14:paraId="4225884D" w14:textId="77777777" w:rsidR="000F4F90" w:rsidRPr="007E4882" w:rsidRDefault="000F4F90" w:rsidP="007E4882">
            <w:pPr>
              <w:spacing w:after="0" w:line="240" w:lineRule="auto"/>
              <w:rPr>
                <w:rFonts w:cstheme="minorHAnsi"/>
                <w:b/>
                <w:bCs/>
                <w:color w:val="auto"/>
                <w:sz w:val="18"/>
                <w:szCs w:val="18"/>
              </w:rPr>
            </w:pPr>
            <w:r w:rsidRPr="007E4882">
              <w:rPr>
                <w:rFonts w:cstheme="minorHAnsi"/>
                <w:b/>
                <w:bCs/>
                <w:color w:val="auto"/>
                <w:sz w:val="18"/>
                <w:szCs w:val="18"/>
              </w:rPr>
              <w:t>84</w:t>
            </w:r>
          </w:p>
        </w:tc>
        <w:tc>
          <w:tcPr>
            <w:tcW w:w="675" w:type="dxa"/>
            <w:shd w:val="clear" w:color="auto" w:fill="F2F2F2" w:themeFill="background1" w:themeFillShade="F2"/>
            <w:noWrap/>
            <w:hideMark/>
          </w:tcPr>
          <w:p w14:paraId="34EAC046" w14:textId="77777777" w:rsidR="000F4F90" w:rsidRPr="007E4882" w:rsidRDefault="000F4F90" w:rsidP="007E4882">
            <w:pPr>
              <w:spacing w:after="0" w:line="240" w:lineRule="auto"/>
              <w:rPr>
                <w:rFonts w:cstheme="minorHAnsi"/>
                <w:b/>
                <w:bCs/>
                <w:color w:val="auto"/>
                <w:sz w:val="18"/>
                <w:szCs w:val="18"/>
              </w:rPr>
            </w:pPr>
            <w:r w:rsidRPr="007E4882">
              <w:rPr>
                <w:rFonts w:cstheme="minorHAnsi"/>
                <w:b/>
                <w:bCs/>
                <w:color w:val="auto"/>
                <w:sz w:val="18"/>
                <w:szCs w:val="18"/>
              </w:rPr>
              <w:t>-5</w:t>
            </w:r>
          </w:p>
        </w:tc>
        <w:tc>
          <w:tcPr>
            <w:tcW w:w="896" w:type="dxa"/>
            <w:shd w:val="clear" w:color="auto" w:fill="F2F2F2" w:themeFill="background1" w:themeFillShade="F2"/>
            <w:noWrap/>
            <w:hideMark/>
          </w:tcPr>
          <w:p w14:paraId="2CDF1027" w14:textId="77777777" w:rsidR="000F4F90" w:rsidRPr="007E4882" w:rsidRDefault="000F4F90" w:rsidP="007E4882">
            <w:pPr>
              <w:spacing w:after="0" w:line="240" w:lineRule="auto"/>
              <w:rPr>
                <w:rFonts w:cstheme="minorHAnsi"/>
                <w:b/>
                <w:bCs/>
                <w:color w:val="auto"/>
                <w:sz w:val="18"/>
                <w:szCs w:val="18"/>
              </w:rPr>
            </w:pPr>
            <w:r w:rsidRPr="007E4882">
              <w:rPr>
                <w:rFonts w:cstheme="minorHAnsi"/>
                <w:b/>
                <w:bCs/>
                <w:color w:val="auto"/>
                <w:sz w:val="18"/>
                <w:szCs w:val="18"/>
              </w:rPr>
              <w:t>-19</w:t>
            </w:r>
          </w:p>
        </w:tc>
        <w:tc>
          <w:tcPr>
            <w:tcW w:w="792" w:type="dxa"/>
            <w:shd w:val="clear" w:color="auto" w:fill="F2F2F2" w:themeFill="background1" w:themeFillShade="F2"/>
            <w:noWrap/>
            <w:hideMark/>
          </w:tcPr>
          <w:p w14:paraId="047B7007" w14:textId="77777777" w:rsidR="000F4F90" w:rsidRPr="007E4882" w:rsidRDefault="000F4F90" w:rsidP="007E4882">
            <w:pPr>
              <w:spacing w:after="0" w:line="240" w:lineRule="auto"/>
              <w:rPr>
                <w:rFonts w:cstheme="minorHAnsi"/>
                <w:b/>
                <w:bCs/>
                <w:color w:val="auto"/>
                <w:sz w:val="18"/>
                <w:szCs w:val="18"/>
              </w:rPr>
            </w:pPr>
            <w:r w:rsidRPr="007E4882">
              <w:rPr>
                <w:rFonts w:cstheme="minorHAnsi"/>
                <w:b/>
                <w:bCs/>
                <w:color w:val="auto"/>
                <w:sz w:val="18"/>
                <w:szCs w:val="18"/>
              </w:rPr>
              <w:t>-7,1%</w:t>
            </w:r>
          </w:p>
        </w:tc>
        <w:tc>
          <w:tcPr>
            <w:tcW w:w="896" w:type="dxa"/>
            <w:shd w:val="clear" w:color="auto" w:fill="F2F2F2" w:themeFill="background1" w:themeFillShade="F2"/>
            <w:noWrap/>
            <w:hideMark/>
          </w:tcPr>
          <w:p w14:paraId="0E857771" w14:textId="77777777" w:rsidR="000F4F90" w:rsidRPr="007E4882" w:rsidRDefault="000F4F90" w:rsidP="007E4882">
            <w:pPr>
              <w:spacing w:after="0" w:line="240" w:lineRule="auto"/>
              <w:rPr>
                <w:rFonts w:cstheme="minorHAnsi"/>
                <w:b/>
                <w:bCs/>
                <w:color w:val="auto"/>
                <w:sz w:val="18"/>
                <w:szCs w:val="18"/>
              </w:rPr>
            </w:pPr>
            <w:r w:rsidRPr="007E4882">
              <w:rPr>
                <w:rFonts w:cstheme="minorHAnsi"/>
                <w:b/>
                <w:bCs/>
                <w:color w:val="auto"/>
                <w:sz w:val="18"/>
                <w:szCs w:val="18"/>
              </w:rPr>
              <w:t>-22,6%</w:t>
            </w:r>
          </w:p>
        </w:tc>
      </w:tr>
      <w:tr w:rsidR="005E59F2" w:rsidRPr="007E4882" w14:paraId="743D457B" w14:textId="77777777" w:rsidTr="005E59F2">
        <w:trPr>
          <w:trHeight w:val="184"/>
        </w:trPr>
        <w:tc>
          <w:tcPr>
            <w:tcW w:w="603" w:type="dxa"/>
            <w:shd w:val="clear" w:color="auto" w:fill="F2F2F2" w:themeFill="background1" w:themeFillShade="F2"/>
            <w:noWrap/>
            <w:hideMark/>
          </w:tcPr>
          <w:p w14:paraId="124324FA" w14:textId="77777777" w:rsidR="000F4F90" w:rsidRPr="007E4882" w:rsidRDefault="000F4F90" w:rsidP="007E4882">
            <w:pPr>
              <w:spacing w:after="0" w:line="240" w:lineRule="auto"/>
              <w:rPr>
                <w:rFonts w:cstheme="minorHAnsi"/>
                <w:b/>
                <w:bCs/>
                <w:color w:val="auto"/>
                <w:sz w:val="18"/>
                <w:szCs w:val="18"/>
              </w:rPr>
            </w:pPr>
            <w:r w:rsidRPr="007E4882">
              <w:rPr>
                <w:rFonts w:cstheme="minorHAnsi"/>
                <w:b/>
                <w:bCs/>
                <w:color w:val="auto"/>
                <w:sz w:val="18"/>
                <w:szCs w:val="18"/>
              </w:rPr>
              <w:t>Γ.</w:t>
            </w:r>
          </w:p>
        </w:tc>
        <w:tc>
          <w:tcPr>
            <w:tcW w:w="1730" w:type="dxa"/>
            <w:shd w:val="clear" w:color="auto" w:fill="F2F2F2" w:themeFill="background1" w:themeFillShade="F2"/>
            <w:noWrap/>
            <w:hideMark/>
          </w:tcPr>
          <w:p w14:paraId="34EE57C6" w14:textId="77777777" w:rsidR="000F4F90" w:rsidRPr="007E4882" w:rsidRDefault="000F4F90" w:rsidP="007E4882">
            <w:pPr>
              <w:spacing w:after="0" w:line="240" w:lineRule="auto"/>
              <w:rPr>
                <w:rFonts w:cstheme="minorHAnsi"/>
                <w:b/>
                <w:bCs/>
                <w:color w:val="auto"/>
                <w:sz w:val="18"/>
                <w:szCs w:val="18"/>
              </w:rPr>
            </w:pPr>
            <w:r w:rsidRPr="007E4882">
              <w:rPr>
                <w:rFonts w:cstheme="minorHAnsi"/>
                <w:b/>
                <w:bCs/>
                <w:color w:val="auto"/>
                <w:sz w:val="18"/>
                <w:szCs w:val="18"/>
              </w:rPr>
              <w:t>Τακτικοί φόροι ακίνητης περιουσίας</w:t>
            </w:r>
          </w:p>
        </w:tc>
        <w:tc>
          <w:tcPr>
            <w:tcW w:w="837" w:type="dxa"/>
            <w:shd w:val="clear" w:color="auto" w:fill="F2F2F2" w:themeFill="background1" w:themeFillShade="F2"/>
            <w:noWrap/>
            <w:hideMark/>
          </w:tcPr>
          <w:p w14:paraId="36AA0F50" w14:textId="77777777" w:rsidR="000F4F90" w:rsidRPr="007E4882" w:rsidRDefault="000F4F90" w:rsidP="007E4882">
            <w:pPr>
              <w:spacing w:after="0" w:line="240" w:lineRule="auto"/>
              <w:rPr>
                <w:rFonts w:cstheme="minorHAnsi"/>
                <w:b/>
                <w:bCs/>
                <w:color w:val="auto"/>
                <w:sz w:val="18"/>
                <w:szCs w:val="18"/>
              </w:rPr>
            </w:pPr>
            <w:r w:rsidRPr="007E4882">
              <w:rPr>
                <w:rFonts w:cstheme="minorHAnsi"/>
                <w:b/>
                <w:bCs/>
                <w:color w:val="auto"/>
                <w:sz w:val="18"/>
                <w:szCs w:val="18"/>
              </w:rPr>
              <w:t>369</w:t>
            </w:r>
          </w:p>
        </w:tc>
        <w:tc>
          <w:tcPr>
            <w:tcW w:w="837" w:type="dxa"/>
            <w:shd w:val="clear" w:color="auto" w:fill="F2F2F2" w:themeFill="background1" w:themeFillShade="F2"/>
            <w:noWrap/>
            <w:hideMark/>
          </w:tcPr>
          <w:p w14:paraId="351A355F" w14:textId="77777777" w:rsidR="000F4F90" w:rsidRPr="007E4882" w:rsidRDefault="000F4F90" w:rsidP="007E4882">
            <w:pPr>
              <w:spacing w:after="0" w:line="240" w:lineRule="auto"/>
              <w:rPr>
                <w:rFonts w:cstheme="minorHAnsi"/>
                <w:b/>
                <w:bCs/>
                <w:color w:val="auto"/>
                <w:sz w:val="18"/>
                <w:szCs w:val="18"/>
              </w:rPr>
            </w:pPr>
            <w:r w:rsidRPr="007E4882">
              <w:rPr>
                <w:rFonts w:cstheme="minorHAnsi"/>
                <w:b/>
                <w:bCs/>
                <w:color w:val="auto"/>
                <w:sz w:val="18"/>
                <w:szCs w:val="18"/>
              </w:rPr>
              <w:t>491</w:t>
            </w:r>
          </w:p>
        </w:tc>
        <w:tc>
          <w:tcPr>
            <w:tcW w:w="1049" w:type="dxa"/>
            <w:shd w:val="clear" w:color="auto" w:fill="F2F2F2" w:themeFill="background1" w:themeFillShade="F2"/>
            <w:noWrap/>
            <w:hideMark/>
          </w:tcPr>
          <w:p w14:paraId="497E5806" w14:textId="77777777" w:rsidR="000F4F90" w:rsidRPr="007E4882" w:rsidRDefault="000F4F90" w:rsidP="007E4882">
            <w:pPr>
              <w:spacing w:after="0" w:line="240" w:lineRule="auto"/>
              <w:rPr>
                <w:rFonts w:cstheme="minorHAnsi"/>
                <w:b/>
                <w:bCs/>
                <w:color w:val="auto"/>
                <w:sz w:val="18"/>
                <w:szCs w:val="18"/>
              </w:rPr>
            </w:pPr>
            <w:r w:rsidRPr="007E4882">
              <w:rPr>
                <w:rFonts w:cstheme="minorHAnsi"/>
                <w:b/>
                <w:bCs/>
                <w:color w:val="auto"/>
                <w:sz w:val="18"/>
                <w:szCs w:val="18"/>
              </w:rPr>
              <w:t>564</w:t>
            </w:r>
          </w:p>
        </w:tc>
        <w:tc>
          <w:tcPr>
            <w:tcW w:w="675" w:type="dxa"/>
            <w:shd w:val="clear" w:color="auto" w:fill="F2F2F2" w:themeFill="background1" w:themeFillShade="F2"/>
            <w:noWrap/>
            <w:hideMark/>
          </w:tcPr>
          <w:p w14:paraId="0F03C835" w14:textId="77777777" w:rsidR="000F4F90" w:rsidRPr="007E4882" w:rsidRDefault="000F4F90" w:rsidP="007E4882">
            <w:pPr>
              <w:spacing w:after="0" w:line="240" w:lineRule="auto"/>
              <w:rPr>
                <w:rFonts w:cstheme="minorHAnsi"/>
                <w:b/>
                <w:bCs/>
                <w:color w:val="auto"/>
                <w:sz w:val="18"/>
                <w:szCs w:val="18"/>
              </w:rPr>
            </w:pPr>
            <w:r w:rsidRPr="007E4882">
              <w:rPr>
                <w:rFonts w:cstheme="minorHAnsi"/>
                <w:b/>
                <w:bCs/>
                <w:color w:val="auto"/>
                <w:sz w:val="18"/>
                <w:szCs w:val="18"/>
              </w:rPr>
              <w:t>122</w:t>
            </w:r>
          </w:p>
        </w:tc>
        <w:tc>
          <w:tcPr>
            <w:tcW w:w="896" w:type="dxa"/>
            <w:shd w:val="clear" w:color="auto" w:fill="F2F2F2" w:themeFill="background1" w:themeFillShade="F2"/>
            <w:noWrap/>
            <w:hideMark/>
          </w:tcPr>
          <w:p w14:paraId="1F244D8E" w14:textId="77777777" w:rsidR="000F4F90" w:rsidRPr="007E4882" w:rsidRDefault="000F4F90" w:rsidP="007E4882">
            <w:pPr>
              <w:spacing w:after="0" w:line="240" w:lineRule="auto"/>
              <w:rPr>
                <w:rFonts w:cstheme="minorHAnsi"/>
                <w:b/>
                <w:bCs/>
                <w:color w:val="auto"/>
                <w:sz w:val="18"/>
                <w:szCs w:val="18"/>
              </w:rPr>
            </w:pPr>
            <w:r w:rsidRPr="007E4882">
              <w:rPr>
                <w:rFonts w:cstheme="minorHAnsi"/>
                <w:b/>
                <w:bCs/>
                <w:color w:val="auto"/>
                <w:sz w:val="18"/>
                <w:szCs w:val="18"/>
              </w:rPr>
              <w:t>-73</w:t>
            </w:r>
          </w:p>
        </w:tc>
        <w:tc>
          <w:tcPr>
            <w:tcW w:w="792" w:type="dxa"/>
            <w:shd w:val="clear" w:color="auto" w:fill="F2F2F2" w:themeFill="background1" w:themeFillShade="F2"/>
            <w:noWrap/>
            <w:hideMark/>
          </w:tcPr>
          <w:p w14:paraId="4EC0122F" w14:textId="77777777" w:rsidR="000F4F90" w:rsidRPr="007E4882" w:rsidRDefault="000F4F90" w:rsidP="007E4882">
            <w:pPr>
              <w:spacing w:after="0" w:line="240" w:lineRule="auto"/>
              <w:rPr>
                <w:rFonts w:cstheme="minorHAnsi"/>
                <w:b/>
                <w:bCs/>
                <w:color w:val="auto"/>
                <w:sz w:val="18"/>
                <w:szCs w:val="18"/>
              </w:rPr>
            </w:pPr>
            <w:r w:rsidRPr="007E4882">
              <w:rPr>
                <w:rFonts w:cstheme="minorHAnsi"/>
                <w:b/>
                <w:bCs/>
                <w:color w:val="auto"/>
                <w:sz w:val="18"/>
                <w:szCs w:val="18"/>
              </w:rPr>
              <w:t>33,1%</w:t>
            </w:r>
          </w:p>
        </w:tc>
        <w:tc>
          <w:tcPr>
            <w:tcW w:w="896" w:type="dxa"/>
            <w:shd w:val="clear" w:color="auto" w:fill="F2F2F2" w:themeFill="background1" w:themeFillShade="F2"/>
            <w:noWrap/>
            <w:hideMark/>
          </w:tcPr>
          <w:p w14:paraId="3986677F" w14:textId="77777777" w:rsidR="000F4F90" w:rsidRPr="007E4882" w:rsidRDefault="000F4F90" w:rsidP="007E4882">
            <w:pPr>
              <w:spacing w:after="0" w:line="240" w:lineRule="auto"/>
              <w:rPr>
                <w:rFonts w:cstheme="minorHAnsi"/>
                <w:b/>
                <w:bCs/>
                <w:color w:val="auto"/>
                <w:sz w:val="18"/>
                <w:szCs w:val="18"/>
              </w:rPr>
            </w:pPr>
            <w:r w:rsidRPr="007E4882">
              <w:rPr>
                <w:rFonts w:cstheme="minorHAnsi"/>
                <w:b/>
                <w:bCs/>
                <w:color w:val="auto"/>
                <w:sz w:val="18"/>
                <w:szCs w:val="18"/>
              </w:rPr>
              <w:t>-12,9%</w:t>
            </w:r>
          </w:p>
        </w:tc>
      </w:tr>
      <w:tr w:rsidR="007E4882" w:rsidRPr="007E4882" w14:paraId="47D45DBB" w14:textId="77777777" w:rsidTr="005E59F2">
        <w:trPr>
          <w:trHeight w:val="184"/>
        </w:trPr>
        <w:tc>
          <w:tcPr>
            <w:tcW w:w="603" w:type="dxa"/>
            <w:noWrap/>
            <w:hideMark/>
          </w:tcPr>
          <w:p w14:paraId="6D9F716C" w14:textId="77777777" w:rsidR="000F4F90" w:rsidRPr="007E4882" w:rsidRDefault="000F4F90" w:rsidP="007E4882">
            <w:pPr>
              <w:spacing w:after="0" w:line="240" w:lineRule="auto"/>
              <w:rPr>
                <w:rFonts w:cstheme="minorHAnsi"/>
                <w:color w:val="auto"/>
                <w:sz w:val="18"/>
                <w:szCs w:val="18"/>
              </w:rPr>
            </w:pPr>
            <w:r w:rsidRPr="007E4882">
              <w:rPr>
                <w:rFonts w:cstheme="minorHAnsi"/>
                <w:color w:val="auto"/>
                <w:sz w:val="18"/>
                <w:szCs w:val="18"/>
              </w:rPr>
              <w:t> </w:t>
            </w:r>
          </w:p>
        </w:tc>
        <w:tc>
          <w:tcPr>
            <w:tcW w:w="1730" w:type="dxa"/>
            <w:noWrap/>
            <w:hideMark/>
          </w:tcPr>
          <w:p w14:paraId="18CF3240" w14:textId="77777777" w:rsidR="000F4F90" w:rsidRPr="007E4882" w:rsidRDefault="000F4F90" w:rsidP="007E4882">
            <w:pPr>
              <w:spacing w:after="0" w:line="240" w:lineRule="auto"/>
              <w:rPr>
                <w:rFonts w:cstheme="minorHAnsi"/>
                <w:color w:val="auto"/>
                <w:sz w:val="18"/>
                <w:szCs w:val="18"/>
              </w:rPr>
            </w:pPr>
            <w:r w:rsidRPr="007E4882">
              <w:rPr>
                <w:rFonts w:cstheme="minorHAnsi"/>
                <w:color w:val="auto"/>
                <w:sz w:val="18"/>
                <w:szCs w:val="18"/>
              </w:rPr>
              <w:t>εκ των οποίων: ΕΝΦΙΑ</w:t>
            </w:r>
          </w:p>
        </w:tc>
        <w:tc>
          <w:tcPr>
            <w:tcW w:w="837" w:type="dxa"/>
            <w:noWrap/>
            <w:hideMark/>
          </w:tcPr>
          <w:p w14:paraId="5FC77805" w14:textId="77777777" w:rsidR="000F4F90" w:rsidRPr="007E4882" w:rsidRDefault="000F4F90" w:rsidP="007E4882">
            <w:pPr>
              <w:spacing w:after="0" w:line="240" w:lineRule="auto"/>
              <w:rPr>
                <w:rFonts w:cstheme="minorHAnsi"/>
                <w:color w:val="auto"/>
                <w:sz w:val="18"/>
                <w:szCs w:val="18"/>
              </w:rPr>
            </w:pPr>
            <w:r w:rsidRPr="007E4882">
              <w:rPr>
                <w:rFonts w:cstheme="minorHAnsi"/>
                <w:color w:val="auto"/>
                <w:sz w:val="18"/>
                <w:szCs w:val="18"/>
              </w:rPr>
              <w:t>354</w:t>
            </w:r>
          </w:p>
        </w:tc>
        <w:tc>
          <w:tcPr>
            <w:tcW w:w="837" w:type="dxa"/>
            <w:noWrap/>
            <w:hideMark/>
          </w:tcPr>
          <w:p w14:paraId="02544F8E" w14:textId="77777777" w:rsidR="000F4F90" w:rsidRPr="007E4882" w:rsidRDefault="000F4F90" w:rsidP="007E4882">
            <w:pPr>
              <w:spacing w:after="0" w:line="240" w:lineRule="auto"/>
              <w:rPr>
                <w:rFonts w:cstheme="minorHAnsi"/>
                <w:color w:val="auto"/>
                <w:sz w:val="18"/>
                <w:szCs w:val="18"/>
              </w:rPr>
            </w:pPr>
            <w:r w:rsidRPr="007E4882">
              <w:rPr>
                <w:rFonts w:cstheme="minorHAnsi"/>
                <w:color w:val="auto"/>
                <w:sz w:val="18"/>
                <w:szCs w:val="18"/>
              </w:rPr>
              <w:t>482</w:t>
            </w:r>
          </w:p>
        </w:tc>
        <w:tc>
          <w:tcPr>
            <w:tcW w:w="1049" w:type="dxa"/>
            <w:noWrap/>
            <w:hideMark/>
          </w:tcPr>
          <w:p w14:paraId="777CB819" w14:textId="77777777" w:rsidR="000F4F90" w:rsidRPr="007E4882" w:rsidRDefault="000F4F90" w:rsidP="007E4882">
            <w:pPr>
              <w:spacing w:after="0" w:line="240" w:lineRule="auto"/>
              <w:rPr>
                <w:rFonts w:cstheme="minorHAnsi"/>
                <w:color w:val="auto"/>
                <w:sz w:val="18"/>
                <w:szCs w:val="18"/>
              </w:rPr>
            </w:pPr>
            <w:r w:rsidRPr="007E4882">
              <w:rPr>
                <w:rFonts w:cstheme="minorHAnsi"/>
                <w:color w:val="auto"/>
                <w:sz w:val="18"/>
                <w:szCs w:val="18"/>
              </w:rPr>
              <w:t>549</w:t>
            </w:r>
          </w:p>
        </w:tc>
        <w:tc>
          <w:tcPr>
            <w:tcW w:w="675" w:type="dxa"/>
            <w:noWrap/>
            <w:hideMark/>
          </w:tcPr>
          <w:p w14:paraId="06AF9C29" w14:textId="77777777" w:rsidR="000F4F90" w:rsidRPr="007E4882" w:rsidRDefault="000F4F90" w:rsidP="007E4882">
            <w:pPr>
              <w:spacing w:after="0" w:line="240" w:lineRule="auto"/>
              <w:rPr>
                <w:rFonts w:cstheme="minorHAnsi"/>
                <w:color w:val="auto"/>
                <w:sz w:val="18"/>
                <w:szCs w:val="18"/>
              </w:rPr>
            </w:pPr>
            <w:r w:rsidRPr="007E4882">
              <w:rPr>
                <w:rFonts w:cstheme="minorHAnsi"/>
                <w:color w:val="auto"/>
                <w:sz w:val="18"/>
                <w:szCs w:val="18"/>
              </w:rPr>
              <w:t>128</w:t>
            </w:r>
          </w:p>
        </w:tc>
        <w:tc>
          <w:tcPr>
            <w:tcW w:w="896" w:type="dxa"/>
            <w:noWrap/>
            <w:hideMark/>
          </w:tcPr>
          <w:p w14:paraId="1A068BDE" w14:textId="77777777" w:rsidR="000F4F90" w:rsidRPr="007E4882" w:rsidRDefault="000F4F90" w:rsidP="007E4882">
            <w:pPr>
              <w:spacing w:after="0" w:line="240" w:lineRule="auto"/>
              <w:rPr>
                <w:rFonts w:cstheme="minorHAnsi"/>
                <w:color w:val="auto"/>
                <w:sz w:val="18"/>
                <w:szCs w:val="18"/>
              </w:rPr>
            </w:pPr>
            <w:r w:rsidRPr="007E4882">
              <w:rPr>
                <w:rFonts w:cstheme="minorHAnsi"/>
                <w:color w:val="auto"/>
                <w:sz w:val="18"/>
                <w:szCs w:val="18"/>
              </w:rPr>
              <w:t>-67</w:t>
            </w:r>
          </w:p>
        </w:tc>
        <w:tc>
          <w:tcPr>
            <w:tcW w:w="792" w:type="dxa"/>
            <w:noWrap/>
            <w:hideMark/>
          </w:tcPr>
          <w:p w14:paraId="08307541" w14:textId="77777777" w:rsidR="000F4F90" w:rsidRPr="007E4882" w:rsidRDefault="000F4F90" w:rsidP="007E4882">
            <w:pPr>
              <w:spacing w:after="0" w:line="240" w:lineRule="auto"/>
              <w:rPr>
                <w:rFonts w:cstheme="minorHAnsi"/>
                <w:color w:val="auto"/>
                <w:sz w:val="18"/>
                <w:szCs w:val="18"/>
              </w:rPr>
            </w:pPr>
            <w:r w:rsidRPr="007E4882">
              <w:rPr>
                <w:rFonts w:cstheme="minorHAnsi"/>
                <w:color w:val="auto"/>
                <w:sz w:val="18"/>
                <w:szCs w:val="18"/>
              </w:rPr>
              <w:t>36,2%</w:t>
            </w:r>
          </w:p>
        </w:tc>
        <w:tc>
          <w:tcPr>
            <w:tcW w:w="896" w:type="dxa"/>
            <w:noWrap/>
            <w:hideMark/>
          </w:tcPr>
          <w:p w14:paraId="460EFB88" w14:textId="77777777" w:rsidR="000F4F90" w:rsidRPr="007E4882" w:rsidRDefault="000F4F90" w:rsidP="007E4882">
            <w:pPr>
              <w:spacing w:after="0" w:line="240" w:lineRule="auto"/>
              <w:rPr>
                <w:rFonts w:cstheme="minorHAnsi"/>
                <w:bCs/>
                <w:color w:val="auto"/>
                <w:sz w:val="18"/>
                <w:szCs w:val="18"/>
              </w:rPr>
            </w:pPr>
            <w:r w:rsidRPr="007E4882">
              <w:rPr>
                <w:rFonts w:cstheme="minorHAnsi"/>
                <w:bCs/>
                <w:color w:val="auto"/>
                <w:sz w:val="18"/>
                <w:szCs w:val="18"/>
              </w:rPr>
              <w:t>-12,2%</w:t>
            </w:r>
          </w:p>
        </w:tc>
      </w:tr>
      <w:tr w:rsidR="005E59F2" w:rsidRPr="007E4882" w14:paraId="7F859BA6" w14:textId="77777777" w:rsidTr="005E59F2">
        <w:trPr>
          <w:trHeight w:val="184"/>
        </w:trPr>
        <w:tc>
          <w:tcPr>
            <w:tcW w:w="603" w:type="dxa"/>
            <w:shd w:val="clear" w:color="auto" w:fill="F2F2F2" w:themeFill="background1" w:themeFillShade="F2"/>
            <w:noWrap/>
            <w:hideMark/>
          </w:tcPr>
          <w:p w14:paraId="391CBA28" w14:textId="77777777" w:rsidR="000F4F90" w:rsidRPr="007E4882" w:rsidRDefault="000F4F90" w:rsidP="007E4882">
            <w:pPr>
              <w:spacing w:after="0" w:line="240" w:lineRule="auto"/>
              <w:rPr>
                <w:rFonts w:cstheme="minorHAnsi"/>
                <w:b/>
                <w:bCs/>
                <w:color w:val="auto"/>
                <w:sz w:val="18"/>
                <w:szCs w:val="18"/>
              </w:rPr>
            </w:pPr>
            <w:r w:rsidRPr="007E4882">
              <w:rPr>
                <w:rFonts w:cstheme="minorHAnsi"/>
                <w:b/>
                <w:bCs/>
                <w:color w:val="auto"/>
                <w:sz w:val="18"/>
                <w:szCs w:val="18"/>
              </w:rPr>
              <w:t>Δ.</w:t>
            </w:r>
          </w:p>
        </w:tc>
        <w:tc>
          <w:tcPr>
            <w:tcW w:w="1730" w:type="dxa"/>
            <w:shd w:val="clear" w:color="auto" w:fill="F2F2F2" w:themeFill="background1" w:themeFillShade="F2"/>
            <w:noWrap/>
            <w:hideMark/>
          </w:tcPr>
          <w:p w14:paraId="1E1E679A" w14:textId="77777777" w:rsidR="000F4F90" w:rsidRPr="007E4882" w:rsidRDefault="000F4F90" w:rsidP="007E4882">
            <w:pPr>
              <w:spacing w:after="0" w:line="240" w:lineRule="auto"/>
              <w:rPr>
                <w:rFonts w:cstheme="minorHAnsi"/>
                <w:b/>
                <w:bCs/>
                <w:color w:val="auto"/>
                <w:sz w:val="18"/>
                <w:szCs w:val="18"/>
              </w:rPr>
            </w:pPr>
            <w:r w:rsidRPr="007E4882">
              <w:rPr>
                <w:rFonts w:cstheme="minorHAnsi"/>
                <w:b/>
                <w:bCs/>
                <w:color w:val="auto"/>
                <w:sz w:val="18"/>
                <w:szCs w:val="18"/>
              </w:rPr>
              <w:t>Λοιποί φόροι επί παραγωγής</w:t>
            </w:r>
          </w:p>
        </w:tc>
        <w:tc>
          <w:tcPr>
            <w:tcW w:w="837" w:type="dxa"/>
            <w:shd w:val="clear" w:color="auto" w:fill="F2F2F2" w:themeFill="background1" w:themeFillShade="F2"/>
            <w:noWrap/>
            <w:hideMark/>
          </w:tcPr>
          <w:p w14:paraId="0F7934F9" w14:textId="77777777" w:rsidR="000F4F90" w:rsidRPr="007E4882" w:rsidRDefault="000F4F90" w:rsidP="007E4882">
            <w:pPr>
              <w:spacing w:after="0" w:line="240" w:lineRule="auto"/>
              <w:rPr>
                <w:rFonts w:cstheme="minorHAnsi"/>
                <w:b/>
                <w:bCs/>
                <w:color w:val="auto"/>
                <w:sz w:val="18"/>
                <w:szCs w:val="18"/>
              </w:rPr>
            </w:pPr>
            <w:r w:rsidRPr="007E4882">
              <w:rPr>
                <w:rFonts w:cstheme="minorHAnsi"/>
                <w:b/>
                <w:bCs/>
                <w:color w:val="auto"/>
                <w:sz w:val="18"/>
                <w:szCs w:val="18"/>
              </w:rPr>
              <w:t>605</w:t>
            </w:r>
          </w:p>
        </w:tc>
        <w:tc>
          <w:tcPr>
            <w:tcW w:w="837" w:type="dxa"/>
            <w:shd w:val="clear" w:color="auto" w:fill="F2F2F2" w:themeFill="background1" w:themeFillShade="F2"/>
            <w:noWrap/>
            <w:hideMark/>
          </w:tcPr>
          <w:p w14:paraId="37F1E683" w14:textId="77777777" w:rsidR="000F4F90" w:rsidRPr="007E4882" w:rsidRDefault="000F4F90" w:rsidP="007E4882">
            <w:pPr>
              <w:spacing w:after="0" w:line="240" w:lineRule="auto"/>
              <w:rPr>
                <w:rFonts w:cstheme="minorHAnsi"/>
                <w:b/>
                <w:bCs/>
                <w:color w:val="auto"/>
                <w:sz w:val="18"/>
                <w:szCs w:val="18"/>
              </w:rPr>
            </w:pPr>
            <w:r w:rsidRPr="007E4882">
              <w:rPr>
                <w:rFonts w:cstheme="minorHAnsi"/>
                <w:b/>
                <w:bCs/>
                <w:color w:val="auto"/>
                <w:sz w:val="18"/>
                <w:szCs w:val="18"/>
              </w:rPr>
              <w:t>96</w:t>
            </w:r>
          </w:p>
        </w:tc>
        <w:tc>
          <w:tcPr>
            <w:tcW w:w="1049" w:type="dxa"/>
            <w:shd w:val="clear" w:color="auto" w:fill="F2F2F2" w:themeFill="background1" w:themeFillShade="F2"/>
            <w:noWrap/>
            <w:hideMark/>
          </w:tcPr>
          <w:p w14:paraId="5624EFF4" w14:textId="77777777" w:rsidR="000F4F90" w:rsidRPr="007E4882" w:rsidRDefault="000F4F90" w:rsidP="007E4882">
            <w:pPr>
              <w:spacing w:after="0" w:line="240" w:lineRule="auto"/>
              <w:rPr>
                <w:rFonts w:cstheme="minorHAnsi"/>
                <w:b/>
                <w:bCs/>
                <w:color w:val="auto"/>
                <w:sz w:val="18"/>
                <w:szCs w:val="18"/>
              </w:rPr>
            </w:pPr>
            <w:r w:rsidRPr="007E4882">
              <w:rPr>
                <w:rFonts w:cstheme="minorHAnsi"/>
                <w:b/>
                <w:bCs/>
                <w:color w:val="auto"/>
                <w:sz w:val="18"/>
                <w:szCs w:val="18"/>
              </w:rPr>
              <w:t>530</w:t>
            </w:r>
          </w:p>
        </w:tc>
        <w:tc>
          <w:tcPr>
            <w:tcW w:w="675" w:type="dxa"/>
            <w:shd w:val="clear" w:color="auto" w:fill="F2F2F2" w:themeFill="background1" w:themeFillShade="F2"/>
            <w:noWrap/>
            <w:hideMark/>
          </w:tcPr>
          <w:p w14:paraId="62163E9A" w14:textId="77777777" w:rsidR="000F4F90" w:rsidRPr="007E4882" w:rsidRDefault="000F4F90" w:rsidP="007E4882">
            <w:pPr>
              <w:spacing w:after="0" w:line="240" w:lineRule="auto"/>
              <w:rPr>
                <w:rFonts w:cstheme="minorHAnsi"/>
                <w:b/>
                <w:bCs/>
                <w:color w:val="auto"/>
                <w:sz w:val="18"/>
                <w:szCs w:val="18"/>
              </w:rPr>
            </w:pPr>
            <w:r w:rsidRPr="007E4882">
              <w:rPr>
                <w:rFonts w:cstheme="minorHAnsi"/>
                <w:b/>
                <w:bCs/>
                <w:color w:val="auto"/>
                <w:sz w:val="18"/>
                <w:szCs w:val="18"/>
              </w:rPr>
              <w:t>-509</w:t>
            </w:r>
          </w:p>
        </w:tc>
        <w:tc>
          <w:tcPr>
            <w:tcW w:w="896" w:type="dxa"/>
            <w:shd w:val="clear" w:color="auto" w:fill="F2F2F2" w:themeFill="background1" w:themeFillShade="F2"/>
            <w:noWrap/>
            <w:hideMark/>
          </w:tcPr>
          <w:p w14:paraId="0A6C876B" w14:textId="77777777" w:rsidR="000F4F90" w:rsidRPr="007E4882" w:rsidRDefault="000F4F90" w:rsidP="007E4882">
            <w:pPr>
              <w:spacing w:after="0" w:line="240" w:lineRule="auto"/>
              <w:rPr>
                <w:rFonts w:cstheme="minorHAnsi"/>
                <w:b/>
                <w:bCs/>
                <w:color w:val="auto"/>
                <w:sz w:val="18"/>
                <w:szCs w:val="18"/>
              </w:rPr>
            </w:pPr>
            <w:r w:rsidRPr="007E4882">
              <w:rPr>
                <w:rFonts w:cstheme="minorHAnsi"/>
                <w:b/>
                <w:bCs/>
                <w:color w:val="auto"/>
                <w:sz w:val="18"/>
                <w:szCs w:val="18"/>
              </w:rPr>
              <w:t>-434</w:t>
            </w:r>
          </w:p>
        </w:tc>
        <w:tc>
          <w:tcPr>
            <w:tcW w:w="792" w:type="dxa"/>
            <w:shd w:val="clear" w:color="auto" w:fill="F2F2F2" w:themeFill="background1" w:themeFillShade="F2"/>
            <w:noWrap/>
            <w:hideMark/>
          </w:tcPr>
          <w:p w14:paraId="0093D5D0" w14:textId="77777777" w:rsidR="000F4F90" w:rsidRPr="007E4882" w:rsidRDefault="000F4F90" w:rsidP="007E4882">
            <w:pPr>
              <w:spacing w:after="0" w:line="240" w:lineRule="auto"/>
              <w:rPr>
                <w:rFonts w:cstheme="minorHAnsi"/>
                <w:b/>
                <w:bCs/>
                <w:color w:val="auto"/>
                <w:sz w:val="18"/>
                <w:szCs w:val="18"/>
              </w:rPr>
            </w:pPr>
            <w:r w:rsidRPr="007E4882">
              <w:rPr>
                <w:rFonts w:cstheme="minorHAnsi"/>
                <w:b/>
                <w:bCs/>
                <w:color w:val="auto"/>
                <w:sz w:val="18"/>
                <w:szCs w:val="18"/>
              </w:rPr>
              <w:t>-84,1%</w:t>
            </w:r>
          </w:p>
        </w:tc>
        <w:tc>
          <w:tcPr>
            <w:tcW w:w="896" w:type="dxa"/>
            <w:shd w:val="clear" w:color="auto" w:fill="F2F2F2" w:themeFill="background1" w:themeFillShade="F2"/>
            <w:noWrap/>
            <w:hideMark/>
          </w:tcPr>
          <w:p w14:paraId="427E3A0B" w14:textId="77777777" w:rsidR="000F4F90" w:rsidRPr="007E4882" w:rsidRDefault="000F4F90" w:rsidP="007E4882">
            <w:pPr>
              <w:spacing w:after="0" w:line="240" w:lineRule="auto"/>
              <w:rPr>
                <w:rFonts w:cstheme="minorHAnsi"/>
                <w:b/>
                <w:bCs/>
                <w:color w:val="auto"/>
                <w:sz w:val="18"/>
                <w:szCs w:val="18"/>
              </w:rPr>
            </w:pPr>
            <w:r w:rsidRPr="007E4882">
              <w:rPr>
                <w:rFonts w:cstheme="minorHAnsi"/>
                <w:b/>
                <w:bCs/>
                <w:color w:val="auto"/>
                <w:sz w:val="18"/>
                <w:szCs w:val="18"/>
              </w:rPr>
              <w:t>-81,9%</w:t>
            </w:r>
          </w:p>
        </w:tc>
      </w:tr>
      <w:tr w:rsidR="005E59F2" w:rsidRPr="007E4882" w14:paraId="3EC90FCC" w14:textId="77777777" w:rsidTr="005E59F2">
        <w:trPr>
          <w:trHeight w:val="184"/>
        </w:trPr>
        <w:tc>
          <w:tcPr>
            <w:tcW w:w="603" w:type="dxa"/>
            <w:shd w:val="clear" w:color="auto" w:fill="F2F2F2" w:themeFill="background1" w:themeFillShade="F2"/>
            <w:noWrap/>
            <w:hideMark/>
          </w:tcPr>
          <w:p w14:paraId="43B12AF0" w14:textId="77777777" w:rsidR="000F4F90" w:rsidRPr="007E4882" w:rsidRDefault="000F4F90" w:rsidP="007E4882">
            <w:pPr>
              <w:spacing w:after="0" w:line="240" w:lineRule="auto"/>
              <w:rPr>
                <w:rFonts w:cstheme="minorHAnsi"/>
                <w:b/>
                <w:bCs/>
                <w:color w:val="auto"/>
                <w:sz w:val="18"/>
                <w:szCs w:val="18"/>
              </w:rPr>
            </w:pPr>
            <w:r w:rsidRPr="007E4882">
              <w:rPr>
                <w:rFonts w:cstheme="minorHAnsi"/>
                <w:b/>
                <w:bCs/>
                <w:color w:val="auto"/>
                <w:sz w:val="18"/>
                <w:szCs w:val="18"/>
              </w:rPr>
              <w:t>E.</w:t>
            </w:r>
          </w:p>
        </w:tc>
        <w:tc>
          <w:tcPr>
            <w:tcW w:w="1730" w:type="dxa"/>
            <w:shd w:val="clear" w:color="auto" w:fill="F2F2F2" w:themeFill="background1" w:themeFillShade="F2"/>
            <w:noWrap/>
            <w:hideMark/>
          </w:tcPr>
          <w:p w14:paraId="7EC907EF" w14:textId="77777777" w:rsidR="000F4F90" w:rsidRPr="007E4882" w:rsidRDefault="000F4F90" w:rsidP="007E4882">
            <w:pPr>
              <w:spacing w:after="0" w:line="240" w:lineRule="auto"/>
              <w:rPr>
                <w:rFonts w:cstheme="minorHAnsi"/>
                <w:b/>
                <w:bCs/>
                <w:color w:val="auto"/>
                <w:sz w:val="18"/>
                <w:szCs w:val="18"/>
              </w:rPr>
            </w:pPr>
            <w:r w:rsidRPr="007E4882">
              <w:rPr>
                <w:rFonts w:cstheme="minorHAnsi"/>
                <w:b/>
                <w:bCs/>
                <w:color w:val="auto"/>
                <w:sz w:val="18"/>
                <w:szCs w:val="18"/>
              </w:rPr>
              <w:t xml:space="preserve">Φόρος εισοδήματος </w:t>
            </w:r>
          </w:p>
        </w:tc>
        <w:tc>
          <w:tcPr>
            <w:tcW w:w="837" w:type="dxa"/>
            <w:shd w:val="clear" w:color="auto" w:fill="F2F2F2" w:themeFill="background1" w:themeFillShade="F2"/>
            <w:noWrap/>
            <w:hideMark/>
          </w:tcPr>
          <w:p w14:paraId="0142585C" w14:textId="77777777" w:rsidR="000F4F90" w:rsidRPr="007E4882" w:rsidRDefault="000F4F90" w:rsidP="007E4882">
            <w:pPr>
              <w:spacing w:after="0" w:line="240" w:lineRule="auto"/>
              <w:rPr>
                <w:rFonts w:cstheme="minorHAnsi"/>
                <w:b/>
                <w:bCs/>
                <w:color w:val="auto"/>
                <w:sz w:val="18"/>
                <w:szCs w:val="18"/>
              </w:rPr>
            </w:pPr>
            <w:r w:rsidRPr="007E4882">
              <w:rPr>
                <w:rFonts w:cstheme="minorHAnsi"/>
                <w:b/>
                <w:bCs/>
                <w:color w:val="auto"/>
                <w:sz w:val="18"/>
                <w:szCs w:val="18"/>
              </w:rPr>
              <w:t>2.750</w:t>
            </w:r>
          </w:p>
        </w:tc>
        <w:tc>
          <w:tcPr>
            <w:tcW w:w="837" w:type="dxa"/>
            <w:shd w:val="clear" w:color="auto" w:fill="F2F2F2" w:themeFill="background1" w:themeFillShade="F2"/>
            <w:noWrap/>
            <w:hideMark/>
          </w:tcPr>
          <w:p w14:paraId="694470B3" w14:textId="77777777" w:rsidR="000F4F90" w:rsidRPr="007E4882" w:rsidRDefault="000F4F90" w:rsidP="007E4882">
            <w:pPr>
              <w:spacing w:after="0" w:line="240" w:lineRule="auto"/>
              <w:rPr>
                <w:rFonts w:cstheme="minorHAnsi"/>
                <w:b/>
                <w:bCs/>
                <w:color w:val="auto"/>
                <w:sz w:val="18"/>
                <w:szCs w:val="18"/>
              </w:rPr>
            </w:pPr>
            <w:r w:rsidRPr="007E4882">
              <w:rPr>
                <w:rFonts w:cstheme="minorHAnsi"/>
                <w:b/>
                <w:bCs/>
                <w:color w:val="auto"/>
                <w:sz w:val="18"/>
                <w:szCs w:val="18"/>
              </w:rPr>
              <w:t>3.131</w:t>
            </w:r>
          </w:p>
        </w:tc>
        <w:tc>
          <w:tcPr>
            <w:tcW w:w="1049" w:type="dxa"/>
            <w:shd w:val="clear" w:color="auto" w:fill="F2F2F2" w:themeFill="background1" w:themeFillShade="F2"/>
            <w:noWrap/>
            <w:hideMark/>
          </w:tcPr>
          <w:p w14:paraId="01A47479" w14:textId="77777777" w:rsidR="000F4F90" w:rsidRPr="007E4882" w:rsidRDefault="000F4F90" w:rsidP="007E4882">
            <w:pPr>
              <w:spacing w:after="0" w:line="240" w:lineRule="auto"/>
              <w:rPr>
                <w:rFonts w:cstheme="minorHAnsi"/>
                <w:b/>
                <w:bCs/>
                <w:color w:val="auto"/>
                <w:sz w:val="18"/>
                <w:szCs w:val="18"/>
              </w:rPr>
            </w:pPr>
            <w:r w:rsidRPr="007E4882">
              <w:rPr>
                <w:rFonts w:cstheme="minorHAnsi"/>
                <w:b/>
                <w:bCs/>
                <w:color w:val="auto"/>
                <w:sz w:val="18"/>
                <w:szCs w:val="18"/>
              </w:rPr>
              <w:t>3.166</w:t>
            </w:r>
          </w:p>
        </w:tc>
        <w:tc>
          <w:tcPr>
            <w:tcW w:w="675" w:type="dxa"/>
            <w:shd w:val="clear" w:color="auto" w:fill="F2F2F2" w:themeFill="background1" w:themeFillShade="F2"/>
            <w:noWrap/>
            <w:hideMark/>
          </w:tcPr>
          <w:p w14:paraId="1D15050D" w14:textId="77777777" w:rsidR="000F4F90" w:rsidRPr="007E4882" w:rsidRDefault="000F4F90" w:rsidP="007E4882">
            <w:pPr>
              <w:spacing w:after="0" w:line="240" w:lineRule="auto"/>
              <w:rPr>
                <w:rFonts w:cstheme="minorHAnsi"/>
                <w:b/>
                <w:bCs/>
                <w:color w:val="auto"/>
                <w:sz w:val="18"/>
                <w:szCs w:val="18"/>
              </w:rPr>
            </w:pPr>
            <w:r w:rsidRPr="007E4882">
              <w:rPr>
                <w:rFonts w:cstheme="minorHAnsi"/>
                <w:b/>
                <w:bCs/>
                <w:color w:val="auto"/>
                <w:sz w:val="18"/>
                <w:szCs w:val="18"/>
              </w:rPr>
              <w:t>381</w:t>
            </w:r>
          </w:p>
        </w:tc>
        <w:tc>
          <w:tcPr>
            <w:tcW w:w="896" w:type="dxa"/>
            <w:shd w:val="clear" w:color="auto" w:fill="F2F2F2" w:themeFill="background1" w:themeFillShade="F2"/>
            <w:noWrap/>
            <w:hideMark/>
          </w:tcPr>
          <w:p w14:paraId="4A6F74F4" w14:textId="77777777" w:rsidR="000F4F90" w:rsidRPr="007E4882" w:rsidRDefault="000F4F90" w:rsidP="007E4882">
            <w:pPr>
              <w:spacing w:after="0" w:line="240" w:lineRule="auto"/>
              <w:rPr>
                <w:rFonts w:cstheme="minorHAnsi"/>
                <w:b/>
                <w:bCs/>
                <w:color w:val="auto"/>
                <w:sz w:val="18"/>
                <w:szCs w:val="18"/>
              </w:rPr>
            </w:pPr>
            <w:r w:rsidRPr="007E4882">
              <w:rPr>
                <w:rFonts w:cstheme="minorHAnsi"/>
                <w:b/>
                <w:bCs/>
                <w:color w:val="auto"/>
                <w:sz w:val="18"/>
                <w:szCs w:val="18"/>
              </w:rPr>
              <w:t>-35</w:t>
            </w:r>
          </w:p>
        </w:tc>
        <w:tc>
          <w:tcPr>
            <w:tcW w:w="792" w:type="dxa"/>
            <w:shd w:val="clear" w:color="auto" w:fill="F2F2F2" w:themeFill="background1" w:themeFillShade="F2"/>
            <w:noWrap/>
            <w:hideMark/>
          </w:tcPr>
          <w:p w14:paraId="30E68095" w14:textId="77777777" w:rsidR="000F4F90" w:rsidRPr="007E4882" w:rsidRDefault="000F4F90" w:rsidP="007E4882">
            <w:pPr>
              <w:spacing w:after="0" w:line="240" w:lineRule="auto"/>
              <w:rPr>
                <w:rFonts w:cstheme="minorHAnsi"/>
                <w:b/>
                <w:bCs/>
                <w:color w:val="auto"/>
                <w:sz w:val="18"/>
                <w:szCs w:val="18"/>
              </w:rPr>
            </w:pPr>
            <w:r w:rsidRPr="007E4882">
              <w:rPr>
                <w:rFonts w:cstheme="minorHAnsi"/>
                <w:b/>
                <w:bCs/>
                <w:color w:val="auto"/>
                <w:sz w:val="18"/>
                <w:szCs w:val="18"/>
              </w:rPr>
              <w:t>13,9%</w:t>
            </w:r>
          </w:p>
        </w:tc>
        <w:tc>
          <w:tcPr>
            <w:tcW w:w="896" w:type="dxa"/>
            <w:shd w:val="clear" w:color="auto" w:fill="F2F2F2" w:themeFill="background1" w:themeFillShade="F2"/>
            <w:noWrap/>
            <w:hideMark/>
          </w:tcPr>
          <w:p w14:paraId="15DF9E50" w14:textId="77777777" w:rsidR="000F4F90" w:rsidRPr="007E4882" w:rsidRDefault="000F4F90" w:rsidP="007E4882">
            <w:pPr>
              <w:spacing w:after="0" w:line="240" w:lineRule="auto"/>
              <w:rPr>
                <w:rFonts w:cstheme="minorHAnsi"/>
                <w:b/>
                <w:bCs/>
                <w:color w:val="auto"/>
                <w:sz w:val="18"/>
                <w:szCs w:val="18"/>
              </w:rPr>
            </w:pPr>
            <w:r w:rsidRPr="007E4882">
              <w:rPr>
                <w:rFonts w:cstheme="minorHAnsi"/>
                <w:b/>
                <w:bCs/>
                <w:color w:val="auto"/>
                <w:sz w:val="18"/>
                <w:szCs w:val="18"/>
              </w:rPr>
              <w:t>-1,1%</w:t>
            </w:r>
          </w:p>
        </w:tc>
      </w:tr>
      <w:tr w:rsidR="005E59F2" w:rsidRPr="007E4882" w14:paraId="3D653CE3" w14:textId="77777777" w:rsidTr="005E59F2">
        <w:trPr>
          <w:trHeight w:val="184"/>
        </w:trPr>
        <w:tc>
          <w:tcPr>
            <w:tcW w:w="603" w:type="dxa"/>
            <w:shd w:val="clear" w:color="auto" w:fill="F2F2F2" w:themeFill="background1" w:themeFillShade="F2"/>
            <w:noWrap/>
            <w:hideMark/>
          </w:tcPr>
          <w:p w14:paraId="426FC972" w14:textId="77777777" w:rsidR="000F4F90" w:rsidRPr="007E4882" w:rsidRDefault="000F4F90" w:rsidP="007E4882">
            <w:pPr>
              <w:spacing w:after="0" w:line="240" w:lineRule="auto"/>
              <w:rPr>
                <w:rFonts w:cstheme="minorHAnsi"/>
                <w:b/>
                <w:bCs/>
                <w:color w:val="auto"/>
                <w:sz w:val="18"/>
                <w:szCs w:val="18"/>
              </w:rPr>
            </w:pPr>
            <w:r w:rsidRPr="007E4882">
              <w:rPr>
                <w:rFonts w:cstheme="minorHAnsi"/>
                <w:b/>
                <w:bCs/>
                <w:color w:val="auto"/>
                <w:sz w:val="18"/>
                <w:szCs w:val="18"/>
              </w:rPr>
              <w:t>ΣΤ.</w:t>
            </w:r>
          </w:p>
        </w:tc>
        <w:tc>
          <w:tcPr>
            <w:tcW w:w="1730" w:type="dxa"/>
            <w:shd w:val="clear" w:color="auto" w:fill="F2F2F2" w:themeFill="background1" w:themeFillShade="F2"/>
            <w:noWrap/>
            <w:hideMark/>
          </w:tcPr>
          <w:p w14:paraId="558FE711" w14:textId="77777777" w:rsidR="000F4F90" w:rsidRPr="007E4882" w:rsidRDefault="000F4F90" w:rsidP="007E4882">
            <w:pPr>
              <w:spacing w:after="0" w:line="240" w:lineRule="auto"/>
              <w:rPr>
                <w:rFonts w:cstheme="minorHAnsi"/>
                <w:b/>
                <w:bCs/>
                <w:color w:val="auto"/>
                <w:sz w:val="18"/>
                <w:szCs w:val="18"/>
              </w:rPr>
            </w:pPr>
            <w:r w:rsidRPr="007E4882">
              <w:rPr>
                <w:rFonts w:cstheme="minorHAnsi"/>
                <w:b/>
                <w:bCs/>
                <w:color w:val="auto"/>
                <w:sz w:val="18"/>
                <w:szCs w:val="18"/>
              </w:rPr>
              <w:t>Φόροι κεφαλαίου</w:t>
            </w:r>
          </w:p>
        </w:tc>
        <w:tc>
          <w:tcPr>
            <w:tcW w:w="837" w:type="dxa"/>
            <w:shd w:val="clear" w:color="auto" w:fill="F2F2F2" w:themeFill="background1" w:themeFillShade="F2"/>
            <w:noWrap/>
            <w:hideMark/>
          </w:tcPr>
          <w:p w14:paraId="0CA04A0D" w14:textId="77777777" w:rsidR="000F4F90" w:rsidRPr="007E4882" w:rsidRDefault="000F4F90" w:rsidP="007E4882">
            <w:pPr>
              <w:spacing w:after="0" w:line="240" w:lineRule="auto"/>
              <w:rPr>
                <w:rFonts w:cstheme="minorHAnsi"/>
                <w:b/>
                <w:bCs/>
                <w:color w:val="auto"/>
                <w:sz w:val="18"/>
                <w:szCs w:val="18"/>
              </w:rPr>
            </w:pPr>
            <w:r w:rsidRPr="007E4882">
              <w:rPr>
                <w:rFonts w:cstheme="minorHAnsi"/>
                <w:b/>
                <w:bCs/>
                <w:color w:val="auto"/>
                <w:sz w:val="18"/>
                <w:szCs w:val="18"/>
              </w:rPr>
              <w:t>49</w:t>
            </w:r>
          </w:p>
        </w:tc>
        <w:tc>
          <w:tcPr>
            <w:tcW w:w="837" w:type="dxa"/>
            <w:shd w:val="clear" w:color="auto" w:fill="F2F2F2" w:themeFill="background1" w:themeFillShade="F2"/>
            <w:noWrap/>
            <w:hideMark/>
          </w:tcPr>
          <w:p w14:paraId="7C458426" w14:textId="77777777" w:rsidR="000F4F90" w:rsidRPr="007E4882" w:rsidRDefault="000F4F90" w:rsidP="007E4882">
            <w:pPr>
              <w:spacing w:after="0" w:line="240" w:lineRule="auto"/>
              <w:rPr>
                <w:rFonts w:cstheme="minorHAnsi"/>
                <w:b/>
                <w:bCs/>
                <w:color w:val="auto"/>
                <w:sz w:val="18"/>
                <w:szCs w:val="18"/>
              </w:rPr>
            </w:pPr>
            <w:r w:rsidRPr="007E4882">
              <w:rPr>
                <w:rFonts w:cstheme="minorHAnsi"/>
                <w:b/>
                <w:bCs/>
                <w:color w:val="auto"/>
                <w:sz w:val="18"/>
                <w:szCs w:val="18"/>
              </w:rPr>
              <w:t>49</w:t>
            </w:r>
          </w:p>
        </w:tc>
        <w:tc>
          <w:tcPr>
            <w:tcW w:w="1049" w:type="dxa"/>
            <w:shd w:val="clear" w:color="auto" w:fill="F2F2F2" w:themeFill="background1" w:themeFillShade="F2"/>
            <w:noWrap/>
            <w:hideMark/>
          </w:tcPr>
          <w:p w14:paraId="11EBA530" w14:textId="77777777" w:rsidR="000F4F90" w:rsidRPr="007E4882" w:rsidRDefault="000F4F90" w:rsidP="007E4882">
            <w:pPr>
              <w:spacing w:after="0" w:line="240" w:lineRule="auto"/>
              <w:rPr>
                <w:rFonts w:cstheme="minorHAnsi"/>
                <w:b/>
                <w:bCs/>
                <w:color w:val="auto"/>
                <w:sz w:val="18"/>
                <w:szCs w:val="18"/>
              </w:rPr>
            </w:pPr>
            <w:r w:rsidRPr="007E4882">
              <w:rPr>
                <w:rFonts w:cstheme="minorHAnsi"/>
                <w:b/>
                <w:bCs/>
                <w:color w:val="auto"/>
                <w:sz w:val="18"/>
                <w:szCs w:val="18"/>
              </w:rPr>
              <w:t>48</w:t>
            </w:r>
          </w:p>
        </w:tc>
        <w:tc>
          <w:tcPr>
            <w:tcW w:w="675" w:type="dxa"/>
            <w:shd w:val="clear" w:color="auto" w:fill="F2F2F2" w:themeFill="background1" w:themeFillShade="F2"/>
            <w:noWrap/>
            <w:hideMark/>
          </w:tcPr>
          <w:p w14:paraId="182CCDD3" w14:textId="77777777" w:rsidR="000F4F90" w:rsidRPr="007E4882" w:rsidRDefault="000F4F90" w:rsidP="007E4882">
            <w:pPr>
              <w:spacing w:after="0" w:line="240" w:lineRule="auto"/>
              <w:rPr>
                <w:rFonts w:cstheme="minorHAnsi"/>
                <w:b/>
                <w:bCs/>
                <w:color w:val="auto"/>
                <w:sz w:val="18"/>
                <w:szCs w:val="18"/>
              </w:rPr>
            </w:pPr>
            <w:r w:rsidRPr="007E4882">
              <w:rPr>
                <w:rFonts w:cstheme="minorHAnsi"/>
                <w:b/>
                <w:bCs/>
                <w:color w:val="auto"/>
                <w:sz w:val="18"/>
                <w:szCs w:val="18"/>
              </w:rPr>
              <w:t>0</w:t>
            </w:r>
          </w:p>
        </w:tc>
        <w:tc>
          <w:tcPr>
            <w:tcW w:w="896" w:type="dxa"/>
            <w:shd w:val="clear" w:color="auto" w:fill="F2F2F2" w:themeFill="background1" w:themeFillShade="F2"/>
            <w:noWrap/>
            <w:hideMark/>
          </w:tcPr>
          <w:p w14:paraId="09E0D1A7" w14:textId="77777777" w:rsidR="000F4F90" w:rsidRPr="007E4882" w:rsidRDefault="000F4F90" w:rsidP="007E4882">
            <w:pPr>
              <w:spacing w:after="0" w:line="240" w:lineRule="auto"/>
              <w:rPr>
                <w:rFonts w:cstheme="minorHAnsi"/>
                <w:b/>
                <w:bCs/>
                <w:color w:val="auto"/>
                <w:sz w:val="18"/>
                <w:szCs w:val="18"/>
              </w:rPr>
            </w:pPr>
            <w:r w:rsidRPr="007E4882">
              <w:rPr>
                <w:rFonts w:cstheme="minorHAnsi"/>
                <w:b/>
                <w:bCs/>
                <w:color w:val="auto"/>
                <w:sz w:val="18"/>
                <w:szCs w:val="18"/>
              </w:rPr>
              <w:t>1</w:t>
            </w:r>
          </w:p>
        </w:tc>
        <w:tc>
          <w:tcPr>
            <w:tcW w:w="792" w:type="dxa"/>
            <w:shd w:val="clear" w:color="auto" w:fill="F2F2F2" w:themeFill="background1" w:themeFillShade="F2"/>
            <w:noWrap/>
            <w:hideMark/>
          </w:tcPr>
          <w:p w14:paraId="10D79769" w14:textId="77777777" w:rsidR="000F4F90" w:rsidRPr="007E4882" w:rsidRDefault="000F4F90" w:rsidP="007E4882">
            <w:pPr>
              <w:spacing w:after="0" w:line="240" w:lineRule="auto"/>
              <w:rPr>
                <w:rFonts w:cstheme="minorHAnsi"/>
                <w:b/>
                <w:bCs/>
                <w:color w:val="auto"/>
                <w:sz w:val="18"/>
                <w:szCs w:val="18"/>
              </w:rPr>
            </w:pPr>
            <w:r w:rsidRPr="007E4882">
              <w:rPr>
                <w:rFonts w:cstheme="minorHAnsi"/>
                <w:b/>
                <w:bCs/>
                <w:color w:val="auto"/>
                <w:sz w:val="18"/>
                <w:szCs w:val="18"/>
              </w:rPr>
              <w:t>0,0%</w:t>
            </w:r>
          </w:p>
        </w:tc>
        <w:tc>
          <w:tcPr>
            <w:tcW w:w="896" w:type="dxa"/>
            <w:shd w:val="clear" w:color="auto" w:fill="F2F2F2" w:themeFill="background1" w:themeFillShade="F2"/>
            <w:noWrap/>
            <w:hideMark/>
          </w:tcPr>
          <w:p w14:paraId="39D86346" w14:textId="77777777" w:rsidR="000F4F90" w:rsidRPr="007E4882" w:rsidRDefault="000F4F90" w:rsidP="007E4882">
            <w:pPr>
              <w:spacing w:after="0" w:line="240" w:lineRule="auto"/>
              <w:rPr>
                <w:rFonts w:cstheme="minorHAnsi"/>
                <w:b/>
                <w:bCs/>
                <w:color w:val="auto"/>
                <w:sz w:val="18"/>
                <w:szCs w:val="18"/>
              </w:rPr>
            </w:pPr>
            <w:r w:rsidRPr="007E4882">
              <w:rPr>
                <w:rFonts w:cstheme="minorHAnsi"/>
                <w:b/>
                <w:bCs/>
                <w:color w:val="auto"/>
                <w:sz w:val="18"/>
                <w:szCs w:val="18"/>
              </w:rPr>
              <w:t>2,1%</w:t>
            </w:r>
          </w:p>
        </w:tc>
      </w:tr>
      <w:tr w:rsidR="005E59F2" w:rsidRPr="007E4882" w14:paraId="44FAE7A3" w14:textId="77777777" w:rsidTr="005E59F2">
        <w:trPr>
          <w:trHeight w:val="184"/>
        </w:trPr>
        <w:tc>
          <w:tcPr>
            <w:tcW w:w="603" w:type="dxa"/>
            <w:shd w:val="clear" w:color="auto" w:fill="F2F2F2" w:themeFill="background1" w:themeFillShade="F2"/>
            <w:noWrap/>
            <w:hideMark/>
          </w:tcPr>
          <w:p w14:paraId="6FDD9CBD" w14:textId="77777777" w:rsidR="000F4F90" w:rsidRPr="007E4882" w:rsidRDefault="000F4F90" w:rsidP="007E4882">
            <w:pPr>
              <w:spacing w:after="0" w:line="240" w:lineRule="auto"/>
              <w:rPr>
                <w:rFonts w:cstheme="minorHAnsi"/>
                <w:b/>
                <w:bCs/>
                <w:color w:val="auto"/>
                <w:sz w:val="18"/>
                <w:szCs w:val="18"/>
              </w:rPr>
            </w:pPr>
            <w:r w:rsidRPr="007E4882">
              <w:rPr>
                <w:rFonts w:cstheme="minorHAnsi"/>
                <w:b/>
                <w:bCs/>
                <w:color w:val="auto"/>
                <w:sz w:val="18"/>
                <w:szCs w:val="18"/>
              </w:rPr>
              <w:t>Ζ.</w:t>
            </w:r>
          </w:p>
        </w:tc>
        <w:tc>
          <w:tcPr>
            <w:tcW w:w="1730" w:type="dxa"/>
            <w:shd w:val="clear" w:color="auto" w:fill="F2F2F2" w:themeFill="background1" w:themeFillShade="F2"/>
            <w:noWrap/>
            <w:hideMark/>
          </w:tcPr>
          <w:p w14:paraId="23D2FB6B" w14:textId="77777777" w:rsidR="000F4F90" w:rsidRPr="007E4882" w:rsidRDefault="000F4F90" w:rsidP="007E4882">
            <w:pPr>
              <w:spacing w:after="0" w:line="240" w:lineRule="auto"/>
              <w:rPr>
                <w:rFonts w:cstheme="minorHAnsi"/>
                <w:b/>
                <w:bCs/>
                <w:color w:val="auto"/>
                <w:sz w:val="18"/>
                <w:szCs w:val="18"/>
              </w:rPr>
            </w:pPr>
            <w:r w:rsidRPr="007E4882">
              <w:rPr>
                <w:rFonts w:cstheme="minorHAnsi"/>
                <w:b/>
                <w:bCs/>
                <w:color w:val="auto"/>
                <w:sz w:val="18"/>
                <w:szCs w:val="18"/>
              </w:rPr>
              <w:t>Λοιποί τρέχοντες φόροι</w:t>
            </w:r>
          </w:p>
        </w:tc>
        <w:tc>
          <w:tcPr>
            <w:tcW w:w="837" w:type="dxa"/>
            <w:shd w:val="clear" w:color="auto" w:fill="F2F2F2" w:themeFill="background1" w:themeFillShade="F2"/>
            <w:noWrap/>
            <w:hideMark/>
          </w:tcPr>
          <w:p w14:paraId="7003FBFA" w14:textId="77777777" w:rsidR="000F4F90" w:rsidRPr="007E4882" w:rsidRDefault="000F4F90" w:rsidP="007E4882">
            <w:pPr>
              <w:spacing w:after="0" w:line="240" w:lineRule="auto"/>
              <w:rPr>
                <w:rFonts w:cstheme="minorHAnsi"/>
                <w:b/>
                <w:bCs/>
                <w:color w:val="auto"/>
                <w:sz w:val="18"/>
                <w:szCs w:val="18"/>
              </w:rPr>
            </w:pPr>
            <w:r w:rsidRPr="007E4882">
              <w:rPr>
                <w:rFonts w:cstheme="minorHAnsi"/>
                <w:b/>
                <w:bCs/>
                <w:color w:val="auto"/>
                <w:sz w:val="18"/>
                <w:szCs w:val="18"/>
              </w:rPr>
              <w:t>356</w:t>
            </w:r>
          </w:p>
        </w:tc>
        <w:tc>
          <w:tcPr>
            <w:tcW w:w="837" w:type="dxa"/>
            <w:shd w:val="clear" w:color="auto" w:fill="F2F2F2" w:themeFill="background1" w:themeFillShade="F2"/>
            <w:noWrap/>
            <w:hideMark/>
          </w:tcPr>
          <w:p w14:paraId="63E6AA4B" w14:textId="77777777" w:rsidR="000F4F90" w:rsidRPr="007E4882" w:rsidRDefault="000F4F90" w:rsidP="007E4882">
            <w:pPr>
              <w:spacing w:after="0" w:line="240" w:lineRule="auto"/>
              <w:rPr>
                <w:rFonts w:cstheme="minorHAnsi"/>
                <w:b/>
                <w:bCs/>
                <w:color w:val="auto"/>
                <w:sz w:val="18"/>
                <w:szCs w:val="18"/>
              </w:rPr>
            </w:pPr>
            <w:r w:rsidRPr="007E4882">
              <w:rPr>
                <w:rFonts w:cstheme="minorHAnsi"/>
                <w:b/>
                <w:bCs/>
                <w:color w:val="auto"/>
                <w:sz w:val="18"/>
                <w:szCs w:val="18"/>
              </w:rPr>
              <w:t>914</w:t>
            </w:r>
          </w:p>
        </w:tc>
        <w:tc>
          <w:tcPr>
            <w:tcW w:w="1049" w:type="dxa"/>
            <w:shd w:val="clear" w:color="auto" w:fill="F2F2F2" w:themeFill="background1" w:themeFillShade="F2"/>
            <w:noWrap/>
            <w:hideMark/>
          </w:tcPr>
          <w:p w14:paraId="231FDE7B" w14:textId="77777777" w:rsidR="000F4F90" w:rsidRPr="007E4882" w:rsidRDefault="000F4F90" w:rsidP="007E4882">
            <w:pPr>
              <w:spacing w:after="0" w:line="240" w:lineRule="auto"/>
              <w:rPr>
                <w:rFonts w:cstheme="minorHAnsi"/>
                <w:b/>
                <w:bCs/>
                <w:color w:val="auto"/>
                <w:sz w:val="18"/>
                <w:szCs w:val="18"/>
              </w:rPr>
            </w:pPr>
            <w:r w:rsidRPr="007E4882">
              <w:rPr>
                <w:rFonts w:cstheme="minorHAnsi"/>
                <w:b/>
                <w:bCs/>
                <w:color w:val="auto"/>
                <w:sz w:val="18"/>
                <w:szCs w:val="18"/>
              </w:rPr>
              <w:t>339</w:t>
            </w:r>
          </w:p>
        </w:tc>
        <w:tc>
          <w:tcPr>
            <w:tcW w:w="675" w:type="dxa"/>
            <w:shd w:val="clear" w:color="auto" w:fill="F2F2F2" w:themeFill="background1" w:themeFillShade="F2"/>
            <w:noWrap/>
            <w:hideMark/>
          </w:tcPr>
          <w:p w14:paraId="18A6E95B" w14:textId="77777777" w:rsidR="000F4F90" w:rsidRPr="007E4882" w:rsidRDefault="000F4F90" w:rsidP="007E4882">
            <w:pPr>
              <w:spacing w:after="0" w:line="240" w:lineRule="auto"/>
              <w:rPr>
                <w:rFonts w:cstheme="minorHAnsi"/>
                <w:b/>
                <w:bCs/>
                <w:color w:val="auto"/>
                <w:sz w:val="18"/>
                <w:szCs w:val="18"/>
              </w:rPr>
            </w:pPr>
            <w:r w:rsidRPr="007E4882">
              <w:rPr>
                <w:rFonts w:cstheme="minorHAnsi"/>
                <w:b/>
                <w:bCs/>
                <w:color w:val="auto"/>
                <w:sz w:val="18"/>
                <w:szCs w:val="18"/>
              </w:rPr>
              <w:t>558</w:t>
            </w:r>
          </w:p>
        </w:tc>
        <w:tc>
          <w:tcPr>
            <w:tcW w:w="896" w:type="dxa"/>
            <w:shd w:val="clear" w:color="auto" w:fill="F2F2F2" w:themeFill="background1" w:themeFillShade="F2"/>
            <w:noWrap/>
            <w:hideMark/>
          </w:tcPr>
          <w:p w14:paraId="56530546" w14:textId="77777777" w:rsidR="000F4F90" w:rsidRPr="007E4882" w:rsidRDefault="000F4F90" w:rsidP="007E4882">
            <w:pPr>
              <w:spacing w:after="0" w:line="240" w:lineRule="auto"/>
              <w:rPr>
                <w:rFonts w:cstheme="minorHAnsi"/>
                <w:b/>
                <w:bCs/>
                <w:color w:val="auto"/>
                <w:sz w:val="18"/>
                <w:szCs w:val="18"/>
              </w:rPr>
            </w:pPr>
            <w:r w:rsidRPr="007E4882">
              <w:rPr>
                <w:rFonts w:cstheme="minorHAnsi"/>
                <w:b/>
                <w:bCs/>
                <w:color w:val="auto"/>
                <w:sz w:val="18"/>
                <w:szCs w:val="18"/>
              </w:rPr>
              <w:t>575</w:t>
            </w:r>
          </w:p>
        </w:tc>
        <w:tc>
          <w:tcPr>
            <w:tcW w:w="792" w:type="dxa"/>
            <w:shd w:val="clear" w:color="auto" w:fill="F2F2F2" w:themeFill="background1" w:themeFillShade="F2"/>
            <w:noWrap/>
            <w:hideMark/>
          </w:tcPr>
          <w:p w14:paraId="49FE37A1" w14:textId="77777777" w:rsidR="000F4F90" w:rsidRPr="007E4882" w:rsidRDefault="000F4F90" w:rsidP="007E4882">
            <w:pPr>
              <w:spacing w:after="0" w:line="240" w:lineRule="auto"/>
              <w:rPr>
                <w:rFonts w:cstheme="minorHAnsi"/>
                <w:b/>
                <w:bCs/>
                <w:color w:val="auto"/>
                <w:sz w:val="18"/>
                <w:szCs w:val="18"/>
              </w:rPr>
            </w:pPr>
            <w:r w:rsidRPr="007E4882">
              <w:rPr>
                <w:rFonts w:cstheme="minorHAnsi"/>
                <w:b/>
                <w:bCs/>
                <w:color w:val="auto"/>
                <w:sz w:val="18"/>
                <w:szCs w:val="18"/>
              </w:rPr>
              <w:t>156,7%</w:t>
            </w:r>
          </w:p>
        </w:tc>
        <w:tc>
          <w:tcPr>
            <w:tcW w:w="896" w:type="dxa"/>
            <w:shd w:val="clear" w:color="auto" w:fill="F2F2F2" w:themeFill="background1" w:themeFillShade="F2"/>
            <w:noWrap/>
            <w:hideMark/>
          </w:tcPr>
          <w:p w14:paraId="38A8F63A" w14:textId="77777777" w:rsidR="000F4F90" w:rsidRPr="007E4882" w:rsidRDefault="000F4F90" w:rsidP="007E4882">
            <w:pPr>
              <w:spacing w:after="0" w:line="240" w:lineRule="auto"/>
              <w:rPr>
                <w:rFonts w:cstheme="minorHAnsi"/>
                <w:b/>
                <w:bCs/>
                <w:color w:val="auto"/>
                <w:sz w:val="18"/>
                <w:szCs w:val="18"/>
              </w:rPr>
            </w:pPr>
            <w:r w:rsidRPr="007E4882">
              <w:rPr>
                <w:rFonts w:cstheme="minorHAnsi"/>
                <w:b/>
                <w:bCs/>
                <w:color w:val="auto"/>
                <w:sz w:val="18"/>
                <w:szCs w:val="18"/>
              </w:rPr>
              <w:t>169,6%</w:t>
            </w:r>
          </w:p>
        </w:tc>
      </w:tr>
      <w:tr w:rsidR="007E4882" w:rsidRPr="007E4882" w14:paraId="1191144D" w14:textId="77777777" w:rsidTr="005E59F2">
        <w:trPr>
          <w:trHeight w:val="184"/>
        </w:trPr>
        <w:tc>
          <w:tcPr>
            <w:tcW w:w="603" w:type="dxa"/>
            <w:noWrap/>
            <w:hideMark/>
          </w:tcPr>
          <w:p w14:paraId="68952683" w14:textId="77777777" w:rsidR="000F4F90" w:rsidRPr="007E4882" w:rsidRDefault="000F4F90" w:rsidP="007E4882">
            <w:pPr>
              <w:spacing w:after="0" w:line="240" w:lineRule="auto"/>
              <w:rPr>
                <w:rFonts w:cstheme="minorHAnsi"/>
                <w:color w:val="auto"/>
                <w:sz w:val="18"/>
                <w:szCs w:val="18"/>
              </w:rPr>
            </w:pPr>
            <w:r w:rsidRPr="007E4882">
              <w:rPr>
                <w:rFonts w:cstheme="minorHAnsi"/>
                <w:color w:val="auto"/>
                <w:sz w:val="18"/>
                <w:szCs w:val="18"/>
              </w:rPr>
              <w:t> </w:t>
            </w:r>
          </w:p>
        </w:tc>
        <w:tc>
          <w:tcPr>
            <w:tcW w:w="1730" w:type="dxa"/>
            <w:noWrap/>
            <w:hideMark/>
          </w:tcPr>
          <w:p w14:paraId="3CF368AD" w14:textId="77777777" w:rsidR="000F4F90" w:rsidRPr="007E4882" w:rsidRDefault="000F4F90" w:rsidP="007E4882">
            <w:pPr>
              <w:spacing w:after="0" w:line="240" w:lineRule="auto"/>
              <w:rPr>
                <w:rFonts w:cstheme="minorHAnsi"/>
                <w:color w:val="auto"/>
                <w:sz w:val="18"/>
                <w:szCs w:val="18"/>
              </w:rPr>
            </w:pPr>
            <w:r w:rsidRPr="007E4882">
              <w:rPr>
                <w:rFonts w:cstheme="minorHAnsi"/>
                <w:color w:val="auto"/>
                <w:sz w:val="18"/>
                <w:szCs w:val="18"/>
              </w:rPr>
              <w:t>εκ των οποίων: Φόροι οχημάτων</w:t>
            </w:r>
          </w:p>
        </w:tc>
        <w:tc>
          <w:tcPr>
            <w:tcW w:w="837" w:type="dxa"/>
            <w:noWrap/>
            <w:hideMark/>
          </w:tcPr>
          <w:p w14:paraId="61037CB4" w14:textId="77777777" w:rsidR="000F4F90" w:rsidRPr="007E4882" w:rsidRDefault="000F4F90" w:rsidP="007E4882">
            <w:pPr>
              <w:spacing w:after="0" w:line="240" w:lineRule="auto"/>
              <w:rPr>
                <w:rFonts w:cstheme="minorHAnsi"/>
                <w:color w:val="auto"/>
                <w:sz w:val="18"/>
                <w:szCs w:val="18"/>
              </w:rPr>
            </w:pPr>
            <w:r w:rsidRPr="007E4882">
              <w:rPr>
                <w:rFonts w:cstheme="minorHAnsi"/>
                <w:color w:val="auto"/>
                <w:sz w:val="18"/>
                <w:szCs w:val="18"/>
              </w:rPr>
              <w:t>141</w:t>
            </w:r>
          </w:p>
        </w:tc>
        <w:tc>
          <w:tcPr>
            <w:tcW w:w="837" w:type="dxa"/>
            <w:noWrap/>
            <w:hideMark/>
          </w:tcPr>
          <w:p w14:paraId="5DD3E6A5" w14:textId="77777777" w:rsidR="000F4F90" w:rsidRPr="007E4882" w:rsidRDefault="000F4F90" w:rsidP="007E4882">
            <w:pPr>
              <w:spacing w:after="0" w:line="240" w:lineRule="auto"/>
              <w:rPr>
                <w:rFonts w:cstheme="minorHAnsi"/>
                <w:color w:val="auto"/>
                <w:sz w:val="18"/>
                <w:szCs w:val="18"/>
              </w:rPr>
            </w:pPr>
            <w:r w:rsidRPr="007E4882">
              <w:rPr>
                <w:rFonts w:cstheme="minorHAnsi"/>
                <w:color w:val="auto"/>
                <w:sz w:val="18"/>
                <w:szCs w:val="18"/>
              </w:rPr>
              <w:t>713</w:t>
            </w:r>
          </w:p>
        </w:tc>
        <w:tc>
          <w:tcPr>
            <w:tcW w:w="1049" w:type="dxa"/>
            <w:noWrap/>
            <w:hideMark/>
          </w:tcPr>
          <w:p w14:paraId="25443F4E" w14:textId="77777777" w:rsidR="000F4F90" w:rsidRPr="007E4882" w:rsidRDefault="000F4F90" w:rsidP="007E4882">
            <w:pPr>
              <w:spacing w:after="0" w:line="240" w:lineRule="auto"/>
              <w:rPr>
                <w:rFonts w:cstheme="minorHAnsi"/>
                <w:color w:val="auto"/>
                <w:sz w:val="18"/>
                <w:szCs w:val="18"/>
              </w:rPr>
            </w:pPr>
            <w:r w:rsidRPr="007E4882">
              <w:rPr>
                <w:rFonts w:cstheme="minorHAnsi"/>
                <w:color w:val="auto"/>
                <w:sz w:val="18"/>
                <w:szCs w:val="18"/>
              </w:rPr>
              <w:t>83</w:t>
            </w:r>
          </w:p>
        </w:tc>
        <w:tc>
          <w:tcPr>
            <w:tcW w:w="675" w:type="dxa"/>
            <w:noWrap/>
            <w:hideMark/>
          </w:tcPr>
          <w:p w14:paraId="463D5460" w14:textId="77777777" w:rsidR="000F4F90" w:rsidRPr="007E4882" w:rsidRDefault="000F4F90" w:rsidP="007E4882">
            <w:pPr>
              <w:spacing w:after="0" w:line="240" w:lineRule="auto"/>
              <w:rPr>
                <w:rFonts w:cstheme="minorHAnsi"/>
                <w:color w:val="auto"/>
                <w:sz w:val="18"/>
                <w:szCs w:val="18"/>
              </w:rPr>
            </w:pPr>
            <w:r w:rsidRPr="007E4882">
              <w:rPr>
                <w:rFonts w:cstheme="minorHAnsi"/>
                <w:color w:val="auto"/>
                <w:sz w:val="18"/>
                <w:szCs w:val="18"/>
              </w:rPr>
              <w:t>572</w:t>
            </w:r>
          </w:p>
        </w:tc>
        <w:tc>
          <w:tcPr>
            <w:tcW w:w="896" w:type="dxa"/>
            <w:noWrap/>
            <w:hideMark/>
          </w:tcPr>
          <w:p w14:paraId="39DAB3D4" w14:textId="77777777" w:rsidR="000F4F90" w:rsidRPr="007E4882" w:rsidRDefault="000F4F90" w:rsidP="007E4882">
            <w:pPr>
              <w:spacing w:after="0" w:line="240" w:lineRule="auto"/>
              <w:rPr>
                <w:rFonts w:cstheme="minorHAnsi"/>
                <w:color w:val="auto"/>
                <w:sz w:val="18"/>
                <w:szCs w:val="18"/>
              </w:rPr>
            </w:pPr>
            <w:r w:rsidRPr="007E4882">
              <w:rPr>
                <w:rFonts w:cstheme="minorHAnsi"/>
                <w:color w:val="auto"/>
                <w:sz w:val="18"/>
                <w:szCs w:val="18"/>
              </w:rPr>
              <w:t>630</w:t>
            </w:r>
          </w:p>
        </w:tc>
        <w:tc>
          <w:tcPr>
            <w:tcW w:w="792" w:type="dxa"/>
            <w:noWrap/>
            <w:hideMark/>
          </w:tcPr>
          <w:p w14:paraId="16319466" w14:textId="77777777" w:rsidR="000F4F90" w:rsidRPr="007E4882" w:rsidRDefault="000F4F90" w:rsidP="007E4882">
            <w:pPr>
              <w:spacing w:after="0" w:line="240" w:lineRule="auto"/>
              <w:rPr>
                <w:rFonts w:cstheme="minorHAnsi"/>
                <w:color w:val="auto"/>
                <w:sz w:val="18"/>
                <w:szCs w:val="18"/>
              </w:rPr>
            </w:pPr>
            <w:r w:rsidRPr="007E4882">
              <w:rPr>
                <w:rFonts w:cstheme="minorHAnsi"/>
                <w:color w:val="auto"/>
                <w:sz w:val="18"/>
                <w:szCs w:val="18"/>
              </w:rPr>
              <w:t>58,9%</w:t>
            </w:r>
          </w:p>
        </w:tc>
        <w:tc>
          <w:tcPr>
            <w:tcW w:w="896" w:type="dxa"/>
            <w:noWrap/>
            <w:hideMark/>
          </w:tcPr>
          <w:p w14:paraId="0716D25E" w14:textId="77777777" w:rsidR="000F4F90" w:rsidRPr="007E4882" w:rsidRDefault="000F4F90" w:rsidP="007E4882">
            <w:pPr>
              <w:spacing w:after="0" w:line="240" w:lineRule="auto"/>
              <w:rPr>
                <w:rFonts w:cstheme="minorHAnsi"/>
                <w:color w:val="auto"/>
                <w:sz w:val="18"/>
                <w:szCs w:val="18"/>
              </w:rPr>
            </w:pPr>
            <w:r w:rsidRPr="007E4882">
              <w:rPr>
                <w:rFonts w:cstheme="minorHAnsi"/>
                <w:color w:val="auto"/>
                <w:sz w:val="18"/>
                <w:szCs w:val="18"/>
              </w:rPr>
              <w:t>759,0%</w:t>
            </w:r>
          </w:p>
        </w:tc>
      </w:tr>
    </w:tbl>
    <w:p w14:paraId="05C491A3" w14:textId="77777777" w:rsidR="000F4F90" w:rsidRPr="007E4882" w:rsidRDefault="000F4F90" w:rsidP="000F4F90">
      <w:pPr>
        <w:spacing w:after="0"/>
        <w:rPr>
          <w:i/>
          <w:color w:val="auto"/>
          <w:sz w:val="18"/>
          <w:szCs w:val="18"/>
        </w:rPr>
      </w:pPr>
      <w:r w:rsidRPr="007E4882">
        <w:rPr>
          <w:i/>
          <w:color w:val="auto"/>
          <w:sz w:val="18"/>
          <w:szCs w:val="18"/>
        </w:rPr>
        <w:t>Πηγή: Μηνιαίο Δελτίο Εκτέλεσης Κρατικού Προϋπολογισμού Απρίλιος 2021 (τροποποιημένη ταμειακή βάση)</w:t>
      </w:r>
    </w:p>
    <w:p w14:paraId="6113CE83" w14:textId="77777777" w:rsidR="000F4F90" w:rsidRPr="007E4882" w:rsidRDefault="000F4F90" w:rsidP="000F4F90">
      <w:pPr>
        <w:rPr>
          <w:color w:val="auto"/>
          <w:sz w:val="18"/>
          <w:szCs w:val="18"/>
        </w:rPr>
      </w:pPr>
      <w:r w:rsidRPr="007E4882">
        <w:rPr>
          <w:color w:val="auto"/>
          <w:sz w:val="18"/>
          <w:szCs w:val="18"/>
        </w:rPr>
        <w:t>* Στόχοι του Προϋπολογισμού 2021, προσαρμοσμένοι στα συνολικά μεγέθη όπως αποτυπώνονται στις εκτιμήσεις της εισηγητικής έκθεσης του Προϋπολογισμού 2021.</w:t>
      </w:r>
    </w:p>
    <w:p w14:paraId="4FE66F8D" w14:textId="4A4FB689" w:rsidR="000F4F90" w:rsidRPr="007E4882" w:rsidRDefault="000F4F90" w:rsidP="007E4882">
      <w:pPr>
        <w:spacing w:after="160"/>
        <w:rPr>
          <w:rFonts w:cstheme="minorHAnsi"/>
          <w:color w:val="auto"/>
        </w:rPr>
      </w:pPr>
      <w:r w:rsidRPr="007E4882">
        <w:rPr>
          <w:rFonts w:cstheme="minorHAnsi"/>
          <w:color w:val="auto"/>
        </w:rPr>
        <w:t xml:space="preserve">Η υστέρηση στις εισπράξεις φορολογικών εσόδων ως προς τον στόχο που είχε τεθεί για το α’ τρίμηνο του 2021 οφείλεται στην παράταση των περιοριστικών μέτρων το α’ τρίμηνο του 2021. Η παράταση δεν είχε προβλεφθεί κατά την περίοδο κατάρτισης του προϋπολογισμού 2021 και επηρέασε </w:t>
      </w:r>
      <w:r w:rsidR="00761934">
        <w:rPr>
          <w:rFonts w:cstheme="minorHAnsi"/>
          <w:color w:val="auto"/>
        </w:rPr>
        <w:t>πρωτίστως</w:t>
      </w:r>
      <w:r w:rsidRPr="007E4882">
        <w:rPr>
          <w:rFonts w:cstheme="minorHAnsi"/>
          <w:color w:val="auto"/>
        </w:rPr>
        <w:t xml:space="preserve"> τους φόρους επί αγαθών και υπηρεσιών, οι οποίοι υστέρησαν ως προς τον στόχο κατά 374 εκατ. ευρώ. Επιπλέον, οι λοιποί φόροι επί παραγωγής κατέγραψαν σημαντική υστέρηση ως προς τον στόχο και λόγω της χρονικής μετάθεσης της καταβολής του μερίσματος της Τράπεζας της Ελλάδος προς το </w:t>
      </w:r>
      <w:r w:rsidR="00203C86">
        <w:rPr>
          <w:rFonts w:cstheme="minorHAnsi"/>
          <w:color w:val="auto"/>
        </w:rPr>
        <w:t>ελληνικό Δ</w:t>
      </w:r>
      <w:r w:rsidRPr="007E4882">
        <w:rPr>
          <w:rFonts w:cstheme="minorHAnsi"/>
          <w:color w:val="auto"/>
        </w:rPr>
        <w:t>ημόσιο σε μεταγενέστερο χρόνο.</w:t>
      </w:r>
    </w:p>
    <w:p w14:paraId="565246A5" w14:textId="502FAF29" w:rsidR="000F4F90" w:rsidRPr="007E4882" w:rsidRDefault="000F4F90" w:rsidP="007E4882">
      <w:pPr>
        <w:spacing w:after="160"/>
        <w:rPr>
          <w:rFonts w:cstheme="minorHAnsi"/>
          <w:color w:val="auto"/>
        </w:rPr>
      </w:pPr>
      <w:r w:rsidRPr="007E4882">
        <w:rPr>
          <w:rFonts w:cstheme="minorHAnsi"/>
          <w:color w:val="auto"/>
        </w:rPr>
        <w:t>Ως προς το σκέλος των δαπανών του κρατικού προϋπολογισμού, για την περίοδο του Ιανουαρίο</w:t>
      </w:r>
      <w:r w:rsidR="005E59F2">
        <w:rPr>
          <w:rFonts w:cstheme="minorHAnsi"/>
          <w:color w:val="auto"/>
        </w:rPr>
        <w:t>υ-</w:t>
      </w:r>
      <w:r w:rsidRPr="007E4882">
        <w:rPr>
          <w:rFonts w:cstheme="minorHAnsi"/>
          <w:color w:val="auto"/>
        </w:rPr>
        <w:t xml:space="preserve">Μαρτίου 2021, το μεγαλύτερο μέρος </w:t>
      </w:r>
      <w:r w:rsidR="005E59F2">
        <w:rPr>
          <w:rFonts w:cstheme="minorHAnsi"/>
          <w:color w:val="auto"/>
        </w:rPr>
        <w:t xml:space="preserve">εξ </w:t>
      </w:r>
      <w:r w:rsidRPr="007E4882">
        <w:rPr>
          <w:rFonts w:cstheme="minorHAnsi"/>
          <w:color w:val="auto"/>
        </w:rPr>
        <w:t xml:space="preserve">αυτών, παρουσιάζει αύξηση, η οποία συνολικά προσεγγίζει τα 4,3 δισ. ευρώ σε σχέση με το αντίστοιχο χρονικό διάστημα του 2020. </w:t>
      </w:r>
    </w:p>
    <w:p w14:paraId="2D6CFA4A" w14:textId="32D02D89" w:rsidR="000F4F90" w:rsidRPr="007D6510" w:rsidRDefault="007E4882" w:rsidP="007E4882">
      <w:pPr>
        <w:spacing w:after="0" w:line="240" w:lineRule="auto"/>
        <w:rPr>
          <w:iCs/>
          <w:color w:val="00B0F0"/>
          <w:sz w:val="20"/>
          <w:szCs w:val="20"/>
        </w:rPr>
      </w:pPr>
      <w:bookmarkStart w:id="167" w:name="_Toc73435780"/>
      <w:r w:rsidRPr="007D6510">
        <w:rPr>
          <w:sz w:val="20"/>
          <w:szCs w:val="20"/>
        </w:rPr>
        <w:t xml:space="preserve">Πίνακας </w:t>
      </w:r>
      <w:r w:rsidRPr="007D6510">
        <w:rPr>
          <w:i/>
          <w:sz w:val="20"/>
          <w:szCs w:val="20"/>
        </w:rPr>
        <w:fldChar w:fldCharType="begin"/>
      </w:r>
      <w:r w:rsidRPr="007D6510">
        <w:rPr>
          <w:sz w:val="20"/>
          <w:szCs w:val="20"/>
        </w:rPr>
        <w:instrText xml:space="preserve"> SEQ Πίνακας \* ARABIC </w:instrText>
      </w:r>
      <w:r w:rsidRPr="007D6510">
        <w:rPr>
          <w:i/>
          <w:sz w:val="20"/>
          <w:szCs w:val="20"/>
        </w:rPr>
        <w:fldChar w:fldCharType="separate"/>
      </w:r>
      <w:r w:rsidR="00CC05A7">
        <w:rPr>
          <w:noProof/>
          <w:sz w:val="20"/>
          <w:szCs w:val="20"/>
        </w:rPr>
        <w:t>19</w:t>
      </w:r>
      <w:r w:rsidRPr="007D6510">
        <w:rPr>
          <w:i/>
          <w:sz w:val="20"/>
          <w:szCs w:val="20"/>
        </w:rPr>
        <w:fldChar w:fldCharType="end"/>
      </w:r>
      <w:r w:rsidRPr="007D6510">
        <w:rPr>
          <w:color w:val="00B0F0"/>
          <w:sz w:val="20"/>
          <w:szCs w:val="20"/>
        </w:rPr>
        <w:t xml:space="preserve">: </w:t>
      </w:r>
      <w:r w:rsidR="000F4F90" w:rsidRPr="007D6510">
        <w:rPr>
          <w:iCs/>
          <w:color w:val="00B0F0"/>
          <w:sz w:val="20"/>
          <w:szCs w:val="20"/>
        </w:rPr>
        <w:t>Δαπάνες Κρατικού Προϋπολογισμού Ιανουάριος- Μάρτιος 2021</w:t>
      </w:r>
      <w:bookmarkEnd w:id="167"/>
    </w:p>
    <w:tbl>
      <w:tblPr>
        <w:tblW w:w="8901" w:type="dxa"/>
        <w:jc w:val="center"/>
        <w:tblLook w:val="04A0" w:firstRow="1" w:lastRow="0" w:firstColumn="1" w:lastColumn="0" w:noHBand="0" w:noVBand="1"/>
      </w:tblPr>
      <w:tblGrid>
        <w:gridCol w:w="282"/>
        <w:gridCol w:w="3532"/>
        <w:gridCol w:w="893"/>
        <w:gridCol w:w="879"/>
        <w:gridCol w:w="1351"/>
        <w:gridCol w:w="1964"/>
      </w:tblGrid>
      <w:tr w:rsidR="007E4882" w:rsidRPr="007E4882" w14:paraId="3F94E865" w14:textId="77777777" w:rsidTr="007E4882">
        <w:trPr>
          <w:trHeight w:val="241"/>
          <w:jc w:val="center"/>
        </w:trPr>
        <w:tc>
          <w:tcPr>
            <w:tcW w:w="282" w:type="dxa"/>
            <w:tcBorders>
              <w:top w:val="nil"/>
              <w:left w:val="nil"/>
              <w:bottom w:val="nil"/>
              <w:right w:val="nil"/>
            </w:tcBorders>
            <w:shd w:val="clear" w:color="auto" w:fill="auto"/>
            <w:noWrap/>
            <w:vAlign w:val="bottom"/>
            <w:hideMark/>
          </w:tcPr>
          <w:p w14:paraId="48CAB443" w14:textId="77777777" w:rsidR="000F4F90" w:rsidRPr="007E4882" w:rsidRDefault="000F4F90" w:rsidP="00124001">
            <w:pPr>
              <w:spacing w:after="0" w:line="240" w:lineRule="auto"/>
              <w:rPr>
                <w:rFonts w:cstheme="minorHAnsi"/>
                <w:color w:val="auto"/>
                <w:sz w:val="20"/>
                <w:szCs w:val="20"/>
              </w:rPr>
            </w:pPr>
          </w:p>
        </w:tc>
        <w:tc>
          <w:tcPr>
            <w:tcW w:w="3532" w:type="dxa"/>
            <w:vMerge w:val="restart"/>
            <w:tcBorders>
              <w:top w:val="single" w:sz="8" w:space="0" w:color="auto"/>
              <w:left w:val="single" w:sz="8" w:space="0" w:color="auto"/>
              <w:bottom w:val="single" w:sz="8" w:space="0" w:color="000000"/>
              <w:right w:val="single" w:sz="8" w:space="0" w:color="auto"/>
            </w:tcBorders>
            <w:shd w:val="clear" w:color="auto" w:fill="BDD6EE" w:themeFill="accent1" w:themeFillTint="66"/>
            <w:vAlign w:val="bottom"/>
            <w:hideMark/>
          </w:tcPr>
          <w:p w14:paraId="23723DD7" w14:textId="77777777" w:rsidR="000F4F90" w:rsidRPr="007E4882" w:rsidRDefault="000F4F90" w:rsidP="00124001">
            <w:pPr>
              <w:spacing w:after="0" w:line="240" w:lineRule="auto"/>
              <w:rPr>
                <w:rFonts w:cstheme="minorHAnsi"/>
                <w:b/>
                <w:color w:val="auto"/>
                <w:sz w:val="20"/>
                <w:szCs w:val="20"/>
              </w:rPr>
            </w:pPr>
            <w:r w:rsidRPr="007E4882">
              <w:rPr>
                <w:rFonts w:cstheme="minorHAnsi"/>
                <w:b/>
                <w:color w:val="auto"/>
                <w:sz w:val="20"/>
                <w:szCs w:val="20"/>
              </w:rPr>
              <w:t> </w:t>
            </w:r>
          </w:p>
        </w:tc>
        <w:tc>
          <w:tcPr>
            <w:tcW w:w="893" w:type="dxa"/>
            <w:vMerge w:val="restart"/>
            <w:tcBorders>
              <w:top w:val="single" w:sz="8" w:space="0" w:color="auto"/>
              <w:left w:val="single" w:sz="8" w:space="0" w:color="auto"/>
              <w:bottom w:val="single" w:sz="8" w:space="0" w:color="000000"/>
              <w:right w:val="single" w:sz="8" w:space="0" w:color="auto"/>
            </w:tcBorders>
            <w:shd w:val="clear" w:color="auto" w:fill="BDD6EE" w:themeFill="accent1" w:themeFillTint="66"/>
            <w:noWrap/>
            <w:vAlign w:val="bottom"/>
            <w:hideMark/>
          </w:tcPr>
          <w:p w14:paraId="70BB303A" w14:textId="77777777" w:rsidR="000F4F90" w:rsidRPr="007E4882" w:rsidRDefault="000F4F90" w:rsidP="00124001">
            <w:pPr>
              <w:spacing w:after="0" w:line="240" w:lineRule="auto"/>
              <w:rPr>
                <w:rFonts w:cstheme="minorHAnsi"/>
                <w:b/>
                <w:color w:val="auto"/>
                <w:sz w:val="20"/>
                <w:szCs w:val="20"/>
              </w:rPr>
            </w:pPr>
            <w:r w:rsidRPr="007E4882">
              <w:rPr>
                <w:rFonts w:cstheme="minorHAnsi"/>
                <w:b/>
                <w:color w:val="auto"/>
                <w:sz w:val="20"/>
                <w:szCs w:val="20"/>
              </w:rPr>
              <w:t>2020</w:t>
            </w:r>
          </w:p>
        </w:tc>
        <w:tc>
          <w:tcPr>
            <w:tcW w:w="879" w:type="dxa"/>
            <w:vMerge w:val="restart"/>
            <w:tcBorders>
              <w:top w:val="single" w:sz="8" w:space="0" w:color="auto"/>
              <w:left w:val="single" w:sz="8" w:space="0" w:color="auto"/>
              <w:bottom w:val="single" w:sz="8" w:space="0" w:color="000000"/>
              <w:right w:val="single" w:sz="8" w:space="0" w:color="auto"/>
            </w:tcBorders>
            <w:shd w:val="clear" w:color="auto" w:fill="BDD6EE" w:themeFill="accent1" w:themeFillTint="66"/>
            <w:noWrap/>
            <w:vAlign w:val="bottom"/>
            <w:hideMark/>
          </w:tcPr>
          <w:p w14:paraId="58361A14" w14:textId="77777777" w:rsidR="000F4F90" w:rsidRPr="007E4882" w:rsidRDefault="000F4F90" w:rsidP="00124001">
            <w:pPr>
              <w:spacing w:after="0" w:line="240" w:lineRule="auto"/>
              <w:rPr>
                <w:rFonts w:cstheme="minorHAnsi"/>
                <w:b/>
                <w:color w:val="auto"/>
                <w:sz w:val="20"/>
                <w:szCs w:val="20"/>
              </w:rPr>
            </w:pPr>
            <w:r w:rsidRPr="007E4882">
              <w:rPr>
                <w:rFonts w:cstheme="minorHAnsi"/>
                <w:b/>
                <w:color w:val="auto"/>
                <w:sz w:val="20"/>
                <w:szCs w:val="20"/>
              </w:rPr>
              <w:t>2021</w:t>
            </w:r>
          </w:p>
        </w:tc>
        <w:tc>
          <w:tcPr>
            <w:tcW w:w="1351" w:type="dxa"/>
            <w:tcBorders>
              <w:top w:val="single" w:sz="8" w:space="0" w:color="auto"/>
              <w:left w:val="nil"/>
              <w:bottom w:val="nil"/>
              <w:right w:val="single" w:sz="8" w:space="0" w:color="auto"/>
            </w:tcBorders>
            <w:shd w:val="clear" w:color="auto" w:fill="BDD6EE" w:themeFill="accent1" w:themeFillTint="66"/>
            <w:vAlign w:val="bottom"/>
            <w:hideMark/>
          </w:tcPr>
          <w:p w14:paraId="2E935898" w14:textId="77777777" w:rsidR="000F4F90" w:rsidRPr="007E4882" w:rsidRDefault="000F4F90" w:rsidP="00124001">
            <w:pPr>
              <w:spacing w:after="0" w:line="240" w:lineRule="auto"/>
              <w:rPr>
                <w:rFonts w:cstheme="minorHAnsi"/>
                <w:b/>
                <w:color w:val="auto"/>
                <w:sz w:val="20"/>
                <w:szCs w:val="20"/>
              </w:rPr>
            </w:pPr>
            <w:r w:rsidRPr="007E4882">
              <w:rPr>
                <w:rFonts w:cstheme="minorHAnsi"/>
                <w:b/>
                <w:color w:val="auto"/>
                <w:sz w:val="20"/>
                <w:szCs w:val="20"/>
              </w:rPr>
              <w:t>Διαφορά</w:t>
            </w:r>
          </w:p>
        </w:tc>
        <w:tc>
          <w:tcPr>
            <w:tcW w:w="1964" w:type="dxa"/>
            <w:vMerge w:val="restart"/>
            <w:tcBorders>
              <w:top w:val="single" w:sz="8" w:space="0" w:color="auto"/>
              <w:left w:val="single" w:sz="8" w:space="0" w:color="auto"/>
              <w:bottom w:val="single" w:sz="8" w:space="0" w:color="000000"/>
              <w:right w:val="single" w:sz="8" w:space="0" w:color="auto"/>
            </w:tcBorders>
            <w:shd w:val="clear" w:color="auto" w:fill="BDD6EE" w:themeFill="accent1" w:themeFillTint="66"/>
            <w:vAlign w:val="bottom"/>
            <w:hideMark/>
          </w:tcPr>
          <w:p w14:paraId="65BA8533" w14:textId="77777777" w:rsidR="000F4F90" w:rsidRPr="007E4882" w:rsidRDefault="000F4F90" w:rsidP="00124001">
            <w:pPr>
              <w:spacing w:after="0" w:line="240" w:lineRule="auto"/>
              <w:rPr>
                <w:rFonts w:cstheme="minorHAnsi"/>
                <w:b/>
                <w:color w:val="auto"/>
                <w:sz w:val="20"/>
                <w:szCs w:val="20"/>
              </w:rPr>
            </w:pPr>
            <w:r w:rsidRPr="007E4882">
              <w:rPr>
                <w:rFonts w:cstheme="minorHAnsi"/>
                <w:b/>
                <w:color w:val="auto"/>
                <w:sz w:val="20"/>
                <w:szCs w:val="20"/>
              </w:rPr>
              <w:t>% Μεταβολή 2021-2020</w:t>
            </w:r>
          </w:p>
        </w:tc>
      </w:tr>
      <w:tr w:rsidR="007E4882" w:rsidRPr="007E4882" w14:paraId="16E01833" w14:textId="77777777" w:rsidTr="007E4882">
        <w:trPr>
          <w:trHeight w:val="253"/>
          <w:jc w:val="center"/>
        </w:trPr>
        <w:tc>
          <w:tcPr>
            <w:tcW w:w="282" w:type="dxa"/>
            <w:tcBorders>
              <w:top w:val="nil"/>
              <w:left w:val="nil"/>
              <w:bottom w:val="nil"/>
              <w:right w:val="nil"/>
            </w:tcBorders>
            <w:shd w:val="clear" w:color="auto" w:fill="auto"/>
            <w:noWrap/>
            <w:vAlign w:val="bottom"/>
            <w:hideMark/>
          </w:tcPr>
          <w:p w14:paraId="4EA42FA0" w14:textId="77777777" w:rsidR="000F4F90" w:rsidRPr="007E4882" w:rsidRDefault="000F4F90" w:rsidP="00124001">
            <w:pPr>
              <w:spacing w:after="0" w:line="240" w:lineRule="auto"/>
              <w:rPr>
                <w:rFonts w:cstheme="minorHAnsi"/>
                <w:color w:val="auto"/>
                <w:sz w:val="20"/>
                <w:szCs w:val="20"/>
              </w:rPr>
            </w:pPr>
          </w:p>
        </w:tc>
        <w:tc>
          <w:tcPr>
            <w:tcW w:w="3532" w:type="dxa"/>
            <w:vMerge/>
            <w:tcBorders>
              <w:top w:val="single" w:sz="8" w:space="0" w:color="auto"/>
              <w:left w:val="single" w:sz="8" w:space="0" w:color="auto"/>
              <w:bottom w:val="single" w:sz="8" w:space="0" w:color="000000"/>
              <w:right w:val="single" w:sz="8" w:space="0" w:color="auto"/>
            </w:tcBorders>
            <w:vAlign w:val="center"/>
            <w:hideMark/>
          </w:tcPr>
          <w:p w14:paraId="0BC3EB2A" w14:textId="77777777" w:rsidR="000F4F90" w:rsidRPr="007E4882" w:rsidRDefault="000F4F90" w:rsidP="00124001">
            <w:pPr>
              <w:spacing w:after="0" w:line="240" w:lineRule="auto"/>
              <w:rPr>
                <w:rFonts w:cstheme="minorHAnsi"/>
                <w:color w:val="auto"/>
                <w:sz w:val="20"/>
                <w:szCs w:val="20"/>
              </w:rPr>
            </w:pPr>
          </w:p>
        </w:tc>
        <w:tc>
          <w:tcPr>
            <w:tcW w:w="893" w:type="dxa"/>
            <w:vMerge/>
            <w:tcBorders>
              <w:top w:val="single" w:sz="8" w:space="0" w:color="auto"/>
              <w:left w:val="single" w:sz="8" w:space="0" w:color="auto"/>
              <w:bottom w:val="single" w:sz="8" w:space="0" w:color="000000"/>
              <w:right w:val="single" w:sz="8" w:space="0" w:color="auto"/>
            </w:tcBorders>
            <w:vAlign w:val="center"/>
            <w:hideMark/>
          </w:tcPr>
          <w:p w14:paraId="76215C28" w14:textId="77777777" w:rsidR="000F4F90" w:rsidRPr="007E4882" w:rsidRDefault="000F4F90" w:rsidP="00124001">
            <w:pPr>
              <w:spacing w:after="0" w:line="240" w:lineRule="auto"/>
              <w:rPr>
                <w:rFonts w:cstheme="minorHAnsi"/>
                <w:color w:val="auto"/>
                <w:sz w:val="20"/>
                <w:szCs w:val="20"/>
              </w:rPr>
            </w:pPr>
          </w:p>
        </w:tc>
        <w:tc>
          <w:tcPr>
            <w:tcW w:w="879" w:type="dxa"/>
            <w:vMerge/>
            <w:tcBorders>
              <w:top w:val="single" w:sz="8" w:space="0" w:color="auto"/>
              <w:left w:val="single" w:sz="8" w:space="0" w:color="auto"/>
              <w:bottom w:val="single" w:sz="8" w:space="0" w:color="000000"/>
              <w:right w:val="single" w:sz="8" w:space="0" w:color="auto"/>
            </w:tcBorders>
            <w:vAlign w:val="center"/>
            <w:hideMark/>
          </w:tcPr>
          <w:p w14:paraId="78D969AE" w14:textId="77777777" w:rsidR="000F4F90" w:rsidRPr="007E4882" w:rsidRDefault="000F4F90" w:rsidP="00124001">
            <w:pPr>
              <w:spacing w:after="0" w:line="240" w:lineRule="auto"/>
              <w:rPr>
                <w:rFonts w:cstheme="minorHAnsi"/>
                <w:color w:val="auto"/>
                <w:sz w:val="20"/>
                <w:szCs w:val="20"/>
              </w:rPr>
            </w:pPr>
          </w:p>
        </w:tc>
        <w:tc>
          <w:tcPr>
            <w:tcW w:w="1351" w:type="dxa"/>
            <w:tcBorders>
              <w:top w:val="nil"/>
              <w:left w:val="nil"/>
              <w:bottom w:val="single" w:sz="8" w:space="0" w:color="auto"/>
              <w:right w:val="single" w:sz="8" w:space="0" w:color="auto"/>
            </w:tcBorders>
            <w:shd w:val="clear" w:color="auto" w:fill="BDD6EE" w:themeFill="accent1" w:themeFillTint="66"/>
            <w:vAlign w:val="bottom"/>
            <w:hideMark/>
          </w:tcPr>
          <w:p w14:paraId="47B841DB" w14:textId="77777777" w:rsidR="000F4F90" w:rsidRPr="007E4882" w:rsidRDefault="000F4F90" w:rsidP="00124001">
            <w:pPr>
              <w:spacing w:after="0" w:line="240" w:lineRule="auto"/>
              <w:rPr>
                <w:rFonts w:cstheme="minorHAnsi"/>
                <w:b/>
                <w:color w:val="auto"/>
                <w:sz w:val="20"/>
                <w:szCs w:val="20"/>
              </w:rPr>
            </w:pPr>
            <w:r w:rsidRPr="007E4882">
              <w:rPr>
                <w:rFonts w:cstheme="minorHAnsi"/>
                <w:b/>
                <w:color w:val="auto"/>
                <w:sz w:val="20"/>
                <w:szCs w:val="20"/>
              </w:rPr>
              <w:t>2021-2020</w:t>
            </w:r>
          </w:p>
        </w:tc>
        <w:tc>
          <w:tcPr>
            <w:tcW w:w="1964" w:type="dxa"/>
            <w:vMerge/>
            <w:tcBorders>
              <w:top w:val="single" w:sz="8" w:space="0" w:color="auto"/>
              <w:left w:val="single" w:sz="8" w:space="0" w:color="auto"/>
              <w:bottom w:val="single" w:sz="8" w:space="0" w:color="000000"/>
              <w:right w:val="single" w:sz="8" w:space="0" w:color="auto"/>
            </w:tcBorders>
            <w:vAlign w:val="center"/>
            <w:hideMark/>
          </w:tcPr>
          <w:p w14:paraId="02C33BF7" w14:textId="77777777" w:rsidR="000F4F90" w:rsidRPr="007E4882" w:rsidRDefault="000F4F90" w:rsidP="00124001">
            <w:pPr>
              <w:spacing w:after="0" w:line="240" w:lineRule="auto"/>
              <w:rPr>
                <w:rFonts w:cstheme="minorHAnsi"/>
                <w:color w:val="auto"/>
                <w:sz w:val="20"/>
                <w:szCs w:val="20"/>
              </w:rPr>
            </w:pPr>
          </w:p>
        </w:tc>
      </w:tr>
      <w:tr w:rsidR="007E4882" w:rsidRPr="007E4882" w14:paraId="6A13004D" w14:textId="77777777" w:rsidTr="007E4882">
        <w:trPr>
          <w:trHeight w:val="253"/>
          <w:jc w:val="center"/>
        </w:trPr>
        <w:tc>
          <w:tcPr>
            <w:tcW w:w="282" w:type="dxa"/>
            <w:tcBorders>
              <w:top w:val="nil"/>
              <w:left w:val="nil"/>
              <w:bottom w:val="nil"/>
              <w:right w:val="nil"/>
            </w:tcBorders>
            <w:shd w:val="clear" w:color="auto" w:fill="auto"/>
            <w:noWrap/>
            <w:vAlign w:val="bottom"/>
            <w:hideMark/>
          </w:tcPr>
          <w:p w14:paraId="2E0D091D" w14:textId="77777777" w:rsidR="000F4F90" w:rsidRPr="007E4882" w:rsidRDefault="000F4F90" w:rsidP="00124001">
            <w:pPr>
              <w:spacing w:after="0" w:line="240" w:lineRule="auto"/>
              <w:rPr>
                <w:rFonts w:cstheme="minorHAnsi"/>
                <w:color w:val="auto"/>
                <w:sz w:val="20"/>
                <w:szCs w:val="20"/>
              </w:rPr>
            </w:pPr>
          </w:p>
        </w:tc>
        <w:tc>
          <w:tcPr>
            <w:tcW w:w="3532" w:type="dxa"/>
            <w:tcBorders>
              <w:top w:val="nil"/>
              <w:left w:val="single" w:sz="8" w:space="0" w:color="auto"/>
              <w:bottom w:val="single" w:sz="8" w:space="0" w:color="auto"/>
              <w:right w:val="single" w:sz="8" w:space="0" w:color="auto"/>
            </w:tcBorders>
            <w:shd w:val="clear" w:color="000000" w:fill="FFFFFF"/>
            <w:vAlign w:val="bottom"/>
            <w:hideMark/>
          </w:tcPr>
          <w:p w14:paraId="45236AF0" w14:textId="77777777" w:rsidR="000F4F90" w:rsidRPr="007E4882" w:rsidRDefault="000F4F90" w:rsidP="00124001">
            <w:pPr>
              <w:spacing w:after="0" w:line="240" w:lineRule="auto"/>
              <w:rPr>
                <w:rFonts w:cstheme="minorHAnsi"/>
                <w:b/>
                <w:color w:val="auto"/>
                <w:sz w:val="20"/>
                <w:szCs w:val="20"/>
              </w:rPr>
            </w:pPr>
            <w:r w:rsidRPr="007E4882">
              <w:rPr>
                <w:rFonts w:cstheme="minorHAnsi"/>
                <w:b/>
                <w:color w:val="auto"/>
                <w:sz w:val="20"/>
                <w:szCs w:val="20"/>
              </w:rPr>
              <w:t>Δαπάνες</w:t>
            </w:r>
          </w:p>
        </w:tc>
        <w:tc>
          <w:tcPr>
            <w:tcW w:w="893" w:type="dxa"/>
            <w:tcBorders>
              <w:top w:val="nil"/>
              <w:left w:val="nil"/>
              <w:bottom w:val="single" w:sz="8" w:space="0" w:color="auto"/>
              <w:right w:val="single" w:sz="8" w:space="0" w:color="auto"/>
            </w:tcBorders>
            <w:shd w:val="clear" w:color="000000" w:fill="FFFFFF"/>
            <w:noWrap/>
            <w:vAlign w:val="center"/>
            <w:hideMark/>
          </w:tcPr>
          <w:p w14:paraId="7ACA4503" w14:textId="77777777" w:rsidR="000F4F90" w:rsidRPr="007E4882" w:rsidRDefault="000F4F90" w:rsidP="00124001">
            <w:pPr>
              <w:spacing w:after="0" w:line="240" w:lineRule="auto"/>
              <w:rPr>
                <w:rFonts w:cstheme="minorHAnsi"/>
                <w:b/>
                <w:color w:val="auto"/>
                <w:sz w:val="20"/>
                <w:szCs w:val="20"/>
              </w:rPr>
            </w:pPr>
            <w:r w:rsidRPr="007E4882">
              <w:rPr>
                <w:rFonts w:cstheme="minorHAnsi"/>
                <w:b/>
                <w:color w:val="auto"/>
                <w:sz w:val="20"/>
                <w:szCs w:val="20"/>
              </w:rPr>
              <w:t>12.926</w:t>
            </w:r>
          </w:p>
        </w:tc>
        <w:tc>
          <w:tcPr>
            <w:tcW w:w="879" w:type="dxa"/>
            <w:tcBorders>
              <w:top w:val="nil"/>
              <w:left w:val="nil"/>
              <w:bottom w:val="single" w:sz="8" w:space="0" w:color="auto"/>
              <w:right w:val="single" w:sz="8" w:space="0" w:color="auto"/>
            </w:tcBorders>
            <w:shd w:val="clear" w:color="000000" w:fill="FFFFFF"/>
            <w:vAlign w:val="bottom"/>
            <w:hideMark/>
          </w:tcPr>
          <w:p w14:paraId="3CC67D66" w14:textId="77777777" w:rsidR="000F4F90" w:rsidRPr="007E4882" w:rsidRDefault="000F4F90" w:rsidP="00124001">
            <w:pPr>
              <w:spacing w:after="0" w:line="240" w:lineRule="auto"/>
              <w:rPr>
                <w:rFonts w:cstheme="minorHAnsi"/>
                <w:b/>
                <w:color w:val="auto"/>
                <w:sz w:val="20"/>
                <w:szCs w:val="20"/>
              </w:rPr>
            </w:pPr>
            <w:r w:rsidRPr="007E4882">
              <w:rPr>
                <w:rFonts w:cstheme="minorHAnsi"/>
                <w:b/>
                <w:color w:val="auto"/>
                <w:sz w:val="20"/>
                <w:szCs w:val="20"/>
              </w:rPr>
              <w:t>17.222</w:t>
            </w:r>
          </w:p>
        </w:tc>
        <w:tc>
          <w:tcPr>
            <w:tcW w:w="1351" w:type="dxa"/>
            <w:tcBorders>
              <w:top w:val="nil"/>
              <w:left w:val="nil"/>
              <w:bottom w:val="single" w:sz="8" w:space="0" w:color="auto"/>
              <w:right w:val="single" w:sz="8" w:space="0" w:color="auto"/>
            </w:tcBorders>
            <w:shd w:val="clear" w:color="000000" w:fill="FFFFFF"/>
            <w:vAlign w:val="bottom"/>
            <w:hideMark/>
          </w:tcPr>
          <w:p w14:paraId="25C58EE5" w14:textId="77777777" w:rsidR="000F4F90" w:rsidRPr="007E4882" w:rsidRDefault="000F4F90" w:rsidP="00124001">
            <w:pPr>
              <w:spacing w:after="0" w:line="240" w:lineRule="auto"/>
              <w:rPr>
                <w:rFonts w:cstheme="minorHAnsi"/>
                <w:b/>
                <w:color w:val="auto"/>
                <w:sz w:val="20"/>
                <w:szCs w:val="20"/>
              </w:rPr>
            </w:pPr>
            <w:r w:rsidRPr="007E4882">
              <w:rPr>
                <w:rFonts w:cstheme="minorHAnsi"/>
                <w:b/>
                <w:color w:val="auto"/>
                <w:sz w:val="20"/>
                <w:szCs w:val="20"/>
              </w:rPr>
              <w:t>4.296</w:t>
            </w:r>
          </w:p>
        </w:tc>
        <w:tc>
          <w:tcPr>
            <w:tcW w:w="1964" w:type="dxa"/>
            <w:tcBorders>
              <w:top w:val="nil"/>
              <w:left w:val="nil"/>
              <w:bottom w:val="single" w:sz="8" w:space="0" w:color="auto"/>
              <w:right w:val="single" w:sz="8" w:space="0" w:color="auto"/>
            </w:tcBorders>
            <w:shd w:val="clear" w:color="000000" w:fill="FFFFFF"/>
            <w:vAlign w:val="bottom"/>
            <w:hideMark/>
          </w:tcPr>
          <w:p w14:paraId="27079CB1" w14:textId="77777777" w:rsidR="000F4F90" w:rsidRPr="007E4882" w:rsidRDefault="000F4F90" w:rsidP="00124001">
            <w:pPr>
              <w:spacing w:after="0" w:line="240" w:lineRule="auto"/>
              <w:rPr>
                <w:rFonts w:cstheme="minorHAnsi"/>
                <w:b/>
                <w:color w:val="auto"/>
                <w:sz w:val="20"/>
                <w:szCs w:val="20"/>
              </w:rPr>
            </w:pPr>
            <w:r w:rsidRPr="007E4882">
              <w:rPr>
                <w:rFonts w:cstheme="minorHAnsi"/>
                <w:b/>
                <w:color w:val="auto"/>
                <w:sz w:val="20"/>
                <w:szCs w:val="20"/>
              </w:rPr>
              <w:t>33,2%</w:t>
            </w:r>
          </w:p>
        </w:tc>
      </w:tr>
      <w:tr w:rsidR="007E4882" w:rsidRPr="007E4882" w14:paraId="53C039A8" w14:textId="77777777" w:rsidTr="007E4882">
        <w:trPr>
          <w:trHeight w:val="253"/>
          <w:jc w:val="center"/>
        </w:trPr>
        <w:tc>
          <w:tcPr>
            <w:tcW w:w="282" w:type="dxa"/>
            <w:tcBorders>
              <w:top w:val="nil"/>
              <w:left w:val="nil"/>
              <w:bottom w:val="nil"/>
              <w:right w:val="nil"/>
            </w:tcBorders>
            <w:shd w:val="clear" w:color="auto" w:fill="auto"/>
            <w:noWrap/>
            <w:vAlign w:val="bottom"/>
            <w:hideMark/>
          </w:tcPr>
          <w:p w14:paraId="75FF672E" w14:textId="77777777" w:rsidR="000F4F90" w:rsidRPr="007E4882" w:rsidRDefault="000F4F90" w:rsidP="00124001">
            <w:pPr>
              <w:spacing w:after="0" w:line="240" w:lineRule="auto"/>
              <w:rPr>
                <w:rFonts w:cstheme="minorHAnsi"/>
                <w:color w:val="auto"/>
                <w:sz w:val="20"/>
                <w:szCs w:val="20"/>
              </w:rPr>
            </w:pPr>
          </w:p>
        </w:tc>
        <w:tc>
          <w:tcPr>
            <w:tcW w:w="3532" w:type="dxa"/>
            <w:tcBorders>
              <w:top w:val="nil"/>
              <w:left w:val="single" w:sz="8" w:space="0" w:color="auto"/>
              <w:bottom w:val="single" w:sz="8" w:space="0" w:color="auto"/>
              <w:right w:val="single" w:sz="8" w:space="0" w:color="auto"/>
            </w:tcBorders>
            <w:shd w:val="clear" w:color="000000" w:fill="FFFFFF"/>
            <w:noWrap/>
            <w:vAlign w:val="bottom"/>
            <w:hideMark/>
          </w:tcPr>
          <w:p w14:paraId="62264E6A" w14:textId="77777777" w:rsidR="000F4F90" w:rsidRPr="007E4882" w:rsidRDefault="000F4F90" w:rsidP="00124001">
            <w:pPr>
              <w:spacing w:after="0" w:line="240" w:lineRule="auto"/>
              <w:rPr>
                <w:rFonts w:cstheme="minorHAnsi"/>
                <w:b/>
                <w:color w:val="auto"/>
                <w:sz w:val="20"/>
                <w:szCs w:val="20"/>
              </w:rPr>
            </w:pPr>
            <w:r w:rsidRPr="007E4882">
              <w:rPr>
                <w:rFonts w:cstheme="minorHAnsi"/>
                <w:b/>
                <w:color w:val="auto"/>
                <w:sz w:val="20"/>
                <w:szCs w:val="20"/>
              </w:rPr>
              <w:t>Παροχές σε εργαζόμενους</w:t>
            </w:r>
          </w:p>
        </w:tc>
        <w:tc>
          <w:tcPr>
            <w:tcW w:w="893" w:type="dxa"/>
            <w:tcBorders>
              <w:top w:val="nil"/>
              <w:left w:val="nil"/>
              <w:bottom w:val="single" w:sz="8" w:space="0" w:color="auto"/>
              <w:right w:val="single" w:sz="8" w:space="0" w:color="auto"/>
            </w:tcBorders>
            <w:shd w:val="clear" w:color="000000" w:fill="FFFFFF"/>
            <w:noWrap/>
            <w:vAlign w:val="bottom"/>
            <w:hideMark/>
          </w:tcPr>
          <w:p w14:paraId="729B1857" w14:textId="77777777" w:rsidR="000F4F90" w:rsidRPr="007E4882" w:rsidRDefault="000F4F90" w:rsidP="00124001">
            <w:pPr>
              <w:spacing w:after="0" w:line="240" w:lineRule="auto"/>
              <w:rPr>
                <w:rFonts w:cstheme="minorHAnsi"/>
                <w:b/>
                <w:color w:val="auto"/>
                <w:sz w:val="20"/>
                <w:szCs w:val="20"/>
              </w:rPr>
            </w:pPr>
            <w:r w:rsidRPr="007E4882">
              <w:rPr>
                <w:rFonts w:cstheme="minorHAnsi"/>
                <w:b/>
                <w:color w:val="auto"/>
                <w:sz w:val="20"/>
                <w:szCs w:val="20"/>
              </w:rPr>
              <w:t>3.275</w:t>
            </w:r>
          </w:p>
        </w:tc>
        <w:tc>
          <w:tcPr>
            <w:tcW w:w="879" w:type="dxa"/>
            <w:tcBorders>
              <w:top w:val="nil"/>
              <w:left w:val="nil"/>
              <w:bottom w:val="single" w:sz="8" w:space="0" w:color="auto"/>
              <w:right w:val="single" w:sz="8" w:space="0" w:color="auto"/>
            </w:tcBorders>
            <w:shd w:val="clear" w:color="000000" w:fill="FFFFFF"/>
            <w:noWrap/>
            <w:vAlign w:val="bottom"/>
            <w:hideMark/>
          </w:tcPr>
          <w:p w14:paraId="4301A7A8" w14:textId="77777777" w:rsidR="000F4F90" w:rsidRPr="007E4882" w:rsidRDefault="000F4F90" w:rsidP="00124001">
            <w:pPr>
              <w:spacing w:after="0" w:line="240" w:lineRule="auto"/>
              <w:rPr>
                <w:rFonts w:cstheme="minorHAnsi"/>
                <w:b/>
                <w:color w:val="auto"/>
                <w:sz w:val="20"/>
                <w:szCs w:val="20"/>
              </w:rPr>
            </w:pPr>
            <w:r w:rsidRPr="007E4882">
              <w:rPr>
                <w:rFonts w:cstheme="minorHAnsi"/>
                <w:b/>
                <w:color w:val="auto"/>
                <w:sz w:val="20"/>
                <w:szCs w:val="20"/>
              </w:rPr>
              <w:t>3.291</w:t>
            </w:r>
          </w:p>
        </w:tc>
        <w:tc>
          <w:tcPr>
            <w:tcW w:w="1351" w:type="dxa"/>
            <w:tcBorders>
              <w:top w:val="nil"/>
              <w:left w:val="nil"/>
              <w:bottom w:val="single" w:sz="8" w:space="0" w:color="auto"/>
              <w:right w:val="single" w:sz="8" w:space="0" w:color="auto"/>
            </w:tcBorders>
            <w:shd w:val="clear" w:color="000000" w:fill="FFFFFF"/>
            <w:vAlign w:val="bottom"/>
            <w:hideMark/>
          </w:tcPr>
          <w:p w14:paraId="3189C128" w14:textId="77777777" w:rsidR="000F4F90" w:rsidRPr="007E4882" w:rsidRDefault="000F4F90" w:rsidP="00124001">
            <w:pPr>
              <w:spacing w:after="0" w:line="240" w:lineRule="auto"/>
              <w:rPr>
                <w:rFonts w:cstheme="minorHAnsi"/>
                <w:b/>
                <w:color w:val="auto"/>
                <w:sz w:val="20"/>
                <w:szCs w:val="20"/>
              </w:rPr>
            </w:pPr>
            <w:r w:rsidRPr="007E4882">
              <w:rPr>
                <w:rFonts w:cstheme="minorHAnsi"/>
                <w:b/>
                <w:color w:val="auto"/>
                <w:sz w:val="20"/>
                <w:szCs w:val="20"/>
              </w:rPr>
              <w:t>16</w:t>
            </w:r>
          </w:p>
        </w:tc>
        <w:tc>
          <w:tcPr>
            <w:tcW w:w="1964" w:type="dxa"/>
            <w:tcBorders>
              <w:top w:val="nil"/>
              <w:left w:val="nil"/>
              <w:bottom w:val="single" w:sz="8" w:space="0" w:color="auto"/>
              <w:right w:val="single" w:sz="8" w:space="0" w:color="auto"/>
            </w:tcBorders>
            <w:shd w:val="clear" w:color="000000" w:fill="FFFFFF"/>
            <w:vAlign w:val="bottom"/>
            <w:hideMark/>
          </w:tcPr>
          <w:p w14:paraId="0CC3EF4E" w14:textId="77777777" w:rsidR="000F4F90" w:rsidRPr="007E4882" w:rsidRDefault="000F4F90" w:rsidP="00124001">
            <w:pPr>
              <w:spacing w:after="0" w:line="240" w:lineRule="auto"/>
              <w:rPr>
                <w:rFonts w:cstheme="minorHAnsi"/>
                <w:b/>
                <w:color w:val="auto"/>
                <w:sz w:val="20"/>
                <w:szCs w:val="20"/>
              </w:rPr>
            </w:pPr>
            <w:r w:rsidRPr="007E4882">
              <w:rPr>
                <w:rFonts w:cstheme="minorHAnsi"/>
                <w:b/>
                <w:color w:val="auto"/>
                <w:sz w:val="20"/>
                <w:szCs w:val="20"/>
              </w:rPr>
              <w:t>0,5%</w:t>
            </w:r>
          </w:p>
        </w:tc>
      </w:tr>
      <w:tr w:rsidR="007E4882" w:rsidRPr="007E4882" w14:paraId="65F2878B" w14:textId="77777777" w:rsidTr="007E4882">
        <w:trPr>
          <w:trHeight w:val="253"/>
          <w:jc w:val="center"/>
        </w:trPr>
        <w:tc>
          <w:tcPr>
            <w:tcW w:w="282" w:type="dxa"/>
            <w:tcBorders>
              <w:top w:val="nil"/>
              <w:left w:val="nil"/>
              <w:bottom w:val="nil"/>
              <w:right w:val="nil"/>
            </w:tcBorders>
            <w:shd w:val="clear" w:color="auto" w:fill="auto"/>
            <w:noWrap/>
            <w:vAlign w:val="bottom"/>
            <w:hideMark/>
          </w:tcPr>
          <w:p w14:paraId="1070D653" w14:textId="77777777" w:rsidR="000F4F90" w:rsidRPr="007E4882" w:rsidRDefault="000F4F90" w:rsidP="00124001">
            <w:pPr>
              <w:spacing w:after="0" w:line="240" w:lineRule="auto"/>
              <w:rPr>
                <w:rFonts w:cstheme="minorHAnsi"/>
                <w:color w:val="auto"/>
                <w:sz w:val="20"/>
                <w:szCs w:val="20"/>
              </w:rPr>
            </w:pPr>
          </w:p>
        </w:tc>
        <w:tc>
          <w:tcPr>
            <w:tcW w:w="3532" w:type="dxa"/>
            <w:tcBorders>
              <w:top w:val="nil"/>
              <w:left w:val="single" w:sz="8" w:space="0" w:color="auto"/>
              <w:bottom w:val="single" w:sz="8" w:space="0" w:color="auto"/>
              <w:right w:val="single" w:sz="8" w:space="0" w:color="auto"/>
            </w:tcBorders>
            <w:shd w:val="clear" w:color="000000" w:fill="FFFFFF"/>
            <w:noWrap/>
            <w:vAlign w:val="bottom"/>
            <w:hideMark/>
          </w:tcPr>
          <w:p w14:paraId="53DADE08" w14:textId="77777777" w:rsidR="000F4F90" w:rsidRPr="007E4882" w:rsidRDefault="000F4F90" w:rsidP="00124001">
            <w:pPr>
              <w:spacing w:after="0" w:line="240" w:lineRule="auto"/>
              <w:rPr>
                <w:rFonts w:cstheme="minorHAnsi"/>
                <w:b/>
                <w:color w:val="auto"/>
                <w:sz w:val="20"/>
                <w:szCs w:val="20"/>
              </w:rPr>
            </w:pPr>
            <w:r w:rsidRPr="007E4882">
              <w:rPr>
                <w:rFonts w:cstheme="minorHAnsi"/>
                <w:b/>
                <w:color w:val="auto"/>
                <w:sz w:val="20"/>
                <w:szCs w:val="20"/>
              </w:rPr>
              <w:t>Κοινωνικές Παροχές</w:t>
            </w:r>
          </w:p>
        </w:tc>
        <w:tc>
          <w:tcPr>
            <w:tcW w:w="893" w:type="dxa"/>
            <w:tcBorders>
              <w:top w:val="nil"/>
              <w:left w:val="nil"/>
              <w:bottom w:val="single" w:sz="8" w:space="0" w:color="auto"/>
              <w:right w:val="single" w:sz="8" w:space="0" w:color="auto"/>
            </w:tcBorders>
            <w:shd w:val="clear" w:color="000000" w:fill="FFFFFF"/>
            <w:noWrap/>
            <w:vAlign w:val="bottom"/>
            <w:hideMark/>
          </w:tcPr>
          <w:p w14:paraId="0E84B55F" w14:textId="77777777" w:rsidR="000F4F90" w:rsidRPr="007E4882" w:rsidRDefault="000F4F90" w:rsidP="00124001">
            <w:pPr>
              <w:spacing w:after="0" w:line="240" w:lineRule="auto"/>
              <w:rPr>
                <w:rFonts w:cstheme="minorHAnsi"/>
                <w:b/>
                <w:color w:val="auto"/>
                <w:sz w:val="20"/>
                <w:szCs w:val="20"/>
              </w:rPr>
            </w:pPr>
            <w:r w:rsidRPr="007E4882">
              <w:rPr>
                <w:rFonts w:cstheme="minorHAnsi"/>
                <w:b/>
                <w:color w:val="auto"/>
                <w:sz w:val="20"/>
                <w:szCs w:val="20"/>
              </w:rPr>
              <w:t>34</w:t>
            </w:r>
          </w:p>
        </w:tc>
        <w:tc>
          <w:tcPr>
            <w:tcW w:w="879" w:type="dxa"/>
            <w:tcBorders>
              <w:top w:val="nil"/>
              <w:left w:val="nil"/>
              <w:bottom w:val="single" w:sz="8" w:space="0" w:color="auto"/>
              <w:right w:val="single" w:sz="8" w:space="0" w:color="auto"/>
            </w:tcBorders>
            <w:shd w:val="clear" w:color="000000" w:fill="FFFFFF"/>
            <w:noWrap/>
            <w:vAlign w:val="bottom"/>
            <w:hideMark/>
          </w:tcPr>
          <w:p w14:paraId="142EB689" w14:textId="77777777" w:rsidR="000F4F90" w:rsidRPr="007E4882" w:rsidRDefault="000F4F90" w:rsidP="00124001">
            <w:pPr>
              <w:spacing w:after="0" w:line="240" w:lineRule="auto"/>
              <w:rPr>
                <w:rFonts w:cstheme="minorHAnsi"/>
                <w:b/>
                <w:color w:val="auto"/>
                <w:sz w:val="20"/>
                <w:szCs w:val="20"/>
              </w:rPr>
            </w:pPr>
            <w:r w:rsidRPr="007E4882">
              <w:rPr>
                <w:rFonts w:cstheme="minorHAnsi"/>
                <w:b/>
                <w:color w:val="auto"/>
                <w:sz w:val="20"/>
                <w:szCs w:val="20"/>
              </w:rPr>
              <w:t>91</w:t>
            </w:r>
          </w:p>
        </w:tc>
        <w:tc>
          <w:tcPr>
            <w:tcW w:w="1351" w:type="dxa"/>
            <w:tcBorders>
              <w:top w:val="nil"/>
              <w:left w:val="nil"/>
              <w:bottom w:val="single" w:sz="8" w:space="0" w:color="auto"/>
              <w:right w:val="single" w:sz="8" w:space="0" w:color="auto"/>
            </w:tcBorders>
            <w:shd w:val="clear" w:color="000000" w:fill="FFFFFF"/>
            <w:vAlign w:val="bottom"/>
            <w:hideMark/>
          </w:tcPr>
          <w:p w14:paraId="5F1D6203" w14:textId="77777777" w:rsidR="000F4F90" w:rsidRPr="007E4882" w:rsidRDefault="000F4F90" w:rsidP="00124001">
            <w:pPr>
              <w:spacing w:after="0" w:line="240" w:lineRule="auto"/>
              <w:rPr>
                <w:rFonts w:cstheme="minorHAnsi"/>
                <w:b/>
                <w:color w:val="auto"/>
                <w:sz w:val="20"/>
                <w:szCs w:val="20"/>
              </w:rPr>
            </w:pPr>
            <w:r w:rsidRPr="007E4882">
              <w:rPr>
                <w:rFonts w:cstheme="minorHAnsi"/>
                <w:b/>
                <w:color w:val="auto"/>
                <w:sz w:val="20"/>
                <w:szCs w:val="20"/>
              </w:rPr>
              <w:t>57</w:t>
            </w:r>
          </w:p>
        </w:tc>
        <w:tc>
          <w:tcPr>
            <w:tcW w:w="1964" w:type="dxa"/>
            <w:tcBorders>
              <w:top w:val="nil"/>
              <w:left w:val="nil"/>
              <w:bottom w:val="single" w:sz="8" w:space="0" w:color="auto"/>
              <w:right w:val="single" w:sz="8" w:space="0" w:color="auto"/>
            </w:tcBorders>
            <w:shd w:val="clear" w:color="000000" w:fill="FFFFFF"/>
            <w:vAlign w:val="bottom"/>
            <w:hideMark/>
          </w:tcPr>
          <w:p w14:paraId="0545E86E" w14:textId="77777777" w:rsidR="000F4F90" w:rsidRPr="007E4882" w:rsidRDefault="000F4F90" w:rsidP="00124001">
            <w:pPr>
              <w:spacing w:after="0" w:line="240" w:lineRule="auto"/>
              <w:rPr>
                <w:rFonts w:cstheme="minorHAnsi"/>
                <w:b/>
                <w:color w:val="auto"/>
                <w:sz w:val="20"/>
                <w:szCs w:val="20"/>
              </w:rPr>
            </w:pPr>
            <w:r w:rsidRPr="007E4882">
              <w:rPr>
                <w:rFonts w:cstheme="minorHAnsi"/>
                <w:b/>
                <w:color w:val="auto"/>
                <w:sz w:val="20"/>
                <w:szCs w:val="20"/>
              </w:rPr>
              <w:t>167,6%</w:t>
            </w:r>
          </w:p>
        </w:tc>
      </w:tr>
      <w:tr w:rsidR="007E4882" w:rsidRPr="007E4882" w14:paraId="3BD9C410" w14:textId="77777777" w:rsidTr="007E4882">
        <w:trPr>
          <w:trHeight w:val="253"/>
          <w:jc w:val="center"/>
        </w:trPr>
        <w:tc>
          <w:tcPr>
            <w:tcW w:w="282" w:type="dxa"/>
            <w:tcBorders>
              <w:top w:val="nil"/>
              <w:left w:val="nil"/>
              <w:bottom w:val="nil"/>
              <w:right w:val="nil"/>
            </w:tcBorders>
            <w:shd w:val="clear" w:color="auto" w:fill="auto"/>
            <w:noWrap/>
            <w:vAlign w:val="bottom"/>
            <w:hideMark/>
          </w:tcPr>
          <w:p w14:paraId="2446D98E" w14:textId="77777777" w:rsidR="000F4F90" w:rsidRPr="007E4882" w:rsidRDefault="000F4F90" w:rsidP="00124001">
            <w:pPr>
              <w:spacing w:after="0" w:line="240" w:lineRule="auto"/>
              <w:rPr>
                <w:rFonts w:cstheme="minorHAnsi"/>
                <w:color w:val="auto"/>
                <w:sz w:val="20"/>
                <w:szCs w:val="20"/>
              </w:rPr>
            </w:pPr>
          </w:p>
        </w:tc>
        <w:tc>
          <w:tcPr>
            <w:tcW w:w="3532" w:type="dxa"/>
            <w:tcBorders>
              <w:top w:val="nil"/>
              <w:left w:val="single" w:sz="8" w:space="0" w:color="auto"/>
              <w:bottom w:val="single" w:sz="8" w:space="0" w:color="auto"/>
              <w:right w:val="single" w:sz="8" w:space="0" w:color="auto"/>
            </w:tcBorders>
            <w:shd w:val="clear" w:color="000000" w:fill="FFFFFF"/>
            <w:noWrap/>
            <w:vAlign w:val="bottom"/>
            <w:hideMark/>
          </w:tcPr>
          <w:p w14:paraId="4D14F24E" w14:textId="77777777" w:rsidR="000F4F90" w:rsidRPr="007E4882" w:rsidRDefault="000F4F90" w:rsidP="00124001">
            <w:pPr>
              <w:spacing w:after="0" w:line="240" w:lineRule="auto"/>
              <w:rPr>
                <w:rFonts w:cstheme="minorHAnsi"/>
                <w:b/>
                <w:color w:val="auto"/>
                <w:sz w:val="20"/>
                <w:szCs w:val="20"/>
              </w:rPr>
            </w:pPr>
            <w:r w:rsidRPr="007E4882">
              <w:rPr>
                <w:rFonts w:cstheme="minorHAnsi"/>
                <w:b/>
                <w:color w:val="auto"/>
                <w:sz w:val="20"/>
                <w:szCs w:val="20"/>
              </w:rPr>
              <w:t xml:space="preserve">Μεταβιβάσεις </w:t>
            </w:r>
          </w:p>
        </w:tc>
        <w:tc>
          <w:tcPr>
            <w:tcW w:w="893" w:type="dxa"/>
            <w:tcBorders>
              <w:top w:val="nil"/>
              <w:left w:val="nil"/>
              <w:bottom w:val="single" w:sz="8" w:space="0" w:color="auto"/>
              <w:right w:val="single" w:sz="8" w:space="0" w:color="auto"/>
            </w:tcBorders>
            <w:shd w:val="clear" w:color="000000" w:fill="FFFFFF"/>
            <w:noWrap/>
            <w:vAlign w:val="bottom"/>
            <w:hideMark/>
          </w:tcPr>
          <w:p w14:paraId="37A06C62" w14:textId="77777777" w:rsidR="000F4F90" w:rsidRPr="007E4882" w:rsidRDefault="000F4F90" w:rsidP="00124001">
            <w:pPr>
              <w:spacing w:after="0" w:line="240" w:lineRule="auto"/>
              <w:rPr>
                <w:rFonts w:cstheme="minorHAnsi"/>
                <w:b/>
                <w:color w:val="auto"/>
                <w:sz w:val="20"/>
                <w:szCs w:val="20"/>
              </w:rPr>
            </w:pPr>
            <w:r w:rsidRPr="007E4882">
              <w:rPr>
                <w:rFonts w:cstheme="minorHAnsi"/>
                <w:b/>
                <w:color w:val="auto"/>
                <w:sz w:val="20"/>
                <w:szCs w:val="20"/>
              </w:rPr>
              <w:t>6.321</w:t>
            </w:r>
          </w:p>
        </w:tc>
        <w:tc>
          <w:tcPr>
            <w:tcW w:w="879" w:type="dxa"/>
            <w:tcBorders>
              <w:top w:val="nil"/>
              <w:left w:val="nil"/>
              <w:bottom w:val="single" w:sz="8" w:space="0" w:color="auto"/>
              <w:right w:val="single" w:sz="8" w:space="0" w:color="auto"/>
            </w:tcBorders>
            <w:shd w:val="clear" w:color="000000" w:fill="FFFFFF"/>
            <w:noWrap/>
            <w:vAlign w:val="bottom"/>
            <w:hideMark/>
          </w:tcPr>
          <w:p w14:paraId="206AC179" w14:textId="77777777" w:rsidR="000F4F90" w:rsidRPr="007E4882" w:rsidRDefault="000F4F90" w:rsidP="00124001">
            <w:pPr>
              <w:spacing w:after="0" w:line="240" w:lineRule="auto"/>
              <w:rPr>
                <w:rFonts w:cstheme="minorHAnsi"/>
                <w:b/>
                <w:color w:val="auto"/>
                <w:sz w:val="20"/>
                <w:szCs w:val="20"/>
              </w:rPr>
            </w:pPr>
            <w:r w:rsidRPr="007E4882">
              <w:rPr>
                <w:rFonts w:cstheme="minorHAnsi"/>
                <w:b/>
                <w:color w:val="auto"/>
                <w:sz w:val="20"/>
                <w:szCs w:val="20"/>
              </w:rPr>
              <w:t>8.235</w:t>
            </w:r>
          </w:p>
        </w:tc>
        <w:tc>
          <w:tcPr>
            <w:tcW w:w="1351" w:type="dxa"/>
            <w:tcBorders>
              <w:top w:val="nil"/>
              <w:left w:val="nil"/>
              <w:bottom w:val="single" w:sz="8" w:space="0" w:color="auto"/>
              <w:right w:val="single" w:sz="8" w:space="0" w:color="auto"/>
            </w:tcBorders>
            <w:shd w:val="clear" w:color="000000" w:fill="FFFFFF"/>
            <w:vAlign w:val="bottom"/>
            <w:hideMark/>
          </w:tcPr>
          <w:p w14:paraId="3A8CF894" w14:textId="77777777" w:rsidR="000F4F90" w:rsidRPr="007E4882" w:rsidRDefault="000F4F90" w:rsidP="00124001">
            <w:pPr>
              <w:spacing w:after="0" w:line="240" w:lineRule="auto"/>
              <w:rPr>
                <w:rFonts w:cstheme="minorHAnsi"/>
                <w:b/>
                <w:color w:val="auto"/>
                <w:sz w:val="20"/>
                <w:szCs w:val="20"/>
              </w:rPr>
            </w:pPr>
            <w:r w:rsidRPr="007E4882">
              <w:rPr>
                <w:rFonts w:cstheme="minorHAnsi"/>
                <w:b/>
                <w:color w:val="auto"/>
                <w:sz w:val="20"/>
                <w:szCs w:val="20"/>
              </w:rPr>
              <w:t>1.914</w:t>
            </w:r>
          </w:p>
        </w:tc>
        <w:tc>
          <w:tcPr>
            <w:tcW w:w="1964" w:type="dxa"/>
            <w:tcBorders>
              <w:top w:val="nil"/>
              <w:left w:val="nil"/>
              <w:bottom w:val="single" w:sz="8" w:space="0" w:color="auto"/>
              <w:right w:val="single" w:sz="8" w:space="0" w:color="auto"/>
            </w:tcBorders>
            <w:shd w:val="clear" w:color="000000" w:fill="FFFFFF"/>
            <w:vAlign w:val="bottom"/>
            <w:hideMark/>
          </w:tcPr>
          <w:p w14:paraId="4D291364" w14:textId="77777777" w:rsidR="000F4F90" w:rsidRPr="007E4882" w:rsidRDefault="000F4F90" w:rsidP="00124001">
            <w:pPr>
              <w:spacing w:after="0" w:line="240" w:lineRule="auto"/>
              <w:rPr>
                <w:rFonts w:cstheme="minorHAnsi"/>
                <w:b/>
                <w:color w:val="auto"/>
                <w:sz w:val="20"/>
                <w:szCs w:val="20"/>
              </w:rPr>
            </w:pPr>
            <w:r w:rsidRPr="007E4882">
              <w:rPr>
                <w:rFonts w:cstheme="minorHAnsi"/>
                <w:b/>
                <w:color w:val="auto"/>
                <w:sz w:val="20"/>
                <w:szCs w:val="20"/>
              </w:rPr>
              <w:t>30,3%</w:t>
            </w:r>
          </w:p>
        </w:tc>
      </w:tr>
      <w:tr w:rsidR="007E4882" w:rsidRPr="007E4882" w14:paraId="664F1BDB" w14:textId="77777777" w:rsidTr="007E4882">
        <w:trPr>
          <w:trHeight w:val="253"/>
          <w:jc w:val="center"/>
        </w:trPr>
        <w:tc>
          <w:tcPr>
            <w:tcW w:w="282" w:type="dxa"/>
            <w:tcBorders>
              <w:top w:val="nil"/>
              <w:left w:val="nil"/>
              <w:bottom w:val="nil"/>
              <w:right w:val="nil"/>
            </w:tcBorders>
            <w:shd w:val="clear" w:color="auto" w:fill="auto"/>
            <w:noWrap/>
            <w:vAlign w:val="bottom"/>
            <w:hideMark/>
          </w:tcPr>
          <w:p w14:paraId="2C436065" w14:textId="77777777" w:rsidR="000F4F90" w:rsidRPr="007E4882" w:rsidRDefault="000F4F90" w:rsidP="00124001">
            <w:pPr>
              <w:spacing w:after="0" w:line="240" w:lineRule="auto"/>
              <w:rPr>
                <w:rFonts w:cstheme="minorHAnsi"/>
                <w:color w:val="auto"/>
                <w:sz w:val="20"/>
                <w:szCs w:val="20"/>
              </w:rPr>
            </w:pPr>
          </w:p>
        </w:tc>
        <w:tc>
          <w:tcPr>
            <w:tcW w:w="3532" w:type="dxa"/>
            <w:tcBorders>
              <w:top w:val="nil"/>
              <w:left w:val="single" w:sz="8" w:space="0" w:color="auto"/>
              <w:bottom w:val="single" w:sz="8" w:space="0" w:color="auto"/>
              <w:right w:val="single" w:sz="8" w:space="0" w:color="auto"/>
            </w:tcBorders>
            <w:shd w:val="clear" w:color="000000" w:fill="FFFFFF"/>
            <w:noWrap/>
            <w:vAlign w:val="bottom"/>
            <w:hideMark/>
          </w:tcPr>
          <w:p w14:paraId="2FD5E094" w14:textId="77777777" w:rsidR="000F4F90" w:rsidRPr="007E4882" w:rsidRDefault="000F4F90" w:rsidP="00124001">
            <w:pPr>
              <w:spacing w:after="0" w:line="240" w:lineRule="auto"/>
              <w:rPr>
                <w:rFonts w:cstheme="minorHAnsi"/>
                <w:color w:val="auto"/>
                <w:sz w:val="20"/>
                <w:szCs w:val="20"/>
              </w:rPr>
            </w:pPr>
            <w:r w:rsidRPr="007E4882">
              <w:rPr>
                <w:rFonts w:cstheme="minorHAnsi"/>
                <w:color w:val="auto"/>
                <w:sz w:val="20"/>
                <w:szCs w:val="20"/>
              </w:rPr>
              <w:t xml:space="preserve">   εκ των οποίων : Νοσοκομεία</w:t>
            </w:r>
          </w:p>
        </w:tc>
        <w:tc>
          <w:tcPr>
            <w:tcW w:w="893" w:type="dxa"/>
            <w:tcBorders>
              <w:top w:val="nil"/>
              <w:left w:val="nil"/>
              <w:bottom w:val="single" w:sz="8" w:space="0" w:color="auto"/>
              <w:right w:val="single" w:sz="8" w:space="0" w:color="auto"/>
            </w:tcBorders>
            <w:shd w:val="clear" w:color="auto" w:fill="auto"/>
            <w:noWrap/>
            <w:vAlign w:val="bottom"/>
            <w:hideMark/>
          </w:tcPr>
          <w:p w14:paraId="3B155818" w14:textId="77777777" w:rsidR="000F4F90" w:rsidRPr="007E4882" w:rsidRDefault="000F4F90" w:rsidP="007E4882">
            <w:pPr>
              <w:spacing w:after="0" w:line="240" w:lineRule="auto"/>
              <w:jc w:val="center"/>
              <w:rPr>
                <w:rFonts w:cstheme="minorHAnsi"/>
                <w:color w:val="auto"/>
                <w:sz w:val="20"/>
                <w:szCs w:val="20"/>
              </w:rPr>
            </w:pPr>
            <w:r w:rsidRPr="007E4882">
              <w:rPr>
                <w:rFonts w:cstheme="minorHAnsi"/>
                <w:color w:val="auto"/>
                <w:sz w:val="20"/>
                <w:szCs w:val="20"/>
              </w:rPr>
              <w:t>297</w:t>
            </w:r>
          </w:p>
        </w:tc>
        <w:tc>
          <w:tcPr>
            <w:tcW w:w="879" w:type="dxa"/>
            <w:tcBorders>
              <w:top w:val="nil"/>
              <w:left w:val="nil"/>
              <w:bottom w:val="single" w:sz="8" w:space="0" w:color="auto"/>
              <w:right w:val="single" w:sz="8" w:space="0" w:color="auto"/>
            </w:tcBorders>
            <w:shd w:val="clear" w:color="auto" w:fill="auto"/>
            <w:noWrap/>
            <w:vAlign w:val="bottom"/>
            <w:hideMark/>
          </w:tcPr>
          <w:p w14:paraId="3CE171C0" w14:textId="77777777" w:rsidR="000F4F90" w:rsidRPr="007E4882" w:rsidRDefault="000F4F90" w:rsidP="007E4882">
            <w:pPr>
              <w:spacing w:after="0" w:line="240" w:lineRule="auto"/>
              <w:jc w:val="center"/>
              <w:rPr>
                <w:rFonts w:cstheme="minorHAnsi"/>
                <w:color w:val="auto"/>
                <w:sz w:val="20"/>
                <w:szCs w:val="20"/>
              </w:rPr>
            </w:pPr>
            <w:r w:rsidRPr="007E4882">
              <w:rPr>
                <w:rFonts w:cstheme="minorHAnsi"/>
                <w:color w:val="auto"/>
                <w:sz w:val="20"/>
                <w:szCs w:val="20"/>
              </w:rPr>
              <w:t>97</w:t>
            </w:r>
          </w:p>
        </w:tc>
        <w:tc>
          <w:tcPr>
            <w:tcW w:w="1351" w:type="dxa"/>
            <w:tcBorders>
              <w:top w:val="nil"/>
              <w:left w:val="nil"/>
              <w:bottom w:val="single" w:sz="8" w:space="0" w:color="auto"/>
              <w:right w:val="single" w:sz="8" w:space="0" w:color="auto"/>
            </w:tcBorders>
            <w:shd w:val="clear" w:color="auto" w:fill="auto"/>
            <w:vAlign w:val="bottom"/>
            <w:hideMark/>
          </w:tcPr>
          <w:p w14:paraId="2FD5B535" w14:textId="77777777" w:rsidR="000F4F90" w:rsidRPr="007E4882" w:rsidRDefault="000F4F90" w:rsidP="007E4882">
            <w:pPr>
              <w:spacing w:after="0" w:line="240" w:lineRule="auto"/>
              <w:jc w:val="center"/>
              <w:rPr>
                <w:rFonts w:cstheme="minorHAnsi"/>
                <w:color w:val="auto"/>
                <w:sz w:val="20"/>
                <w:szCs w:val="20"/>
              </w:rPr>
            </w:pPr>
            <w:r w:rsidRPr="007E4882">
              <w:rPr>
                <w:rFonts w:cstheme="minorHAnsi"/>
                <w:color w:val="auto"/>
                <w:sz w:val="20"/>
                <w:szCs w:val="20"/>
              </w:rPr>
              <w:t>-200</w:t>
            </w:r>
          </w:p>
        </w:tc>
        <w:tc>
          <w:tcPr>
            <w:tcW w:w="1964" w:type="dxa"/>
            <w:tcBorders>
              <w:top w:val="nil"/>
              <w:left w:val="nil"/>
              <w:bottom w:val="single" w:sz="8" w:space="0" w:color="auto"/>
              <w:right w:val="single" w:sz="8" w:space="0" w:color="auto"/>
            </w:tcBorders>
            <w:shd w:val="clear" w:color="auto" w:fill="auto"/>
            <w:vAlign w:val="bottom"/>
            <w:hideMark/>
          </w:tcPr>
          <w:p w14:paraId="34957FA8" w14:textId="77777777" w:rsidR="000F4F90" w:rsidRPr="007E4882" w:rsidRDefault="000F4F90" w:rsidP="007E4882">
            <w:pPr>
              <w:spacing w:after="0" w:line="240" w:lineRule="auto"/>
              <w:jc w:val="center"/>
              <w:rPr>
                <w:rFonts w:cstheme="minorHAnsi"/>
                <w:color w:val="auto"/>
                <w:sz w:val="20"/>
                <w:szCs w:val="20"/>
              </w:rPr>
            </w:pPr>
            <w:r w:rsidRPr="007E4882">
              <w:rPr>
                <w:rFonts w:cstheme="minorHAnsi"/>
                <w:color w:val="auto"/>
                <w:sz w:val="20"/>
                <w:szCs w:val="20"/>
              </w:rPr>
              <w:t>-67,3%</w:t>
            </w:r>
          </w:p>
        </w:tc>
      </w:tr>
      <w:tr w:rsidR="007E4882" w:rsidRPr="007E4882" w14:paraId="7E671D13" w14:textId="77777777" w:rsidTr="007E4882">
        <w:trPr>
          <w:trHeight w:val="253"/>
          <w:jc w:val="center"/>
        </w:trPr>
        <w:tc>
          <w:tcPr>
            <w:tcW w:w="282" w:type="dxa"/>
            <w:tcBorders>
              <w:top w:val="nil"/>
              <w:left w:val="nil"/>
              <w:bottom w:val="nil"/>
              <w:right w:val="nil"/>
            </w:tcBorders>
            <w:shd w:val="clear" w:color="auto" w:fill="auto"/>
            <w:noWrap/>
            <w:vAlign w:val="bottom"/>
            <w:hideMark/>
          </w:tcPr>
          <w:p w14:paraId="03EC99DF" w14:textId="77777777" w:rsidR="000F4F90" w:rsidRPr="007E4882" w:rsidRDefault="000F4F90" w:rsidP="00124001">
            <w:pPr>
              <w:spacing w:after="0" w:line="240" w:lineRule="auto"/>
              <w:rPr>
                <w:rFonts w:cstheme="minorHAnsi"/>
                <w:color w:val="auto"/>
                <w:sz w:val="20"/>
                <w:szCs w:val="20"/>
              </w:rPr>
            </w:pPr>
          </w:p>
        </w:tc>
        <w:tc>
          <w:tcPr>
            <w:tcW w:w="3532" w:type="dxa"/>
            <w:tcBorders>
              <w:top w:val="nil"/>
              <w:left w:val="single" w:sz="8" w:space="0" w:color="auto"/>
              <w:bottom w:val="single" w:sz="8" w:space="0" w:color="auto"/>
              <w:right w:val="single" w:sz="8" w:space="0" w:color="auto"/>
            </w:tcBorders>
            <w:shd w:val="clear" w:color="000000" w:fill="FFFFFF"/>
            <w:noWrap/>
            <w:vAlign w:val="bottom"/>
            <w:hideMark/>
          </w:tcPr>
          <w:p w14:paraId="26D7B669" w14:textId="77777777" w:rsidR="000F4F90" w:rsidRPr="007E4882" w:rsidRDefault="000F4F90" w:rsidP="00124001">
            <w:pPr>
              <w:spacing w:after="0" w:line="240" w:lineRule="auto"/>
              <w:rPr>
                <w:rFonts w:cstheme="minorHAnsi"/>
                <w:color w:val="auto"/>
                <w:sz w:val="20"/>
                <w:szCs w:val="20"/>
              </w:rPr>
            </w:pPr>
            <w:r w:rsidRPr="007E4882">
              <w:rPr>
                <w:rFonts w:cstheme="minorHAnsi"/>
                <w:color w:val="auto"/>
                <w:sz w:val="20"/>
                <w:szCs w:val="20"/>
              </w:rPr>
              <w:t xml:space="preserve">   εκ των οποίων : ΟΚΑ</w:t>
            </w:r>
          </w:p>
        </w:tc>
        <w:tc>
          <w:tcPr>
            <w:tcW w:w="893" w:type="dxa"/>
            <w:tcBorders>
              <w:top w:val="nil"/>
              <w:left w:val="nil"/>
              <w:bottom w:val="single" w:sz="8" w:space="0" w:color="auto"/>
              <w:right w:val="single" w:sz="8" w:space="0" w:color="auto"/>
            </w:tcBorders>
            <w:shd w:val="clear" w:color="auto" w:fill="auto"/>
            <w:noWrap/>
            <w:vAlign w:val="bottom"/>
            <w:hideMark/>
          </w:tcPr>
          <w:p w14:paraId="3C7DAF0A" w14:textId="77777777" w:rsidR="000F4F90" w:rsidRPr="007E4882" w:rsidRDefault="000F4F90" w:rsidP="007E4882">
            <w:pPr>
              <w:spacing w:after="0" w:line="240" w:lineRule="auto"/>
              <w:jc w:val="center"/>
              <w:rPr>
                <w:rFonts w:cstheme="minorHAnsi"/>
                <w:color w:val="auto"/>
                <w:sz w:val="20"/>
                <w:szCs w:val="20"/>
              </w:rPr>
            </w:pPr>
            <w:r w:rsidRPr="007E4882">
              <w:rPr>
                <w:rFonts w:cstheme="minorHAnsi"/>
                <w:color w:val="auto"/>
                <w:sz w:val="20"/>
                <w:szCs w:val="20"/>
              </w:rPr>
              <w:t>4.311</w:t>
            </w:r>
          </w:p>
        </w:tc>
        <w:tc>
          <w:tcPr>
            <w:tcW w:w="879" w:type="dxa"/>
            <w:tcBorders>
              <w:top w:val="nil"/>
              <w:left w:val="nil"/>
              <w:bottom w:val="single" w:sz="8" w:space="0" w:color="auto"/>
              <w:right w:val="single" w:sz="8" w:space="0" w:color="auto"/>
            </w:tcBorders>
            <w:shd w:val="clear" w:color="auto" w:fill="auto"/>
            <w:noWrap/>
            <w:vAlign w:val="bottom"/>
            <w:hideMark/>
          </w:tcPr>
          <w:p w14:paraId="3CB0E4C1" w14:textId="77777777" w:rsidR="000F4F90" w:rsidRPr="007E4882" w:rsidRDefault="000F4F90" w:rsidP="007E4882">
            <w:pPr>
              <w:spacing w:after="0" w:line="240" w:lineRule="auto"/>
              <w:jc w:val="center"/>
              <w:rPr>
                <w:rFonts w:cstheme="minorHAnsi"/>
                <w:color w:val="auto"/>
                <w:sz w:val="20"/>
                <w:szCs w:val="20"/>
              </w:rPr>
            </w:pPr>
            <w:r w:rsidRPr="007E4882">
              <w:rPr>
                <w:rFonts w:cstheme="minorHAnsi"/>
                <w:color w:val="auto"/>
                <w:sz w:val="20"/>
                <w:szCs w:val="20"/>
              </w:rPr>
              <w:t>4.520</w:t>
            </w:r>
          </w:p>
        </w:tc>
        <w:tc>
          <w:tcPr>
            <w:tcW w:w="1351" w:type="dxa"/>
            <w:tcBorders>
              <w:top w:val="nil"/>
              <w:left w:val="nil"/>
              <w:bottom w:val="single" w:sz="8" w:space="0" w:color="auto"/>
              <w:right w:val="single" w:sz="8" w:space="0" w:color="auto"/>
            </w:tcBorders>
            <w:shd w:val="clear" w:color="auto" w:fill="auto"/>
            <w:vAlign w:val="bottom"/>
            <w:hideMark/>
          </w:tcPr>
          <w:p w14:paraId="69449CF2" w14:textId="77777777" w:rsidR="000F4F90" w:rsidRPr="007E4882" w:rsidRDefault="000F4F90" w:rsidP="007E4882">
            <w:pPr>
              <w:spacing w:after="0" w:line="240" w:lineRule="auto"/>
              <w:jc w:val="center"/>
              <w:rPr>
                <w:rFonts w:cstheme="minorHAnsi"/>
                <w:color w:val="auto"/>
                <w:sz w:val="20"/>
                <w:szCs w:val="20"/>
              </w:rPr>
            </w:pPr>
            <w:r w:rsidRPr="007E4882">
              <w:rPr>
                <w:rFonts w:cstheme="minorHAnsi"/>
                <w:color w:val="auto"/>
                <w:sz w:val="20"/>
                <w:szCs w:val="20"/>
              </w:rPr>
              <w:t>209</w:t>
            </w:r>
          </w:p>
        </w:tc>
        <w:tc>
          <w:tcPr>
            <w:tcW w:w="1964" w:type="dxa"/>
            <w:tcBorders>
              <w:top w:val="nil"/>
              <w:left w:val="nil"/>
              <w:bottom w:val="single" w:sz="8" w:space="0" w:color="auto"/>
              <w:right w:val="single" w:sz="8" w:space="0" w:color="auto"/>
            </w:tcBorders>
            <w:shd w:val="clear" w:color="auto" w:fill="auto"/>
            <w:vAlign w:val="bottom"/>
            <w:hideMark/>
          </w:tcPr>
          <w:p w14:paraId="0845F225" w14:textId="77777777" w:rsidR="000F4F90" w:rsidRPr="007E4882" w:rsidRDefault="000F4F90" w:rsidP="007E4882">
            <w:pPr>
              <w:spacing w:after="0" w:line="240" w:lineRule="auto"/>
              <w:jc w:val="center"/>
              <w:rPr>
                <w:rFonts w:cstheme="minorHAnsi"/>
                <w:color w:val="auto"/>
                <w:sz w:val="20"/>
                <w:szCs w:val="20"/>
              </w:rPr>
            </w:pPr>
            <w:r w:rsidRPr="007E4882">
              <w:rPr>
                <w:rFonts w:cstheme="minorHAnsi"/>
                <w:color w:val="auto"/>
                <w:sz w:val="20"/>
                <w:szCs w:val="20"/>
              </w:rPr>
              <w:t>4,8%</w:t>
            </w:r>
          </w:p>
        </w:tc>
      </w:tr>
      <w:tr w:rsidR="007E4882" w:rsidRPr="007E4882" w14:paraId="52DA53E8" w14:textId="77777777" w:rsidTr="007E4882">
        <w:trPr>
          <w:trHeight w:val="253"/>
          <w:jc w:val="center"/>
        </w:trPr>
        <w:tc>
          <w:tcPr>
            <w:tcW w:w="282" w:type="dxa"/>
            <w:tcBorders>
              <w:top w:val="nil"/>
              <w:left w:val="nil"/>
              <w:bottom w:val="nil"/>
              <w:right w:val="nil"/>
            </w:tcBorders>
            <w:shd w:val="clear" w:color="auto" w:fill="auto"/>
            <w:noWrap/>
            <w:vAlign w:val="bottom"/>
            <w:hideMark/>
          </w:tcPr>
          <w:p w14:paraId="54D3657A" w14:textId="77777777" w:rsidR="000F4F90" w:rsidRPr="007E4882" w:rsidRDefault="000F4F90" w:rsidP="00124001">
            <w:pPr>
              <w:spacing w:after="0" w:line="240" w:lineRule="auto"/>
              <w:rPr>
                <w:rFonts w:cstheme="minorHAnsi"/>
                <w:color w:val="auto"/>
                <w:sz w:val="20"/>
                <w:szCs w:val="20"/>
              </w:rPr>
            </w:pPr>
          </w:p>
        </w:tc>
        <w:tc>
          <w:tcPr>
            <w:tcW w:w="3532" w:type="dxa"/>
            <w:tcBorders>
              <w:top w:val="nil"/>
              <w:left w:val="single" w:sz="8" w:space="0" w:color="auto"/>
              <w:bottom w:val="single" w:sz="8" w:space="0" w:color="auto"/>
              <w:right w:val="single" w:sz="8" w:space="0" w:color="auto"/>
            </w:tcBorders>
            <w:shd w:val="clear" w:color="000000" w:fill="FFFFFF"/>
            <w:noWrap/>
            <w:vAlign w:val="bottom"/>
            <w:hideMark/>
          </w:tcPr>
          <w:p w14:paraId="4CE8D1A9" w14:textId="77777777" w:rsidR="000F4F90" w:rsidRPr="007E4882" w:rsidRDefault="000F4F90" w:rsidP="00124001">
            <w:pPr>
              <w:spacing w:after="0" w:line="240" w:lineRule="auto"/>
              <w:rPr>
                <w:rFonts w:cstheme="minorHAnsi"/>
                <w:color w:val="auto"/>
                <w:sz w:val="20"/>
                <w:szCs w:val="20"/>
              </w:rPr>
            </w:pPr>
            <w:r w:rsidRPr="007E4882">
              <w:rPr>
                <w:rFonts w:cstheme="minorHAnsi"/>
                <w:color w:val="auto"/>
                <w:sz w:val="20"/>
                <w:szCs w:val="20"/>
              </w:rPr>
              <w:t xml:space="preserve">   εκ των οποίων : ΟΤΑ</w:t>
            </w:r>
          </w:p>
        </w:tc>
        <w:tc>
          <w:tcPr>
            <w:tcW w:w="893" w:type="dxa"/>
            <w:tcBorders>
              <w:top w:val="nil"/>
              <w:left w:val="nil"/>
              <w:bottom w:val="single" w:sz="8" w:space="0" w:color="auto"/>
              <w:right w:val="single" w:sz="8" w:space="0" w:color="auto"/>
            </w:tcBorders>
            <w:shd w:val="clear" w:color="auto" w:fill="auto"/>
            <w:noWrap/>
            <w:vAlign w:val="bottom"/>
            <w:hideMark/>
          </w:tcPr>
          <w:p w14:paraId="1AC02028" w14:textId="77777777" w:rsidR="000F4F90" w:rsidRPr="007E4882" w:rsidRDefault="000F4F90" w:rsidP="007E4882">
            <w:pPr>
              <w:spacing w:after="0" w:line="240" w:lineRule="auto"/>
              <w:jc w:val="center"/>
              <w:rPr>
                <w:rFonts w:cstheme="minorHAnsi"/>
                <w:color w:val="auto"/>
                <w:sz w:val="20"/>
                <w:szCs w:val="20"/>
              </w:rPr>
            </w:pPr>
            <w:r w:rsidRPr="007E4882">
              <w:rPr>
                <w:rFonts w:cstheme="minorHAnsi"/>
                <w:color w:val="auto"/>
                <w:sz w:val="20"/>
                <w:szCs w:val="20"/>
              </w:rPr>
              <w:t>626</w:t>
            </w:r>
          </w:p>
        </w:tc>
        <w:tc>
          <w:tcPr>
            <w:tcW w:w="879" w:type="dxa"/>
            <w:tcBorders>
              <w:top w:val="nil"/>
              <w:left w:val="nil"/>
              <w:bottom w:val="single" w:sz="8" w:space="0" w:color="auto"/>
              <w:right w:val="single" w:sz="8" w:space="0" w:color="auto"/>
            </w:tcBorders>
            <w:shd w:val="clear" w:color="auto" w:fill="auto"/>
            <w:noWrap/>
            <w:vAlign w:val="bottom"/>
            <w:hideMark/>
          </w:tcPr>
          <w:p w14:paraId="579E5740" w14:textId="77777777" w:rsidR="000F4F90" w:rsidRPr="007E4882" w:rsidRDefault="000F4F90" w:rsidP="007E4882">
            <w:pPr>
              <w:spacing w:after="0" w:line="240" w:lineRule="auto"/>
              <w:jc w:val="center"/>
              <w:rPr>
                <w:rFonts w:cstheme="minorHAnsi"/>
                <w:color w:val="auto"/>
                <w:sz w:val="20"/>
                <w:szCs w:val="20"/>
              </w:rPr>
            </w:pPr>
            <w:r w:rsidRPr="007E4882">
              <w:rPr>
                <w:rFonts w:cstheme="minorHAnsi"/>
                <w:color w:val="auto"/>
                <w:sz w:val="20"/>
                <w:szCs w:val="20"/>
              </w:rPr>
              <w:t>631</w:t>
            </w:r>
          </w:p>
        </w:tc>
        <w:tc>
          <w:tcPr>
            <w:tcW w:w="1351" w:type="dxa"/>
            <w:tcBorders>
              <w:top w:val="nil"/>
              <w:left w:val="nil"/>
              <w:bottom w:val="single" w:sz="8" w:space="0" w:color="auto"/>
              <w:right w:val="single" w:sz="8" w:space="0" w:color="auto"/>
            </w:tcBorders>
            <w:shd w:val="clear" w:color="auto" w:fill="auto"/>
            <w:vAlign w:val="bottom"/>
            <w:hideMark/>
          </w:tcPr>
          <w:p w14:paraId="70861F58" w14:textId="77777777" w:rsidR="000F4F90" w:rsidRPr="007E4882" w:rsidRDefault="000F4F90" w:rsidP="007E4882">
            <w:pPr>
              <w:spacing w:after="0" w:line="240" w:lineRule="auto"/>
              <w:jc w:val="center"/>
              <w:rPr>
                <w:rFonts w:cstheme="minorHAnsi"/>
                <w:color w:val="auto"/>
                <w:sz w:val="20"/>
                <w:szCs w:val="20"/>
              </w:rPr>
            </w:pPr>
            <w:r w:rsidRPr="007E4882">
              <w:rPr>
                <w:rFonts w:cstheme="minorHAnsi"/>
                <w:color w:val="auto"/>
                <w:sz w:val="20"/>
                <w:szCs w:val="20"/>
              </w:rPr>
              <w:t>5</w:t>
            </w:r>
          </w:p>
        </w:tc>
        <w:tc>
          <w:tcPr>
            <w:tcW w:w="1964" w:type="dxa"/>
            <w:tcBorders>
              <w:top w:val="nil"/>
              <w:left w:val="nil"/>
              <w:bottom w:val="single" w:sz="8" w:space="0" w:color="auto"/>
              <w:right w:val="single" w:sz="8" w:space="0" w:color="auto"/>
            </w:tcBorders>
            <w:shd w:val="clear" w:color="auto" w:fill="auto"/>
            <w:vAlign w:val="bottom"/>
            <w:hideMark/>
          </w:tcPr>
          <w:p w14:paraId="646D5ECA" w14:textId="77777777" w:rsidR="000F4F90" w:rsidRPr="007E4882" w:rsidRDefault="000F4F90" w:rsidP="007E4882">
            <w:pPr>
              <w:spacing w:after="0" w:line="240" w:lineRule="auto"/>
              <w:jc w:val="center"/>
              <w:rPr>
                <w:rFonts w:cstheme="minorHAnsi"/>
                <w:color w:val="auto"/>
                <w:sz w:val="20"/>
                <w:szCs w:val="20"/>
              </w:rPr>
            </w:pPr>
            <w:r w:rsidRPr="007E4882">
              <w:rPr>
                <w:rFonts w:cstheme="minorHAnsi"/>
                <w:color w:val="auto"/>
                <w:sz w:val="20"/>
                <w:szCs w:val="20"/>
              </w:rPr>
              <w:t>0,8%</w:t>
            </w:r>
          </w:p>
        </w:tc>
      </w:tr>
      <w:tr w:rsidR="007E4882" w:rsidRPr="007E4882" w14:paraId="36B4D703" w14:textId="77777777" w:rsidTr="007E4882">
        <w:trPr>
          <w:trHeight w:val="253"/>
          <w:jc w:val="center"/>
        </w:trPr>
        <w:tc>
          <w:tcPr>
            <w:tcW w:w="282" w:type="dxa"/>
            <w:tcBorders>
              <w:top w:val="nil"/>
              <w:left w:val="nil"/>
              <w:bottom w:val="nil"/>
              <w:right w:val="nil"/>
            </w:tcBorders>
            <w:shd w:val="clear" w:color="auto" w:fill="auto"/>
            <w:noWrap/>
            <w:vAlign w:val="bottom"/>
            <w:hideMark/>
          </w:tcPr>
          <w:p w14:paraId="1CD1D409" w14:textId="77777777" w:rsidR="000F4F90" w:rsidRPr="007E4882" w:rsidRDefault="000F4F90" w:rsidP="00124001">
            <w:pPr>
              <w:spacing w:after="0" w:line="240" w:lineRule="auto"/>
              <w:rPr>
                <w:rFonts w:cstheme="minorHAnsi"/>
                <w:color w:val="auto"/>
                <w:sz w:val="20"/>
                <w:szCs w:val="20"/>
              </w:rPr>
            </w:pPr>
          </w:p>
        </w:tc>
        <w:tc>
          <w:tcPr>
            <w:tcW w:w="3532" w:type="dxa"/>
            <w:tcBorders>
              <w:top w:val="nil"/>
              <w:left w:val="single" w:sz="8" w:space="0" w:color="auto"/>
              <w:bottom w:val="single" w:sz="8" w:space="0" w:color="auto"/>
              <w:right w:val="single" w:sz="8" w:space="0" w:color="auto"/>
            </w:tcBorders>
            <w:shd w:val="clear" w:color="auto" w:fill="auto"/>
            <w:noWrap/>
            <w:vAlign w:val="bottom"/>
            <w:hideMark/>
          </w:tcPr>
          <w:p w14:paraId="38C00E33" w14:textId="77777777" w:rsidR="000F4F90" w:rsidRPr="007E4882" w:rsidRDefault="000F4F90" w:rsidP="00124001">
            <w:pPr>
              <w:spacing w:after="0" w:line="240" w:lineRule="auto"/>
              <w:rPr>
                <w:rFonts w:cstheme="minorHAnsi"/>
                <w:color w:val="auto"/>
                <w:sz w:val="20"/>
                <w:szCs w:val="20"/>
              </w:rPr>
            </w:pPr>
            <w:r w:rsidRPr="007E4882">
              <w:rPr>
                <w:rFonts w:cstheme="minorHAnsi"/>
                <w:color w:val="auto"/>
                <w:sz w:val="20"/>
                <w:szCs w:val="20"/>
              </w:rPr>
              <w:t xml:space="preserve">   εκ των οποίων : Λοιπές </w:t>
            </w:r>
          </w:p>
        </w:tc>
        <w:tc>
          <w:tcPr>
            <w:tcW w:w="893" w:type="dxa"/>
            <w:tcBorders>
              <w:top w:val="nil"/>
              <w:left w:val="nil"/>
              <w:bottom w:val="single" w:sz="8" w:space="0" w:color="auto"/>
              <w:right w:val="single" w:sz="8" w:space="0" w:color="auto"/>
            </w:tcBorders>
            <w:shd w:val="clear" w:color="auto" w:fill="auto"/>
            <w:noWrap/>
            <w:vAlign w:val="bottom"/>
            <w:hideMark/>
          </w:tcPr>
          <w:p w14:paraId="3AED8575" w14:textId="77777777" w:rsidR="000F4F90" w:rsidRPr="007E4882" w:rsidRDefault="000F4F90" w:rsidP="007E4882">
            <w:pPr>
              <w:spacing w:after="0" w:line="240" w:lineRule="auto"/>
              <w:jc w:val="center"/>
              <w:rPr>
                <w:rFonts w:cstheme="minorHAnsi"/>
                <w:color w:val="auto"/>
                <w:sz w:val="20"/>
                <w:szCs w:val="20"/>
              </w:rPr>
            </w:pPr>
            <w:r w:rsidRPr="007E4882">
              <w:rPr>
                <w:rFonts w:cstheme="minorHAnsi"/>
                <w:color w:val="auto"/>
                <w:sz w:val="20"/>
                <w:szCs w:val="20"/>
              </w:rPr>
              <w:t>19</w:t>
            </w:r>
          </w:p>
        </w:tc>
        <w:tc>
          <w:tcPr>
            <w:tcW w:w="879" w:type="dxa"/>
            <w:tcBorders>
              <w:top w:val="nil"/>
              <w:left w:val="nil"/>
              <w:bottom w:val="single" w:sz="8" w:space="0" w:color="auto"/>
              <w:right w:val="single" w:sz="8" w:space="0" w:color="auto"/>
            </w:tcBorders>
            <w:shd w:val="clear" w:color="auto" w:fill="auto"/>
            <w:noWrap/>
            <w:vAlign w:val="bottom"/>
            <w:hideMark/>
          </w:tcPr>
          <w:p w14:paraId="4525A58E" w14:textId="77777777" w:rsidR="000F4F90" w:rsidRPr="007E4882" w:rsidRDefault="000F4F90" w:rsidP="007E4882">
            <w:pPr>
              <w:spacing w:after="0" w:line="240" w:lineRule="auto"/>
              <w:jc w:val="center"/>
              <w:rPr>
                <w:rFonts w:cstheme="minorHAnsi"/>
                <w:color w:val="auto"/>
                <w:sz w:val="20"/>
                <w:szCs w:val="20"/>
              </w:rPr>
            </w:pPr>
            <w:r w:rsidRPr="007E4882">
              <w:rPr>
                <w:rFonts w:cstheme="minorHAnsi"/>
                <w:color w:val="auto"/>
                <w:sz w:val="20"/>
                <w:szCs w:val="20"/>
              </w:rPr>
              <w:t>1176</w:t>
            </w:r>
          </w:p>
        </w:tc>
        <w:tc>
          <w:tcPr>
            <w:tcW w:w="1351" w:type="dxa"/>
            <w:tcBorders>
              <w:top w:val="nil"/>
              <w:left w:val="nil"/>
              <w:bottom w:val="single" w:sz="8" w:space="0" w:color="auto"/>
              <w:right w:val="single" w:sz="8" w:space="0" w:color="auto"/>
            </w:tcBorders>
            <w:shd w:val="clear" w:color="auto" w:fill="auto"/>
            <w:vAlign w:val="bottom"/>
            <w:hideMark/>
          </w:tcPr>
          <w:p w14:paraId="504D2070" w14:textId="77777777" w:rsidR="000F4F90" w:rsidRPr="007E4882" w:rsidRDefault="000F4F90" w:rsidP="007E4882">
            <w:pPr>
              <w:spacing w:after="0" w:line="240" w:lineRule="auto"/>
              <w:jc w:val="center"/>
              <w:rPr>
                <w:rFonts w:cstheme="minorHAnsi"/>
                <w:color w:val="auto"/>
                <w:sz w:val="20"/>
                <w:szCs w:val="20"/>
              </w:rPr>
            </w:pPr>
            <w:r w:rsidRPr="007E4882">
              <w:rPr>
                <w:rFonts w:cstheme="minorHAnsi"/>
                <w:color w:val="auto"/>
                <w:sz w:val="20"/>
                <w:szCs w:val="20"/>
              </w:rPr>
              <w:t>1.157</w:t>
            </w:r>
          </w:p>
        </w:tc>
        <w:tc>
          <w:tcPr>
            <w:tcW w:w="1964" w:type="dxa"/>
            <w:tcBorders>
              <w:top w:val="nil"/>
              <w:left w:val="nil"/>
              <w:bottom w:val="single" w:sz="8" w:space="0" w:color="auto"/>
              <w:right w:val="single" w:sz="8" w:space="0" w:color="auto"/>
            </w:tcBorders>
            <w:shd w:val="clear" w:color="auto" w:fill="auto"/>
            <w:vAlign w:val="bottom"/>
            <w:hideMark/>
          </w:tcPr>
          <w:p w14:paraId="39E23916" w14:textId="77777777" w:rsidR="000F4F90" w:rsidRPr="007E4882" w:rsidRDefault="000F4F90" w:rsidP="007E4882">
            <w:pPr>
              <w:spacing w:after="0" w:line="240" w:lineRule="auto"/>
              <w:jc w:val="center"/>
              <w:rPr>
                <w:rFonts w:cstheme="minorHAnsi"/>
                <w:color w:val="auto"/>
                <w:sz w:val="20"/>
                <w:szCs w:val="20"/>
              </w:rPr>
            </w:pPr>
            <w:r w:rsidRPr="007E4882">
              <w:rPr>
                <w:rFonts w:cstheme="minorHAnsi"/>
                <w:color w:val="auto"/>
                <w:sz w:val="20"/>
                <w:szCs w:val="20"/>
              </w:rPr>
              <w:t>6089,5%</w:t>
            </w:r>
          </w:p>
        </w:tc>
      </w:tr>
      <w:tr w:rsidR="007E4882" w:rsidRPr="007E4882" w14:paraId="39B148AC" w14:textId="77777777" w:rsidTr="007E4882">
        <w:trPr>
          <w:trHeight w:val="253"/>
          <w:jc w:val="center"/>
        </w:trPr>
        <w:tc>
          <w:tcPr>
            <w:tcW w:w="282" w:type="dxa"/>
            <w:tcBorders>
              <w:top w:val="nil"/>
              <w:left w:val="nil"/>
              <w:bottom w:val="nil"/>
              <w:right w:val="nil"/>
            </w:tcBorders>
            <w:shd w:val="clear" w:color="auto" w:fill="auto"/>
            <w:noWrap/>
            <w:vAlign w:val="bottom"/>
            <w:hideMark/>
          </w:tcPr>
          <w:p w14:paraId="52A955A5" w14:textId="77777777" w:rsidR="000F4F90" w:rsidRPr="007E4882" w:rsidRDefault="000F4F90" w:rsidP="00124001">
            <w:pPr>
              <w:spacing w:after="0" w:line="240" w:lineRule="auto"/>
              <w:rPr>
                <w:rFonts w:cstheme="minorHAnsi"/>
                <w:color w:val="auto"/>
                <w:sz w:val="20"/>
                <w:szCs w:val="20"/>
              </w:rPr>
            </w:pPr>
          </w:p>
        </w:tc>
        <w:tc>
          <w:tcPr>
            <w:tcW w:w="3532" w:type="dxa"/>
            <w:tcBorders>
              <w:top w:val="nil"/>
              <w:left w:val="single" w:sz="8" w:space="0" w:color="auto"/>
              <w:bottom w:val="single" w:sz="8" w:space="0" w:color="auto"/>
              <w:right w:val="single" w:sz="8" w:space="0" w:color="auto"/>
            </w:tcBorders>
            <w:shd w:val="clear" w:color="000000" w:fill="FFFFFF"/>
            <w:noWrap/>
            <w:vAlign w:val="bottom"/>
            <w:hideMark/>
          </w:tcPr>
          <w:p w14:paraId="454786B0" w14:textId="77777777" w:rsidR="000F4F90" w:rsidRPr="007E4882" w:rsidRDefault="000F4F90" w:rsidP="00124001">
            <w:pPr>
              <w:spacing w:after="0" w:line="240" w:lineRule="auto"/>
              <w:rPr>
                <w:rFonts w:cstheme="minorHAnsi"/>
                <w:b/>
                <w:color w:val="auto"/>
                <w:sz w:val="20"/>
                <w:szCs w:val="20"/>
              </w:rPr>
            </w:pPr>
            <w:r w:rsidRPr="007E4882">
              <w:rPr>
                <w:rFonts w:cstheme="minorHAnsi"/>
                <w:b/>
                <w:color w:val="auto"/>
                <w:sz w:val="20"/>
                <w:szCs w:val="20"/>
              </w:rPr>
              <w:t>Αγορές Αγαθών και Υπηρεσιών</w:t>
            </w:r>
          </w:p>
        </w:tc>
        <w:tc>
          <w:tcPr>
            <w:tcW w:w="893" w:type="dxa"/>
            <w:tcBorders>
              <w:top w:val="nil"/>
              <w:left w:val="nil"/>
              <w:bottom w:val="single" w:sz="8" w:space="0" w:color="auto"/>
              <w:right w:val="single" w:sz="8" w:space="0" w:color="auto"/>
            </w:tcBorders>
            <w:shd w:val="clear" w:color="000000" w:fill="FFFFFF"/>
            <w:noWrap/>
            <w:vAlign w:val="bottom"/>
            <w:hideMark/>
          </w:tcPr>
          <w:p w14:paraId="6406EF6B" w14:textId="77777777" w:rsidR="000F4F90" w:rsidRPr="007E4882" w:rsidRDefault="000F4F90" w:rsidP="00124001">
            <w:pPr>
              <w:spacing w:after="0" w:line="240" w:lineRule="auto"/>
              <w:rPr>
                <w:rFonts w:cstheme="minorHAnsi"/>
                <w:b/>
                <w:color w:val="auto"/>
                <w:sz w:val="20"/>
                <w:szCs w:val="20"/>
              </w:rPr>
            </w:pPr>
            <w:r w:rsidRPr="007E4882">
              <w:rPr>
                <w:rFonts w:cstheme="minorHAnsi"/>
                <w:b/>
                <w:color w:val="auto"/>
                <w:sz w:val="20"/>
                <w:szCs w:val="20"/>
              </w:rPr>
              <w:t>147</w:t>
            </w:r>
          </w:p>
        </w:tc>
        <w:tc>
          <w:tcPr>
            <w:tcW w:w="879" w:type="dxa"/>
            <w:tcBorders>
              <w:top w:val="nil"/>
              <w:left w:val="nil"/>
              <w:bottom w:val="single" w:sz="8" w:space="0" w:color="auto"/>
              <w:right w:val="single" w:sz="8" w:space="0" w:color="auto"/>
            </w:tcBorders>
            <w:shd w:val="clear" w:color="000000" w:fill="FFFFFF"/>
            <w:noWrap/>
            <w:vAlign w:val="bottom"/>
            <w:hideMark/>
          </w:tcPr>
          <w:p w14:paraId="791BC1C5" w14:textId="77777777" w:rsidR="000F4F90" w:rsidRPr="007E4882" w:rsidRDefault="000F4F90" w:rsidP="00124001">
            <w:pPr>
              <w:spacing w:after="0" w:line="240" w:lineRule="auto"/>
              <w:rPr>
                <w:rFonts w:cstheme="minorHAnsi"/>
                <w:b/>
                <w:color w:val="auto"/>
                <w:sz w:val="20"/>
                <w:szCs w:val="20"/>
              </w:rPr>
            </w:pPr>
            <w:r w:rsidRPr="007E4882">
              <w:rPr>
                <w:rFonts w:cstheme="minorHAnsi"/>
                <w:b/>
                <w:color w:val="auto"/>
                <w:sz w:val="20"/>
                <w:szCs w:val="20"/>
              </w:rPr>
              <w:t>147</w:t>
            </w:r>
          </w:p>
        </w:tc>
        <w:tc>
          <w:tcPr>
            <w:tcW w:w="1351" w:type="dxa"/>
            <w:tcBorders>
              <w:top w:val="nil"/>
              <w:left w:val="nil"/>
              <w:bottom w:val="single" w:sz="8" w:space="0" w:color="auto"/>
              <w:right w:val="single" w:sz="8" w:space="0" w:color="auto"/>
            </w:tcBorders>
            <w:shd w:val="clear" w:color="000000" w:fill="FFFFFF"/>
            <w:vAlign w:val="bottom"/>
            <w:hideMark/>
          </w:tcPr>
          <w:p w14:paraId="38E5A3F8" w14:textId="77777777" w:rsidR="000F4F90" w:rsidRPr="007E4882" w:rsidRDefault="000F4F90" w:rsidP="00124001">
            <w:pPr>
              <w:spacing w:after="0" w:line="240" w:lineRule="auto"/>
              <w:rPr>
                <w:rFonts w:cstheme="minorHAnsi"/>
                <w:b/>
                <w:color w:val="auto"/>
                <w:sz w:val="20"/>
                <w:szCs w:val="20"/>
              </w:rPr>
            </w:pPr>
            <w:r w:rsidRPr="007E4882">
              <w:rPr>
                <w:rFonts w:cstheme="minorHAnsi"/>
                <w:b/>
                <w:color w:val="auto"/>
                <w:sz w:val="20"/>
                <w:szCs w:val="20"/>
              </w:rPr>
              <w:t>0</w:t>
            </w:r>
          </w:p>
        </w:tc>
        <w:tc>
          <w:tcPr>
            <w:tcW w:w="1964" w:type="dxa"/>
            <w:tcBorders>
              <w:top w:val="nil"/>
              <w:left w:val="nil"/>
              <w:bottom w:val="single" w:sz="8" w:space="0" w:color="auto"/>
              <w:right w:val="single" w:sz="8" w:space="0" w:color="auto"/>
            </w:tcBorders>
            <w:shd w:val="clear" w:color="000000" w:fill="FFFFFF"/>
            <w:vAlign w:val="bottom"/>
            <w:hideMark/>
          </w:tcPr>
          <w:p w14:paraId="5CD02F3E" w14:textId="77777777" w:rsidR="000F4F90" w:rsidRPr="007E4882" w:rsidRDefault="000F4F90" w:rsidP="00124001">
            <w:pPr>
              <w:spacing w:after="0" w:line="240" w:lineRule="auto"/>
              <w:rPr>
                <w:rFonts w:cstheme="minorHAnsi"/>
                <w:b/>
                <w:color w:val="auto"/>
                <w:sz w:val="20"/>
                <w:szCs w:val="20"/>
              </w:rPr>
            </w:pPr>
            <w:r w:rsidRPr="007E4882">
              <w:rPr>
                <w:rFonts w:cstheme="minorHAnsi"/>
                <w:b/>
                <w:color w:val="auto"/>
                <w:sz w:val="20"/>
                <w:szCs w:val="20"/>
              </w:rPr>
              <w:t>0,0%</w:t>
            </w:r>
          </w:p>
        </w:tc>
      </w:tr>
      <w:tr w:rsidR="007E4882" w:rsidRPr="007E4882" w14:paraId="14347446" w14:textId="77777777" w:rsidTr="007E4882">
        <w:trPr>
          <w:trHeight w:val="253"/>
          <w:jc w:val="center"/>
        </w:trPr>
        <w:tc>
          <w:tcPr>
            <w:tcW w:w="282" w:type="dxa"/>
            <w:tcBorders>
              <w:top w:val="nil"/>
              <w:left w:val="nil"/>
              <w:bottom w:val="nil"/>
              <w:right w:val="nil"/>
            </w:tcBorders>
            <w:shd w:val="clear" w:color="auto" w:fill="auto"/>
            <w:noWrap/>
            <w:vAlign w:val="bottom"/>
            <w:hideMark/>
          </w:tcPr>
          <w:p w14:paraId="613DBE95" w14:textId="77777777" w:rsidR="000F4F90" w:rsidRPr="007E4882" w:rsidRDefault="000F4F90" w:rsidP="00124001">
            <w:pPr>
              <w:spacing w:after="0" w:line="240" w:lineRule="auto"/>
              <w:rPr>
                <w:rFonts w:cstheme="minorHAnsi"/>
                <w:color w:val="auto"/>
                <w:sz w:val="20"/>
                <w:szCs w:val="20"/>
              </w:rPr>
            </w:pPr>
          </w:p>
        </w:tc>
        <w:tc>
          <w:tcPr>
            <w:tcW w:w="3532" w:type="dxa"/>
            <w:tcBorders>
              <w:top w:val="nil"/>
              <w:left w:val="single" w:sz="8" w:space="0" w:color="auto"/>
              <w:bottom w:val="single" w:sz="8" w:space="0" w:color="auto"/>
              <w:right w:val="single" w:sz="8" w:space="0" w:color="auto"/>
            </w:tcBorders>
            <w:shd w:val="clear" w:color="000000" w:fill="FFFFFF"/>
            <w:noWrap/>
            <w:vAlign w:val="bottom"/>
            <w:hideMark/>
          </w:tcPr>
          <w:p w14:paraId="18C53AA4" w14:textId="77777777" w:rsidR="000F4F90" w:rsidRPr="007E4882" w:rsidRDefault="000F4F90" w:rsidP="00124001">
            <w:pPr>
              <w:spacing w:after="0" w:line="240" w:lineRule="auto"/>
              <w:rPr>
                <w:rFonts w:cstheme="minorHAnsi"/>
                <w:b/>
                <w:color w:val="auto"/>
                <w:sz w:val="20"/>
                <w:szCs w:val="20"/>
              </w:rPr>
            </w:pPr>
            <w:r w:rsidRPr="007E4882">
              <w:rPr>
                <w:rFonts w:cstheme="minorHAnsi"/>
                <w:b/>
                <w:color w:val="auto"/>
                <w:sz w:val="20"/>
                <w:szCs w:val="20"/>
              </w:rPr>
              <w:t>Τόκοι</w:t>
            </w:r>
          </w:p>
        </w:tc>
        <w:tc>
          <w:tcPr>
            <w:tcW w:w="893" w:type="dxa"/>
            <w:tcBorders>
              <w:top w:val="nil"/>
              <w:left w:val="nil"/>
              <w:bottom w:val="single" w:sz="8" w:space="0" w:color="auto"/>
              <w:right w:val="single" w:sz="8" w:space="0" w:color="auto"/>
            </w:tcBorders>
            <w:shd w:val="clear" w:color="000000" w:fill="FFFFFF"/>
            <w:noWrap/>
            <w:vAlign w:val="bottom"/>
            <w:hideMark/>
          </w:tcPr>
          <w:p w14:paraId="61675741" w14:textId="77777777" w:rsidR="000F4F90" w:rsidRPr="007E4882" w:rsidRDefault="000F4F90" w:rsidP="00124001">
            <w:pPr>
              <w:spacing w:after="0" w:line="240" w:lineRule="auto"/>
              <w:rPr>
                <w:rFonts w:cstheme="minorHAnsi"/>
                <w:b/>
                <w:color w:val="auto"/>
                <w:sz w:val="20"/>
                <w:szCs w:val="20"/>
              </w:rPr>
            </w:pPr>
            <w:r w:rsidRPr="007E4882">
              <w:rPr>
                <w:rFonts w:cstheme="minorHAnsi"/>
                <w:b/>
                <w:color w:val="auto"/>
                <w:sz w:val="20"/>
                <w:szCs w:val="20"/>
              </w:rPr>
              <w:t>2.317</w:t>
            </w:r>
          </w:p>
        </w:tc>
        <w:tc>
          <w:tcPr>
            <w:tcW w:w="879" w:type="dxa"/>
            <w:tcBorders>
              <w:top w:val="nil"/>
              <w:left w:val="nil"/>
              <w:bottom w:val="single" w:sz="8" w:space="0" w:color="auto"/>
              <w:right w:val="single" w:sz="8" w:space="0" w:color="auto"/>
            </w:tcBorders>
            <w:shd w:val="clear" w:color="000000" w:fill="FFFFFF"/>
            <w:noWrap/>
            <w:vAlign w:val="bottom"/>
            <w:hideMark/>
          </w:tcPr>
          <w:p w14:paraId="548B42DC" w14:textId="77777777" w:rsidR="000F4F90" w:rsidRPr="007E4882" w:rsidRDefault="000F4F90" w:rsidP="00124001">
            <w:pPr>
              <w:spacing w:after="0" w:line="240" w:lineRule="auto"/>
              <w:rPr>
                <w:rFonts w:cstheme="minorHAnsi"/>
                <w:b/>
                <w:color w:val="auto"/>
                <w:sz w:val="20"/>
                <w:szCs w:val="20"/>
              </w:rPr>
            </w:pPr>
            <w:r w:rsidRPr="007E4882">
              <w:rPr>
                <w:rFonts w:cstheme="minorHAnsi"/>
                <w:b/>
                <w:color w:val="auto"/>
                <w:sz w:val="20"/>
                <w:szCs w:val="20"/>
              </w:rPr>
              <w:t>2.456</w:t>
            </w:r>
          </w:p>
        </w:tc>
        <w:tc>
          <w:tcPr>
            <w:tcW w:w="1351" w:type="dxa"/>
            <w:tcBorders>
              <w:top w:val="nil"/>
              <w:left w:val="nil"/>
              <w:bottom w:val="single" w:sz="8" w:space="0" w:color="auto"/>
              <w:right w:val="single" w:sz="8" w:space="0" w:color="auto"/>
            </w:tcBorders>
            <w:shd w:val="clear" w:color="000000" w:fill="FFFFFF"/>
            <w:vAlign w:val="bottom"/>
            <w:hideMark/>
          </w:tcPr>
          <w:p w14:paraId="7D90E17D" w14:textId="77777777" w:rsidR="000F4F90" w:rsidRPr="007E4882" w:rsidRDefault="000F4F90" w:rsidP="00124001">
            <w:pPr>
              <w:spacing w:after="0" w:line="240" w:lineRule="auto"/>
              <w:rPr>
                <w:rFonts w:cstheme="minorHAnsi"/>
                <w:b/>
                <w:color w:val="auto"/>
                <w:sz w:val="20"/>
                <w:szCs w:val="20"/>
              </w:rPr>
            </w:pPr>
            <w:r w:rsidRPr="007E4882">
              <w:rPr>
                <w:rFonts w:cstheme="minorHAnsi"/>
                <w:b/>
                <w:color w:val="auto"/>
                <w:sz w:val="20"/>
                <w:szCs w:val="20"/>
              </w:rPr>
              <w:t>139</w:t>
            </w:r>
          </w:p>
        </w:tc>
        <w:tc>
          <w:tcPr>
            <w:tcW w:w="1964" w:type="dxa"/>
            <w:tcBorders>
              <w:top w:val="nil"/>
              <w:left w:val="nil"/>
              <w:bottom w:val="single" w:sz="8" w:space="0" w:color="auto"/>
              <w:right w:val="single" w:sz="8" w:space="0" w:color="auto"/>
            </w:tcBorders>
            <w:shd w:val="clear" w:color="000000" w:fill="FFFFFF"/>
            <w:vAlign w:val="bottom"/>
            <w:hideMark/>
          </w:tcPr>
          <w:p w14:paraId="3A276402" w14:textId="77777777" w:rsidR="000F4F90" w:rsidRPr="007E4882" w:rsidRDefault="000F4F90" w:rsidP="00124001">
            <w:pPr>
              <w:spacing w:after="0" w:line="240" w:lineRule="auto"/>
              <w:rPr>
                <w:rFonts w:cstheme="minorHAnsi"/>
                <w:b/>
                <w:color w:val="auto"/>
                <w:sz w:val="20"/>
                <w:szCs w:val="20"/>
              </w:rPr>
            </w:pPr>
            <w:r w:rsidRPr="007E4882">
              <w:rPr>
                <w:rFonts w:cstheme="minorHAnsi"/>
                <w:b/>
                <w:color w:val="auto"/>
                <w:sz w:val="20"/>
                <w:szCs w:val="20"/>
              </w:rPr>
              <w:t>6,0%</w:t>
            </w:r>
          </w:p>
        </w:tc>
      </w:tr>
      <w:tr w:rsidR="007E4882" w:rsidRPr="007E4882" w14:paraId="02B2A6CE" w14:textId="77777777" w:rsidTr="007E4882">
        <w:trPr>
          <w:trHeight w:val="253"/>
          <w:jc w:val="center"/>
        </w:trPr>
        <w:tc>
          <w:tcPr>
            <w:tcW w:w="282" w:type="dxa"/>
            <w:tcBorders>
              <w:top w:val="nil"/>
              <w:left w:val="nil"/>
              <w:bottom w:val="nil"/>
              <w:right w:val="nil"/>
            </w:tcBorders>
            <w:shd w:val="clear" w:color="auto" w:fill="auto"/>
            <w:noWrap/>
            <w:vAlign w:val="bottom"/>
          </w:tcPr>
          <w:p w14:paraId="3B5D6936" w14:textId="77777777" w:rsidR="000F4F90" w:rsidRPr="007E4882" w:rsidRDefault="000F4F90" w:rsidP="00124001">
            <w:pPr>
              <w:spacing w:after="0" w:line="240" w:lineRule="auto"/>
              <w:rPr>
                <w:rFonts w:cstheme="minorHAnsi"/>
                <w:color w:val="auto"/>
                <w:sz w:val="20"/>
                <w:szCs w:val="20"/>
              </w:rPr>
            </w:pPr>
          </w:p>
        </w:tc>
        <w:tc>
          <w:tcPr>
            <w:tcW w:w="3532" w:type="dxa"/>
            <w:tcBorders>
              <w:top w:val="nil"/>
              <w:left w:val="single" w:sz="8" w:space="0" w:color="auto"/>
              <w:bottom w:val="single" w:sz="8" w:space="0" w:color="auto"/>
              <w:right w:val="single" w:sz="8" w:space="0" w:color="auto"/>
            </w:tcBorders>
            <w:shd w:val="clear" w:color="000000" w:fill="FFFFFF"/>
            <w:noWrap/>
            <w:vAlign w:val="bottom"/>
          </w:tcPr>
          <w:p w14:paraId="099A16E9" w14:textId="77777777" w:rsidR="000F4F90" w:rsidRPr="007E4882" w:rsidRDefault="000F4F90" w:rsidP="00124001">
            <w:pPr>
              <w:spacing w:after="0" w:line="240" w:lineRule="auto"/>
              <w:rPr>
                <w:rFonts w:cstheme="minorHAnsi"/>
                <w:b/>
                <w:color w:val="auto"/>
                <w:sz w:val="20"/>
                <w:szCs w:val="20"/>
              </w:rPr>
            </w:pPr>
            <w:r w:rsidRPr="007E4882">
              <w:rPr>
                <w:rFonts w:cstheme="minorHAnsi"/>
                <w:b/>
                <w:color w:val="auto"/>
                <w:sz w:val="20"/>
                <w:szCs w:val="20"/>
              </w:rPr>
              <w:t xml:space="preserve">Αποκτήσεις πάγιων περιουσιακών στοιχείων </w:t>
            </w:r>
          </w:p>
        </w:tc>
        <w:tc>
          <w:tcPr>
            <w:tcW w:w="893" w:type="dxa"/>
            <w:tcBorders>
              <w:top w:val="nil"/>
              <w:left w:val="nil"/>
              <w:bottom w:val="single" w:sz="8" w:space="0" w:color="auto"/>
              <w:right w:val="single" w:sz="8" w:space="0" w:color="auto"/>
            </w:tcBorders>
            <w:shd w:val="clear" w:color="000000" w:fill="FFFFFF"/>
            <w:noWrap/>
            <w:vAlign w:val="bottom"/>
          </w:tcPr>
          <w:p w14:paraId="776D9766" w14:textId="77777777" w:rsidR="000F4F90" w:rsidRPr="007E4882" w:rsidRDefault="000F4F90" w:rsidP="00124001">
            <w:pPr>
              <w:spacing w:after="0" w:line="240" w:lineRule="auto"/>
              <w:rPr>
                <w:rFonts w:cstheme="minorHAnsi"/>
                <w:b/>
                <w:color w:val="auto"/>
                <w:sz w:val="20"/>
                <w:szCs w:val="20"/>
              </w:rPr>
            </w:pPr>
            <w:r w:rsidRPr="007E4882">
              <w:rPr>
                <w:rFonts w:cstheme="minorHAnsi"/>
                <w:b/>
                <w:color w:val="auto"/>
                <w:sz w:val="20"/>
                <w:szCs w:val="20"/>
              </w:rPr>
              <w:t>12</w:t>
            </w:r>
          </w:p>
        </w:tc>
        <w:tc>
          <w:tcPr>
            <w:tcW w:w="879" w:type="dxa"/>
            <w:tcBorders>
              <w:top w:val="nil"/>
              <w:left w:val="nil"/>
              <w:bottom w:val="single" w:sz="8" w:space="0" w:color="auto"/>
              <w:right w:val="single" w:sz="8" w:space="0" w:color="auto"/>
            </w:tcBorders>
            <w:shd w:val="clear" w:color="000000" w:fill="FFFFFF"/>
            <w:noWrap/>
            <w:vAlign w:val="bottom"/>
          </w:tcPr>
          <w:p w14:paraId="42560B15" w14:textId="77777777" w:rsidR="000F4F90" w:rsidRPr="007E4882" w:rsidRDefault="000F4F90" w:rsidP="00124001">
            <w:pPr>
              <w:spacing w:after="0" w:line="240" w:lineRule="auto"/>
              <w:rPr>
                <w:rFonts w:cstheme="minorHAnsi"/>
                <w:b/>
                <w:color w:val="auto"/>
                <w:sz w:val="20"/>
                <w:szCs w:val="20"/>
              </w:rPr>
            </w:pPr>
            <w:r w:rsidRPr="007E4882">
              <w:rPr>
                <w:rFonts w:cstheme="minorHAnsi"/>
                <w:b/>
                <w:color w:val="auto"/>
                <w:sz w:val="20"/>
                <w:szCs w:val="20"/>
              </w:rPr>
              <w:t>801</w:t>
            </w:r>
          </w:p>
        </w:tc>
        <w:tc>
          <w:tcPr>
            <w:tcW w:w="1351" w:type="dxa"/>
            <w:tcBorders>
              <w:top w:val="nil"/>
              <w:left w:val="nil"/>
              <w:bottom w:val="single" w:sz="8" w:space="0" w:color="auto"/>
              <w:right w:val="single" w:sz="8" w:space="0" w:color="auto"/>
            </w:tcBorders>
            <w:shd w:val="clear" w:color="000000" w:fill="FFFFFF"/>
            <w:vAlign w:val="bottom"/>
          </w:tcPr>
          <w:p w14:paraId="79F3F52C" w14:textId="77777777" w:rsidR="000F4F90" w:rsidRPr="007E4882" w:rsidRDefault="000F4F90" w:rsidP="00124001">
            <w:pPr>
              <w:spacing w:after="0" w:line="240" w:lineRule="auto"/>
              <w:rPr>
                <w:rFonts w:cstheme="minorHAnsi"/>
                <w:b/>
                <w:color w:val="auto"/>
                <w:sz w:val="20"/>
                <w:szCs w:val="20"/>
              </w:rPr>
            </w:pPr>
            <w:r w:rsidRPr="007E4882">
              <w:rPr>
                <w:rFonts w:cstheme="minorHAnsi"/>
                <w:b/>
                <w:color w:val="auto"/>
                <w:sz w:val="20"/>
                <w:szCs w:val="20"/>
              </w:rPr>
              <w:t>789</w:t>
            </w:r>
          </w:p>
        </w:tc>
        <w:tc>
          <w:tcPr>
            <w:tcW w:w="1964" w:type="dxa"/>
            <w:tcBorders>
              <w:top w:val="nil"/>
              <w:left w:val="nil"/>
              <w:bottom w:val="single" w:sz="8" w:space="0" w:color="auto"/>
              <w:right w:val="single" w:sz="8" w:space="0" w:color="auto"/>
            </w:tcBorders>
            <w:shd w:val="clear" w:color="000000" w:fill="FFFFFF"/>
            <w:vAlign w:val="bottom"/>
          </w:tcPr>
          <w:p w14:paraId="1F11A34E" w14:textId="77777777" w:rsidR="000F4F90" w:rsidRPr="007E4882" w:rsidRDefault="000F4F90" w:rsidP="00124001">
            <w:pPr>
              <w:spacing w:after="0" w:line="240" w:lineRule="auto"/>
              <w:rPr>
                <w:rFonts w:cstheme="minorHAnsi"/>
                <w:b/>
                <w:color w:val="auto"/>
                <w:sz w:val="20"/>
                <w:szCs w:val="20"/>
              </w:rPr>
            </w:pPr>
            <w:r w:rsidRPr="007E4882">
              <w:rPr>
                <w:rFonts w:cstheme="minorHAnsi"/>
                <w:b/>
                <w:color w:val="auto"/>
                <w:sz w:val="20"/>
                <w:szCs w:val="20"/>
              </w:rPr>
              <w:t>6.575%</w:t>
            </w:r>
          </w:p>
        </w:tc>
      </w:tr>
      <w:tr w:rsidR="007E4882" w:rsidRPr="007E4882" w14:paraId="450B6A72" w14:textId="77777777" w:rsidTr="007E4882">
        <w:trPr>
          <w:trHeight w:val="253"/>
          <w:jc w:val="center"/>
        </w:trPr>
        <w:tc>
          <w:tcPr>
            <w:tcW w:w="282" w:type="dxa"/>
            <w:tcBorders>
              <w:top w:val="nil"/>
              <w:left w:val="nil"/>
              <w:bottom w:val="nil"/>
              <w:right w:val="nil"/>
            </w:tcBorders>
            <w:shd w:val="clear" w:color="auto" w:fill="auto"/>
            <w:noWrap/>
            <w:vAlign w:val="bottom"/>
          </w:tcPr>
          <w:p w14:paraId="1AB5DA8B" w14:textId="77777777" w:rsidR="000F4F90" w:rsidRPr="007E4882" w:rsidRDefault="000F4F90" w:rsidP="00124001">
            <w:pPr>
              <w:spacing w:after="0" w:line="240" w:lineRule="auto"/>
              <w:rPr>
                <w:rFonts w:cstheme="minorHAnsi"/>
                <w:color w:val="auto"/>
                <w:sz w:val="20"/>
                <w:szCs w:val="20"/>
              </w:rPr>
            </w:pPr>
          </w:p>
        </w:tc>
        <w:tc>
          <w:tcPr>
            <w:tcW w:w="3532" w:type="dxa"/>
            <w:tcBorders>
              <w:top w:val="nil"/>
              <w:left w:val="single" w:sz="8" w:space="0" w:color="auto"/>
              <w:bottom w:val="single" w:sz="8" w:space="0" w:color="auto"/>
              <w:right w:val="single" w:sz="8" w:space="0" w:color="auto"/>
            </w:tcBorders>
            <w:shd w:val="clear" w:color="000000" w:fill="FFFFFF"/>
            <w:noWrap/>
            <w:vAlign w:val="bottom"/>
          </w:tcPr>
          <w:p w14:paraId="4D8DD8B2" w14:textId="77777777" w:rsidR="000F4F90" w:rsidRPr="007E4882" w:rsidRDefault="000F4F90" w:rsidP="00124001">
            <w:pPr>
              <w:spacing w:after="0" w:line="240" w:lineRule="auto"/>
              <w:rPr>
                <w:rFonts w:cstheme="minorHAnsi"/>
                <w:color w:val="auto"/>
                <w:sz w:val="20"/>
                <w:szCs w:val="20"/>
              </w:rPr>
            </w:pPr>
            <w:r w:rsidRPr="007E4882">
              <w:rPr>
                <w:rFonts w:cstheme="minorHAnsi"/>
                <w:color w:val="auto"/>
                <w:sz w:val="20"/>
                <w:szCs w:val="20"/>
              </w:rPr>
              <w:t>Εκ των οποίων Εξοπλιστικά Προγράμματα Υπουργείου Εθνικής Άμυνας</w:t>
            </w:r>
          </w:p>
        </w:tc>
        <w:tc>
          <w:tcPr>
            <w:tcW w:w="893" w:type="dxa"/>
            <w:tcBorders>
              <w:top w:val="nil"/>
              <w:left w:val="nil"/>
              <w:bottom w:val="single" w:sz="8" w:space="0" w:color="auto"/>
              <w:right w:val="single" w:sz="8" w:space="0" w:color="auto"/>
            </w:tcBorders>
            <w:shd w:val="clear" w:color="000000" w:fill="FFFFFF"/>
            <w:noWrap/>
            <w:vAlign w:val="bottom"/>
          </w:tcPr>
          <w:p w14:paraId="55BEF91B" w14:textId="77777777" w:rsidR="000F4F90" w:rsidRPr="007E4882" w:rsidRDefault="000F4F90" w:rsidP="007E4882">
            <w:pPr>
              <w:spacing w:after="0" w:line="240" w:lineRule="auto"/>
              <w:jc w:val="center"/>
              <w:rPr>
                <w:rFonts w:cstheme="minorHAnsi"/>
                <w:color w:val="auto"/>
                <w:sz w:val="20"/>
                <w:szCs w:val="20"/>
              </w:rPr>
            </w:pPr>
            <w:r w:rsidRPr="007E4882">
              <w:rPr>
                <w:rFonts w:cstheme="minorHAnsi"/>
                <w:color w:val="auto"/>
                <w:sz w:val="20"/>
                <w:szCs w:val="20"/>
              </w:rPr>
              <w:t>11</w:t>
            </w:r>
          </w:p>
        </w:tc>
        <w:tc>
          <w:tcPr>
            <w:tcW w:w="879" w:type="dxa"/>
            <w:tcBorders>
              <w:top w:val="nil"/>
              <w:left w:val="nil"/>
              <w:bottom w:val="single" w:sz="8" w:space="0" w:color="auto"/>
              <w:right w:val="single" w:sz="8" w:space="0" w:color="auto"/>
            </w:tcBorders>
            <w:shd w:val="clear" w:color="000000" w:fill="FFFFFF"/>
            <w:noWrap/>
            <w:vAlign w:val="bottom"/>
          </w:tcPr>
          <w:p w14:paraId="1A6775D9" w14:textId="77777777" w:rsidR="000F4F90" w:rsidRPr="007E4882" w:rsidRDefault="000F4F90" w:rsidP="007E4882">
            <w:pPr>
              <w:spacing w:after="0" w:line="240" w:lineRule="auto"/>
              <w:jc w:val="center"/>
              <w:rPr>
                <w:rFonts w:cstheme="minorHAnsi"/>
                <w:color w:val="auto"/>
                <w:sz w:val="20"/>
                <w:szCs w:val="20"/>
              </w:rPr>
            </w:pPr>
            <w:r w:rsidRPr="007E4882">
              <w:rPr>
                <w:rFonts w:cstheme="minorHAnsi"/>
                <w:color w:val="auto"/>
                <w:sz w:val="20"/>
                <w:szCs w:val="20"/>
              </w:rPr>
              <w:t>792</w:t>
            </w:r>
          </w:p>
        </w:tc>
        <w:tc>
          <w:tcPr>
            <w:tcW w:w="1351" w:type="dxa"/>
            <w:tcBorders>
              <w:top w:val="nil"/>
              <w:left w:val="nil"/>
              <w:bottom w:val="single" w:sz="8" w:space="0" w:color="auto"/>
              <w:right w:val="single" w:sz="8" w:space="0" w:color="auto"/>
            </w:tcBorders>
            <w:shd w:val="clear" w:color="000000" w:fill="FFFFFF"/>
            <w:vAlign w:val="bottom"/>
          </w:tcPr>
          <w:p w14:paraId="0E20D509" w14:textId="77777777" w:rsidR="000F4F90" w:rsidRPr="007E4882" w:rsidRDefault="000F4F90" w:rsidP="007E4882">
            <w:pPr>
              <w:spacing w:after="0" w:line="240" w:lineRule="auto"/>
              <w:jc w:val="center"/>
              <w:rPr>
                <w:rFonts w:cstheme="minorHAnsi"/>
                <w:color w:val="auto"/>
                <w:sz w:val="20"/>
                <w:szCs w:val="20"/>
              </w:rPr>
            </w:pPr>
            <w:r w:rsidRPr="007E4882">
              <w:rPr>
                <w:rFonts w:cstheme="minorHAnsi"/>
                <w:color w:val="auto"/>
                <w:sz w:val="20"/>
                <w:szCs w:val="20"/>
              </w:rPr>
              <w:t>781</w:t>
            </w:r>
          </w:p>
        </w:tc>
        <w:tc>
          <w:tcPr>
            <w:tcW w:w="1964" w:type="dxa"/>
            <w:tcBorders>
              <w:top w:val="nil"/>
              <w:left w:val="nil"/>
              <w:bottom w:val="single" w:sz="8" w:space="0" w:color="auto"/>
              <w:right w:val="single" w:sz="8" w:space="0" w:color="auto"/>
            </w:tcBorders>
            <w:shd w:val="clear" w:color="000000" w:fill="FFFFFF"/>
            <w:vAlign w:val="bottom"/>
          </w:tcPr>
          <w:p w14:paraId="1C996D86" w14:textId="77777777" w:rsidR="000F4F90" w:rsidRPr="007E4882" w:rsidRDefault="000F4F90" w:rsidP="007E4882">
            <w:pPr>
              <w:spacing w:after="0" w:line="240" w:lineRule="auto"/>
              <w:jc w:val="center"/>
              <w:rPr>
                <w:rFonts w:cstheme="minorHAnsi"/>
                <w:color w:val="auto"/>
                <w:sz w:val="20"/>
                <w:szCs w:val="20"/>
              </w:rPr>
            </w:pPr>
            <w:r w:rsidRPr="007E4882">
              <w:rPr>
                <w:rFonts w:cstheme="minorHAnsi"/>
                <w:color w:val="auto"/>
                <w:sz w:val="20"/>
                <w:szCs w:val="20"/>
              </w:rPr>
              <w:t>7.100%</w:t>
            </w:r>
          </w:p>
        </w:tc>
      </w:tr>
      <w:tr w:rsidR="007E4882" w:rsidRPr="007E4882" w14:paraId="5E724026" w14:textId="77777777" w:rsidTr="007E4882">
        <w:trPr>
          <w:trHeight w:val="253"/>
          <w:jc w:val="center"/>
        </w:trPr>
        <w:tc>
          <w:tcPr>
            <w:tcW w:w="282" w:type="dxa"/>
            <w:tcBorders>
              <w:top w:val="nil"/>
              <w:left w:val="nil"/>
              <w:bottom w:val="nil"/>
              <w:right w:val="nil"/>
            </w:tcBorders>
            <w:shd w:val="clear" w:color="auto" w:fill="auto"/>
            <w:noWrap/>
            <w:vAlign w:val="bottom"/>
            <w:hideMark/>
          </w:tcPr>
          <w:p w14:paraId="61FF7D2A" w14:textId="77777777" w:rsidR="000F4F90" w:rsidRPr="007E4882" w:rsidRDefault="000F4F90" w:rsidP="00124001">
            <w:pPr>
              <w:spacing w:after="0" w:line="240" w:lineRule="auto"/>
              <w:rPr>
                <w:rFonts w:cstheme="minorHAnsi"/>
                <w:color w:val="auto"/>
                <w:sz w:val="20"/>
                <w:szCs w:val="20"/>
              </w:rPr>
            </w:pPr>
          </w:p>
        </w:tc>
        <w:tc>
          <w:tcPr>
            <w:tcW w:w="3532" w:type="dxa"/>
            <w:tcBorders>
              <w:top w:val="nil"/>
              <w:left w:val="single" w:sz="8" w:space="0" w:color="auto"/>
              <w:bottom w:val="single" w:sz="8" w:space="0" w:color="auto"/>
              <w:right w:val="single" w:sz="8" w:space="0" w:color="auto"/>
            </w:tcBorders>
            <w:shd w:val="clear" w:color="000000" w:fill="FFFFFF"/>
            <w:noWrap/>
            <w:vAlign w:val="bottom"/>
            <w:hideMark/>
          </w:tcPr>
          <w:p w14:paraId="2171A7B9" w14:textId="77777777" w:rsidR="000F4F90" w:rsidRPr="007E4882" w:rsidRDefault="000F4F90" w:rsidP="00124001">
            <w:pPr>
              <w:spacing w:after="0" w:line="240" w:lineRule="auto"/>
              <w:rPr>
                <w:rFonts w:cstheme="minorHAnsi"/>
                <w:b/>
                <w:color w:val="auto"/>
                <w:sz w:val="20"/>
                <w:szCs w:val="20"/>
              </w:rPr>
            </w:pPr>
            <w:r w:rsidRPr="007E4882">
              <w:rPr>
                <w:rFonts w:cstheme="minorHAnsi"/>
                <w:b/>
                <w:color w:val="auto"/>
                <w:sz w:val="20"/>
                <w:szCs w:val="20"/>
              </w:rPr>
              <w:t>Δαπάνες ΠΔΕ</w:t>
            </w:r>
          </w:p>
        </w:tc>
        <w:tc>
          <w:tcPr>
            <w:tcW w:w="893" w:type="dxa"/>
            <w:tcBorders>
              <w:top w:val="nil"/>
              <w:left w:val="nil"/>
              <w:bottom w:val="single" w:sz="8" w:space="0" w:color="auto"/>
              <w:right w:val="single" w:sz="8" w:space="0" w:color="auto"/>
            </w:tcBorders>
            <w:shd w:val="clear" w:color="000000" w:fill="FFFFFF"/>
            <w:noWrap/>
            <w:vAlign w:val="bottom"/>
            <w:hideMark/>
          </w:tcPr>
          <w:p w14:paraId="203C3A87" w14:textId="77777777" w:rsidR="000F4F90" w:rsidRPr="007E4882" w:rsidRDefault="000F4F90" w:rsidP="00124001">
            <w:pPr>
              <w:spacing w:after="0" w:line="240" w:lineRule="auto"/>
              <w:rPr>
                <w:rFonts w:cstheme="minorHAnsi"/>
                <w:b/>
                <w:color w:val="auto"/>
                <w:sz w:val="20"/>
                <w:szCs w:val="20"/>
              </w:rPr>
            </w:pPr>
            <w:r w:rsidRPr="007E4882">
              <w:rPr>
                <w:rFonts w:cstheme="minorHAnsi"/>
                <w:b/>
                <w:color w:val="auto"/>
                <w:sz w:val="20"/>
                <w:szCs w:val="20"/>
              </w:rPr>
              <w:t>809</w:t>
            </w:r>
          </w:p>
        </w:tc>
        <w:tc>
          <w:tcPr>
            <w:tcW w:w="879" w:type="dxa"/>
            <w:tcBorders>
              <w:top w:val="nil"/>
              <w:left w:val="nil"/>
              <w:bottom w:val="single" w:sz="8" w:space="0" w:color="auto"/>
              <w:right w:val="single" w:sz="8" w:space="0" w:color="auto"/>
            </w:tcBorders>
            <w:shd w:val="clear" w:color="000000" w:fill="FFFFFF"/>
            <w:noWrap/>
            <w:vAlign w:val="bottom"/>
            <w:hideMark/>
          </w:tcPr>
          <w:p w14:paraId="419E0A1C" w14:textId="77777777" w:rsidR="000F4F90" w:rsidRPr="007E4882" w:rsidRDefault="000F4F90" w:rsidP="00124001">
            <w:pPr>
              <w:spacing w:after="0" w:line="240" w:lineRule="auto"/>
              <w:rPr>
                <w:rFonts w:cstheme="minorHAnsi"/>
                <w:b/>
                <w:color w:val="auto"/>
                <w:sz w:val="20"/>
                <w:szCs w:val="20"/>
              </w:rPr>
            </w:pPr>
            <w:r w:rsidRPr="007E4882">
              <w:rPr>
                <w:rFonts w:cstheme="minorHAnsi"/>
                <w:b/>
                <w:color w:val="auto"/>
                <w:sz w:val="20"/>
                <w:szCs w:val="20"/>
              </w:rPr>
              <w:t>2.192</w:t>
            </w:r>
          </w:p>
        </w:tc>
        <w:tc>
          <w:tcPr>
            <w:tcW w:w="1351" w:type="dxa"/>
            <w:tcBorders>
              <w:top w:val="nil"/>
              <w:left w:val="nil"/>
              <w:bottom w:val="single" w:sz="8" w:space="0" w:color="auto"/>
              <w:right w:val="single" w:sz="8" w:space="0" w:color="auto"/>
            </w:tcBorders>
            <w:shd w:val="clear" w:color="000000" w:fill="FFFFFF"/>
            <w:vAlign w:val="bottom"/>
            <w:hideMark/>
          </w:tcPr>
          <w:p w14:paraId="66F6AF6F" w14:textId="77777777" w:rsidR="000F4F90" w:rsidRPr="007E4882" w:rsidRDefault="000F4F90" w:rsidP="00124001">
            <w:pPr>
              <w:spacing w:after="0" w:line="240" w:lineRule="auto"/>
              <w:rPr>
                <w:rFonts w:cstheme="minorHAnsi"/>
                <w:b/>
                <w:color w:val="auto"/>
                <w:sz w:val="20"/>
                <w:szCs w:val="20"/>
              </w:rPr>
            </w:pPr>
            <w:r w:rsidRPr="007E4882">
              <w:rPr>
                <w:rFonts w:cstheme="minorHAnsi"/>
                <w:b/>
                <w:color w:val="auto"/>
                <w:sz w:val="20"/>
                <w:szCs w:val="20"/>
              </w:rPr>
              <w:t>1.383</w:t>
            </w:r>
          </w:p>
        </w:tc>
        <w:tc>
          <w:tcPr>
            <w:tcW w:w="1964" w:type="dxa"/>
            <w:tcBorders>
              <w:top w:val="nil"/>
              <w:left w:val="nil"/>
              <w:bottom w:val="single" w:sz="8" w:space="0" w:color="auto"/>
              <w:right w:val="single" w:sz="8" w:space="0" w:color="auto"/>
            </w:tcBorders>
            <w:shd w:val="clear" w:color="000000" w:fill="FFFFFF"/>
            <w:vAlign w:val="bottom"/>
            <w:hideMark/>
          </w:tcPr>
          <w:p w14:paraId="20B5184F" w14:textId="77777777" w:rsidR="000F4F90" w:rsidRPr="007E4882" w:rsidRDefault="000F4F90" w:rsidP="00124001">
            <w:pPr>
              <w:spacing w:after="0" w:line="240" w:lineRule="auto"/>
              <w:rPr>
                <w:rFonts w:cstheme="minorHAnsi"/>
                <w:b/>
                <w:color w:val="auto"/>
                <w:sz w:val="20"/>
                <w:szCs w:val="20"/>
              </w:rPr>
            </w:pPr>
            <w:r w:rsidRPr="007E4882">
              <w:rPr>
                <w:rFonts w:cstheme="minorHAnsi"/>
                <w:b/>
                <w:color w:val="auto"/>
                <w:sz w:val="20"/>
                <w:szCs w:val="20"/>
              </w:rPr>
              <w:t>171,0%</w:t>
            </w:r>
          </w:p>
        </w:tc>
      </w:tr>
    </w:tbl>
    <w:p w14:paraId="6013ED82" w14:textId="77777777" w:rsidR="000F4F90" w:rsidRPr="007E4882" w:rsidRDefault="000F4F90" w:rsidP="005E59F2">
      <w:pPr>
        <w:spacing w:after="360"/>
        <w:rPr>
          <w:color w:val="auto"/>
          <w:sz w:val="18"/>
          <w:szCs w:val="18"/>
        </w:rPr>
      </w:pPr>
      <w:r w:rsidRPr="007E4882">
        <w:rPr>
          <w:color w:val="auto"/>
          <w:sz w:val="18"/>
          <w:szCs w:val="18"/>
        </w:rPr>
        <w:t>Πηγή: Μηνιαίο Δελτίο Εκτέλεσης Κρατικού Προϋπολογισμού Απρίλιος 2021 (τροποποιημένη ταμειακή βάση)</w:t>
      </w:r>
    </w:p>
    <w:p w14:paraId="778B9028" w14:textId="7214F41F" w:rsidR="000F4F90" w:rsidRPr="007E4882" w:rsidRDefault="000F4F90" w:rsidP="007E4882">
      <w:pPr>
        <w:spacing w:after="160"/>
        <w:rPr>
          <w:rFonts w:cstheme="minorHAnsi"/>
          <w:color w:val="auto"/>
        </w:rPr>
      </w:pPr>
      <w:r w:rsidRPr="007E4882">
        <w:rPr>
          <w:rFonts w:cstheme="minorHAnsi"/>
          <w:color w:val="auto"/>
        </w:rPr>
        <w:t xml:space="preserve">Οι κατηγορίες δαπανών που </w:t>
      </w:r>
      <w:r w:rsidR="00761934">
        <w:rPr>
          <w:rFonts w:cstheme="minorHAnsi"/>
          <w:color w:val="auto"/>
        </w:rPr>
        <w:t>σημειώνουν</w:t>
      </w:r>
      <w:r w:rsidRPr="007E4882">
        <w:rPr>
          <w:rFonts w:cstheme="minorHAnsi"/>
          <w:color w:val="auto"/>
        </w:rPr>
        <w:t xml:space="preserve"> </w:t>
      </w:r>
      <w:r w:rsidR="00761934">
        <w:rPr>
          <w:rFonts w:cstheme="minorHAnsi"/>
          <w:color w:val="auto"/>
        </w:rPr>
        <w:t>τ</w:t>
      </w:r>
      <w:r w:rsidRPr="007E4882">
        <w:rPr>
          <w:rFonts w:cstheme="minorHAnsi"/>
          <w:color w:val="auto"/>
        </w:rPr>
        <w:t>η μεγαλύτερη αύξηση είναι οι μεταβιβάσεις και οι δαπάνες ΠΔΕ, διότι σε αυτές συμπεριελήφθησαν το σύνολο σχεδόν των έκτακτων δαπανών που αφορούν στην αντιμετώπιση της πανδημίας. Ειδικότερα</w:t>
      </w:r>
      <w:r w:rsidR="00203C86">
        <w:rPr>
          <w:rFonts w:cstheme="minorHAnsi"/>
          <w:color w:val="auto"/>
        </w:rPr>
        <w:t>,</w:t>
      </w:r>
      <w:r w:rsidRPr="007E4882">
        <w:rPr>
          <w:rFonts w:cstheme="minorHAnsi"/>
          <w:color w:val="auto"/>
        </w:rPr>
        <w:t xml:space="preserve"> οι δαπάνες ΠΔΕ παρουσίασαν αύξηση λόγω ένταξης σε αυτές μέρους του ποσού του «μέτρου» της επιστρεπτέας προκαταβολής. </w:t>
      </w:r>
    </w:p>
    <w:p w14:paraId="40263901" w14:textId="45548DE6" w:rsidR="000F4F90" w:rsidRPr="007E4882" w:rsidRDefault="000F4F90" w:rsidP="007E4882">
      <w:pPr>
        <w:spacing w:after="160"/>
        <w:rPr>
          <w:rFonts w:cstheme="minorHAnsi"/>
          <w:color w:val="auto"/>
        </w:rPr>
      </w:pPr>
      <w:r w:rsidRPr="007E4882">
        <w:rPr>
          <w:rFonts w:cstheme="minorHAnsi"/>
          <w:color w:val="auto"/>
        </w:rPr>
        <w:t>Αντίστοιχα</w:t>
      </w:r>
      <w:r w:rsidR="00203C86">
        <w:rPr>
          <w:rFonts w:cstheme="minorHAnsi"/>
          <w:color w:val="auto"/>
        </w:rPr>
        <w:t>,</w:t>
      </w:r>
      <w:r w:rsidRPr="007E4882">
        <w:rPr>
          <w:rFonts w:cstheme="minorHAnsi"/>
          <w:color w:val="auto"/>
        </w:rPr>
        <w:t xml:space="preserve"> στις μεταβιβάσεις εντάχθηκαν δαπάνες που αφορούν σε: </w:t>
      </w:r>
    </w:p>
    <w:p w14:paraId="1565B98D" w14:textId="1BF48BFA" w:rsidR="000F4F90" w:rsidRPr="007E4882" w:rsidRDefault="000F4F90" w:rsidP="005E59F2">
      <w:pPr>
        <w:spacing w:after="120"/>
        <w:rPr>
          <w:rFonts w:cstheme="minorHAnsi"/>
          <w:color w:val="auto"/>
        </w:rPr>
      </w:pPr>
      <w:r w:rsidRPr="007E4882">
        <w:rPr>
          <w:rFonts w:cstheme="minorHAnsi"/>
          <w:color w:val="auto"/>
        </w:rPr>
        <w:t>α) καταβολή αποζημίωσης (μισθωτών) ειδικού σκοπού λόγω της πανδημίας</w:t>
      </w:r>
      <w:r w:rsidR="00203C86">
        <w:rPr>
          <w:rFonts w:cstheme="minorHAnsi"/>
          <w:color w:val="auto"/>
        </w:rPr>
        <w:t>,</w:t>
      </w:r>
      <w:r w:rsidRPr="007E4882">
        <w:rPr>
          <w:rFonts w:cstheme="minorHAnsi"/>
          <w:color w:val="auto"/>
        </w:rPr>
        <w:t xml:space="preserve">  ύψους 1 δισ. ευρώ,</w:t>
      </w:r>
    </w:p>
    <w:p w14:paraId="7A8C160F" w14:textId="6B5D92B0" w:rsidR="000F4F90" w:rsidRPr="007E4882" w:rsidRDefault="000F4F90" w:rsidP="005E59F2">
      <w:pPr>
        <w:spacing w:after="120"/>
        <w:rPr>
          <w:rFonts w:cstheme="minorHAnsi"/>
          <w:color w:val="auto"/>
        </w:rPr>
      </w:pPr>
      <w:r w:rsidRPr="007E4882">
        <w:rPr>
          <w:rFonts w:cstheme="minorHAnsi"/>
          <w:color w:val="auto"/>
        </w:rPr>
        <w:t>β) καταβολή επιστρεπτέας προκαταβολής ύψους 672 εκατ. ευρώ</w:t>
      </w:r>
      <w:r w:rsidR="00203C86">
        <w:rPr>
          <w:rFonts w:cstheme="minorHAnsi"/>
          <w:color w:val="auto"/>
        </w:rPr>
        <w:t>,</w:t>
      </w:r>
      <w:r w:rsidRPr="007E4882">
        <w:rPr>
          <w:rFonts w:cstheme="minorHAnsi"/>
          <w:color w:val="auto"/>
        </w:rPr>
        <w:t xml:space="preserve"> από την κατηγορία των μεταβιβάσεων,</w:t>
      </w:r>
    </w:p>
    <w:p w14:paraId="6B37345C" w14:textId="29E4B40D" w:rsidR="000F4F90" w:rsidRPr="007E4882" w:rsidRDefault="000F4F90" w:rsidP="005E59F2">
      <w:pPr>
        <w:spacing w:after="120"/>
        <w:rPr>
          <w:rFonts w:cstheme="minorHAnsi"/>
          <w:color w:val="auto"/>
        </w:rPr>
      </w:pPr>
      <w:r w:rsidRPr="007E4882">
        <w:rPr>
          <w:rFonts w:cstheme="minorHAnsi"/>
          <w:color w:val="auto"/>
        </w:rPr>
        <w:t>γ) καταβολή κρατικής αποζημίωσης εκμισθωτών</w:t>
      </w:r>
      <w:r w:rsidR="00203C86">
        <w:rPr>
          <w:rFonts w:cstheme="minorHAnsi"/>
          <w:color w:val="auto"/>
        </w:rPr>
        <w:t>,</w:t>
      </w:r>
      <w:r w:rsidRPr="007E4882">
        <w:rPr>
          <w:rFonts w:cstheme="minorHAnsi"/>
          <w:color w:val="auto"/>
        </w:rPr>
        <w:t xml:space="preserve"> ύψους 137 εκατ. ευρώ, λόγω λήψης μειωμένων μισθωμάτων,</w:t>
      </w:r>
    </w:p>
    <w:p w14:paraId="3FE09174" w14:textId="414B7E0D" w:rsidR="000F4F90" w:rsidRPr="007E4882" w:rsidRDefault="000F4F90" w:rsidP="005E59F2">
      <w:pPr>
        <w:spacing w:after="120"/>
        <w:rPr>
          <w:rFonts w:cstheme="minorHAnsi"/>
          <w:color w:val="auto"/>
        </w:rPr>
      </w:pPr>
      <w:r w:rsidRPr="007E4882">
        <w:rPr>
          <w:rFonts w:cstheme="minorHAnsi"/>
          <w:color w:val="auto"/>
        </w:rPr>
        <w:t>δ) καταβολή επιχορήγησης προς τον ΟΠΕΚΑ</w:t>
      </w:r>
      <w:r w:rsidR="00203C86">
        <w:rPr>
          <w:rFonts w:cstheme="minorHAnsi"/>
          <w:color w:val="auto"/>
        </w:rPr>
        <w:t>,</w:t>
      </w:r>
      <w:r w:rsidRPr="007E4882">
        <w:rPr>
          <w:rFonts w:cstheme="minorHAnsi"/>
          <w:color w:val="auto"/>
        </w:rPr>
        <w:t xml:space="preserve"> ύψους 85 εκατ. ευρώ, για την αποπληρωμή δανείων πληγέντων από την πανδημία.  </w:t>
      </w:r>
    </w:p>
    <w:p w14:paraId="2538D580" w14:textId="7347E3FD" w:rsidR="000F4F90" w:rsidRPr="007E4882" w:rsidRDefault="00761934" w:rsidP="007E4882">
      <w:pPr>
        <w:spacing w:after="160"/>
        <w:rPr>
          <w:rFonts w:cstheme="minorHAnsi"/>
          <w:color w:val="auto"/>
        </w:rPr>
      </w:pPr>
      <w:r>
        <w:rPr>
          <w:rFonts w:cstheme="minorHAnsi"/>
          <w:color w:val="auto"/>
        </w:rPr>
        <w:t>Πέραν</w:t>
      </w:r>
      <w:r w:rsidR="000F4F90" w:rsidRPr="007E4882">
        <w:rPr>
          <w:rFonts w:cstheme="minorHAnsi"/>
          <w:color w:val="auto"/>
        </w:rPr>
        <w:t xml:space="preserve"> των δαπανών που αφορούν στα μέτρα αντιμετώπισης της πανδημίας, μέρος των αυξημένων δαπανών οφείλεται σε πληρωμές εξοπλιστικών προγραμμάτων ποσού 781 εκατ. ευρώ  και τόκων 139 εκατ. ευρώ.</w:t>
      </w:r>
    </w:p>
    <w:p w14:paraId="08356B63" w14:textId="77777777" w:rsidR="000F4F90" w:rsidRPr="007C4299" w:rsidRDefault="000F4F90" w:rsidP="000908EA">
      <w:pPr>
        <w:spacing w:after="160"/>
        <w:rPr>
          <w:rFonts w:ascii="Calibri" w:eastAsia="Calibri" w:hAnsi="Calibri" w:cs="Calibri"/>
          <w:color w:val="00B0F0"/>
          <w:sz w:val="16"/>
          <w:szCs w:val="16"/>
        </w:rPr>
      </w:pPr>
    </w:p>
    <w:p w14:paraId="5D85DE9E" w14:textId="77777777" w:rsidR="000908EA" w:rsidRPr="000908EA" w:rsidRDefault="000908EA" w:rsidP="000908EA"/>
    <w:p w14:paraId="3406758C" w14:textId="7909363A" w:rsidR="000908EA" w:rsidRPr="000908EA" w:rsidRDefault="000908EA" w:rsidP="00D07140">
      <w:pPr>
        <w:pStyle w:val="a1"/>
        <w:numPr>
          <w:ilvl w:val="1"/>
          <w:numId w:val="3"/>
        </w:numPr>
        <w:ind w:left="0"/>
        <w:rPr>
          <w:color w:val="00B0F0"/>
          <w:sz w:val="28"/>
          <w:szCs w:val="28"/>
        </w:rPr>
      </w:pPr>
      <w:bookmarkStart w:id="168" w:name="_Toc73435752"/>
      <w:r w:rsidRPr="000908EA">
        <w:rPr>
          <w:color w:val="00B0F0"/>
          <w:sz w:val="28"/>
          <w:szCs w:val="28"/>
        </w:rPr>
        <w:t>Εκτέλεση προϋπολογισμού Γενικής Κυβέρνησης Α’ τριμήνου</w:t>
      </w:r>
      <w:r w:rsidR="003E2548" w:rsidRPr="003E2548">
        <w:rPr>
          <w:color w:val="00B0F0"/>
          <w:sz w:val="28"/>
          <w:szCs w:val="28"/>
        </w:rPr>
        <w:t xml:space="preserve"> 2021</w:t>
      </w:r>
      <w:bookmarkEnd w:id="168"/>
    </w:p>
    <w:p w14:paraId="05FAD897" w14:textId="2B7DA38D" w:rsidR="000F4F90" w:rsidRPr="002B4888" w:rsidRDefault="000F4F90" w:rsidP="002B4888">
      <w:pPr>
        <w:spacing w:after="160"/>
        <w:rPr>
          <w:color w:val="auto"/>
        </w:rPr>
      </w:pPr>
      <w:r w:rsidRPr="002B4888">
        <w:rPr>
          <w:color w:val="auto"/>
        </w:rPr>
        <w:t xml:space="preserve">Σε επίπεδο Γενικής Κυβέρνησης το α΄ τρίμηνο του 2021 </w:t>
      </w:r>
      <w:r w:rsidR="00761934">
        <w:rPr>
          <w:color w:val="auto"/>
        </w:rPr>
        <w:t>σημειώθηκε</w:t>
      </w:r>
      <w:r w:rsidRPr="002B4888">
        <w:rPr>
          <w:color w:val="auto"/>
        </w:rPr>
        <w:t xml:space="preserve"> σημαντική αύξηση του ταμειακού ελλείμματος κατά περίπου 5 δισ. ευρώ σε σχέση με το αντίστοιχο χρονικό διάστημα του 2020, με αποτέλεσμα αυτό να ξεπερνάει τα 6,2 δισ. ευρώ (3,6% του ΑΕΠ).</w:t>
      </w:r>
      <w:r w:rsidRPr="002B4888" w:rsidDel="00DE573C">
        <w:rPr>
          <w:color w:val="auto"/>
        </w:rPr>
        <w:t xml:space="preserve"> </w:t>
      </w:r>
      <w:r w:rsidRPr="002B4888">
        <w:rPr>
          <w:color w:val="auto"/>
        </w:rPr>
        <w:t>Αντίστοιχα επιβαρυμένο είναι το πρωτογενές αποτέλεσμα το οποίο διαμορφώθηκε σε έλλειμμα άνω των 4,1 δισ. ευρώ (2,4% του ΑΕΠ) σε σχέση με πρωτογενές πλεόνασμα 823 εκατ. ευρώ (0,5% του ΑΕΠ) που είχε καταγραφεί το α’ τρίμηνο του 2020.</w:t>
      </w:r>
    </w:p>
    <w:p w14:paraId="0353CC1C" w14:textId="16967409" w:rsidR="000F4F90" w:rsidRDefault="000F4F90" w:rsidP="002B4888">
      <w:pPr>
        <w:spacing w:after="160"/>
        <w:rPr>
          <w:color w:val="auto"/>
        </w:rPr>
      </w:pPr>
      <w:r w:rsidRPr="002B4888">
        <w:rPr>
          <w:color w:val="auto"/>
        </w:rPr>
        <w:t>Το έλλειμμα αυτό οφείλεται, κατά κύριο λόγο, στις δαπάνες για την αντιμετώπιση της πανδημίας οι οποίες καταγράφονται στους λογαριασμούς δαπανών «μεταβιβάσεις» και «επιδοτήσεις»</w:t>
      </w:r>
      <w:r w:rsidR="000F02FF">
        <w:rPr>
          <w:color w:val="auto"/>
        </w:rPr>
        <w:t>,</w:t>
      </w:r>
      <w:r w:rsidRPr="002B4888">
        <w:rPr>
          <w:color w:val="auto"/>
        </w:rPr>
        <w:t xml:space="preserve"> οι οποίοι </w:t>
      </w:r>
      <w:r w:rsidR="00761934">
        <w:rPr>
          <w:color w:val="auto"/>
        </w:rPr>
        <w:t>αυξήθηκαν</w:t>
      </w:r>
      <w:r w:rsidRPr="002B4888">
        <w:rPr>
          <w:color w:val="auto"/>
        </w:rPr>
        <w:t xml:space="preserve"> σε σχέση με πέρυσι κατά 2.109 εκατ. ευρώ και 1.132 εκατ. ευρώ, αντίστοιχα. Επιπλέον</w:t>
      </w:r>
      <w:r w:rsidR="00203C86">
        <w:rPr>
          <w:color w:val="auto"/>
        </w:rPr>
        <w:t>,</w:t>
      </w:r>
      <w:r w:rsidRPr="002B4888">
        <w:rPr>
          <w:color w:val="auto"/>
        </w:rPr>
        <w:t xml:space="preserve"> το δημοσιονομικό ταμειακό αποτέλεσμα επιβαρύνθηκε λόγω </w:t>
      </w:r>
      <w:r w:rsidR="00761934">
        <w:rPr>
          <w:color w:val="auto"/>
        </w:rPr>
        <w:t>αύξησης</w:t>
      </w:r>
      <w:r w:rsidRPr="002B4888">
        <w:rPr>
          <w:color w:val="auto"/>
        </w:rPr>
        <w:t xml:space="preserve"> των κοινωνικών παροχών κατά 344 εκατ. ευρώ. </w:t>
      </w:r>
      <w:r w:rsidR="00203C86">
        <w:rPr>
          <w:color w:val="auto"/>
        </w:rPr>
        <w:t>Επίσης,</w:t>
      </w:r>
      <w:r w:rsidRPr="002B4888">
        <w:rPr>
          <w:color w:val="auto"/>
        </w:rPr>
        <w:t xml:space="preserve"> το ταμειακό αποτέλεσμα επιβαρύνθηκε</w:t>
      </w:r>
      <w:r w:rsidR="000F02FF">
        <w:rPr>
          <w:color w:val="auto"/>
        </w:rPr>
        <w:t>,</w:t>
      </w:r>
      <w:r w:rsidRPr="002B4888">
        <w:rPr>
          <w:color w:val="auto"/>
        </w:rPr>
        <w:t xml:space="preserve"> </w:t>
      </w:r>
      <w:r w:rsidR="00761934">
        <w:rPr>
          <w:color w:val="auto"/>
        </w:rPr>
        <w:t xml:space="preserve">από δαπάνες </w:t>
      </w:r>
      <w:r w:rsidRPr="002B4888">
        <w:rPr>
          <w:color w:val="auto"/>
        </w:rPr>
        <w:t>για απόκτηση μη χρηματοοικονομικών παγίων</w:t>
      </w:r>
      <w:r w:rsidR="00203C86">
        <w:rPr>
          <w:color w:val="auto"/>
        </w:rPr>
        <w:t>,</w:t>
      </w:r>
      <w:r w:rsidRPr="002B4888">
        <w:rPr>
          <w:color w:val="auto"/>
        </w:rPr>
        <w:t xml:space="preserve"> κατά 878 εκατ. ευρώ, οι οποίες αφορούν, κατά βάση, πληρωμές εξοπλιστικών προγραμμάτων. </w:t>
      </w:r>
    </w:p>
    <w:p w14:paraId="3A9CC7A8" w14:textId="6A1CFDB2" w:rsidR="000F4F90" w:rsidRPr="007D6510" w:rsidRDefault="002B4888" w:rsidP="002B4888">
      <w:pPr>
        <w:spacing w:after="0"/>
        <w:rPr>
          <w:iCs/>
          <w:color w:val="00B0F0"/>
          <w:sz w:val="20"/>
          <w:szCs w:val="20"/>
        </w:rPr>
      </w:pPr>
      <w:bookmarkStart w:id="169" w:name="_Toc73435781"/>
      <w:r w:rsidRPr="007D6510">
        <w:rPr>
          <w:sz w:val="20"/>
          <w:szCs w:val="20"/>
        </w:rPr>
        <w:t xml:space="preserve">Πίνακας </w:t>
      </w:r>
      <w:r w:rsidRPr="007D6510">
        <w:rPr>
          <w:i/>
          <w:sz w:val="20"/>
          <w:szCs w:val="20"/>
        </w:rPr>
        <w:fldChar w:fldCharType="begin"/>
      </w:r>
      <w:r w:rsidRPr="007D6510">
        <w:rPr>
          <w:sz w:val="20"/>
          <w:szCs w:val="20"/>
        </w:rPr>
        <w:instrText xml:space="preserve"> SEQ Πίνακας \* ARABIC </w:instrText>
      </w:r>
      <w:r w:rsidRPr="007D6510">
        <w:rPr>
          <w:i/>
          <w:sz w:val="20"/>
          <w:szCs w:val="20"/>
        </w:rPr>
        <w:fldChar w:fldCharType="separate"/>
      </w:r>
      <w:r w:rsidR="00CC05A7">
        <w:rPr>
          <w:noProof/>
          <w:sz w:val="20"/>
          <w:szCs w:val="20"/>
        </w:rPr>
        <w:t>20</w:t>
      </w:r>
      <w:r w:rsidRPr="007D6510">
        <w:rPr>
          <w:i/>
          <w:sz w:val="20"/>
          <w:szCs w:val="20"/>
        </w:rPr>
        <w:fldChar w:fldCharType="end"/>
      </w:r>
      <w:r w:rsidRPr="007D6510">
        <w:rPr>
          <w:color w:val="00B0F0"/>
          <w:sz w:val="20"/>
          <w:szCs w:val="20"/>
        </w:rPr>
        <w:t xml:space="preserve">: </w:t>
      </w:r>
      <w:r w:rsidR="000F4F90" w:rsidRPr="007D6510">
        <w:rPr>
          <w:iCs/>
          <w:color w:val="00B0F0"/>
          <w:sz w:val="20"/>
          <w:szCs w:val="20"/>
        </w:rPr>
        <w:t>Εκτέλεση προϋπολογισμού σε επίπεδο ΓΚ (εκατ. ευρώ*)</w:t>
      </w:r>
      <w:bookmarkEnd w:id="169"/>
    </w:p>
    <w:tbl>
      <w:tblPr>
        <w:tblStyle w:val="TableGrid"/>
        <w:tblW w:w="8483" w:type="dxa"/>
        <w:tblLayout w:type="fixed"/>
        <w:tblLook w:val="04A0" w:firstRow="1" w:lastRow="0" w:firstColumn="1" w:lastColumn="0" w:noHBand="0" w:noVBand="1"/>
      </w:tblPr>
      <w:tblGrid>
        <w:gridCol w:w="3681"/>
        <w:gridCol w:w="1587"/>
        <w:gridCol w:w="1460"/>
        <w:gridCol w:w="955"/>
        <w:gridCol w:w="800"/>
      </w:tblGrid>
      <w:tr w:rsidR="002B4888" w:rsidRPr="002B4888" w14:paraId="183E88C5" w14:textId="77777777" w:rsidTr="002B4888">
        <w:trPr>
          <w:trHeight w:val="248"/>
        </w:trPr>
        <w:tc>
          <w:tcPr>
            <w:tcW w:w="3681" w:type="dxa"/>
            <w:vMerge w:val="restart"/>
            <w:shd w:val="clear" w:color="auto" w:fill="BDD6EE" w:themeFill="accent1" w:themeFillTint="66"/>
            <w:noWrap/>
            <w:hideMark/>
          </w:tcPr>
          <w:p w14:paraId="2BA44549" w14:textId="77777777" w:rsidR="000F4F90" w:rsidRPr="002B4888" w:rsidRDefault="000F4F90" w:rsidP="002B4888">
            <w:pPr>
              <w:spacing w:after="0" w:line="240" w:lineRule="auto"/>
              <w:jc w:val="center"/>
              <w:rPr>
                <w:rFonts w:cstheme="minorHAnsi"/>
                <w:b/>
                <w:bCs/>
                <w:color w:val="auto"/>
                <w:sz w:val="18"/>
                <w:szCs w:val="18"/>
              </w:rPr>
            </w:pPr>
          </w:p>
        </w:tc>
        <w:tc>
          <w:tcPr>
            <w:tcW w:w="1587" w:type="dxa"/>
            <w:vMerge w:val="restart"/>
            <w:shd w:val="clear" w:color="auto" w:fill="BDD6EE" w:themeFill="accent1" w:themeFillTint="66"/>
          </w:tcPr>
          <w:p w14:paraId="5802BF69" w14:textId="1547C4BD" w:rsidR="000F4F90" w:rsidRPr="002B4888" w:rsidRDefault="000F4F90" w:rsidP="002B4888">
            <w:pPr>
              <w:spacing w:after="0" w:line="240" w:lineRule="auto"/>
              <w:jc w:val="center"/>
              <w:rPr>
                <w:rFonts w:cstheme="minorHAnsi"/>
                <w:b/>
                <w:bCs/>
                <w:i/>
                <w:iCs/>
                <w:color w:val="auto"/>
                <w:sz w:val="18"/>
                <w:szCs w:val="18"/>
              </w:rPr>
            </w:pPr>
            <w:r w:rsidRPr="002B4888">
              <w:rPr>
                <w:rFonts w:cstheme="minorHAnsi"/>
                <w:b/>
                <w:bCs/>
                <w:i/>
                <w:iCs/>
                <w:color w:val="auto"/>
                <w:sz w:val="18"/>
                <w:szCs w:val="18"/>
              </w:rPr>
              <w:t>Ιαν - Μάρτιος 2020</w:t>
            </w:r>
          </w:p>
        </w:tc>
        <w:tc>
          <w:tcPr>
            <w:tcW w:w="1460" w:type="dxa"/>
            <w:vMerge w:val="restart"/>
            <w:shd w:val="clear" w:color="auto" w:fill="BDD6EE" w:themeFill="accent1" w:themeFillTint="66"/>
            <w:hideMark/>
          </w:tcPr>
          <w:p w14:paraId="7C75FA54" w14:textId="3228EFB4" w:rsidR="000F4F90" w:rsidRPr="002B4888" w:rsidRDefault="000F4F90" w:rsidP="002B4888">
            <w:pPr>
              <w:spacing w:after="0" w:line="240" w:lineRule="auto"/>
              <w:jc w:val="center"/>
              <w:rPr>
                <w:rFonts w:cstheme="minorHAnsi"/>
                <w:b/>
                <w:bCs/>
                <w:i/>
                <w:iCs/>
                <w:color w:val="auto"/>
                <w:sz w:val="18"/>
                <w:szCs w:val="18"/>
              </w:rPr>
            </w:pPr>
            <w:r w:rsidRPr="002B4888">
              <w:rPr>
                <w:rFonts w:cstheme="minorHAnsi"/>
                <w:b/>
                <w:bCs/>
                <w:i/>
                <w:iCs/>
                <w:color w:val="auto"/>
                <w:sz w:val="18"/>
                <w:szCs w:val="18"/>
              </w:rPr>
              <w:t>Ιαν - Μάρτιος 2021</w:t>
            </w:r>
          </w:p>
        </w:tc>
        <w:tc>
          <w:tcPr>
            <w:tcW w:w="1755" w:type="dxa"/>
            <w:gridSpan w:val="2"/>
            <w:shd w:val="clear" w:color="auto" w:fill="BDD6EE" w:themeFill="accent1" w:themeFillTint="66"/>
            <w:hideMark/>
          </w:tcPr>
          <w:p w14:paraId="4AF6A4CA" w14:textId="77777777" w:rsidR="002B4888" w:rsidRDefault="000F4F90" w:rsidP="002B4888">
            <w:pPr>
              <w:spacing w:after="0" w:line="240" w:lineRule="auto"/>
              <w:jc w:val="center"/>
              <w:rPr>
                <w:rFonts w:cstheme="minorHAnsi"/>
                <w:b/>
                <w:bCs/>
                <w:i/>
                <w:iCs/>
                <w:color w:val="auto"/>
                <w:sz w:val="18"/>
                <w:szCs w:val="18"/>
              </w:rPr>
            </w:pPr>
            <w:r w:rsidRPr="002B4888">
              <w:rPr>
                <w:rFonts w:cstheme="minorHAnsi"/>
                <w:b/>
                <w:bCs/>
                <w:i/>
                <w:iCs/>
                <w:color w:val="auto"/>
                <w:sz w:val="18"/>
                <w:szCs w:val="18"/>
              </w:rPr>
              <w:t>Διαφορά</w:t>
            </w:r>
          </w:p>
          <w:p w14:paraId="55116AE4" w14:textId="1E16D8B0" w:rsidR="000F4F90" w:rsidRPr="002B4888" w:rsidRDefault="000F4F90" w:rsidP="002B4888">
            <w:pPr>
              <w:spacing w:after="0" w:line="240" w:lineRule="auto"/>
              <w:jc w:val="center"/>
              <w:rPr>
                <w:rFonts w:cstheme="minorHAnsi"/>
                <w:b/>
                <w:bCs/>
                <w:i/>
                <w:iCs/>
                <w:color w:val="auto"/>
                <w:sz w:val="18"/>
                <w:szCs w:val="18"/>
              </w:rPr>
            </w:pPr>
            <w:r w:rsidRPr="002B4888">
              <w:rPr>
                <w:rFonts w:cstheme="minorHAnsi"/>
                <w:b/>
                <w:bCs/>
                <w:i/>
                <w:iCs/>
                <w:color w:val="auto"/>
                <w:sz w:val="18"/>
                <w:szCs w:val="18"/>
              </w:rPr>
              <w:t>2021-2020</w:t>
            </w:r>
          </w:p>
        </w:tc>
      </w:tr>
      <w:tr w:rsidR="002B4888" w:rsidRPr="002B4888" w14:paraId="08752346" w14:textId="77777777" w:rsidTr="002B4888">
        <w:trPr>
          <w:trHeight w:val="248"/>
        </w:trPr>
        <w:tc>
          <w:tcPr>
            <w:tcW w:w="3681" w:type="dxa"/>
            <w:vMerge/>
            <w:shd w:val="clear" w:color="auto" w:fill="BDD6EE" w:themeFill="accent1" w:themeFillTint="66"/>
            <w:hideMark/>
          </w:tcPr>
          <w:p w14:paraId="32119C2C" w14:textId="77777777" w:rsidR="000F4F90" w:rsidRPr="002B4888" w:rsidRDefault="000F4F90" w:rsidP="002B4888">
            <w:pPr>
              <w:spacing w:after="0" w:line="240" w:lineRule="auto"/>
              <w:rPr>
                <w:rFonts w:cstheme="minorHAnsi"/>
                <w:b/>
                <w:bCs/>
                <w:color w:val="auto"/>
                <w:sz w:val="18"/>
                <w:szCs w:val="18"/>
              </w:rPr>
            </w:pPr>
          </w:p>
        </w:tc>
        <w:tc>
          <w:tcPr>
            <w:tcW w:w="1587" w:type="dxa"/>
            <w:vMerge/>
            <w:shd w:val="clear" w:color="auto" w:fill="BDD6EE" w:themeFill="accent1" w:themeFillTint="66"/>
          </w:tcPr>
          <w:p w14:paraId="68A11D12" w14:textId="77777777" w:rsidR="000F4F90" w:rsidRPr="002B4888" w:rsidRDefault="000F4F90" w:rsidP="002B4888">
            <w:pPr>
              <w:spacing w:after="0" w:line="240" w:lineRule="auto"/>
              <w:rPr>
                <w:rFonts w:cstheme="minorHAnsi"/>
                <w:b/>
                <w:bCs/>
                <w:i/>
                <w:iCs/>
                <w:color w:val="auto"/>
                <w:sz w:val="18"/>
                <w:szCs w:val="18"/>
              </w:rPr>
            </w:pPr>
          </w:p>
        </w:tc>
        <w:tc>
          <w:tcPr>
            <w:tcW w:w="1460" w:type="dxa"/>
            <w:vMerge/>
            <w:shd w:val="clear" w:color="auto" w:fill="BDD6EE" w:themeFill="accent1" w:themeFillTint="66"/>
            <w:hideMark/>
          </w:tcPr>
          <w:p w14:paraId="07E53A9F" w14:textId="77777777" w:rsidR="000F4F90" w:rsidRPr="002B4888" w:rsidRDefault="000F4F90" w:rsidP="002B4888">
            <w:pPr>
              <w:spacing w:after="0" w:line="240" w:lineRule="auto"/>
              <w:rPr>
                <w:rFonts w:cstheme="minorHAnsi"/>
                <w:b/>
                <w:bCs/>
                <w:i/>
                <w:iCs/>
                <w:color w:val="auto"/>
                <w:sz w:val="18"/>
                <w:szCs w:val="18"/>
              </w:rPr>
            </w:pPr>
          </w:p>
        </w:tc>
        <w:tc>
          <w:tcPr>
            <w:tcW w:w="955" w:type="dxa"/>
            <w:shd w:val="clear" w:color="auto" w:fill="BDD6EE" w:themeFill="accent1" w:themeFillTint="66"/>
            <w:hideMark/>
          </w:tcPr>
          <w:p w14:paraId="00069BA4" w14:textId="77777777" w:rsidR="000F4F90" w:rsidRPr="002B4888" w:rsidRDefault="000F4F90" w:rsidP="002B4888">
            <w:pPr>
              <w:spacing w:after="0" w:line="240" w:lineRule="auto"/>
              <w:rPr>
                <w:rFonts w:cstheme="minorHAnsi"/>
                <w:b/>
                <w:bCs/>
                <w:i/>
                <w:iCs/>
                <w:color w:val="auto"/>
                <w:sz w:val="18"/>
                <w:szCs w:val="18"/>
              </w:rPr>
            </w:pPr>
            <w:r w:rsidRPr="002B4888">
              <w:rPr>
                <w:rFonts w:cstheme="minorHAnsi"/>
                <w:b/>
                <w:bCs/>
                <w:i/>
                <w:iCs/>
                <w:color w:val="auto"/>
                <w:sz w:val="18"/>
                <w:szCs w:val="18"/>
              </w:rPr>
              <w:t>Εκατ. €</w:t>
            </w:r>
          </w:p>
        </w:tc>
        <w:tc>
          <w:tcPr>
            <w:tcW w:w="800" w:type="dxa"/>
            <w:shd w:val="clear" w:color="auto" w:fill="BDD6EE" w:themeFill="accent1" w:themeFillTint="66"/>
            <w:hideMark/>
          </w:tcPr>
          <w:p w14:paraId="188D86B2" w14:textId="77777777" w:rsidR="000F4F90" w:rsidRPr="002B4888" w:rsidRDefault="000F4F90" w:rsidP="002B4888">
            <w:pPr>
              <w:spacing w:after="0" w:line="240" w:lineRule="auto"/>
              <w:rPr>
                <w:rFonts w:cstheme="minorHAnsi"/>
                <w:b/>
                <w:bCs/>
                <w:i/>
                <w:iCs/>
                <w:color w:val="auto"/>
                <w:sz w:val="18"/>
                <w:szCs w:val="18"/>
              </w:rPr>
            </w:pPr>
            <w:r w:rsidRPr="002B4888">
              <w:rPr>
                <w:rFonts w:cstheme="minorHAnsi"/>
                <w:b/>
                <w:bCs/>
                <w:i/>
                <w:iCs/>
                <w:color w:val="auto"/>
                <w:sz w:val="18"/>
                <w:szCs w:val="18"/>
              </w:rPr>
              <w:t>%</w:t>
            </w:r>
          </w:p>
        </w:tc>
      </w:tr>
      <w:tr w:rsidR="002B4888" w:rsidRPr="002B4888" w14:paraId="6789DC8B" w14:textId="77777777" w:rsidTr="002B4888">
        <w:trPr>
          <w:trHeight w:val="248"/>
        </w:trPr>
        <w:tc>
          <w:tcPr>
            <w:tcW w:w="3681" w:type="dxa"/>
            <w:shd w:val="clear" w:color="auto" w:fill="D9D9D9" w:themeFill="background1" w:themeFillShade="D9"/>
            <w:noWrap/>
            <w:hideMark/>
          </w:tcPr>
          <w:p w14:paraId="10D6F5F0" w14:textId="77777777" w:rsidR="000F4F90" w:rsidRPr="002B4888" w:rsidRDefault="000F4F90" w:rsidP="002B4888">
            <w:pPr>
              <w:spacing w:after="0" w:line="240" w:lineRule="auto"/>
              <w:rPr>
                <w:rFonts w:cstheme="minorHAnsi"/>
                <w:b/>
                <w:bCs/>
                <w:color w:val="auto"/>
                <w:sz w:val="18"/>
                <w:szCs w:val="18"/>
              </w:rPr>
            </w:pPr>
            <w:r w:rsidRPr="002B4888">
              <w:rPr>
                <w:rFonts w:cstheme="minorHAnsi"/>
                <w:b/>
                <w:bCs/>
                <w:color w:val="auto"/>
                <w:sz w:val="18"/>
                <w:szCs w:val="18"/>
              </w:rPr>
              <w:t>Α. Έσοδα</w:t>
            </w:r>
          </w:p>
        </w:tc>
        <w:tc>
          <w:tcPr>
            <w:tcW w:w="1587" w:type="dxa"/>
            <w:shd w:val="clear" w:color="auto" w:fill="D9D9D9" w:themeFill="background1" w:themeFillShade="D9"/>
          </w:tcPr>
          <w:p w14:paraId="21A5C0BD" w14:textId="77777777" w:rsidR="000F4F90" w:rsidRPr="002B4888" w:rsidRDefault="000F4F90" w:rsidP="002B4888">
            <w:pPr>
              <w:spacing w:after="0" w:line="240" w:lineRule="auto"/>
              <w:jc w:val="center"/>
              <w:rPr>
                <w:rFonts w:cstheme="minorHAnsi"/>
                <w:b/>
                <w:bCs/>
                <w:color w:val="auto"/>
                <w:sz w:val="18"/>
                <w:szCs w:val="18"/>
              </w:rPr>
            </w:pPr>
            <w:r w:rsidRPr="002B4888">
              <w:rPr>
                <w:rFonts w:cstheme="minorHAnsi"/>
                <w:b/>
                <w:bCs/>
                <w:color w:val="auto"/>
                <w:sz w:val="18"/>
                <w:szCs w:val="18"/>
              </w:rPr>
              <w:t>18.097</w:t>
            </w:r>
          </w:p>
        </w:tc>
        <w:tc>
          <w:tcPr>
            <w:tcW w:w="1460" w:type="dxa"/>
            <w:shd w:val="clear" w:color="auto" w:fill="D9D9D9" w:themeFill="background1" w:themeFillShade="D9"/>
            <w:noWrap/>
            <w:hideMark/>
          </w:tcPr>
          <w:p w14:paraId="6EDFDE0E" w14:textId="77777777" w:rsidR="000F4F90" w:rsidRPr="002B4888" w:rsidRDefault="000F4F90" w:rsidP="002B4888">
            <w:pPr>
              <w:spacing w:after="0" w:line="240" w:lineRule="auto"/>
              <w:jc w:val="center"/>
              <w:rPr>
                <w:rFonts w:cstheme="minorHAnsi"/>
                <w:b/>
                <w:bCs/>
                <w:color w:val="auto"/>
                <w:sz w:val="18"/>
                <w:szCs w:val="18"/>
              </w:rPr>
            </w:pPr>
            <w:r w:rsidRPr="002B4888">
              <w:rPr>
                <w:rFonts w:cstheme="minorHAnsi"/>
                <w:b/>
                <w:bCs/>
                <w:color w:val="auto"/>
                <w:sz w:val="18"/>
                <w:szCs w:val="18"/>
              </w:rPr>
              <w:t>17.662</w:t>
            </w:r>
          </w:p>
        </w:tc>
        <w:tc>
          <w:tcPr>
            <w:tcW w:w="955" w:type="dxa"/>
            <w:shd w:val="clear" w:color="auto" w:fill="D9D9D9" w:themeFill="background1" w:themeFillShade="D9"/>
            <w:hideMark/>
          </w:tcPr>
          <w:p w14:paraId="1D56AD15" w14:textId="77777777" w:rsidR="000F4F90" w:rsidRPr="002B4888" w:rsidRDefault="000F4F90" w:rsidP="002B4888">
            <w:pPr>
              <w:spacing w:after="0" w:line="240" w:lineRule="auto"/>
              <w:jc w:val="center"/>
              <w:rPr>
                <w:rFonts w:cstheme="minorHAnsi"/>
                <w:b/>
                <w:bCs/>
                <w:i/>
                <w:iCs/>
                <w:color w:val="auto"/>
                <w:sz w:val="18"/>
                <w:szCs w:val="18"/>
              </w:rPr>
            </w:pPr>
            <w:r w:rsidRPr="002B4888">
              <w:rPr>
                <w:rFonts w:cstheme="minorHAnsi"/>
                <w:b/>
                <w:bCs/>
                <w:i/>
                <w:iCs/>
                <w:color w:val="auto"/>
                <w:sz w:val="18"/>
                <w:szCs w:val="18"/>
              </w:rPr>
              <w:t>-435</w:t>
            </w:r>
          </w:p>
        </w:tc>
        <w:tc>
          <w:tcPr>
            <w:tcW w:w="800" w:type="dxa"/>
            <w:shd w:val="clear" w:color="auto" w:fill="D9D9D9" w:themeFill="background1" w:themeFillShade="D9"/>
            <w:hideMark/>
          </w:tcPr>
          <w:p w14:paraId="213ACAFC" w14:textId="77777777" w:rsidR="000F4F90" w:rsidRPr="002B4888" w:rsidRDefault="000F4F90" w:rsidP="002B4888">
            <w:pPr>
              <w:spacing w:after="0" w:line="240" w:lineRule="auto"/>
              <w:jc w:val="center"/>
              <w:rPr>
                <w:rFonts w:cstheme="minorHAnsi"/>
                <w:b/>
                <w:bCs/>
                <w:i/>
                <w:iCs/>
                <w:color w:val="auto"/>
                <w:sz w:val="18"/>
                <w:szCs w:val="18"/>
              </w:rPr>
            </w:pPr>
            <w:r w:rsidRPr="002B4888">
              <w:rPr>
                <w:rFonts w:cstheme="minorHAnsi"/>
                <w:b/>
                <w:bCs/>
                <w:i/>
                <w:iCs/>
                <w:color w:val="auto"/>
                <w:sz w:val="18"/>
                <w:szCs w:val="18"/>
              </w:rPr>
              <w:t>-2,4%</w:t>
            </w:r>
          </w:p>
        </w:tc>
      </w:tr>
      <w:tr w:rsidR="002B4888" w:rsidRPr="002B4888" w14:paraId="698B6117" w14:textId="77777777" w:rsidTr="002B4888">
        <w:trPr>
          <w:trHeight w:val="248"/>
        </w:trPr>
        <w:tc>
          <w:tcPr>
            <w:tcW w:w="3681" w:type="dxa"/>
            <w:noWrap/>
            <w:hideMark/>
          </w:tcPr>
          <w:p w14:paraId="2EDEA6C6" w14:textId="77777777" w:rsidR="000F4F90" w:rsidRPr="002B4888" w:rsidRDefault="000F4F90" w:rsidP="002B4888">
            <w:pPr>
              <w:spacing w:after="0" w:line="240" w:lineRule="auto"/>
              <w:rPr>
                <w:rFonts w:cstheme="minorHAnsi"/>
                <w:color w:val="auto"/>
                <w:sz w:val="18"/>
                <w:szCs w:val="18"/>
              </w:rPr>
            </w:pPr>
            <w:r w:rsidRPr="002B4888">
              <w:rPr>
                <w:rFonts w:cstheme="minorHAnsi"/>
                <w:color w:val="auto"/>
                <w:sz w:val="18"/>
                <w:szCs w:val="18"/>
              </w:rPr>
              <w:t>Φόροι</w:t>
            </w:r>
          </w:p>
        </w:tc>
        <w:tc>
          <w:tcPr>
            <w:tcW w:w="1587" w:type="dxa"/>
          </w:tcPr>
          <w:p w14:paraId="2EB0D173" w14:textId="77777777" w:rsidR="000F4F90" w:rsidRPr="002B4888" w:rsidRDefault="000F4F90" w:rsidP="002B4888">
            <w:pPr>
              <w:spacing w:after="0" w:line="240" w:lineRule="auto"/>
              <w:jc w:val="center"/>
              <w:rPr>
                <w:rFonts w:cstheme="minorHAnsi"/>
                <w:color w:val="auto"/>
                <w:sz w:val="18"/>
                <w:szCs w:val="18"/>
              </w:rPr>
            </w:pPr>
            <w:r w:rsidRPr="002B4888">
              <w:rPr>
                <w:rFonts w:cstheme="minorHAnsi"/>
                <w:color w:val="auto"/>
                <w:sz w:val="18"/>
                <w:szCs w:val="18"/>
              </w:rPr>
              <w:t>10.136</w:t>
            </w:r>
          </w:p>
        </w:tc>
        <w:tc>
          <w:tcPr>
            <w:tcW w:w="1460" w:type="dxa"/>
            <w:noWrap/>
            <w:hideMark/>
          </w:tcPr>
          <w:p w14:paraId="505FE23F" w14:textId="77777777" w:rsidR="000F4F90" w:rsidRPr="002B4888" w:rsidRDefault="000F4F90" w:rsidP="002B4888">
            <w:pPr>
              <w:spacing w:after="0" w:line="240" w:lineRule="auto"/>
              <w:jc w:val="center"/>
              <w:rPr>
                <w:rFonts w:cstheme="minorHAnsi"/>
                <w:color w:val="auto"/>
                <w:sz w:val="18"/>
                <w:szCs w:val="18"/>
              </w:rPr>
            </w:pPr>
            <w:r w:rsidRPr="002B4888">
              <w:rPr>
                <w:rFonts w:cstheme="minorHAnsi"/>
                <w:color w:val="auto"/>
                <w:sz w:val="18"/>
                <w:szCs w:val="18"/>
              </w:rPr>
              <w:t>10.371</w:t>
            </w:r>
          </w:p>
        </w:tc>
        <w:tc>
          <w:tcPr>
            <w:tcW w:w="955" w:type="dxa"/>
            <w:hideMark/>
          </w:tcPr>
          <w:p w14:paraId="097770F1" w14:textId="77777777" w:rsidR="000F4F90" w:rsidRPr="002B4888" w:rsidRDefault="000F4F90" w:rsidP="002B4888">
            <w:pPr>
              <w:spacing w:after="0" w:line="240" w:lineRule="auto"/>
              <w:jc w:val="center"/>
              <w:rPr>
                <w:rFonts w:cstheme="minorHAnsi"/>
                <w:bCs/>
                <w:i/>
                <w:iCs/>
                <w:color w:val="auto"/>
                <w:sz w:val="18"/>
                <w:szCs w:val="18"/>
              </w:rPr>
            </w:pPr>
            <w:r w:rsidRPr="002B4888">
              <w:rPr>
                <w:rFonts w:cstheme="minorHAnsi"/>
                <w:bCs/>
                <w:i/>
                <w:iCs/>
                <w:color w:val="auto"/>
                <w:sz w:val="18"/>
                <w:szCs w:val="18"/>
              </w:rPr>
              <w:t>235</w:t>
            </w:r>
          </w:p>
        </w:tc>
        <w:tc>
          <w:tcPr>
            <w:tcW w:w="800" w:type="dxa"/>
            <w:hideMark/>
          </w:tcPr>
          <w:p w14:paraId="46349029" w14:textId="77777777" w:rsidR="000F4F90" w:rsidRPr="002B4888" w:rsidRDefault="000F4F90" w:rsidP="002B4888">
            <w:pPr>
              <w:spacing w:after="0" w:line="240" w:lineRule="auto"/>
              <w:jc w:val="center"/>
              <w:rPr>
                <w:rFonts w:cstheme="minorHAnsi"/>
                <w:bCs/>
                <w:i/>
                <w:iCs/>
                <w:color w:val="auto"/>
                <w:sz w:val="18"/>
                <w:szCs w:val="18"/>
              </w:rPr>
            </w:pPr>
            <w:r w:rsidRPr="002B4888">
              <w:rPr>
                <w:rFonts w:cstheme="minorHAnsi"/>
                <w:bCs/>
                <w:i/>
                <w:iCs/>
                <w:color w:val="auto"/>
                <w:sz w:val="18"/>
                <w:szCs w:val="18"/>
              </w:rPr>
              <w:t>2,3%</w:t>
            </w:r>
          </w:p>
        </w:tc>
      </w:tr>
      <w:tr w:rsidR="002B4888" w:rsidRPr="002B4888" w14:paraId="2EA79A99" w14:textId="77777777" w:rsidTr="002B4888">
        <w:trPr>
          <w:trHeight w:val="248"/>
        </w:trPr>
        <w:tc>
          <w:tcPr>
            <w:tcW w:w="3681" w:type="dxa"/>
            <w:noWrap/>
            <w:hideMark/>
          </w:tcPr>
          <w:p w14:paraId="23189449" w14:textId="77777777" w:rsidR="000F4F90" w:rsidRPr="002B4888" w:rsidRDefault="000F4F90" w:rsidP="002B4888">
            <w:pPr>
              <w:spacing w:after="0" w:line="240" w:lineRule="auto"/>
              <w:rPr>
                <w:rFonts w:cstheme="minorHAnsi"/>
                <w:color w:val="auto"/>
                <w:sz w:val="18"/>
                <w:szCs w:val="18"/>
              </w:rPr>
            </w:pPr>
            <w:r w:rsidRPr="002B4888">
              <w:rPr>
                <w:rFonts w:cstheme="minorHAnsi"/>
                <w:color w:val="auto"/>
                <w:sz w:val="18"/>
                <w:szCs w:val="18"/>
              </w:rPr>
              <w:t>Ασφαλιστικές εισφορές</w:t>
            </w:r>
          </w:p>
        </w:tc>
        <w:tc>
          <w:tcPr>
            <w:tcW w:w="1587" w:type="dxa"/>
          </w:tcPr>
          <w:p w14:paraId="00FD81B3" w14:textId="77777777" w:rsidR="000F4F90" w:rsidRPr="002B4888" w:rsidRDefault="000F4F90" w:rsidP="002B4888">
            <w:pPr>
              <w:spacing w:after="0" w:line="240" w:lineRule="auto"/>
              <w:jc w:val="center"/>
              <w:rPr>
                <w:rFonts w:cstheme="minorHAnsi"/>
                <w:color w:val="auto"/>
                <w:sz w:val="18"/>
                <w:szCs w:val="18"/>
              </w:rPr>
            </w:pPr>
            <w:r w:rsidRPr="002B4888">
              <w:rPr>
                <w:rFonts w:cstheme="minorHAnsi"/>
                <w:color w:val="auto"/>
                <w:sz w:val="18"/>
                <w:szCs w:val="18"/>
              </w:rPr>
              <w:t>5.547</w:t>
            </w:r>
          </w:p>
        </w:tc>
        <w:tc>
          <w:tcPr>
            <w:tcW w:w="1460" w:type="dxa"/>
            <w:noWrap/>
            <w:hideMark/>
          </w:tcPr>
          <w:p w14:paraId="186566F4" w14:textId="77777777" w:rsidR="000F4F90" w:rsidRPr="002B4888" w:rsidRDefault="000F4F90" w:rsidP="002B4888">
            <w:pPr>
              <w:spacing w:after="0" w:line="240" w:lineRule="auto"/>
              <w:jc w:val="center"/>
              <w:rPr>
                <w:rFonts w:cstheme="minorHAnsi"/>
                <w:color w:val="auto"/>
                <w:sz w:val="18"/>
                <w:szCs w:val="18"/>
              </w:rPr>
            </w:pPr>
            <w:r w:rsidRPr="002B4888">
              <w:rPr>
                <w:rFonts w:cstheme="minorHAnsi"/>
                <w:color w:val="auto"/>
                <w:sz w:val="18"/>
                <w:szCs w:val="18"/>
              </w:rPr>
              <w:t>5.185</w:t>
            </w:r>
          </w:p>
        </w:tc>
        <w:tc>
          <w:tcPr>
            <w:tcW w:w="955" w:type="dxa"/>
            <w:hideMark/>
          </w:tcPr>
          <w:p w14:paraId="052B5797" w14:textId="77777777" w:rsidR="000F4F90" w:rsidRPr="002B4888" w:rsidRDefault="000F4F90" w:rsidP="002B4888">
            <w:pPr>
              <w:spacing w:after="0" w:line="240" w:lineRule="auto"/>
              <w:jc w:val="center"/>
              <w:rPr>
                <w:rFonts w:cstheme="minorHAnsi"/>
                <w:bCs/>
                <w:i/>
                <w:iCs/>
                <w:color w:val="auto"/>
                <w:sz w:val="18"/>
                <w:szCs w:val="18"/>
              </w:rPr>
            </w:pPr>
            <w:r w:rsidRPr="002B4888">
              <w:rPr>
                <w:rFonts w:cstheme="minorHAnsi"/>
                <w:bCs/>
                <w:i/>
                <w:iCs/>
                <w:color w:val="auto"/>
                <w:sz w:val="18"/>
                <w:szCs w:val="18"/>
              </w:rPr>
              <w:t>-362</w:t>
            </w:r>
          </w:p>
        </w:tc>
        <w:tc>
          <w:tcPr>
            <w:tcW w:w="800" w:type="dxa"/>
            <w:hideMark/>
          </w:tcPr>
          <w:p w14:paraId="6ACBFCA1" w14:textId="77777777" w:rsidR="000F4F90" w:rsidRPr="002B4888" w:rsidRDefault="000F4F90" w:rsidP="002B4888">
            <w:pPr>
              <w:spacing w:after="0" w:line="240" w:lineRule="auto"/>
              <w:jc w:val="center"/>
              <w:rPr>
                <w:rFonts w:cstheme="minorHAnsi"/>
                <w:bCs/>
                <w:i/>
                <w:iCs/>
                <w:color w:val="auto"/>
                <w:sz w:val="18"/>
                <w:szCs w:val="18"/>
              </w:rPr>
            </w:pPr>
            <w:r w:rsidRPr="002B4888">
              <w:rPr>
                <w:rFonts w:cstheme="minorHAnsi"/>
                <w:bCs/>
                <w:i/>
                <w:iCs/>
                <w:color w:val="auto"/>
                <w:sz w:val="18"/>
                <w:szCs w:val="18"/>
              </w:rPr>
              <w:t>-6,5%</w:t>
            </w:r>
          </w:p>
        </w:tc>
      </w:tr>
      <w:tr w:rsidR="002B4888" w:rsidRPr="002B4888" w14:paraId="49303216" w14:textId="77777777" w:rsidTr="002B4888">
        <w:trPr>
          <w:trHeight w:val="248"/>
        </w:trPr>
        <w:tc>
          <w:tcPr>
            <w:tcW w:w="3681" w:type="dxa"/>
            <w:noWrap/>
            <w:hideMark/>
          </w:tcPr>
          <w:p w14:paraId="6EE2A33D" w14:textId="77777777" w:rsidR="000F4F90" w:rsidRPr="002B4888" w:rsidRDefault="000F4F90" w:rsidP="002B4888">
            <w:pPr>
              <w:spacing w:after="0" w:line="240" w:lineRule="auto"/>
              <w:rPr>
                <w:rFonts w:cstheme="minorHAnsi"/>
                <w:color w:val="auto"/>
                <w:sz w:val="18"/>
                <w:szCs w:val="18"/>
              </w:rPr>
            </w:pPr>
            <w:r w:rsidRPr="002B4888">
              <w:rPr>
                <w:rFonts w:cstheme="minorHAnsi"/>
                <w:color w:val="auto"/>
                <w:sz w:val="18"/>
                <w:szCs w:val="18"/>
              </w:rPr>
              <w:t>Μεταβιβάσεις</w:t>
            </w:r>
          </w:p>
        </w:tc>
        <w:tc>
          <w:tcPr>
            <w:tcW w:w="1587" w:type="dxa"/>
          </w:tcPr>
          <w:p w14:paraId="079D5C31" w14:textId="77777777" w:rsidR="000F4F90" w:rsidRPr="002B4888" w:rsidRDefault="000F4F90" w:rsidP="002B4888">
            <w:pPr>
              <w:spacing w:after="0" w:line="240" w:lineRule="auto"/>
              <w:jc w:val="center"/>
              <w:rPr>
                <w:rFonts w:cstheme="minorHAnsi"/>
                <w:color w:val="auto"/>
                <w:sz w:val="18"/>
                <w:szCs w:val="18"/>
              </w:rPr>
            </w:pPr>
            <w:r w:rsidRPr="002B4888">
              <w:rPr>
                <w:rFonts w:cstheme="minorHAnsi"/>
                <w:color w:val="auto"/>
                <w:sz w:val="18"/>
                <w:szCs w:val="18"/>
              </w:rPr>
              <w:t>1.594</w:t>
            </w:r>
          </w:p>
        </w:tc>
        <w:tc>
          <w:tcPr>
            <w:tcW w:w="1460" w:type="dxa"/>
            <w:noWrap/>
            <w:hideMark/>
          </w:tcPr>
          <w:p w14:paraId="3AE66F2F" w14:textId="77777777" w:rsidR="000F4F90" w:rsidRPr="002B4888" w:rsidRDefault="000F4F90" w:rsidP="002B4888">
            <w:pPr>
              <w:spacing w:after="0" w:line="240" w:lineRule="auto"/>
              <w:jc w:val="center"/>
              <w:rPr>
                <w:rFonts w:cstheme="minorHAnsi"/>
                <w:color w:val="auto"/>
                <w:sz w:val="18"/>
                <w:szCs w:val="18"/>
              </w:rPr>
            </w:pPr>
            <w:r w:rsidRPr="002B4888">
              <w:rPr>
                <w:rFonts w:cstheme="minorHAnsi"/>
                <w:color w:val="auto"/>
                <w:sz w:val="18"/>
                <w:szCs w:val="18"/>
              </w:rPr>
              <w:t>1.317</w:t>
            </w:r>
          </w:p>
        </w:tc>
        <w:tc>
          <w:tcPr>
            <w:tcW w:w="955" w:type="dxa"/>
            <w:hideMark/>
          </w:tcPr>
          <w:p w14:paraId="35443E6F" w14:textId="77777777" w:rsidR="000F4F90" w:rsidRPr="002B4888" w:rsidRDefault="000F4F90" w:rsidP="002B4888">
            <w:pPr>
              <w:spacing w:after="0" w:line="240" w:lineRule="auto"/>
              <w:jc w:val="center"/>
              <w:rPr>
                <w:rFonts w:cstheme="minorHAnsi"/>
                <w:bCs/>
                <w:i/>
                <w:iCs/>
                <w:color w:val="auto"/>
                <w:sz w:val="18"/>
                <w:szCs w:val="18"/>
              </w:rPr>
            </w:pPr>
            <w:r w:rsidRPr="002B4888">
              <w:rPr>
                <w:rFonts w:cstheme="minorHAnsi"/>
                <w:bCs/>
                <w:i/>
                <w:iCs/>
                <w:color w:val="auto"/>
                <w:sz w:val="18"/>
                <w:szCs w:val="18"/>
              </w:rPr>
              <w:t>-277</w:t>
            </w:r>
          </w:p>
        </w:tc>
        <w:tc>
          <w:tcPr>
            <w:tcW w:w="800" w:type="dxa"/>
            <w:hideMark/>
          </w:tcPr>
          <w:p w14:paraId="161BF26E" w14:textId="77777777" w:rsidR="000F4F90" w:rsidRPr="002B4888" w:rsidRDefault="000F4F90" w:rsidP="002B4888">
            <w:pPr>
              <w:spacing w:after="0" w:line="240" w:lineRule="auto"/>
              <w:jc w:val="center"/>
              <w:rPr>
                <w:rFonts w:cstheme="minorHAnsi"/>
                <w:bCs/>
                <w:i/>
                <w:iCs/>
                <w:color w:val="auto"/>
                <w:sz w:val="18"/>
                <w:szCs w:val="18"/>
              </w:rPr>
            </w:pPr>
            <w:r w:rsidRPr="002B4888">
              <w:rPr>
                <w:rFonts w:cstheme="minorHAnsi"/>
                <w:bCs/>
                <w:i/>
                <w:iCs/>
                <w:color w:val="auto"/>
                <w:sz w:val="18"/>
                <w:szCs w:val="18"/>
              </w:rPr>
              <w:t>-17,4%</w:t>
            </w:r>
          </w:p>
        </w:tc>
      </w:tr>
      <w:tr w:rsidR="002B4888" w:rsidRPr="002B4888" w14:paraId="0B0B7701" w14:textId="77777777" w:rsidTr="002B4888">
        <w:trPr>
          <w:trHeight w:val="248"/>
        </w:trPr>
        <w:tc>
          <w:tcPr>
            <w:tcW w:w="3681" w:type="dxa"/>
            <w:noWrap/>
            <w:hideMark/>
          </w:tcPr>
          <w:p w14:paraId="58FE64CF" w14:textId="77777777" w:rsidR="000F4F90" w:rsidRPr="002B4888" w:rsidRDefault="000F4F90" w:rsidP="002B4888">
            <w:pPr>
              <w:spacing w:after="0" w:line="240" w:lineRule="auto"/>
              <w:rPr>
                <w:rFonts w:cstheme="minorHAnsi"/>
                <w:color w:val="auto"/>
                <w:sz w:val="18"/>
                <w:szCs w:val="18"/>
              </w:rPr>
            </w:pPr>
            <w:r w:rsidRPr="002B4888">
              <w:rPr>
                <w:rFonts w:cstheme="minorHAnsi"/>
                <w:color w:val="auto"/>
                <w:sz w:val="18"/>
                <w:szCs w:val="18"/>
              </w:rPr>
              <w:t xml:space="preserve">Πωλήσεις μη χρηματοοικονομικών παγίων </w:t>
            </w:r>
          </w:p>
        </w:tc>
        <w:tc>
          <w:tcPr>
            <w:tcW w:w="1587" w:type="dxa"/>
          </w:tcPr>
          <w:p w14:paraId="326E4BD7" w14:textId="77777777" w:rsidR="000F4F90" w:rsidRPr="002B4888" w:rsidRDefault="000F4F90" w:rsidP="002B4888">
            <w:pPr>
              <w:spacing w:after="0" w:line="240" w:lineRule="auto"/>
              <w:jc w:val="center"/>
              <w:rPr>
                <w:rFonts w:cstheme="minorHAnsi"/>
                <w:color w:val="auto"/>
                <w:sz w:val="18"/>
                <w:szCs w:val="18"/>
              </w:rPr>
            </w:pPr>
            <w:r w:rsidRPr="002B4888">
              <w:rPr>
                <w:rFonts w:cstheme="minorHAnsi"/>
                <w:color w:val="auto"/>
                <w:sz w:val="18"/>
                <w:szCs w:val="18"/>
              </w:rPr>
              <w:t>576</w:t>
            </w:r>
          </w:p>
        </w:tc>
        <w:tc>
          <w:tcPr>
            <w:tcW w:w="1460" w:type="dxa"/>
            <w:noWrap/>
            <w:hideMark/>
          </w:tcPr>
          <w:p w14:paraId="4C604D7F" w14:textId="77777777" w:rsidR="000F4F90" w:rsidRPr="002B4888" w:rsidRDefault="000F4F90" w:rsidP="002B4888">
            <w:pPr>
              <w:spacing w:after="0" w:line="240" w:lineRule="auto"/>
              <w:jc w:val="center"/>
              <w:rPr>
                <w:rFonts w:cstheme="minorHAnsi"/>
                <w:color w:val="auto"/>
                <w:sz w:val="18"/>
                <w:szCs w:val="18"/>
              </w:rPr>
            </w:pPr>
            <w:r w:rsidRPr="002B4888">
              <w:rPr>
                <w:rFonts w:cstheme="minorHAnsi"/>
                <w:color w:val="auto"/>
                <w:sz w:val="18"/>
                <w:szCs w:val="18"/>
              </w:rPr>
              <w:t>468</w:t>
            </w:r>
          </w:p>
        </w:tc>
        <w:tc>
          <w:tcPr>
            <w:tcW w:w="955" w:type="dxa"/>
            <w:hideMark/>
          </w:tcPr>
          <w:p w14:paraId="2589EB89" w14:textId="77777777" w:rsidR="000F4F90" w:rsidRPr="002B4888" w:rsidRDefault="000F4F90" w:rsidP="002B4888">
            <w:pPr>
              <w:spacing w:after="0" w:line="240" w:lineRule="auto"/>
              <w:jc w:val="center"/>
              <w:rPr>
                <w:rFonts w:cstheme="minorHAnsi"/>
                <w:bCs/>
                <w:i/>
                <w:iCs/>
                <w:color w:val="auto"/>
                <w:sz w:val="18"/>
                <w:szCs w:val="18"/>
              </w:rPr>
            </w:pPr>
            <w:r w:rsidRPr="002B4888">
              <w:rPr>
                <w:rFonts w:cstheme="minorHAnsi"/>
                <w:bCs/>
                <w:i/>
                <w:iCs/>
                <w:color w:val="auto"/>
                <w:sz w:val="18"/>
                <w:szCs w:val="18"/>
              </w:rPr>
              <w:t>-108</w:t>
            </w:r>
          </w:p>
        </w:tc>
        <w:tc>
          <w:tcPr>
            <w:tcW w:w="800" w:type="dxa"/>
            <w:hideMark/>
          </w:tcPr>
          <w:p w14:paraId="371DBDE9" w14:textId="77777777" w:rsidR="000F4F90" w:rsidRPr="002B4888" w:rsidRDefault="000F4F90" w:rsidP="002B4888">
            <w:pPr>
              <w:spacing w:after="0" w:line="240" w:lineRule="auto"/>
              <w:jc w:val="center"/>
              <w:rPr>
                <w:rFonts w:cstheme="minorHAnsi"/>
                <w:bCs/>
                <w:i/>
                <w:iCs/>
                <w:color w:val="auto"/>
                <w:sz w:val="18"/>
                <w:szCs w:val="18"/>
              </w:rPr>
            </w:pPr>
            <w:r w:rsidRPr="002B4888">
              <w:rPr>
                <w:rFonts w:cstheme="minorHAnsi"/>
                <w:bCs/>
                <w:i/>
                <w:iCs/>
                <w:color w:val="auto"/>
                <w:sz w:val="18"/>
                <w:szCs w:val="18"/>
              </w:rPr>
              <w:t>-18,8%</w:t>
            </w:r>
          </w:p>
        </w:tc>
      </w:tr>
      <w:tr w:rsidR="002B4888" w:rsidRPr="002B4888" w14:paraId="499CCCF9" w14:textId="77777777" w:rsidTr="002B4888">
        <w:trPr>
          <w:trHeight w:val="248"/>
        </w:trPr>
        <w:tc>
          <w:tcPr>
            <w:tcW w:w="3681" w:type="dxa"/>
            <w:noWrap/>
            <w:hideMark/>
          </w:tcPr>
          <w:p w14:paraId="51E10F4B" w14:textId="77777777" w:rsidR="000F4F90" w:rsidRPr="002B4888" w:rsidRDefault="000F4F90" w:rsidP="002B4888">
            <w:pPr>
              <w:spacing w:after="0" w:line="240" w:lineRule="auto"/>
              <w:rPr>
                <w:rFonts w:cstheme="minorHAnsi"/>
                <w:color w:val="auto"/>
                <w:sz w:val="18"/>
                <w:szCs w:val="18"/>
              </w:rPr>
            </w:pPr>
            <w:r w:rsidRPr="002B4888">
              <w:rPr>
                <w:rFonts w:cstheme="minorHAnsi"/>
                <w:color w:val="auto"/>
                <w:sz w:val="18"/>
                <w:szCs w:val="18"/>
              </w:rPr>
              <w:t>Λοιπά έσοδα</w:t>
            </w:r>
          </w:p>
        </w:tc>
        <w:tc>
          <w:tcPr>
            <w:tcW w:w="1587" w:type="dxa"/>
          </w:tcPr>
          <w:p w14:paraId="42149759" w14:textId="77777777" w:rsidR="000F4F90" w:rsidRPr="002B4888" w:rsidRDefault="000F4F90" w:rsidP="002B4888">
            <w:pPr>
              <w:spacing w:after="0" w:line="240" w:lineRule="auto"/>
              <w:jc w:val="center"/>
              <w:rPr>
                <w:rFonts w:cstheme="minorHAnsi"/>
                <w:color w:val="auto"/>
                <w:sz w:val="18"/>
                <w:szCs w:val="18"/>
              </w:rPr>
            </w:pPr>
            <w:r w:rsidRPr="002B4888">
              <w:rPr>
                <w:rFonts w:cstheme="minorHAnsi"/>
                <w:color w:val="auto"/>
                <w:sz w:val="18"/>
                <w:szCs w:val="18"/>
              </w:rPr>
              <w:t>245</w:t>
            </w:r>
          </w:p>
        </w:tc>
        <w:tc>
          <w:tcPr>
            <w:tcW w:w="1460" w:type="dxa"/>
            <w:noWrap/>
            <w:hideMark/>
          </w:tcPr>
          <w:p w14:paraId="2AFF08C6" w14:textId="77777777" w:rsidR="000F4F90" w:rsidRPr="002B4888" w:rsidRDefault="000F4F90" w:rsidP="002B4888">
            <w:pPr>
              <w:spacing w:after="0" w:line="240" w:lineRule="auto"/>
              <w:jc w:val="center"/>
              <w:rPr>
                <w:rFonts w:cstheme="minorHAnsi"/>
                <w:color w:val="auto"/>
                <w:sz w:val="18"/>
                <w:szCs w:val="18"/>
              </w:rPr>
            </w:pPr>
            <w:r w:rsidRPr="002B4888">
              <w:rPr>
                <w:rFonts w:cstheme="minorHAnsi"/>
                <w:color w:val="auto"/>
                <w:sz w:val="18"/>
                <w:szCs w:val="18"/>
              </w:rPr>
              <w:t>322</w:t>
            </w:r>
          </w:p>
        </w:tc>
        <w:tc>
          <w:tcPr>
            <w:tcW w:w="955" w:type="dxa"/>
            <w:hideMark/>
          </w:tcPr>
          <w:p w14:paraId="15006CCC" w14:textId="77777777" w:rsidR="000F4F90" w:rsidRPr="002B4888" w:rsidRDefault="000F4F90" w:rsidP="002B4888">
            <w:pPr>
              <w:spacing w:after="0" w:line="240" w:lineRule="auto"/>
              <w:jc w:val="center"/>
              <w:rPr>
                <w:rFonts w:cstheme="minorHAnsi"/>
                <w:bCs/>
                <w:i/>
                <w:iCs/>
                <w:color w:val="auto"/>
                <w:sz w:val="18"/>
                <w:szCs w:val="18"/>
              </w:rPr>
            </w:pPr>
            <w:r w:rsidRPr="002B4888">
              <w:rPr>
                <w:rFonts w:cstheme="minorHAnsi"/>
                <w:bCs/>
                <w:i/>
                <w:iCs/>
                <w:color w:val="auto"/>
                <w:sz w:val="18"/>
                <w:szCs w:val="18"/>
              </w:rPr>
              <w:t>77</w:t>
            </w:r>
          </w:p>
        </w:tc>
        <w:tc>
          <w:tcPr>
            <w:tcW w:w="800" w:type="dxa"/>
            <w:hideMark/>
          </w:tcPr>
          <w:p w14:paraId="4C5A91EB" w14:textId="77777777" w:rsidR="000F4F90" w:rsidRPr="002B4888" w:rsidRDefault="000F4F90" w:rsidP="002B4888">
            <w:pPr>
              <w:spacing w:after="0" w:line="240" w:lineRule="auto"/>
              <w:jc w:val="center"/>
              <w:rPr>
                <w:rFonts w:cstheme="minorHAnsi"/>
                <w:bCs/>
                <w:i/>
                <w:iCs/>
                <w:color w:val="auto"/>
                <w:sz w:val="18"/>
                <w:szCs w:val="18"/>
              </w:rPr>
            </w:pPr>
            <w:r w:rsidRPr="002B4888">
              <w:rPr>
                <w:rFonts w:cstheme="minorHAnsi"/>
                <w:bCs/>
                <w:i/>
                <w:iCs/>
                <w:color w:val="auto"/>
                <w:sz w:val="18"/>
                <w:szCs w:val="18"/>
              </w:rPr>
              <w:t>31,4%</w:t>
            </w:r>
          </w:p>
        </w:tc>
      </w:tr>
      <w:tr w:rsidR="002B4888" w:rsidRPr="002B4888" w14:paraId="47B359F2" w14:textId="77777777" w:rsidTr="002B4888">
        <w:trPr>
          <w:trHeight w:val="248"/>
        </w:trPr>
        <w:tc>
          <w:tcPr>
            <w:tcW w:w="3681" w:type="dxa"/>
            <w:noWrap/>
            <w:hideMark/>
          </w:tcPr>
          <w:p w14:paraId="1F7035D0" w14:textId="77777777" w:rsidR="000F4F90" w:rsidRPr="002B4888" w:rsidRDefault="000F4F90" w:rsidP="002B4888">
            <w:pPr>
              <w:spacing w:after="0" w:line="240" w:lineRule="auto"/>
              <w:rPr>
                <w:rFonts w:cstheme="minorHAnsi"/>
                <w:i/>
                <w:iCs/>
                <w:color w:val="auto"/>
                <w:sz w:val="18"/>
                <w:szCs w:val="18"/>
              </w:rPr>
            </w:pPr>
            <w:r w:rsidRPr="002B4888">
              <w:rPr>
                <w:rFonts w:cstheme="minorHAnsi"/>
                <w:i/>
                <w:iCs/>
                <w:color w:val="auto"/>
                <w:sz w:val="18"/>
                <w:szCs w:val="18"/>
              </w:rPr>
              <w:t xml:space="preserve"> εκ των οποίων τόκοι:</w:t>
            </w:r>
          </w:p>
        </w:tc>
        <w:tc>
          <w:tcPr>
            <w:tcW w:w="1587" w:type="dxa"/>
          </w:tcPr>
          <w:p w14:paraId="2ECD3FBC" w14:textId="77777777" w:rsidR="000F4F90" w:rsidRPr="002B4888" w:rsidRDefault="000F4F90" w:rsidP="002B4888">
            <w:pPr>
              <w:spacing w:after="0" w:line="240" w:lineRule="auto"/>
              <w:jc w:val="center"/>
              <w:rPr>
                <w:rFonts w:cstheme="minorHAnsi"/>
                <w:i/>
                <w:iCs/>
                <w:color w:val="auto"/>
                <w:sz w:val="18"/>
                <w:szCs w:val="18"/>
              </w:rPr>
            </w:pPr>
            <w:r w:rsidRPr="002B4888">
              <w:rPr>
                <w:rFonts w:cstheme="minorHAnsi"/>
                <w:i/>
                <w:iCs/>
                <w:color w:val="auto"/>
                <w:sz w:val="18"/>
                <w:szCs w:val="18"/>
              </w:rPr>
              <w:t>65</w:t>
            </w:r>
          </w:p>
        </w:tc>
        <w:tc>
          <w:tcPr>
            <w:tcW w:w="1460" w:type="dxa"/>
            <w:noWrap/>
            <w:hideMark/>
          </w:tcPr>
          <w:p w14:paraId="1312DA9A" w14:textId="77777777" w:rsidR="000F4F90" w:rsidRPr="002B4888" w:rsidRDefault="000F4F90" w:rsidP="002B4888">
            <w:pPr>
              <w:spacing w:after="0" w:line="240" w:lineRule="auto"/>
              <w:jc w:val="center"/>
              <w:rPr>
                <w:rFonts w:cstheme="minorHAnsi"/>
                <w:i/>
                <w:iCs/>
                <w:color w:val="auto"/>
                <w:sz w:val="18"/>
                <w:szCs w:val="18"/>
              </w:rPr>
            </w:pPr>
            <w:r w:rsidRPr="002B4888">
              <w:rPr>
                <w:rFonts w:cstheme="minorHAnsi"/>
                <w:i/>
                <w:iCs/>
                <w:color w:val="auto"/>
                <w:sz w:val="18"/>
                <w:szCs w:val="18"/>
              </w:rPr>
              <w:t>52</w:t>
            </w:r>
          </w:p>
        </w:tc>
        <w:tc>
          <w:tcPr>
            <w:tcW w:w="955" w:type="dxa"/>
            <w:hideMark/>
          </w:tcPr>
          <w:p w14:paraId="55590E7A" w14:textId="77777777" w:rsidR="000F4F90" w:rsidRPr="002B4888" w:rsidRDefault="000F4F90" w:rsidP="002B4888">
            <w:pPr>
              <w:spacing w:after="0" w:line="240" w:lineRule="auto"/>
              <w:jc w:val="center"/>
              <w:rPr>
                <w:rFonts w:cstheme="minorHAnsi"/>
                <w:i/>
                <w:iCs/>
                <w:color w:val="auto"/>
                <w:sz w:val="18"/>
                <w:szCs w:val="18"/>
              </w:rPr>
            </w:pPr>
            <w:r w:rsidRPr="002B4888">
              <w:rPr>
                <w:rFonts w:cstheme="minorHAnsi"/>
                <w:i/>
                <w:iCs/>
                <w:color w:val="auto"/>
                <w:sz w:val="18"/>
                <w:szCs w:val="18"/>
              </w:rPr>
              <w:t>-13</w:t>
            </w:r>
          </w:p>
        </w:tc>
        <w:tc>
          <w:tcPr>
            <w:tcW w:w="800" w:type="dxa"/>
            <w:hideMark/>
          </w:tcPr>
          <w:p w14:paraId="548D3191" w14:textId="77777777" w:rsidR="000F4F90" w:rsidRPr="002B4888" w:rsidRDefault="000F4F90" w:rsidP="002B4888">
            <w:pPr>
              <w:spacing w:after="0" w:line="240" w:lineRule="auto"/>
              <w:jc w:val="center"/>
              <w:rPr>
                <w:rFonts w:cstheme="minorHAnsi"/>
                <w:i/>
                <w:iCs/>
                <w:color w:val="auto"/>
                <w:sz w:val="18"/>
                <w:szCs w:val="18"/>
              </w:rPr>
            </w:pPr>
            <w:r w:rsidRPr="002B4888">
              <w:rPr>
                <w:rFonts w:cstheme="minorHAnsi"/>
                <w:i/>
                <w:iCs/>
                <w:color w:val="auto"/>
                <w:sz w:val="18"/>
                <w:szCs w:val="18"/>
              </w:rPr>
              <w:t>-20,0%</w:t>
            </w:r>
          </w:p>
        </w:tc>
      </w:tr>
      <w:tr w:rsidR="002B4888" w:rsidRPr="002B4888" w14:paraId="35F6FE89" w14:textId="77777777" w:rsidTr="002B4888">
        <w:trPr>
          <w:trHeight w:val="248"/>
        </w:trPr>
        <w:tc>
          <w:tcPr>
            <w:tcW w:w="3681" w:type="dxa"/>
            <w:shd w:val="clear" w:color="auto" w:fill="D9D9D9" w:themeFill="background1" w:themeFillShade="D9"/>
            <w:noWrap/>
            <w:hideMark/>
          </w:tcPr>
          <w:p w14:paraId="468E83B0" w14:textId="77777777" w:rsidR="000F4F90" w:rsidRPr="002B4888" w:rsidRDefault="000F4F90" w:rsidP="002B4888">
            <w:pPr>
              <w:spacing w:after="0" w:line="240" w:lineRule="auto"/>
              <w:rPr>
                <w:rFonts w:cstheme="minorHAnsi"/>
                <w:b/>
                <w:bCs/>
                <w:color w:val="auto"/>
                <w:sz w:val="18"/>
                <w:szCs w:val="18"/>
              </w:rPr>
            </w:pPr>
            <w:r w:rsidRPr="002B4888">
              <w:rPr>
                <w:rFonts w:cstheme="minorHAnsi"/>
                <w:b/>
                <w:bCs/>
                <w:color w:val="auto"/>
                <w:sz w:val="18"/>
                <w:szCs w:val="18"/>
              </w:rPr>
              <w:t xml:space="preserve">Β. Δαπάνες </w:t>
            </w:r>
          </w:p>
        </w:tc>
        <w:tc>
          <w:tcPr>
            <w:tcW w:w="1587" w:type="dxa"/>
            <w:shd w:val="clear" w:color="auto" w:fill="D9D9D9" w:themeFill="background1" w:themeFillShade="D9"/>
          </w:tcPr>
          <w:p w14:paraId="645ECA8E" w14:textId="77777777" w:rsidR="000F4F90" w:rsidRPr="002B4888" w:rsidRDefault="000F4F90" w:rsidP="002B4888">
            <w:pPr>
              <w:spacing w:after="0" w:line="240" w:lineRule="auto"/>
              <w:jc w:val="center"/>
              <w:rPr>
                <w:rFonts w:cstheme="minorHAnsi"/>
                <w:b/>
                <w:bCs/>
                <w:color w:val="auto"/>
                <w:sz w:val="18"/>
                <w:szCs w:val="18"/>
              </w:rPr>
            </w:pPr>
            <w:r w:rsidRPr="002B4888">
              <w:rPr>
                <w:rFonts w:cstheme="minorHAnsi"/>
                <w:b/>
                <w:bCs/>
                <w:color w:val="auto"/>
                <w:sz w:val="18"/>
                <w:szCs w:val="18"/>
              </w:rPr>
              <w:t>18.444</w:t>
            </w:r>
          </w:p>
        </w:tc>
        <w:tc>
          <w:tcPr>
            <w:tcW w:w="1460" w:type="dxa"/>
            <w:shd w:val="clear" w:color="auto" w:fill="D9D9D9" w:themeFill="background1" w:themeFillShade="D9"/>
            <w:noWrap/>
            <w:hideMark/>
          </w:tcPr>
          <w:p w14:paraId="238D9EB3" w14:textId="77777777" w:rsidR="000F4F90" w:rsidRPr="002B4888" w:rsidRDefault="000F4F90" w:rsidP="002B4888">
            <w:pPr>
              <w:spacing w:after="0" w:line="240" w:lineRule="auto"/>
              <w:jc w:val="center"/>
              <w:rPr>
                <w:rFonts w:cstheme="minorHAnsi"/>
                <w:b/>
                <w:bCs/>
                <w:color w:val="auto"/>
                <w:sz w:val="18"/>
                <w:szCs w:val="18"/>
              </w:rPr>
            </w:pPr>
            <w:r w:rsidRPr="002B4888">
              <w:rPr>
                <w:rFonts w:cstheme="minorHAnsi"/>
                <w:b/>
                <w:bCs/>
                <w:color w:val="auto"/>
                <w:sz w:val="18"/>
                <w:szCs w:val="18"/>
              </w:rPr>
              <w:t>22.113</w:t>
            </w:r>
          </w:p>
        </w:tc>
        <w:tc>
          <w:tcPr>
            <w:tcW w:w="955" w:type="dxa"/>
            <w:shd w:val="clear" w:color="auto" w:fill="D9D9D9" w:themeFill="background1" w:themeFillShade="D9"/>
            <w:hideMark/>
          </w:tcPr>
          <w:p w14:paraId="0B0E0F33" w14:textId="77777777" w:rsidR="000F4F90" w:rsidRPr="002B4888" w:rsidRDefault="000F4F90" w:rsidP="002B4888">
            <w:pPr>
              <w:spacing w:after="0" w:line="240" w:lineRule="auto"/>
              <w:jc w:val="center"/>
              <w:rPr>
                <w:rFonts w:cstheme="minorHAnsi"/>
                <w:b/>
                <w:bCs/>
                <w:i/>
                <w:iCs/>
                <w:color w:val="auto"/>
                <w:sz w:val="18"/>
                <w:szCs w:val="18"/>
              </w:rPr>
            </w:pPr>
            <w:r w:rsidRPr="002B4888">
              <w:rPr>
                <w:rFonts w:cstheme="minorHAnsi"/>
                <w:b/>
                <w:bCs/>
                <w:i/>
                <w:iCs/>
                <w:color w:val="auto"/>
                <w:sz w:val="18"/>
                <w:szCs w:val="18"/>
              </w:rPr>
              <w:t>3.669</w:t>
            </w:r>
          </w:p>
        </w:tc>
        <w:tc>
          <w:tcPr>
            <w:tcW w:w="800" w:type="dxa"/>
            <w:shd w:val="clear" w:color="auto" w:fill="D9D9D9" w:themeFill="background1" w:themeFillShade="D9"/>
            <w:hideMark/>
          </w:tcPr>
          <w:p w14:paraId="3569C6A9" w14:textId="77777777" w:rsidR="000F4F90" w:rsidRPr="002B4888" w:rsidRDefault="000F4F90" w:rsidP="002B4888">
            <w:pPr>
              <w:spacing w:after="0" w:line="240" w:lineRule="auto"/>
              <w:jc w:val="center"/>
              <w:rPr>
                <w:rFonts w:cstheme="minorHAnsi"/>
                <w:b/>
                <w:bCs/>
                <w:i/>
                <w:iCs/>
                <w:color w:val="auto"/>
                <w:sz w:val="18"/>
                <w:szCs w:val="18"/>
              </w:rPr>
            </w:pPr>
            <w:r w:rsidRPr="002B4888">
              <w:rPr>
                <w:rFonts w:cstheme="minorHAnsi"/>
                <w:b/>
                <w:bCs/>
                <w:i/>
                <w:iCs/>
                <w:color w:val="auto"/>
                <w:sz w:val="18"/>
                <w:szCs w:val="18"/>
              </w:rPr>
              <w:t>19,9%</w:t>
            </w:r>
          </w:p>
        </w:tc>
      </w:tr>
      <w:tr w:rsidR="002B4888" w:rsidRPr="002B4888" w14:paraId="0935F5F4" w14:textId="77777777" w:rsidTr="002B4888">
        <w:trPr>
          <w:trHeight w:val="248"/>
        </w:trPr>
        <w:tc>
          <w:tcPr>
            <w:tcW w:w="3681" w:type="dxa"/>
            <w:noWrap/>
            <w:hideMark/>
          </w:tcPr>
          <w:p w14:paraId="5F8FB000" w14:textId="77777777" w:rsidR="000F4F90" w:rsidRPr="002B4888" w:rsidRDefault="000F4F90" w:rsidP="002B4888">
            <w:pPr>
              <w:spacing w:after="0" w:line="240" w:lineRule="auto"/>
              <w:rPr>
                <w:rFonts w:cstheme="minorHAnsi"/>
                <w:color w:val="auto"/>
                <w:sz w:val="18"/>
                <w:szCs w:val="18"/>
              </w:rPr>
            </w:pPr>
            <w:r w:rsidRPr="002B4888">
              <w:rPr>
                <w:rFonts w:cstheme="minorHAnsi"/>
                <w:color w:val="auto"/>
                <w:sz w:val="18"/>
                <w:szCs w:val="18"/>
              </w:rPr>
              <w:t>Αμοιβές προσωπικού</w:t>
            </w:r>
          </w:p>
        </w:tc>
        <w:tc>
          <w:tcPr>
            <w:tcW w:w="1587" w:type="dxa"/>
          </w:tcPr>
          <w:p w14:paraId="265FCEDC" w14:textId="77777777" w:rsidR="000F4F90" w:rsidRPr="002B4888" w:rsidRDefault="000F4F90" w:rsidP="002B4888">
            <w:pPr>
              <w:spacing w:after="0" w:line="240" w:lineRule="auto"/>
              <w:jc w:val="center"/>
              <w:rPr>
                <w:rFonts w:cstheme="minorHAnsi"/>
                <w:color w:val="auto"/>
                <w:sz w:val="18"/>
                <w:szCs w:val="18"/>
              </w:rPr>
            </w:pPr>
            <w:r w:rsidRPr="002B4888">
              <w:rPr>
                <w:rFonts w:cstheme="minorHAnsi"/>
                <w:color w:val="auto"/>
                <w:sz w:val="18"/>
                <w:szCs w:val="18"/>
              </w:rPr>
              <w:t>4.380</w:t>
            </w:r>
          </w:p>
        </w:tc>
        <w:tc>
          <w:tcPr>
            <w:tcW w:w="1460" w:type="dxa"/>
            <w:noWrap/>
            <w:hideMark/>
          </w:tcPr>
          <w:p w14:paraId="448FA61D" w14:textId="77777777" w:rsidR="000F4F90" w:rsidRPr="002B4888" w:rsidRDefault="000F4F90" w:rsidP="002B4888">
            <w:pPr>
              <w:spacing w:after="0" w:line="240" w:lineRule="auto"/>
              <w:jc w:val="center"/>
              <w:rPr>
                <w:rFonts w:cstheme="minorHAnsi"/>
                <w:color w:val="auto"/>
                <w:sz w:val="18"/>
                <w:szCs w:val="18"/>
              </w:rPr>
            </w:pPr>
            <w:r w:rsidRPr="002B4888">
              <w:rPr>
                <w:rFonts w:cstheme="minorHAnsi"/>
                <w:color w:val="auto"/>
                <w:sz w:val="18"/>
                <w:szCs w:val="18"/>
              </w:rPr>
              <w:t>4.462</w:t>
            </w:r>
          </w:p>
        </w:tc>
        <w:tc>
          <w:tcPr>
            <w:tcW w:w="955" w:type="dxa"/>
            <w:hideMark/>
          </w:tcPr>
          <w:p w14:paraId="55E4785B" w14:textId="77777777" w:rsidR="000F4F90" w:rsidRPr="002B4888" w:rsidRDefault="000F4F90" w:rsidP="002B4888">
            <w:pPr>
              <w:spacing w:after="0" w:line="240" w:lineRule="auto"/>
              <w:jc w:val="center"/>
              <w:rPr>
                <w:rFonts w:cstheme="minorHAnsi"/>
                <w:bCs/>
                <w:i/>
                <w:iCs/>
                <w:color w:val="auto"/>
                <w:sz w:val="18"/>
                <w:szCs w:val="18"/>
              </w:rPr>
            </w:pPr>
            <w:r w:rsidRPr="002B4888">
              <w:rPr>
                <w:rFonts w:cstheme="minorHAnsi"/>
                <w:bCs/>
                <w:i/>
                <w:iCs/>
                <w:color w:val="auto"/>
                <w:sz w:val="18"/>
                <w:szCs w:val="18"/>
              </w:rPr>
              <w:t>82</w:t>
            </w:r>
          </w:p>
        </w:tc>
        <w:tc>
          <w:tcPr>
            <w:tcW w:w="800" w:type="dxa"/>
            <w:hideMark/>
          </w:tcPr>
          <w:p w14:paraId="38EA2263" w14:textId="77777777" w:rsidR="000F4F90" w:rsidRPr="002B4888" w:rsidRDefault="000F4F90" w:rsidP="002B4888">
            <w:pPr>
              <w:spacing w:after="0" w:line="240" w:lineRule="auto"/>
              <w:jc w:val="center"/>
              <w:rPr>
                <w:rFonts w:cstheme="minorHAnsi"/>
                <w:bCs/>
                <w:i/>
                <w:iCs/>
                <w:color w:val="auto"/>
                <w:sz w:val="18"/>
                <w:szCs w:val="18"/>
              </w:rPr>
            </w:pPr>
            <w:r w:rsidRPr="002B4888">
              <w:rPr>
                <w:rFonts w:cstheme="minorHAnsi"/>
                <w:bCs/>
                <w:i/>
                <w:iCs/>
                <w:color w:val="auto"/>
                <w:sz w:val="18"/>
                <w:szCs w:val="18"/>
              </w:rPr>
              <w:t>1,9%</w:t>
            </w:r>
          </w:p>
        </w:tc>
      </w:tr>
      <w:tr w:rsidR="002B4888" w:rsidRPr="002B4888" w14:paraId="519C7481" w14:textId="77777777" w:rsidTr="002B4888">
        <w:trPr>
          <w:trHeight w:val="248"/>
        </w:trPr>
        <w:tc>
          <w:tcPr>
            <w:tcW w:w="3681" w:type="dxa"/>
            <w:noWrap/>
            <w:hideMark/>
          </w:tcPr>
          <w:p w14:paraId="762937C7" w14:textId="77777777" w:rsidR="000F4F90" w:rsidRPr="002B4888" w:rsidRDefault="000F4F90" w:rsidP="002B4888">
            <w:pPr>
              <w:spacing w:after="0" w:line="240" w:lineRule="auto"/>
              <w:rPr>
                <w:rFonts w:cstheme="minorHAnsi"/>
                <w:color w:val="auto"/>
                <w:sz w:val="18"/>
                <w:szCs w:val="18"/>
              </w:rPr>
            </w:pPr>
            <w:r w:rsidRPr="002B4888">
              <w:rPr>
                <w:rFonts w:cstheme="minorHAnsi"/>
                <w:color w:val="auto"/>
                <w:sz w:val="18"/>
                <w:szCs w:val="18"/>
              </w:rPr>
              <w:t>Κοινωνικές παροχές</w:t>
            </w:r>
          </w:p>
        </w:tc>
        <w:tc>
          <w:tcPr>
            <w:tcW w:w="1587" w:type="dxa"/>
          </w:tcPr>
          <w:p w14:paraId="264DB898" w14:textId="77777777" w:rsidR="000F4F90" w:rsidRPr="002B4888" w:rsidRDefault="000F4F90" w:rsidP="002B4888">
            <w:pPr>
              <w:spacing w:after="0" w:line="240" w:lineRule="auto"/>
              <w:jc w:val="center"/>
              <w:rPr>
                <w:rFonts w:cstheme="minorHAnsi"/>
                <w:color w:val="auto"/>
                <w:sz w:val="18"/>
                <w:szCs w:val="18"/>
              </w:rPr>
            </w:pPr>
            <w:r w:rsidRPr="002B4888">
              <w:rPr>
                <w:rFonts w:cstheme="minorHAnsi"/>
                <w:color w:val="auto"/>
                <w:sz w:val="18"/>
                <w:szCs w:val="18"/>
              </w:rPr>
              <w:t>9.600</w:t>
            </w:r>
          </w:p>
        </w:tc>
        <w:tc>
          <w:tcPr>
            <w:tcW w:w="1460" w:type="dxa"/>
            <w:noWrap/>
            <w:hideMark/>
          </w:tcPr>
          <w:p w14:paraId="0EAF56E5" w14:textId="77777777" w:rsidR="000F4F90" w:rsidRPr="002B4888" w:rsidRDefault="000F4F90" w:rsidP="002B4888">
            <w:pPr>
              <w:spacing w:after="0" w:line="240" w:lineRule="auto"/>
              <w:jc w:val="center"/>
              <w:rPr>
                <w:rFonts w:cstheme="minorHAnsi"/>
                <w:color w:val="auto"/>
                <w:sz w:val="18"/>
                <w:szCs w:val="18"/>
              </w:rPr>
            </w:pPr>
            <w:r w:rsidRPr="002B4888">
              <w:rPr>
                <w:rFonts w:cstheme="minorHAnsi"/>
                <w:color w:val="auto"/>
                <w:sz w:val="18"/>
                <w:szCs w:val="18"/>
              </w:rPr>
              <w:t>9.944</w:t>
            </w:r>
          </w:p>
        </w:tc>
        <w:tc>
          <w:tcPr>
            <w:tcW w:w="955" w:type="dxa"/>
            <w:hideMark/>
          </w:tcPr>
          <w:p w14:paraId="77A54117" w14:textId="77777777" w:rsidR="000F4F90" w:rsidRPr="002B4888" w:rsidRDefault="000F4F90" w:rsidP="002B4888">
            <w:pPr>
              <w:spacing w:after="0" w:line="240" w:lineRule="auto"/>
              <w:jc w:val="center"/>
              <w:rPr>
                <w:rFonts w:cstheme="minorHAnsi"/>
                <w:bCs/>
                <w:i/>
                <w:iCs/>
                <w:color w:val="auto"/>
                <w:sz w:val="18"/>
                <w:szCs w:val="18"/>
              </w:rPr>
            </w:pPr>
            <w:r w:rsidRPr="002B4888">
              <w:rPr>
                <w:rFonts w:cstheme="minorHAnsi"/>
                <w:bCs/>
                <w:i/>
                <w:iCs/>
                <w:color w:val="auto"/>
                <w:sz w:val="18"/>
                <w:szCs w:val="18"/>
              </w:rPr>
              <w:t>344</w:t>
            </w:r>
          </w:p>
        </w:tc>
        <w:tc>
          <w:tcPr>
            <w:tcW w:w="800" w:type="dxa"/>
            <w:hideMark/>
          </w:tcPr>
          <w:p w14:paraId="19BF0E83" w14:textId="77777777" w:rsidR="000F4F90" w:rsidRPr="002B4888" w:rsidRDefault="000F4F90" w:rsidP="002B4888">
            <w:pPr>
              <w:spacing w:after="0" w:line="240" w:lineRule="auto"/>
              <w:jc w:val="center"/>
              <w:rPr>
                <w:rFonts w:cstheme="minorHAnsi"/>
                <w:bCs/>
                <w:i/>
                <w:iCs/>
                <w:color w:val="auto"/>
                <w:sz w:val="18"/>
                <w:szCs w:val="18"/>
              </w:rPr>
            </w:pPr>
            <w:r w:rsidRPr="002B4888">
              <w:rPr>
                <w:rFonts w:cstheme="minorHAnsi"/>
                <w:bCs/>
                <w:i/>
                <w:iCs/>
                <w:color w:val="auto"/>
                <w:sz w:val="18"/>
                <w:szCs w:val="18"/>
              </w:rPr>
              <w:t>3,6%</w:t>
            </w:r>
          </w:p>
        </w:tc>
      </w:tr>
      <w:tr w:rsidR="002B4888" w:rsidRPr="002B4888" w14:paraId="7E6F30A4" w14:textId="77777777" w:rsidTr="002B4888">
        <w:trPr>
          <w:trHeight w:val="248"/>
        </w:trPr>
        <w:tc>
          <w:tcPr>
            <w:tcW w:w="3681" w:type="dxa"/>
            <w:noWrap/>
            <w:hideMark/>
          </w:tcPr>
          <w:p w14:paraId="7A2E6C8D" w14:textId="77777777" w:rsidR="000F4F90" w:rsidRPr="002B4888" w:rsidRDefault="000F4F90" w:rsidP="002B4888">
            <w:pPr>
              <w:spacing w:after="0" w:line="240" w:lineRule="auto"/>
              <w:rPr>
                <w:rFonts w:cstheme="minorHAnsi"/>
                <w:color w:val="auto"/>
                <w:sz w:val="18"/>
                <w:szCs w:val="18"/>
              </w:rPr>
            </w:pPr>
            <w:r w:rsidRPr="002B4888">
              <w:rPr>
                <w:rFonts w:cstheme="minorHAnsi"/>
                <w:color w:val="auto"/>
                <w:sz w:val="18"/>
                <w:szCs w:val="18"/>
              </w:rPr>
              <w:t>Μεταβιβάσεις</w:t>
            </w:r>
          </w:p>
        </w:tc>
        <w:tc>
          <w:tcPr>
            <w:tcW w:w="1587" w:type="dxa"/>
          </w:tcPr>
          <w:p w14:paraId="62074871" w14:textId="77777777" w:rsidR="000F4F90" w:rsidRPr="002B4888" w:rsidRDefault="000F4F90" w:rsidP="002B4888">
            <w:pPr>
              <w:spacing w:after="0" w:line="240" w:lineRule="auto"/>
              <w:jc w:val="center"/>
              <w:rPr>
                <w:rFonts w:cstheme="minorHAnsi"/>
                <w:color w:val="auto"/>
                <w:sz w:val="18"/>
                <w:szCs w:val="18"/>
              </w:rPr>
            </w:pPr>
            <w:r w:rsidRPr="002B4888">
              <w:rPr>
                <w:rFonts w:cstheme="minorHAnsi"/>
                <w:color w:val="auto"/>
                <w:sz w:val="18"/>
                <w:szCs w:val="18"/>
              </w:rPr>
              <w:t>1.083</w:t>
            </w:r>
          </w:p>
        </w:tc>
        <w:tc>
          <w:tcPr>
            <w:tcW w:w="1460" w:type="dxa"/>
            <w:noWrap/>
            <w:hideMark/>
          </w:tcPr>
          <w:p w14:paraId="4C73148E" w14:textId="77777777" w:rsidR="000F4F90" w:rsidRPr="002B4888" w:rsidRDefault="000F4F90" w:rsidP="002B4888">
            <w:pPr>
              <w:spacing w:after="0" w:line="240" w:lineRule="auto"/>
              <w:jc w:val="center"/>
              <w:rPr>
                <w:rFonts w:cstheme="minorHAnsi"/>
                <w:color w:val="auto"/>
                <w:sz w:val="18"/>
                <w:szCs w:val="18"/>
              </w:rPr>
            </w:pPr>
            <w:r w:rsidRPr="002B4888">
              <w:rPr>
                <w:rFonts w:cstheme="minorHAnsi"/>
                <w:color w:val="auto"/>
                <w:sz w:val="18"/>
                <w:szCs w:val="18"/>
              </w:rPr>
              <w:t>3.192</w:t>
            </w:r>
          </w:p>
        </w:tc>
        <w:tc>
          <w:tcPr>
            <w:tcW w:w="955" w:type="dxa"/>
            <w:hideMark/>
          </w:tcPr>
          <w:p w14:paraId="75E86EF0" w14:textId="77777777" w:rsidR="000F4F90" w:rsidRPr="002B4888" w:rsidRDefault="000F4F90" w:rsidP="002B4888">
            <w:pPr>
              <w:spacing w:after="0" w:line="240" w:lineRule="auto"/>
              <w:jc w:val="center"/>
              <w:rPr>
                <w:rFonts w:cstheme="minorHAnsi"/>
                <w:bCs/>
                <w:i/>
                <w:iCs/>
                <w:color w:val="auto"/>
                <w:sz w:val="18"/>
                <w:szCs w:val="18"/>
              </w:rPr>
            </w:pPr>
            <w:r w:rsidRPr="002B4888">
              <w:rPr>
                <w:rFonts w:cstheme="minorHAnsi"/>
                <w:bCs/>
                <w:i/>
                <w:iCs/>
                <w:color w:val="auto"/>
                <w:sz w:val="18"/>
                <w:szCs w:val="18"/>
              </w:rPr>
              <w:t>2.109</w:t>
            </w:r>
          </w:p>
        </w:tc>
        <w:tc>
          <w:tcPr>
            <w:tcW w:w="800" w:type="dxa"/>
            <w:hideMark/>
          </w:tcPr>
          <w:p w14:paraId="70F4E7D8" w14:textId="77777777" w:rsidR="000F4F90" w:rsidRPr="002B4888" w:rsidRDefault="000F4F90" w:rsidP="002B4888">
            <w:pPr>
              <w:spacing w:after="0" w:line="240" w:lineRule="auto"/>
              <w:jc w:val="center"/>
              <w:rPr>
                <w:rFonts w:cstheme="minorHAnsi"/>
                <w:bCs/>
                <w:i/>
                <w:iCs/>
                <w:color w:val="auto"/>
                <w:sz w:val="18"/>
                <w:szCs w:val="18"/>
              </w:rPr>
            </w:pPr>
            <w:r w:rsidRPr="002B4888">
              <w:rPr>
                <w:rFonts w:cstheme="minorHAnsi"/>
                <w:bCs/>
                <w:i/>
                <w:iCs/>
                <w:color w:val="auto"/>
                <w:sz w:val="18"/>
                <w:szCs w:val="18"/>
              </w:rPr>
              <w:t>194,7%</w:t>
            </w:r>
          </w:p>
        </w:tc>
      </w:tr>
      <w:tr w:rsidR="002B4888" w:rsidRPr="002B4888" w14:paraId="00DD60BC" w14:textId="77777777" w:rsidTr="002B4888">
        <w:trPr>
          <w:trHeight w:val="248"/>
        </w:trPr>
        <w:tc>
          <w:tcPr>
            <w:tcW w:w="3681" w:type="dxa"/>
            <w:noWrap/>
            <w:hideMark/>
          </w:tcPr>
          <w:p w14:paraId="0AAA086E" w14:textId="77777777" w:rsidR="000F4F90" w:rsidRPr="002B4888" w:rsidRDefault="000F4F90" w:rsidP="002B4888">
            <w:pPr>
              <w:spacing w:after="0" w:line="240" w:lineRule="auto"/>
              <w:rPr>
                <w:rFonts w:cstheme="minorHAnsi"/>
                <w:color w:val="auto"/>
                <w:sz w:val="18"/>
                <w:szCs w:val="18"/>
              </w:rPr>
            </w:pPr>
            <w:r w:rsidRPr="002B4888">
              <w:rPr>
                <w:rFonts w:cstheme="minorHAnsi"/>
                <w:color w:val="auto"/>
                <w:sz w:val="18"/>
                <w:szCs w:val="18"/>
              </w:rPr>
              <w:t xml:space="preserve">Αγορά αγαθών και υπηρεσιών </w:t>
            </w:r>
          </w:p>
        </w:tc>
        <w:tc>
          <w:tcPr>
            <w:tcW w:w="1587" w:type="dxa"/>
          </w:tcPr>
          <w:p w14:paraId="38121963" w14:textId="77777777" w:rsidR="000F4F90" w:rsidRPr="002B4888" w:rsidRDefault="000F4F90" w:rsidP="002B4888">
            <w:pPr>
              <w:spacing w:after="0" w:line="240" w:lineRule="auto"/>
              <w:jc w:val="center"/>
              <w:rPr>
                <w:rFonts w:cstheme="minorHAnsi"/>
                <w:color w:val="auto"/>
                <w:sz w:val="18"/>
                <w:szCs w:val="18"/>
              </w:rPr>
            </w:pPr>
            <w:r w:rsidRPr="002B4888">
              <w:rPr>
                <w:rFonts w:cstheme="minorHAnsi"/>
                <w:color w:val="auto"/>
                <w:sz w:val="18"/>
                <w:szCs w:val="18"/>
              </w:rPr>
              <w:t>946</w:t>
            </w:r>
          </w:p>
        </w:tc>
        <w:tc>
          <w:tcPr>
            <w:tcW w:w="1460" w:type="dxa"/>
            <w:noWrap/>
            <w:hideMark/>
          </w:tcPr>
          <w:p w14:paraId="2964B200" w14:textId="77777777" w:rsidR="000F4F90" w:rsidRPr="002B4888" w:rsidRDefault="000F4F90" w:rsidP="002B4888">
            <w:pPr>
              <w:spacing w:after="0" w:line="240" w:lineRule="auto"/>
              <w:jc w:val="center"/>
              <w:rPr>
                <w:rFonts w:cstheme="minorHAnsi"/>
                <w:color w:val="auto"/>
                <w:sz w:val="18"/>
                <w:szCs w:val="18"/>
              </w:rPr>
            </w:pPr>
            <w:r w:rsidRPr="002B4888">
              <w:rPr>
                <w:rFonts w:cstheme="minorHAnsi"/>
                <w:color w:val="auto"/>
                <w:sz w:val="18"/>
                <w:szCs w:val="18"/>
              </w:rPr>
              <w:t>919</w:t>
            </w:r>
          </w:p>
        </w:tc>
        <w:tc>
          <w:tcPr>
            <w:tcW w:w="955" w:type="dxa"/>
            <w:hideMark/>
          </w:tcPr>
          <w:p w14:paraId="170D64F9" w14:textId="77777777" w:rsidR="000F4F90" w:rsidRPr="002B4888" w:rsidRDefault="000F4F90" w:rsidP="002B4888">
            <w:pPr>
              <w:spacing w:after="0" w:line="240" w:lineRule="auto"/>
              <w:jc w:val="center"/>
              <w:rPr>
                <w:rFonts w:cstheme="minorHAnsi"/>
                <w:bCs/>
                <w:i/>
                <w:iCs/>
                <w:color w:val="auto"/>
                <w:sz w:val="18"/>
                <w:szCs w:val="18"/>
              </w:rPr>
            </w:pPr>
            <w:r w:rsidRPr="002B4888">
              <w:rPr>
                <w:rFonts w:cstheme="minorHAnsi"/>
                <w:bCs/>
                <w:i/>
                <w:iCs/>
                <w:color w:val="auto"/>
                <w:sz w:val="18"/>
                <w:szCs w:val="18"/>
              </w:rPr>
              <w:t>-27</w:t>
            </w:r>
          </w:p>
        </w:tc>
        <w:tc>
          <w:tcPr>
            <w:tcW w:w="800" w:type="dxa"/>
            <w:hideMark/>
          </w:tcPr>
          <w:p w14:paraId="77E7560E" w14:textId="77777777" w:rsidR="000F4F90" w:rsidRPr="002B4888" w:rsidRDefault="000F4F90" w:rsidP="002B4888">
            <w:pPr>
              <w:spacing w:after="0" w:line="240" w:lineRule="auto"/>
              <w:jc w:val="center"/>
              <w:rPr>
                <w:rFonts w:cstheme="minorHAnsi"/>
                <w:bCs/>
                <w:i/>
                <w:iCs/>
                <w:color w:val="auto"/>
                <w:sz w:val="18"/>
                <w:szCs w:val="18"/>
              </w:rPr>
            </w:pPr>
            <w:r w:rsidRPr="002B4888">
              <w:rPr>
                <w:rFonts w:cstheme="minorHAnsi"/>
                <w:bCs/>
                <w:i/>
                <w:iCs/>
                <w:color w:val="auto"/>
                <w:sz w:val="18"/>
                <w:szCs w:val="18"/>
              </w:rPr>
              <w:t>-2,9%</w:t>
            </w:r>
          </w:p>
        </w:tc>
      </w:tr>
      <w:tr w:rsidR="002B4888" w:rsidRPr="002B4888" w14:paraId="3F0773DD" w14:textId="77777777" w:rsidTr="002B4888">
        <w:trPr>
          <w:trHeight w:val="248"/>
        </w:trPr>
        <w:tc>
          <w:tcPr>
            <w:tcW w:w="3681" w:type="dxa"/>
            <w:noWrap/>
            <w:hideMark/>
          </w:tcPr>
          <w:p w14:paraId="47D4B356" w14:textId="77777777" w:rsidR="000F4F90" w:rsidRPr="002B4888" w:rsidRDefault="000F4F90" w:rsidP="002B4888">
            <w:pPr>
              <w:spacing w:after="0" w:line="240" w:lineRule="auto"/>
              <w:rPr>
                <w:rFonts w:cstheme="minorHAnsi"/>
                <w:color w:val="auto"/>
                <w:sz w:val="18"/>
                <w:szCs w:val="18"/>
              </w:rPr>
            </w:pPr>
            <w:r w:rsidRPr="002B4888">
              <w:rPr>
                <w:rFonts w:cstheme="minorHAnsi"/>
                <w:color w:val="auto"/>
                <w:sz w:val="18"/>
                <w:szCs w:val="18"/>
              </w:rPr>
              <w:t>Επιδοτήσεις</w:t>
            </w:r>
          </w:p>
        </w:tc>
        <w:tc>
          <w:tcPr>
            <w:tcW w:w="1587" w:type="dxa"/>
          </w:tcPr>
          <w:p w14:paraId="45F0B612" w14:textId="77777777" w:rsidR="000F4F90" w:rsidRPr="002B4888" w:rsidRDefault="000F4F90" w:rsidP="002B4888">
            <w:pPr>
              <w:spacing w:after="0" w:line="240" w:lineRule="auto"/>
              <w:jc w:val="center"/>
              <w:rPr>
                <w:rFonts w:cstheme="minorHAnsi"/>
                <w:color w:val="auto"/>
                <w:sz w:val="18"/>
                <w:szCs w:val="18"/>
              </w:rPr>
            </w:pPr>
            <w:r w:rsidRPr="002B4888">
              <w:rPr>
                <w:rFonts w:cstheme="minorHAnsi"/>
                <w:color w:val="auto"/>
                <w:sz w:val="18"/>
                <w:szCs w:val="18"/>
              </w:rPr>
              <w:t>319</w:t>
            </w:r>
          </w:p>
        </w:tc>
        <w:tc>
          <w:tcPr>
            <w:tcW w:w="1460" w:type="dxa"/>
            <w:noWrap/>
            <w:hideMark/>
          </w:tcPr>
          <w:p w14:paraId="3E85AEF3" w14:textId="77777777" w:rsidR="000F4F90" w:rsidRPr="002B4888" w:rsidRDefault="000F4F90" w:rsidP="002B4888">
            <w:pPr>
              <w:spacing w:after="0" w:line="240" w:lineRule="auto"/>
              <w:jc w:val="center"/>
              <w:rPr>
                <w:rFonts w:cstheme="minorHAnsi"/>
                <w:color w:val="auto"/>
                <w:sz w:val="18"/>
                <w:szCs w:val="18"/>
              </w:rPr>
            </w:pPr>
            <w:r w:rsidRPr="002B4888">
              <w:rPr>
                <w:rFonts w:cstheme="minorHAnsi"/>
                <w:color w:val="auto"/>
                <w:sz w:val="18"/>
                <w:szCs w:val="18"/>
              </w:rPr>
              <w:t>1.451</w:t>
            </w:r>
          </w:p>
        </w:tc>
        <w:tc>
          <w:tcPr>
            <w:tcW w:w="955" w:type="dxa"/>
            <w:hideMark/>
          </w:tcPr>
          <w:p w14:paraId="29957506" w14:textId="77777777" w:rsidR="000F4F90" w:rsidRPr="002B4888" w:rsidRDefault="000F4F90" w:rsidP="002B4888">
            <w:pPr>
              <w:spacing w:after="0" w:line="240" w:lineRule="auto"/>
              <w:jc w:val="center"/>
              <w:rPr>
                <w:rFonts w:cstheme="minorHAnsi"/>
                <w:bCs/>
                <w:i/>
                <w:iCs/>
                <w:color w:val="auto"/>
                <w:sz w:val="18"/>
                <w:szCs w:val="18"/>
              </w:rPr>
            </w:pPr>
            <w:r w:rsidRPr="002B4888">
              <w:rPr>
                <w:rFonts w:cstheme="minorHAnsi"/>
                <w:bCs/>
                <w:i/>
                <w:iCs/>
                <w:color w:val="auto"/>
                <w:sz w:val="18"/>
                <w:szCs w:val="18"/>
              </w:rPr>
              <w:t>1.132</w:t>
            </w:r>
          </w:p>
        </w:tc>
        <w:tc>
          <w:tcPr>
            <w:tcW w:w="800" w:type="dxa"/>
            <w:hideMark/>
          </w:tcPr>
          <w:p w14:paraId="65B72B5D" w14:textId="77777777" w:rsidR="000F4F90" w:rsidRPr="002B4888" w:rsidRDefault="000F4F90" w:rsidP="002B4888">
            <w:pPr>
              <w:spacing w:after="0" w:line="240" w:lineRule="auto"/>
              <w:jc w:val="center"/>
              <w:rPr>
                <w:rFonts w:cstheme="minorHAnsi"/>
                <w:bCs/>
                <w:i/>
                <w:iCs/>
                <w:color w:val="auto"/>
                <w:sz w:val="18"/>
                <w:szCs w:val="18"/>
              </w:rPr>
            </w:pPr>
            <w:r w:rsidRPr="002B4888">
              <w:rPr>
                <w:rFonts w:cstheme="minorHAnsi"/>
                <w:bCs/>
                <w:i/>
                <w:iCs/>
                <w:color w:val="auto"/>
                <w:sz w:val="18"/>
                <w:szCs w:val="18"/>
              </w:rPr>
              <w:t>354,9%</w:t>
            </w:r>
          </w:p>
        </w:tc>
      </w:tr>
      <w:tr w:rsidR="002B4888" w:rsidRPr="002B4888" w14:paraId="51D6D70A" w14:textId="77777777" w:rsidTr="002B4888">
        <w:trPr>
          <w:trHeight w:val="248"/>
        </w:trPr>
        <w:tc>
          <w:tcPr>
            <w:tcW w:w="3681" w:type="dxa"/>
            <w:noWrap/>
            <w:hideMark/>
          </w:tcPr>
          <w:p w14:paraId="1BF4C067" w14:textId="77777777" w:rsidR="000F4F90" w:rsidRPr="002B4888" w:rsidRDefault="000F4F90" w:rsidP="002B4888">
            <w:pPr>
              <w:spacing w:after="0" w:line="240" w:lineRule="auto"/>
              <w:rPr>
                <w:rFonts w:cstheme="minorHAnsi"/>
                <w:color w:val="auto"/>
                <w:sz w:val="18"/>
                <w:szCs w:val="18"/>
              </w:rPr>
            </w:pPr>
            <w:r w:rsidRPr="002B4888">
              <w:rPr>
                <w:rFonts w:cstheme="minorHAnsi"/>
                <w:color w:val="auto"/>
                <w:sz w:val="18"/>
                <w:szCs w:val="18"/>
              </w:rPr>
              <w:t xml:space="preserve">Τόκοι καταβληθέντες </w:t>
            </w:r>
          </w:p>
        </w:tc>
        <w:tc>
          <w:tcPr>
            <w:tcW w:w="1587" w:type="dxa"/>
          </w:tcPr>
          <w:p w14:paraId="1785DE1A" w14:textId="77777777" w:rsidR="000F4F90" w:rsidRPr="002B4888" w:rsidRDefault="000F4F90" w:rsidP="002B4888">
            <w:pPr>
              <w:spacing w:after="0" w:line="240" w:lineRule="auto"/>
              <w:jc w:val="center"/>
              <w:rPr>
                <w:rFonts w:cstheme="minorHAnsi"/>
                <w:color w:val="auto"/>
                <w:sz w:val="18"/>
                <w:szCs w:val="18"/>
              </w:rPr>
            </w:pPr>
            <w:r w:rsidRPr="002B4888">
              <w:rPr>
                <w:rFonts w:cstheme="minorHAnsi"/>
                <w:color w:val="auto"/>
                <w:sz w:val="18"/>
                <w:szCs w:val="18"/>
              </w:rPr>
              <w:t>2.115</w:t>
            </w:r>
          </w:p>
        </w:tc>
        <w:tc>
          <w:tcPr>
            <w:tcW w:w="1460" w:type="dxa"/>
            <w:noWrap/>
            <w:hideMark/>
          </w:tcPr>
          <w:p w14:paraId="05A64525" w14:textId="77777777" w:rsidR="000F4F90" w:rsidRPr="002B4888" w:rsidRDefault="000F4F90" w:rsidP="002B4888">
            <w:pPr>
              <w:spacing w:after="0" w:line="240" w:lineRule="auto"/>
              <w:jc w:val="center"/>
              <w:rPr>
                <w:rFonts w:cstheme="minorHAnsi"/>
                <w:color w:val="auto"/>
                <w:sz w:val="18"/>
                <w:szCs w:val="18"/>
              </w:rPr>
            </w:pPr>
            <w:r w:rsidRPr="002B4888">
              <w:rPr>
                <w:rFonts w:cstheme="minorHAnsi"/>
                <w:color w:val="auto"/>
                <w:sz w:val="18"/>
                <w:szCs w:val="18"/>
              </w:rPr>
              <w:t>2.144</w:t>
            </w:r>
          </w:p>
        </w:tc>
        <w:tc>
          <w:tcPr>
            <w:tcW w:w="955" w:type="dxa"/>
            <w:hideMark/>
          </w:tcPr>
          <w:p w14:paraId="56B74AAC" w14:textId="77777777" w:rsidR="000F4F90" w:rsidRPr="002B4888" w:rsidRDefault="000F4F90" w:rsidP="002B4888">
            <w:pPr>
              <w:spacing w:after="0" w:line="240" w:lineRule="auto"/>
              <w:jc w:val="center"/>
              <w:rPr>
                <w:rFonts w:cstheme="minorHAnsi"/>
                <w:bCs/>
                <w:i/>
                <w:iCs/>
                <w:color w:val="auto"/>
                <w:sz w:val="18"/>
                <w:szCs w:val="18"/>
              </w:rPr>
            </w:pPr>
            <w:r w:rsidRPr="002B4888">
              <w:rPr>
                <w:rFonts w:cstheme="minorHAnsi"/>
                <w:bCs/>
                <w:i/>
                <w:iCs/>
                <w:color w:val="auto"/>
                <w:sz w:val="18"/>
                <w:szCs w:val="18"/>
              </w:rPr>
              <w:t>29</w:t>
            </w:r>
          </w:p>
        </w:tc>
        <w:tc>
          <w:tcPr>
            <w:tcW w:w="800" w:type="dxa"/>
            <w:hideMark/>
          </w:tcPr>
          <w:p w14:paraId="50B88518" w14:textId="77777777" w:rsidR="000F4F90" w:rsidRPr="002B4888" w:rsidRDefault="000F4F90" w:rsidP="002B4888">
            <w:pPr>
              <w:spacing w:after="0" w:line="240" w:lineRule="auto"/>
              <w:jc w:val="center"/>
              <w:rPr>
                <w:rFonts w:cstheme="minorHAnsi"/>
                <w:bCs/>
                <w:i/>
                <w:iCs/>
                <w:color w:val="auto"/>
                <w:sz w:val="18"/>
                <w:szCs w:val="18"/>
              </w:rPr>
            </w:pPr>
            <w:r w:rsidRPr="002B4888">
              <w:rPr>
                <w:rFonts w:cstheme="minorHAnsi"/>
                <w:bCs/>
                <w:i/>
                <w:iCs/>
                <w:color w:val="auto"/>
                <w:sz w:val="18"/>
                <w:szCs w:val="18"/>
              </w:rPr>
              <w:t>1,4%</w:t>
            </w:r>
          </w:p>
        </w:tc>
      </w:tr>
      <w:tr w:rsidR="002B4888" w:rsidRPr="002B4888" w14:paraId="3711593E" w14:textId="77777777" w:rsidTr="002B4888">
        <w:trPr>
          <w:trHeight w:val="248"/>
        </w:trPr>
        <w:tc>
          <w:tcPr>
            <w:tcW w:w="3681" w:type="dxa"/>
            <w:noWrap/>
            <w:hideMark/>
          </w:tcPr>
          <w:p w14:paraId="3A0474FF" w14:textId="77777777" w:rsidR="000F4F90" w:rsidRPr="002B4888" w:rsidRDefault="000F4F90" w:rsidP="002B4888">
            <w:pPr>
              <w:spacing w:after="0" w:line="240" w:lineRule="auto"/>
              <w:rPr>
                <w:rFonts w:cstheme="minorHAnsi"/>
                <w:color w:val="auto"/>
                <w:sz w:val="18"/>
                <w:szCs w:val="18"/>
              </w:rPr>
            </w:pPr>
            <w:r w:rsidRPr="002B4888">
              <w:rPr>
                <w:rFonts w:cstheme="minorHAnsi"/>
                <w:color w:val="auto"/>
                <w:sz w:val="18"/>
                <w:szCs w:val="18"/>
              </w:rPr>
              <w:t>Λοιπές δαπάνες</w:t>
            </w:r>
          </w:p>
        </w:tc>
        <w:tc>
          <w:tcPr>
            <w:tcW w:w="1587" w:type="dxa"/>
          </w:tcPr>
          <w:p w14:paraId="580936B9" w14:textId="77777777" w:rsidR="000F4F90" w:rsidRPr="002B4888" w:rsidRDefault="000F4F90" w:rsidP="002B4888">
            <w:pPr>
              <w:spacing w:after="0" w:line="240" w:lineRule="auto"/>
              <w:jc w:val="center"/>
              <w:rPr>
                <w:rFonts w:cstheme="minorHAnsi"/>
                <w:color w:val="auto"/>
                <w:sz w:val="18"/>
                <w:szCs w:val="18"/>
              </w:rPr>
            </w:pPr>
            <w:r w:rsidRPr="002B4888">
              <w:rPr>
                <w:rFonts w:cstheme="minorHAnsi"/>
                <w:color w:val="auto"/>
                <w:sz w:val="18"/>
                <w:szCs w:val="18"/>
              </w:rPr>
              <w:t>1</w:t>
            </w:r>
          </w:p>
        </w:tc>
        <w:tc>
          <w:tcPr>
            <w:tcW w:w="1460" w:type="dxa"/>
            <w:noWrap/>
            <w:hideMark/>
          </w:tcPr>
          <w:p w14:paraId="74853A1C" w14:textId="77777777" w:rsidR="000F4F90" w:rsidRPr="002B4888" w:rsidRDefault="000F4F90" w:rsidP="002B4888">
            <w:pPr>
              <w:spacing w:after="0" w:line="240" w:lineRule="auto"/>
              <w:jc w:val="center"/>
              <w:rPr>
                <w:rFonts w:cstheme="minorHAnsi"/>
                <w:color w:val="auto"/>
                <w:sz w:val="18"/>
                <w:szCs w:val="18"/>
              </w:rPr>
            </w:pPr>
            <w:r w:rsidRPr="002B4888">
              <w:rPr>
                <w:rFonts w:cstheme="minorHAnsi"/>
                <w:color w:val="auto"/>
                <w:sz w:val="18"/>
                <w:szCs w:val="18"/>
              </w:rPr>
              <w:t>2</w:t>
            </w:r>
          </w:p>
        </w:tc>
        <w:tc>
          <w:tcPr>
            <w:tcW w:w="955" w:type="dxa"/>
            <w:hideMark/>
          </w:tcPr>
          <w:p w14:paraId="36133B62" w14:textId="77777777" w:rsidR="000F4F90" w:rsidRPr="002B4888" w:rsidRDefault="000F4F90" w:rsidP="002B4888">
            <w:pPr>
              <w:spacing w:after="0" w:line="240" w:lineRule="auto"/>
              <w:jc w:val="center"/>
              <w:rPr>
                <w:rFonts w:cstheme="minorHAnsi"/>
                <w:bCs/>
                <w:i/>
                <w:iCs/>
                <w:color w:val="auto"/>
                <w:sz w:val="18"/>
                <w:szCs w:val="18"/>
              </w:rPr>
            </w:pPr>
            <w:r w:rsidRPr="002B4888">
              <w:rPr>
                <w:rFonts w:cstheme="minorHAnsi"/>
                <w:bCs/>
                <w:i/>
                <w:iCs/>
                <w:color w:val="auto"/>
                <w:sz w:val="18"/>
                <w:szCs w:val="18"/>
              </w:rPr>
              <w:t>1</w:t>
            </w:r>
          </w:p>
        </w:tc>
        <w:tc>
          <w:tcPr>
            <w:tcW w:w="800" w:type="dxa"/>
            <w:hideMark/>
          </w:tcPr>
          <w:p w14:paraId="1AD9F825" w14:textId="77777777" w:rsidR="000F4F90" w:rsidRPr="002B4888" w:rsidRDefault="000F4F90" w:rsidP="002B4888">
            <w:pPr>
              <w:spacing w:after="0" w:line="240" w:lineRule="auto"/>
              <w:jc w:val="center"/>
              <w:rPr>
                <w:rFonts w:cstheme="minorHAnsi"/>
                <w:bCs/>
                <w:i/>
                <w:iCs/>
                <w:color w:val="auto"/>
                <w:sz w:val="18"/>
                <w:szCs w:val="18"/>
              </w:rPr>
            </w:pPr>
            <w:r w:rsidRPr="002B4888">
              <w:rPr>
                <w:rFonts w:cstheme="minorHAnsi"/>
                <w:bCs/>
                <w:i/>
                <w:iCs/>
                <w:color w:val="auto"/>
                <w:sz w:val="18"/>
                <w:szCs w:val="18"/>
              </w:rPr>
              <w:t>100,0%</w:t>
            </w:r>
          </w:p>
        </w:tc>
      </w:tr>
      <w:tr w:rsidR="002B4888" w:rsidRPr="002B4888" w14:paraId="76BDB9FB" w14:textId="77777777" w:rsidTr="002B4888">
        <w:trPr>
          <w:trHeight w:val="484"/>
        </w:trPr>
        <w:tc>
          <w:tcPr>
            <w:tcW w:w="3681" w:type="dxa"/>
            <w:shd w:val="clear" w:color="auto" w:fill="D9D9D9" w:themeFill="background1" w:themeFillShade="D9"/>
            <w:hideMark/>
          </w:tcPr>
          <w:p w14:paraId="2F996309" w14:textId="77777777" w:rsidR="000F4F90" w:rsidRPr="002B4888" w:rsidRDefault="000F4F90" w:rsidP="002B4888">
            <w:pPr>
              <w:spacing w:after="0" w:line="240" w:lineRule="auto"/>
              <w:rPr>
                <w:rFonts w:cstheme="minorHAnsi"/>
                <w:b/>
                <w:bCs/>
                <w:color w:val="auto"/>
                <w:sz w:val="18"/>
                <w:szCs w:val="18"/>
              </w:rPr>
            </w:pPr>
            <w:r w:rsidRPr="002B4888">
              <w:rPr>
                <w:rFonts w:cstheme="minorHAnsi"/>
                <w:b/>
                <w:bCs/>
                <w:color w:val="auto"/>
                <w:sz w:val="18"/>
                <w:szCs w:val="18"/>
              </w:rPr>
              <w:t>Γ. Καθαρή απόκτηση μη χρημ/κών περιουσιακών στοιχείων</w:t>
            </w:r>
          </w:p>
        </w:tc>
        <w:tc>
          <w:tcPr>
            <w:tcW w:w="1587" w:type="dxa"/>
            <w:shd w:val="clear" w:color="auto" w:fill="D9D9D9" w:themeFill="background1" w:themeFillShade="D9"/>
          </w:tcPr>
          <w:p w14:paraId="2A791CFF" w14:textId="77777777" w:rsidR="000F4F90" w:rsidRPr="002B4888" w:rsidRDefault="000F4F90" w:rsidP="002B4888">
            <w:pPr>
              <w:spacing w:after="0" w:line="240" w:lineRule="auto"/>
              <w:jc w:val="center"/>
              <w:rPr>
                <w:rFonts w:cstheme="minorHAnsi"/>
                <w:b/>
                <w:bCs/>
                <w:color w:val="auto"/>
                <w:sz w:val="18"/>
                <w:szCs w:val="18"/>
              </w:rPr>
            </w:pPr>
            <w:r w:rsidRPr="002B4888">
              <w:rPr>
                <w:rFonts w:cstheme="minorHAnsi"/>
                <w:b/>
                <w:bCs/>
                <w:color w:val="auto"/>
                <w:sz w:val="18"/>
                <w:szCs w:val="18"/>
              </w:rPr>
              <w:t>880</w:t>
            </w:r>
          </w:p>
        </w:tc>
        <w:tc>
          <w:tcPr>
            <w:tcW w:w="1460" w:type="dxa"/>
            <w:shd w:val="clear" w:color="auto" w:fill="D9D9D9" w:themeFill="background1" w:themeFillShade="D9"/>
            <w:noWrap/>
            <w:hideMark/>
          </w:tcPr>
          <w:p w14:paraId="035A3C7B" w14:textId="77777777" w:rsidR="000F4F90" w:rsidRPr="002B4888" w:rsidRDefault="000F4F90" w:rsidP="002B4888">
            <w:pPr>
              <w:spacing w:after="0" w:line="240" w:lineRule="auto"/>
              <w:jc w:val="center"/>
              <w:rPr>
                <w:rFonts w:cstheme="minorHAnsi"/>
                <w:b/>
                <w:bCs/>
                <w:color w:val="auto"/>
                <w:sz w:val="18"/>
                <w:szCs w:val="18"/>
              </w:rPr>
            </w:pPr>
            <w:r w:rsidRPr="002B4888">
              <w:rPr>
                <w:rFonts w:cstheme="minorHAnsi"/>
                <w:b/>
                <w:bCs/>
                <w:color w:val="auto"/>
                <w:sz w:val="18"/>
                <w:szCs w:val="18"/>
              </w:rPr>
              <w:t>1.758</w:t>
            </w:r>
          </w:p>
        </w:tc>
        <w:tc>
          <w:tcPr>
            <w:tcW w:w="955" w:type="dxa"/>
            <w:shd w:val="clear" w:color="auto" w:fill="D9D9D9" w:themeFill="background1" w:themeFillShade="D9"/>
            <w:hideMark/>
          </w:tcPr>
          <w:p w14:paraId="37CEE5FE" w14:textId="77777777" w:rsidR="000F4F90" w:rsidRPr="002B4888" w:rsidRDefault="000F4F90" w:rsidP="002B4888">
            <w:pPr>
              <w:spacing w:after="0" w:line="240" w:lineRule="auto"/>
              <w:jc w:val="center"/>
              <w:rPr>
                <w:rFonts w:cstheme="minorHAnsi"/>
                <w:b/>
                <w:bCs/>
                <w:i/>
                <w:iCs/>
                <w:color w:val="auto"/>
                <w:sz w:val="18"/>
                <w:szCs w:val="18"/>
              </w:rPr>
            </w:pPr>
            <w:r w:rsidRPr="002B4888">
              <w:rPr>
                <w:rFonts w:cstheme="minorHAnsi"/>
                <w:b/>
                <w:bCs/>
                <w:i/>
                <w:iCs/>
                <w:color w:val="auto"/>
                <w:sz w:val="18"/>
                <w:szCs w:val="18"/>
              </w:rPr>
              <w:t>878</w:t>
            </w:r>
          </w:p>
        </w:tc>
        <w:tc>
          <w:tcPr>
            <w:tcW w:w="800" w:type="dxa"/>
            <w:shd w:val="clear" w:color="auto" w:fill="D9D9D9" w:themeFill="background1" w:themeFillShade="D9"/>
            <w:hideMark/>
          </w:tcPr>
          <w:p w14:paraId="175A1AAA" w14:textId="77777777" w:rsidR="000F4F90" w:rsidRPr="002B4888" w:rsidRDefault="000F4F90" w:rsidP="002B4888">
            <w:pPr>
              <w:spacing w:after="0" w:line="240" w:lineRule="auto"/>
              <w:jc w:val="center"/>
              <w:rPr>
                <w:rFonts w:cstheme="minorHAnsi"/>
                <w:b/>
                <w:bCs/>
                <w:i/>
                <w:iCs/>
                <w:color w:val="auto"/>
                <w:sz w:val="18"/>
                <w:szCs w:val="18"/>
              </w:rPr>
            </w:pPr>
            <w:r w:rsidRPr="002B4888">
              <w:rPr>
                <w:rFonts w:cstheme="minorHAnsi"/>
                <w:b/>
                <w:bCs/>
                <w:i/>
                <w:iCs/>
                <w:color w:val="auto"/>
                <w:sz w:val="18"/>
                <w:szCs w:val="18"/>
              </w:rPr>
              <w:t>99,8%</w:t>
            </w:r>
          </w:p>
        </w:tc>
      </w:tr>
      <w:tr w:rsidR="002B4888" w:rsidRPr="002B4888" w14:paraId="0A78037D" w14:textId="77777777" w:rsidTr="002B4888">
        <w:trPr>
          <w:trHeight w:val="290"/>
        </w:trPr>
        <w:tc>
          <w:tcPr>
            <w:tcW w:w="3681" w:type="dxa"/>
            <w:shd w:val="clear" w:color="auto" w:fill="D9D9D9" w:themeFill="background1" w:themeFillShade="D9"/>
            <w:noWrap/>
            <w:hideMark/>
          </w:tcPr>
          <w:p w14:paraId="6794C44C" w14:textId="77777777" w:rsidR="000F4F90" w:rsidRPr="002B4888" w:rsidRDefault="000F4F90" w:rsidP="002B4888">
            <w:pPr>
              <w:spacing w:after="0" w:line="240" w:lineRule="auto"/>
              <w:rPr>
                <w:rFonts w:cstheme="minorHAnsi"/>
                <w:b/>
                <w:bCs/>
                <w:color w:val="auto"/>
                <w:sz w:val="18"/>
                <w:szCs w:val="18"/>
              </w:rPr>
            </w:pPr>
            <w:r w:rsidRPr="002B4888">
              <w:rPr>
                <w:rFonts w:cstheme="minorHAnsi"/>
                <w:b/>
                <w:bCs/>
                <w:color w:val="auto"/>
                <w:sz w:val="18"/>
                <w:szCs w:val="18"/>
              </w:rPr>
              <w:t>Ισοζύγιο (έλλειμμα) (Α-Β-Γ)</w:t>
            </w:r>
          </w:p>
        </w:tc>
        <w:tc>
          <w:tcPr>
            <w:tcW w:w="1587" w:type="dxa"/>
            <w:shd w:val="clear" w:color="auto" w:fill="D9D9D9" w:themeFill="background1" w:themeFillShade="D9"/>
          </w:tcPr>
          <w:p w14:paraId="513B8A06" w14:textId="77777777" w:rsidR="000F4F90" w:rsidRPr="002B4888" w:rsidRDefault="000F4F90" w:rsidP="002B4888">
            <w:pPr>
              <w:spacing w:after="0" w:line="240" w:lineRule="auto"/>
              <w:jc w:val="center"/>
              <w:rPr>
                <w:rFonts w:cstheme="minorHAnsi"/>
                <w:b/>
                <w:bCs/>
                <w:color w:val="auto"/>
                <w:sz w:val="18"/>
                <w:szCs w:val="18"/>
              </w:rPr>
            </w:pPr>
            <w:r w:rsidRPr="002B4888">
              <w:rPr>
                <w:rFonts w:cstheme="minorHAnsi"/>
                <w:b/>
                <w:bCs/>
                <w:color w:val="auto"/>
                <w:sz w:val="18"/>
                <w:szCs w:val="18"/>
              </w:rPr>
              <w:t>-1.227</w:t>
            </w:r>
          </w:p>
        </w:tc>
        <w:tc>
          <w:tcPr>
            <w:tcW w:w="1460" w:type="dxa"/>
            <w:shd w:val="clear" w:color="auto" w:fill="D9D9D9" w:themeFill="background1" w:themeFillShade="D9"/>
            <w:noWrap/>
            <w:hideMark/>
          </w:tcPr>
          <w:p w14:paraId="742AF007" w14:textId="77777777" w:rsidR="000F4F90" w:rsidRPr="002B4888" w:rsidRDefault="000F4F90" w:rsidP="002B4888">
            <w:pPr>
              <w:spacing w:after="0" w:line="240" w:lineRule="auto"/>
              <w:jc w:val="center"/>
              <w:rPr>
                <w:rFonts w:cstheme="minorHAnsi"/>
                <w:b/>
                <w:bCs/>
                <w:color w:val="auto"/>
                <w:sz w:val="18"/>
                <w:szCs w:val="18"/>
              </w:rPr>
            </w:pPr>
            <w:r w:rsidRPr="002B4888">
              <w:rPr>
                <w:rFonts w:cstheme="minorHAnsi"/>
                <w:b/>
                <w:bCs/>
                <w:color w:val="auto"/>
                <w:sz w:val="18"/>
                <w:szCs w:val="18"/>
              </w:rPr>
              <w:t>-6.209</w:t>
            </w:r>
          </w:p>
        </w:tc>
        <w:tc>
          <w:tcPr>
            <w:tcW w:w="955" w:type="dxa"/>
            <w:shd w:val="clear" w:color="auto" w:fill="D9D9D9" w:themeFill="background1" w:themeFillShade="D9"/>
            <w:hideMark/>
          </w:tcPr>
          <w:p w14:paraId="2E47334E" w14:textId="77777777" w:rsidR="000F4F90" w:rsidRPr="002B4888" w:rsidRDefault="000F4F90" w:rsidP="002B4888">
            <w:pPr>
              <w:spacing w:after="0" w:line="240" w:lineRule="auto"/>
              <w:jc w:val="center"/>
              <w:rPr>
                <w:rFonts w:cstheme="minorHAnsi"/>
                <w:b/>
                <w:bCs/>
                <w:i/>
                <w:iCs/>
                <w:color w:val="auto"/>
                <w:sz w:val="18"/>
                <w:szCs w:val="18"/>
              </w:rPr>
            </w:pPr>
            <w:r w:rsidRPr="002B4888">
              <w:rPr>
                <w:rFonts w:cstheme="minorHAnsi"/>
                <w:b/>
                <w:bCs/>
                <w:i/>
                <w:iCs/>
                <w:color w:val="auto"/>
                <w:sz w:val="18"/>
                <w:szCs w:val="18"/>
              </w:rPr>
              <w:t>-4.982</w:t>
            </w:r>
          </w:p>
        </w:tc>
        <w:tc>
          <w:tcPr>
            <w:tcW w:w="800" w:type="dxa"/>
            <w:shd w:val="clear" w:color="auto" w:fill="D9D9D9" w:themeFill="background1" w:themeFillShade="D9"/>
          </w:tcPr>
          <w:p w14:paraId="7C880D6D" w14:textId="30EE208D" w:rsidR="000F4F90" w:rsidRPr="002B4888" w:rsidRDefault="000F4F90" w:rsidP="002B4888">
            <w:pPr>
              <w:spacing w:after="0" w:line="240" w:lineRule="auto"/>
              <w:jc w:val="center"/>
              <w:rPr>
                <w:rFonts w:cstheme="minorHAnsi"/>
                <w:b/>
                <w:bCs/>
                <w:color w:val="auto"/>
                <w:sz w:val="18"/>
                <w:szCs w:val="18"/>
              </w:rPr>
            </w:pPr>
          </w:p>
        </w:tc>
      </w:tr>
      <w:tr w:rsidR="002B4888" w:rsidRPr="002B4888" w14:paraId="30D6B2F1" w14:textId="77777777" w:rsidTr="002B4888">
        <w:trPr>
          <w:trHeight w:val="290"/>
        </w:trPr>
        <w:tc>
          <w:tcPr>
            <w:tcW w:w="3681" w:type="dxa"/>
            <w:noWrap/>
            <w:hideMark/>
          </w:tcPr>
          <w:p w14:paraId="392A93AC" w14:textId="77777777" w:rsidR="000F4F90" w:rsidRPr="002B4888" w:rsidRDefault="000F4F90" w:rsidP="002B4888">
            <w:pPr>
              <w:spacing w:after="0" w:line="240" w:lineRule="auto"/>
              <w:rPr>
                <w:rFonts w:cstheme="minorHAnsi"/>
                <w:b/>
                <w:bCs/>
                <w:color w:val="auto"/>
                <w:sz w:val="18"/>
                <w:szCs w:val="18"/>
              </w:rPr>
            </w:pPr>
            <w:r w:rsidRPr="002B4888">
              <w:rPr>
                <w:rFonts w:cstheme="minorHAnsi"/>
                <w:b/>
                <w:bCs/>
                <w:color w:val="auto"/>
                <w:sz w:val="18"/>
                <w:szCs w:val="18"/>
              </w:rPr>
              <w:t> </w:t>
            </w:r>
          </w:p>
        </w:tc>
        <w:tc>
          <w:tcPr>
            <w:tcW w:w="1587" w:type="dxa"/>
          </w:tcPr>
          <w:p w14:paraId="31700F58" w14:textId="77777777" w:rsidR="000F4F90" w:rsidRPr="002B4888" w:rsidRDefault="000F4F90" w:rsidP="002B4888">
            <w:pPr>
              <w:spacing w:after="0" w:line="240" w:lineRule="auto"/>
              <w:jc w:val="center"/>
              <w:rPr>
                <w:rFonts w:cstheme="minorHAnsi"/>
                <w:bCs/>
                <w:color w:val="auto"/>
                <w:sz w:val="18"/>
                <w:szCs w:val="18"/>
              </w:rPr>
            </w:pPr>
            <w:r w:rsidRPr="002B4888">
              <w:rPr>
                <w:rFonts w:cstheme="minorHAnsi"/>
                <w:bCs/>
                <w:color w:val="auto"/>
                <w:sz w:val="18"/>
                <w:szCs w:val="18"/>
              </w:rPr>
              <w:t>-0,7%</w:t>
            </w:r>
          </w:p>
        </w:tc>
        <w:tc>
          <w:tcPr>
            <w:tcW w:w="1460" w:type="dxa"/>
            <w:noWrap/>
            <w:hideMark/>
          </w:tcPr>
          <w:p w14:paraId="33095EFD" w14:textId="77777777" w:rsidR="000F4F90" w:rsidRPr="002B4888" w:rsidRDefault="000F4F90" w:rsidP="002B4888">
            <w:pPr>
              <w:spacing w:after="0" w:line="240" w:lineRule="auto"/>
              <w:jc w:val="center"/>
              <w:rPr>
                <w:rFonts w:cstheme="minorHAnsi"/>
                <w:bCs/>
                <w:color w:val="auto"/>
                <w:sz w:val="18"/>
                <w:szCs w:val="18"/>
              </w:rPr>
            </w:pPr>
            <w:r w:rsidRPr="002B4888">
              <w:rPr>
                <w:rFonts w:cstheme="minorHAnsi"/>
                <w:bCs/>
                <w:color w:val="auto"/>
                <w:sz w:val="18"/>
                <w:szCs w:val="18"/>
              </w:rPr>
              <w:t>-3,6%</w:t>
            </w:r>
          </w:p>
        </w:tc>
        <w:tc>
          <w:tcPr>
            <w:tcW w:w="955" w:type="dxa"/>
            <w:hideMark/>
          </w:tcPr>
          <w:p w14:paraId="098DD659" w14:textId="22660A01" w:rsidR="000F4F90" w:rsidRPr="002B4888" w:rsidRDefault="000F4F90" w:rsidP="002B4888">
            <w:pPr>
              <w:spacing w:after="0" w:line="240" w:lineRule="auto"/>
              <w:jc w:val="center"/>
              <w:rPr>
                <w:rFonts w:cstheme="minorHAnsi"/>
                <w:b/>
                <w:bCs/>
                <w:i/>
                <w:iCs/>
                <w:color w:val="auto"/>
                <w:sz w:val="18"/>
                <w:szCs w:val="18"/>
              </w:rPr>
            </w:pPr>
          </w:p>
        </w:tc>
        <w:tc>
          <w:tcPr>
            <w:tcW w:w="800" w:type="dxa"/>
          </w:tcPr>
          <w:p w14:paraId="2164BDEB" w14:textId="3F9A9816" w:rsidR="000F4F90" w:rsidRPr="002B4888" w:rsidRDefault="000F4F90" w:rsidP="002B4888">
            <w:pPr>
              <w:spacing w:after="0" w:line="240" w:lineRule="auto"/>
              <w:jc w:val="center"/>
              <w:rPr>
                <w:rFonts w:cstheme="minorHAnsi"/>
                <w:b/>
                <w:bCs/>
                <w:i/>
                <w:iCs/>
                <w:color w:val="auto"/>
                <w:sz w:val="18"/>
                <w:szCs w:val="18"/>
              </w:rPr>
            </w:pPr>
          </w:p>
        </w:tc>
      </w:tr>
      <w:tr w:rsidR="002B4888" w:rsidRPr="002B4888" w14:paraId="0B48488A" w14:textId="77777777" w:rsidTr="002B4888">
        <w:trPr>
          <w:trHeight w:val="290"/>
        </w:trPr>
        <w:tc>
          <w:tcPr>
            <w:tcW w:w="3681" w:type="dxa"/>
            <w:shd w:val="clear" w:color="auto" w:fill="D9D9D9" w:themeFill="background1" w:themeFillShade="D9"/>
            <w:noWrap/>
            <w:hideMark/>
          </w:tcPr>
          <w:p w14:paraId="379BA7D6" w14:textId="77777777" w:rsidR="000F4F90" w:rsidRPr="002B4888" w:rsidRDefault="000F4F90" w:rsidP="002B4888">
            <w:pPr>
              <w:spacing w:after="0" w:line="240" w:lineRule="auto"/>
              <w:rPr>
                <w:rFonts w:cstheme="minorHAnsi"/>
                <w:b/>
                <w:bCs/>
                <w:color w:val="auto"/>
                <w:sz w:val="18"/>
                <w:szCs w:val="18"/>
              </w:rPr>
            </w:pPr>
            <w:r w:rsidRPr="002B4888">
              <w:rPr>
                <w:rFonts w:cstheme="minorHAnsi"/>
                <w:b/>
                <w:bCs/>
                <w:color w:val="auto"/>
                <w:sz w:val="18"/>
                <w:szCs w:val="18"/>
              </w:rPr>
              <w:t>Πρωτογενές αποτέλεσμα</w:t>
            </w:r>
          </w:p>
        </w:tc>
        <w:tc>
          <w:tcPr>
            <w:tcW w:w="1587" w:type="dxa"/>
            <w:shd w:val="clear" w:color="auto" w:fill="D9D9D9" w:themeFill="background1" w:themeFillShade="D9"/>
          </w:tcPr>
          <w:p w14:paraId="69827FE0" w14:textId="77777777" w:rsidR="000F4F90" w:rsidRPr="002B4888" w:rsidRDefault="000F4F90" w:rsidP="002B4888">
            <w:pPr>
              <w:spacing w:after="0" w:line="240" w:lineRule="auto"/>
              <w:jc w:val="center"/>
              <w:rPr>
                <w:rFonts w:cstheme="minorHAnsi"/>
                <w:b/>
                <w:bCs/>
                <w:color w:val="auto"/>
                <w:sz w:val="18"/>
                <w:szCs w:val="18"/>
              </w:rPr>
            </w:pPr>
            <w:r w:rsidRPr="002B4888">
              <w:rPr>
                <w:rFonts w:cstheme="minorHAnsi"/>
                <w:b/>
                <w:bCs/>
                <w:color w:val="auto"/>
                <w:sz w:val="18"/>
                <w:szCs w:val="18"/>
              </w:rPr>
              <w:t>823</w:t>
            </w:r>
          </w:p>
        </w:tc>
        <w:tc>
          <w:tcPr>
            <w:tcW w:w="1460" w:type="dxa"/>
            <w:shd w:val="clear" w:color="auto" w:fill="D9D9D9" w:themeFill="background1" w:themeFillShade="D9"/>
            <w:noWrap/>
            <w:hideMark/>
          </w:tcPr>
          <w:p w14:paraId="4E70AAFC" w14:textId="77777777" w:rsidR="000F4F90" w:rsidRPr="002B4888" w:rsidRDefault="000F4F90" w:rsidP="002B4888">
            <w:pPr>
              <w:spacing w:after="0" w:line="240" w:lineRule="auto"/>
              <w:jc w:val="center"/>
              <w:rPr>
                <w:rFonts w:cstheme="minorHAnsi"/>
                <w:b/>
                <w:bCs/>
                <w:color w:val="auto"/>
                <w:sz w:val="18"/>
                <w:szCs w:val="18"/>
              </w:rPr>
            </w:pPr>
            <w:r w:rsidRPr="002B4888">
              <w:rPr>
                <w:rFonts w:cstheme="minorHAnsi"/>
                <w:b/>
                <w:bCs/>
                <w:color w:val="auto"/>
                <w:sz w:val="18"/>
                <w:szCs w:val="18"/>
              </w:rPr>
              <w:t>-4.117</w:t>
            </w:r>
          </w:p>
        </w:tc>
        <w:tc>
          <w:tcPr>
            <w:tcW w:w="955" w:type="dxa"/>
            <w:shd w:val="clear" w:color="auto" w:fill="D9D9D9" w:themeFill="background1" w:themeFillShade="D9"/>
            <w:hideMark/>
          </w:tcPr>
          <w:p w14:paraId="535C73FE" w14:textId="77777777" w:rsidR="000F4F90" w:rsidRPr="002B4888" w:rsidRDefault="000F4F90" w:rsidP="002B4888">
            <w:pPr>
              <w:spacing w:after="0" w:line="240" w:lineRule="auto"/>
              <w:jc w:val="center"/>
              <w:rPr>
                <w:rFonts w:cstheme="minorHAnsi"/>
                <w:b/>
                <w:bCs/>
                <w:i/>
                <w:iCs/>
                <w:color w:val="auto"/>
                <w:sz w:val="18"/>
                <w:szCs w:val="18"/>
              </w:rPr>
            </w:pPr>
            <w:r w:rsidRPr="002B4888">
              <w:rPr>
                <w:rFonts w:cstheme="minorHAnsi"/>
                <w:b/>
                <w:bCs/>
                <w:i/>
                <w:iCs/>
                <w:color w:val="auto"/>
                <w:sz w:val="18"/>
                <w:szCs w:val="18"/>
              </w:rPr>
              <w:t>-4.940</w:t>
            </w:r>
          </w:p>
        </w:tc>
        <w:tc>
          <w:tcPr>
            <w:tcW w:w="800" w:type="dxa"/>
            <w:shd w:val="clear" w:color="auto" w:fill="D9D9D9" w:themeFill="background1" w:themeFillShade="D9"/>
          </w:tcPr>
          <w:p w14:paraId="1CDAA713" w14:textId="3A638DF4" w:rsidR="000F4F90" w:rsidRPr="002B4888" w:rsidRDefault="000F4F90" w:rsidP="002B4888">
            <w:pPr>
              <w:spacing w:after="0" w:line="240" w:lineRule="auto"/>
              <w:jc w:val="center"/>
              <w:rPr>
                <w:rFonts w:cstheme="minorHAnsi"/>
                <w:b/>
                <w:bCs/>
                <w:color w:val="auto"/>
                <w:sz w:val="18"/>
                <w:szCs w:val="18"/>
              </w:rPr>
            </w:pPr>
          </w:p>
        </w:tc>
      </w:tr>
      <w:tr w:rsidR="002B4888" w:rsidRPr="002B4888" w14:paraId="246CC47F" w14:textId="77777777" w:rsidTr="002B4888">
        <w:trPr>
          <w:trHeight w:val="290"/>
        </w:trPr>
        <w:tc>
          <w:tcPr>
            <w:tcW w:w="3681" w:type="dxa"/>
            <w:noWrap/>
            <w:hideMark/>
          </w:tcPr>
          <w:p w14:paraId="6F13984B" w14:textId="77777777" w:rsidR="000F4F90" w:rsidRPr="002B4888" w:rsidRDefault="000F4F90" w:rsidP="002B4888">
            <w:pPr>
              <w:spacing w:after="0" w:line="240" w:lineRule="auto"/>
              <w:rPr>
                <w:rFonts w:cstheme="minorHAnsi"/>
                <w:b/>
                <w:bCs/>
                <w:color w:val="auto"/>
                <w:sz w:val="18"/>
                <w:szCs w:val="18"/>
              </w:rPr>
            </w:pPr>
            <w:r w:rsidRPr="002B4888">
              <w:rPr>
                <w:rFonts w:cstheme="minorHAnsi"/>
                <w:b/>
                <w:bCs/>
                <w:color w:val="auto"/>
                <w:sz w:val="18"/>
                <w:szCs w:val="18"/>
              </w:rPr>
              <w:t> </w:t>
            </w:r>
          </w:p>
        </w:tc>
        <w:tc>
          <w:tcPr>
            <w:tcW w:w="1587" w:type="dxa"/>
          </w:tcPr>
          <w:p w14:paraId="5DC65DFF" w14:textId="77777777" w:rsidR="000F4F90" w:rsidRPr="002B4888" w:rsidRDefault="000F4F90" w:rsidP="002B4888">
            <w:pPr>
              <w:spacing w:after="0" w:line="240" w:lineRule="auto"/>
              <w:jc w:val="center"/>
              <w:rPr>
                <w:rFonts w:cstheme="minorHAnsi"/>
                <w:bCs/>
                <w:color w:val="auto"/>
                <w:sz w:val="18"/>
                <w:szCs w:val="18"/>
              </w:rPr>
            </w:pPr>
            <w:r w:rsidRPr="002B4888">
              <w:rPr>
                <w:rFonts w:cstheme="minorHAnsi"/>
                <w:bCs/>
                <w:color w:val="auto"/>
                <w:sz w:val="18"/>
                <w:szCs w:val="18"/>
              </w:rPr>
              <w:t>0,5%</w:t>
            </w:r>
          </w:p>
        </w:tc>
        <w:tc>
          <w:tcPr>
            <w:tcW w:w="1460" w:type="dxa"/>
            <w:noWrap/>
            <w:hideMark/>
          </w:tcPr>
          <w:p w14:paraId="1E10D715" w14:textId="77777777" w:rsidR="000F4F90" w:rsidRPr="002B4888" w:rsidRDefault="000F4F90" w:rsidP="002B4888">
            <w:pPr>
              <w:spacing w:after="0" w:line="240" w:lineRule="auto"/>
              <w:jc w:val="center"/>
              <w:rPr>
                <w:rFonts w:cstheme="minorHAnsi"/>
                <w:bCs/>
                <w:color w:val="auto"/>
                <w:sz w:val="18"/>
                <w:szCs w:val="18"/>
              </w:rPr>
            </w:pPr>
            <w:r w:rsidRPr="002B4888">
              <w:rPr>
                <w:rFonts w:cstheme="minorHAnsi"/>
                <w:bCs/>
                <w:color w:val="auto"/>
                <w:sz w:val="18"/>
                <w:szCs w:val="18"/>
              </w:rPr>
              <w:t>-2,4%</w:t>
            </w:r>
          </w:p>
        </w:tc>
        <w:tc>
          <w:tcPr>
            <w:tcW w:w="955" w:type="dxa"/>
            <w:hideMark/>
          </w:tcPr>
          <w:p w14:paraId="0717F322" w14:textId="28C96806" w:rsidR="000F4F90" w:rsidRPr="002B4888" w:rsidRDefault="000F4F90" w:rsidP="002B4888">
            <w:pPr>
              <w:spacing w:after="0" w:line="240" w:lineRule="auto"/>
              <w:jc w:val="center"/>
              <w:rPr>
                <w:rFonts w:cstheme="minorHAnsi"/>
                <w:b/>
                <w:bCs/>
                <w:i/>
                <w:iCs/>
                <w:color w:val="auto"/>
                <w:sz w:val="18"/>
                <w:szCs w:val="18"/>
              </w:rPr>
            </w:pPr>
          </w:p>
        </w:tc>
        <w:tc>
          <w:tcPr>
            <w:tcW w:w="800" w:type="dxa"/>
          </w:tcPr>
          <w:p w14:paraId="3CD7232A" w14:textId="51A87476" w:rsidR="000F4F90" w:rsidRPr="002B4888" w:rsidRDefault="000F4F90" w:rsidP="002B4888">
            <w:pPr>
              <w:spacing w:after="0" w:line="240" w:lineRule="auto"/>
              <w:jc w:val="center"/>
              <w:rPr>
                <w:rFonts w:cstheme="minorHAnsi"/>
                <w:b/>
                <w:bCs/>
                <w:i/>
                <w:iCs/>
                <w:color w:val="auto"/>
                <w:sz w:val="18"/>
                <w:szCs w:val="18"/>
              </w:rPr>
            </w:pPr>
          </w:p>
        </w:tc>
      </w:tr>
      <w:tr w:rsidR="002B4888" w:rsidRPr="002B4888" w14:paraId="06560671" w14:textId="77777777" w:rsidTr="002B4888">
        <w:trPr>
          <w:trHeight w:val="248"/>
        </w:trPr>
        <w:tc>
          <w:tcPr>
            <w:tcW w:w="3681" w:type="dxa"/>
            <w:shd w:val="clear" w:color="auto" w:fill="D9D9D9" w:themeFill="background1" w:themeFillShade="D9"/>
            <w:noWrap/>
            <w:hideMark/>
          </w:tcPr>
          <w:p w14:paraId="7BBB057D" w14:textId="73A35885" w:rsidR="000F4F90" w:rsidRPr="002B4888" w:rsidRDefault="000F02FF" w:rsidP="002B4888">
            <w:pPr>
              <w:spacing w:after="0" w:line="240" w:lineRule="auto"/>
              <w:rPr>
                <w:rFonts w:cstheme="minorHAnsi"/>
                <w:b/>
                <w:bCs/>
                <w:color w:val="auto"/>
                <w:sz w:val="18"/>
                <w:szCs w:val="18"/>
              </w:rPr>
            </w:pPr>
            <w:r>
              <w:rPr>
                <w:rFonts w:cstheme="minorHAnsi"/>
                <w:b/>
                <w:bCs/>
                <w:color w:val="auto"/>
                <w:sz w:val="18"/>
                <w:szCs w:val="18"/>
              </w:rPr>
              <w:t>ΑΕΠ</w:t>
            </w:r>
          </w:p>
        </w:tc>
        <w:tc>
          <w:tcPr>
            <w:tcW w:w="1587" w:type="dxa"/>
            <w:shd w:val="clear" w:color="auto" w:fill="D9D9D9" w:themeFill="background1" w:themeFillShade="D9"/>
          </w:tcPr>
          <w:p w14:paraId="50CE85F1" w14:textId="77777777" w:rsidR="000F4F90" w:rsidRPr="002B4888" w:rsidRDefault="000F4F90" w:rsidP="002B4888">
            <w:pPr>
              <w:spacing w:after="0" w:line="240" w:lineRule="auto"/>
              <w:jc w:val="center"/>
              <w:rPr>
                <w:rFonts w:cstheme="minorHAnsi"/>
                <w:b/>
                <w:bCs/>
                <w:i/>
                <w:iCs/>
                <w:color w:val="auto"/>
                <w:sz w:val="18"/>
                <w:szCs w:val="18"/>
              </w:rPr>
            </w:pPr>
            <w:r w:rsidRPr="002B4888">
              <w:rPr>
                <w:rFonts w:cstheme="minorHAnsi"/>
                <w:b/>
                <w:bCs/>
                <w:i/>
                <w:iCs/>
                <w:color w:val="auto"/>
                <w:sz w:val="18"/>
                <w:szCs w:val="18"/>
              </w:rPr>
              <w:t>165.830</w:t>
            </w:r>
          </w:p>
        </w:tc>
        <w:tc>
          <w:tcPr>
            <w:tcW w:w="1460" w:type="dxa"/>
            <w:shd w:val="clear" w:color="auto" w:fill="D9D9D9" w:themeFill="background1" w:themeFillShade="D9"/>
            <w:hideMark/>
          </w:tcPr>
          <w:p w14:paraId="1DF5605F" w14:textId="77777777" w:rsidR="000F4F90" w:rsidRPr="002B4888" w:rsidRDefault="000F4F90" w:rsidP="002B4888">
            <w:pPr>
              <w:spacing w:after="0" w:line="240" w:lineRule="auto"/>
              <w:jc w:val="center"/>
              <w:rPr>
                <w:rFonts w:cstheme="minorHAnsi"/>
                <w:b/>
                <w:bCs/>
                <w:i/>
                <w:iCs/>
                <w:color w:val="auto"/>
                <w:sz w:val="18"/>
                <w:szCs w:val="18"/>
              </w:rPr>
            </w:pPr>
            <w:r w:rsidRPr="002B4888">
              <w:rPr>
                <w:rFonts w:cstheme="minorHAnsi"/>
                <w:b/>
                <w:bCs/>
                <w:i/>
                <w:iCs/>
                <w:color w:val="auto"/>
                <w:sz w:val="18"/>
                <w:szCs w:val="18"/>
              </w:rPr>
              <w:t>171.934</w:t>
            </w:r>
          </w:p>
        </w:tc>
        <w:tc>
          <w:tcPr>
            <w:tcW w:w="955" w:type="dxa"/>
            <w:shd w:val="clear" w:color="auto" w:fill="D9D9D9" w:themeFill="background1" w:themeFillShade="D9"/>
            <w:hideMark/>
          </w:tcPr>
          <w:p w14:paraId="697ECC9D" w14:textId="565D55ED" w:rsidR="000F4F90" w:rsidRPr="002B4888" w:rsidRDefault="000F4F90" w:rsidP="002B4888">
            <w:pPr>
              <w:spacing w:after="0" w:line="240" w:lineRule="auto"/>
              <w:jc w:val="center"/>
              <w:rPr>
                <w:rFonts w:cstheme="minorHAnsi"/>
                <w:b/>
                <w:bCs/>
                <w:i/>
                <w:iCs/>
                <w:color w:val="auto"/>
                <w:sz w:val="18"/>
                <w:szCs w:val="18"/>
              </w:rPr>
            </w:pPr>
          </w:p>
        </w:tc>
        <w:tc>
          <w:tcPr>
            <w:tcW w:w="800" w:type="dxa"/>
            <w:shd w:val="clear" w:color="auto" w:fill="D9D9D9" w:themeFill="background1" w:themeFillShade="D9"/>
            <w:hideMark/>
          </w:tcPr>
          <w:p w14:paraId="407C9467" w14:textId="228C211F" w:rsidR="000F4F90" w:rsidRPr="002B4888" w:rsidRDefault="000F4F90" w:rsidP="002B4888">
            <w:pPr>
              <w:spacing w:after="0" w:line="240" w:lineRule="auto"/>
              <w:jc w:val="center"/>
              <w:rPr>
                <w:rFonts w:cstheme="minorHAnsi"/>
                <w:b/>
                <w:bCs/>
                <w:i/>
                <w:iCs/>
                <w:color w:val="auto"/>
                <w:sz w:val="18"/>
                <w:szCs w:val="18"/>
              </w:rPr>
            </w:pPr>
          </w:p>
        </w:tc>
      </w:tr>
    </w:tbl>
    <w:p w14:paraId="2D41DA6B" w14:textId="6B1B896D" w:rsidR="000F4F90" w:rsidRPr="002B4888" w:rsidRDefault="000F4F90" w:rsidP="000F4F90">
      <w:pPr>
        <w:spacing w:after="0" w:line="240" w:lineRule="auto"/>
        <w:rPr>
          <w:i/>
          <w:color w:val="auto"/>
          <w:sz w:val="18"/>
          <w:szCs w:val="18"/>
        </w:rPr>
      </w:pPr>
      <w:r w:rsidRPr="002B4888">
        <w:rPr>
          <w:i/>
          <w:color w:val="auto"/>
          <w:sz w:val="18"/>
          <w:szCs w:val="18"/>
        </w:rPr>
        <w:t>Πηγή: Δελτίο μηνιαίων στοιχείων Γενικής Κυβέρνησης, Ιανουάριος- Μάριος 2021</w:t>
      </w:r>
      <w:r w:rsidR="00761934">
        <w:rPr>
          <w:i/>
          <w:color w:val="auto"/>
          <w:sz w:val="18"/>
          <w:szCs w:val="18"/>
        </w:rPr>
        <w:t>, ΕΛΣΤΑΤ, Πρόγραμμα Σταθερότητας Απρίλιος 2021</w:t>
      </w:r>
    </w:p>
    <w:p w14:paraId="52650BA5" w14:textId="56F76A42" w:rsidR="000F4F90" w:rsidRPr="002B4888" w:rsidRDefault="000F4F90" w:rsidP="000F4F90">
      <w:pPr>
        <w:spacing w:after="0" w:line="240" w:lineRule="auto"/>
        <w:rPr>
          <w:i/>
          <w:color w:val="auto"/>
          <w:sz w:val="18"/>
          <w:szCs w:val="18"/>
        </w:rPr>
      </w:pPr>
      <w:r w:rsidRPr="002B4888">
        <w:rPr>
          <w:i/>
          <w:color w:val="auto"/>
          <w:sz w:val="18"/>
          <w:szCs w:val="18"/>
        </w:rPr>
        <w:t xml:space="preserve"> </w:t>
      </w:r>
    </w:p>
    <w:p w14:paraId="097C8B71" w14:textId="77777777" w:rsidR="000F4F90" w:rsidRDefault="000F4F90" w:rsidP="000F4F90">
      <w:pPr>
        <w:spacing w:line="360" w:lineRule="auto"/>
        <w:rPr>
          <w:rFonts w:cstheme="minorHAnsi"/>
          <w:sz w:val="24"/>
          <w:szCs w:val="24"/>
        </w:rPr>
      </w:pPr>
    </w:p>
    <w:p w14:paraId="21ED8DF5" w14:textId="54FA271B" w:rsidR="00761934" w:rsidRPr="002B4888" w:rsidRDefault="00761934" w:rsidP="00761934">
      <w:pPr>
        <w:spacing w:after="160"/>
        <w:rPr>
          <w:color w:val="auto"/>
        </w:rPr>
      </w:pPr>
      <w:r>
        <w:rPr>
          <w:color w:val="auto"/>
        </w:rPr>
        <w:t>Μείωση</w:t>
      </w:r>
      <w:r w:rsidRPr="002B4888">
        <w:rPr>
          <w:color w:val="auto"/>
        </w:rPr>
        <w:t xml:space="preserve"> </w:t>
      </w:r>
      <w:r>
        <w:rPr>
          <w:color w:val="auto"/>
        </w:rPr>
        <w:t>παρουσιάζεται επίσης σ</w:t>
      </w:r>
      <w:r w:rsidRPr="002B4888">
        <w:rPr>
          <w:color w:val="auto"/>
        </w:rPr>
        <w:t>το σκέλος των εσόδων</w:t>
      </w:r>
      <w:r>
        <w:rPr>
          <w:color w:val="auto"/>
        </w:rPr>
        <w:t>,</w:t>
      </w:r>
      <w:r w:rsidRPr="002B4888">
        <w:rPr>
          <w:color w:val="auto"/>
        </w:rPr>
        <w:t xml:space="preserve"> λόγω μειωμένων εισπράξεων ασφαλιστ</w:t>
      </w:r>
      <w:r w:rsidR="00203C86">
        <w:rPr>
          <w:color w:val="auto"/>
        </w:rPr>
        <w:t>ικών εισφορών (-362 εκατ. ευ</w:t>
      </w:r>
      <w:r w:rsidR="009B1401">
        <w:rPr>
          <w:color w:val="auto"/>
        </w:rPr>
        <w:t>ρώ), η οποία οφείλεται στα μέτρα αναστολής πληρωμών,</w:t>
      </w:r>
      <w:r w:rsidRPr="002B4888">
        <w:rPr>
          <w:color w:val="auto"/>
        </w:rPr>
        <w:t xml:space="preserve">σε μειωμένες μεταβιβάσεις (-277 εκατ. ευρώ) και σε μειωμένες εισπράξεις από πωλήσεις μη χρηματοοικονομικών παγίων (-108 εκατ. ευρώ). </w:t>
      </w:r>
      <w:r>
        <w:rPr>
          <w:color w:val="auto"/>
        </w:rPr>
        <w:t xml:space="preserve">Παράλληλα, </w:t>
      </w:r>
      <w:r w:rsidRPr="002B4888">
        <w:rPr>
          <w:color w:val="auto"/>
        </w:rPr>
        <w:t>οι εισπράξεις φορολογικών εσόδων σε επίπεδο ΓΚ αυξήθηκαν κατά</w:t>
      </w:r>
      <w:r w:rsidR="009B1401">
        <w:rPr>
          <w:color w:val="auto"/>
        </w:rPr>
        <w:t xml:space="preserve"> </w:t>
      </w:r>
      <w:r w:rsidRPr="002B4888">
        <w:rPr>
          <w:color w:val="auto"/>
        </w:rPr>
        <w:t>235 εκατ. ευρώ</w:t>
      </w:r>
      <w:r>
        <w:rPr>
          <w:color w:val="auto"/>
        </w:rPr>
        <w:t xml:space="preserve"> </w:t>
      </w:r>
      <w:r w:rsidRPr="002B4888">
        <w:rPr>
          <w:color w:val="auto"/>
        </w:rPr>
        <w:t>περίπου.</w:t>
      </w:r>
    </w:p>
    <w:p w14:paraId="7544EA9E" w14:textId="77777777" w:rsidR="000F4F90" w:rsidRPr="002B4888" w:rsidRDefault="000F4F90" w:rsidP="002B4888">
      <w:pPr>
        <w:spacing w:after="160"/>
        <w:rPr>
          <w:color w:val="auto"/>
        </w:rPr>
      </w:pPr>
      <w:r w:rsidRPr="002B4888">
        <w:rPr>
          <w:color w:val="auto"/>
        </w:rPr>
        <w:t>Το επιδεινούμενο αυτό ταμειακό αποτέλεσμα, σε ένα βαθμό, μπορεί να χαρακτηριστεί ως αναμενόμενο λόγω των πολύ αυξημένων δαπανών που εκτελέστηκαν το α’ τρίμηνο του 2021 για την αντιμετώπιση των συνεπειών της πανδημίας, οι οποίες δεν υπήρχαν το αντίστοιχο τρίμηνο του 2020. Τους επόμενους μήνες, εφόσον ελεγχθεί το επιδημιολογικό φαινόμενο, αναμένεται σαφώς βελτίωση του ταμειακού αποτελέσματος της ΓΚ διότι:</w:t>
      </w:r>
    </w:p>
    <w:p w14:paraId="6FE9A5A2" w14:textId="7F0107D8" w:rsidR="000F4F90" w:rsidRPr="002B4888" w:rsidRDefault="000F4F90" w:rsidP="002B4888">
      <w:pPr>
        <w:spacing w:after="160"/>
        <w:rPr>
          <w:color w:val="auto"/>
        </w:rPr>
      </w:pPr>
      <w:r w:rsidRPr="002B4888">
        <w:rPr>
          <w:color w:val="auto"/>
        </w:rPr>
        <w:t xml:space="preserve">α) οι δαπάνες που πραγματοποιήθηκαν πέρυσι μετά το α’ τρίμηνο δεν θα επαναληφθούν </w:t>
      </w:r>
      <w:r w:rsidR="00761934">
        <w:rPr>
          <w:color w:val="auto"/>
        </w:rPr>
        <w:t xml:space="preserve">στην ίδια έκταση </w:t>
      </w:r>
      <w:r w:rsidRPr="002B4888">
        <w:rPr>
          <w:color w:val="auto"/>
        </w:rPr>
        <w:t xml:space="preserve">και </w:t>
      </w:r>
    </w:p>
    <w:p w14:paraId="718429F7" w14:textId="77777777" w:rsidR="000F4F90" w:rsidRPr="002B4888" w:rsidRDefault="000F4F90" w:rsidP="002B4888">
      <w:pPr>
        <w:spacing w:after="160"/>
        <w:rPr>
          <w:color w:val="auto"/>
        </w:rPr>
      </w:pPr>
      <w:r w:rsidRPr="002B4888">
        <w:rPr>
          <w:color w:val="auto"/>
        </w:rPr>
        <w:t>β) η μείωση της αβεβαιότητας και η συνεπαγόμενη εξομάλυνση της οικονομικής δραστηριότητας θα επιτρέψει την αύξηση των εισπράξεων από φορολογικά έσοδα και ασφαλιστικές εισφορές, οι οποίες είχαν δεχτεί ισχυρό πλήγμα σωρευτικά τους τελευταίους εννέα μήνες του 2020.</w:t>
      </w:r>
    </w:p>
    <w:p w14:paraId="199B3974" w14:textId="77777777" w:rsidR="000F4F90" w:rsidRPr="007C4299" w:rsidRDefault="000F4F90" w:rsidP="000908EA">
      <w:pPr>
        <w:spacing w:after="160"/>
        <w:rPr>
          <w:rFonts w:ascii="Calibri" w:eastAsia="Calibri" w:hAnsi="Calibri" w:cs="Calibri"/>
          <w:color w:val="00B0F0"/>
          <w:sz w:val="16"/>
          <w:szCs w:val="16"/>
        </w:rPr>
      </w:pPr>
    </w:p>
    <w:p w14:paraId="32749FB2" w14:textId="03631357" w:rsidR="002B4888" w:rsidRDefault="002B4888">
      <w:pPr>
        <w:spacing w:after="160" w:line="0" w:lineRule="auto"/>
        <w:jc w:val="left"/>
      </w:pPr>
      <w:r>
        <w:br w:type="page"/>
      </w:r>
    </w:p>
    <w:p w14:paraId="4051B1BE" w14:textId="273BC40A" w:rsidR="002F5A77" w:rsidRDefault="005072FE" w:rsidP="00D07140">
      <w:pPr>
        <w:pStyle w:val="a0"/>
        <w:numPr>
          <w:ilvl w:val="0"/>
          <w:numId w:val="3"/>
        </w:numPr>
        <w:ind w:left="0"/>
        <w:rPr>
          <w:sz w:val="32"/>
          <w:szCs w:val="32"/>
        </w:rPr>
      </w:pPr>
      <w:bookmarkStart w:id="170" w:name="_Toc73435753"/>
      <w:r w:rsidRPr="005072FE">
        <w:rPr>
          <w:sz w:val="32"/>
          <w:szCs w:val="32"/>
        </w:rPr>
        <w:t>Εξέλιξη ληξιπρόθεσμων υποχρεώσεων, απαιτήσεων και εγγυήσεων ελληνικού Δημοσίου</w:t>
      </w:r>
      <w:bookmarkEnd w:id="170"/>
    </w:p>
    <w:p w14:paraId="0481E321" w14:textId="218B6ED5" w:rsidR="00042D74" w:rsidRDefault="00042D74" w:rsidP="00042D74">
      <w:pPr>
        <w:numPr>
          <w:ilvl w:val="0"/>
          <w:numId w:val="21"/>
        </w:numPr>
        <w:spacing w:after="160"/>
        <w:rPr>
          <w:rFonts w:eastAsia="Calibri" w:cs="Times New Roman"/>
          <w:b/>
          <w:i/>
          <w:color w:val="595959" w:themeColor="text1" w:themeTint="A6"/>
          <w:sz w:val="24"/>
          <w:szCs w:val="24"/>
        </w:rPr>
      </w:pPr>
      <w:r w:rsidRPr="00042D74">
        <w:rPr>
          <w:rFonts w:eastAsia="Calibri" w:cs="Times New Roman"/>
          <w:b/>
          <w:i/>
          <w:color w:val="595959" w:themeColor="text1" w:themeTint="A6"/>
          <w:sz w:val="24"/>
          <w:szCs w:val="24"/>
        </w:rPr>
        <w:t>Το α’ τρίμηνο του 2021</w:t>
      </w:r>
      <w:r w:rsidR="00203C86">
        <w:rPr>
          <w:rFonts w:eastAsia="Calibri" w:cs="Times New Roman"/>
          <w:b/>
          <w:i/>
          <w:color w:val="595959" w:themeColor="text1" w:themeTint="A6"/>
          <w:sz w:val="24"/>
          <w:szCs w:val="24"/>
        </w:rPr>
        <w:t>,</w:t>
      </w:r>
      <w:r>
        <w:rPr>
          <w:rFonts w:eastAsia="Calibri" w:cs="Times New Roman"/>
          <w:b/>
          <w:i/>
          <w:color w:val="595959" w:themeColor="text1" w:themeTint="A6"/>
          <w:sz w:val="24"/>
          <w:szCs w:val="24"/>
        </w:rPr>
        <w:t xml:space="preserve"> το απόθεμα </w:t>
      </w:r>
      <w:r w:rsidRPr="00042D74">
        <w:rPr>
          <w:rFonts w:eastAsia="Calibri" w:cs="Times New Roman"/>
          <w:b/>
          <w:i/>
          <w:color w:val="595959" w:themeColor="text1" w:themeTint="A6"/>
          <w:sz w:val="24"/>
          <w:szCs w:val="24"/>
        </w:rPr>
        <w:t xml:space="preserve">των ληξιπρόθεσμων υποχρεώσεων </w:t>
      </w:r>
      <w:r>
        <w:rPr>
          <w:rFonts w:eastAsia="Calibri" w:cs="Times New Roman"/>
          <w:b/>
          <w:i/>
          <w:color w:val="595959" w:themeColor="text1" w:themeTint="A6"/>
          <w:sz w:val="24"/>
          <w:szCs w:val="24"/>
        </w:rPr>
        <w:t xml:space="preserve">του ελληνικού Δημοσίου </w:t>
      </w:r>
      <w:r w:rsidRPr="00042D74">
        <w:rPr>
          <w:rFonts w:eastAsia="Calibri" w:cs="Times New Roman"/>
          <w:b/>
          <w:i/>
          <w:color w:val="595959" w:themeColor="text1" w:themeTint="A6"/>
          <w:sz w:val="24"/>
          <w:szCs w:val="24"/>
        </w:rPr>
        <w:t>(συμπεριλαμβανομένων και των εκκρεμών επιστροφών φόρων)</w:t>
      </w:r>
      <w:r>
        <w:rPr>
          <w:rFonts w:eastAsia="Calibri" w:cs="Times New Roman"/>
          <w:b/>
          <w:i/>
          <w:color w:val="595959" w:themeColor="text1" w:themeTint="A6"/>
          <w:sz w:val="24"/>
          <w:szCs w:val="24"/>
        </w:rPr>
        <w:t xml:space="preserve"> διαμορφώθηκε στα 2,5 δισ. ευρώ, περίπου.</w:t>
      </w:r>
    </w:p>
    <w:p w14:paraId="5BBA17F5" w14:textId="21274AF8" w:rsidR="00042D74" w:rsidRDefault="00042D74" w:rsidP="00042D74">
      <w:pPr>
        <w:numPr>
          <w:ilvl w:val="0"/>
          <w:numId w:val="21"/>
        </w:numPr>
        <w:spacing w:after="160"/>
        <w:rPr>
          <w:rFonts w:eastAsia="Calibri" w:cs="Times New Roman"/>
          <w:b/>
          <w:i/>
          <w:color w:val="595959" w:themeColor="text1" w:themeTint="A6"/>
          <w:sz w:val="24"/>
          <w:szCs w:val="24"/>
        </w:rPr>
      </w:pPr>
      <w:r>
        <w:rPr>
          <w:rFonts w:eastAsia="Calibri" w:cs="Times New Roman"/>
          <w:b/>
          <w:i/>
          <w:color w:val="595959" w:themeColor="text1" w:themeTint="A6"/>
          <w:sz w:val="24"/>
          <w:szCs w:val="24"/>
        </w:rPr>
        <w:t>Η αύξηση κατά τη διάρκεια του α’ τριμήνου του 2021 κα</w:t>
      </w:r>
      <w:r w:rsidR="00DF2770">
        <w:rPr>
          <w:rFonts w:eastAsia="Calibri" w:cs="Times New Roman"/>
          <w:b/>
          <w:i/>
          <w:color w:val="595959" w:themeColor="text1" w:themeTint="A6"/>
          <w:sz w:val="24"/>
          <w:szCs w:val="24"/>
        </w:rPr>
        <w:t>τά 717 εκατ. ευρώ οφείλεται στη</w:t>
      </w:r>
      <w:r>
        <w:rPr>
          <w:rFonts w:eastAsia="Calibri" w:cs="Times New Roman"/>
          <w:b/>
          <w:i/>
          <w:color w:val="595959" w:themeColor="text1" w:themeTint="A6"/>
          <w:sz w:val="24"/>
          <w:szCs w:val="24"/>
        </w:rPr>
        <w:t xml:space="preserve"> συσσώρευση </w:t>
      </w:r>
      <w:r w:rsidRPr="00042D74">
        <w:rPr>
          <w:rFonts w:eastAsia="Calibri" w:cs="Times New Roman"/>
          <w:b/>
          <w:i/>
          <w:color w:val="595959" w:themeColor="text1" w:themeTint="A6"/>
          <w:sz w:val="24"/>
          <w:szCs w:val="24"/>
        </w:rPr>
        <w:t>επιπλέον ληξιπρόθεσμων υποχρεώσεων</w:t>
      </w:r>
      <w:r>
        <w:rPr>
          <w:rFonts w:eastAsia="Calibri" w:cs="Times New Roman"/>
          <w:b/>
          <w:i/>
          <w:color w:val="595959" w:themeColor="text1" w:themeTint="A6"/>
          <w:sz w:val="24"/>
          <w:szCs w:val="24"/>
        </w:rPr>
        <w:t xml:space="preserve"> όλων των υποτομέων της ΓΚ και κυρίως των </w:t>
      </w:r>
      <w:r w:rsidRPr="00042D74">
        <w:rPr>
          <w:rFonts w:eastAsia="Calibri" w:cs="Times New Roman"/>
          <w:b/>
          <w:i/>
          <w:color w:val="595959" w:themeColor="text1" w:themeTint="A6"/>
          <w:sz w:val="24"/>
          <w:szCs w:val="24"/>
        </w:rPr>
        <w:t xml:space="preserve"> Νοσοκομείων</w:t>
      </w:r>
      <w:r>
        <w:rPr>
          <w:rFonts w:eastAsia="Calibri" w:cs="Times New Roman"/>
          <w:b/>
          <w:i/>
          <w:color w:val="595959" w:themeColor="text1" w:themeTint="A6"/>
          <w:sz w:val="24"/>
          <w:szCs w:val="24"/>
        </w:rPr>
        <w:t xml:space="preserve"> (391 εκατ. ευρώ).</w:t>
      </w:r>
    </w:p>
    <w:p w14:paraId="6CDEF26A" w14:textId="3D8215B0" w:rsidR="00042D74" w:rsidRDefault="00042D74" w:rsidP="00042D74">
      <w:pPr>
        <w:numPr>
          <w:ilvl w:val="0"/>
          <w:numId w:val="21"/>
        </w:numPr>
        <w:spacing w:after="160"/>
        <w:rPr>
          <w:rFonts w:eastAsia="Calibri" w:cs="Times New Roman"/>
          <w:b/>
          <w:i/>
          <w:color w:val="595959" w:themeColor="text1" w:themeTint="A6"/>
          <w:sz w:val="24"/>
          <w:szCs w:val="24"/>
        </w:rPr>
      </w:pPr>
      <w:r>
        <w:rPr>
          <w:rFonts w:eastAsia="Calibri" w:cs="Times New Roman"/>
          <w:b/>
          <w:i/>
          <w:color w:val="595959" w:themeColor="text1" w:themeTint="A6"/>
          <w:sz w:val="24"/>
          <w:szCs w:val="24"/>
        </w:rPr>
        <w:t>Τα εκκρεμή αιτήματα συνταξιοδότησης που συμπεριλαμβάνονται στις ληξιπρόθεσμες υποχρεώσεις εκτιμώνται σε 220 εκατ. ευρώ.</w:t>
      </w:r>
    </w:p>
    <w:p w14:paraId="4286E5CB" w14:textId="52889449" w:rsidR="0049730B" w:rsidRDefault="0049730B" w:rsidP="0049730B">
      <w:pPr>
        <w:numPr>
          <w:ilvl w:val="0"/>
          <w:numId w:val="21"/>
        </w:numPr>
        <w:spacing w:after="160"/>
        <w:rPr>
          <w:rFonts w:eastAsia="Calibri" w:cs="Times New Roman"/>
          <w:b/>
          <w:i/>
          <w:color w:val="595959" w:themeColor="text1" w:themeTint="A6"/>
          <w:sz w:val="24"/>
          <w:szCs w:val="24"/>
        </w:rPr>
      </w:pPr>
      <w:r w:rsidRPr="0049730B">
        <w:rPr>
          <w:rFonts w:eastAsia="Calibri" w:cs="Times New Roman"/>
          <w:b/>
          <w:i/>
          <w:color w:val="595959" w:themeColor="text1" w:themeTint="A6"/>
          <w:sz w:val="24"/>
          <w:szCs w:val="24"/>
        </w:rPr>
        <w:t>Η πανδημία επηρέασε τις ληξιπρόθεσμες απαιτήσεις του ελληνι</w:t>
      </w:r>
      <w:r>
        <w:rPr>
          <w:rFonts w:eastAsia="Calibri" w:cs="Times New Roman"/>
          <w:b/>
          <w:i/>
          <w:color w:val="595959" w:themeColor="text1" w:themeTint="A6"/>
          <w:sz w:val="24"/>
          <w:szCs w:val="24"/>
        </w:rPr>
        <w:t xml:space="preserve">κού </w:t>
      </w:r>
      <w:r w:rsidR="00203C86">
        <w:rPr>
          <w:rFonts w:eastAsia="Calibri" w:cs="Times New Roman"/>
          <w:b/>
          <w:i/>
          <w:color w:val="595959" w:themeColor="text1" w:themeTint="A6"/>
          <w:sz w:val="24"/>
          <w:szCs w:val="24"/>
        </w:rPr>
        <w:t>Δ</w:t>
      </w:r>
      <w:r>
        <w:rPr>
          <w:rFonts w:eastAsia="Calibri" w:cs="Times New Roman"/>
          <w:b/>
          <w:i/>
          <w:color w:val="595959" w:themeColor="text1" w:themeTint="A6"/>
          <w:sz w:val="24"/>
          <w:szCs w:val="24"/>
        </w:rPr>
        <w:t xml:space="preserve">ημοσίου (παλιές και νέες), </w:t>
      </w:r>
      <w:r w:rsidR="00203C86">
        <w:rPr>
          <w:rFonts w:eastAsia="Calibri" w:cs="Times New Roman"/>
          <w:b/>
          <w:i/>
          <w:color w:val="595959" w:themeColor="text1" w:themeTint="A6"/>
          <w:sz w:val="24"/>
          <w:szCs w:val="24"/>
        </w:rPr>
        <w:t xml:space="preserve">οι </w:t>
      </w:r>
      <w:r>
        <w:rPr>
          <w:rFonts w:eastAsia="Calibri" w:cs="Times New Roman"/>
          <w:b/>
          <w:i/>
          <w:color w:val="595959" w:themeColor="text1" w:themeTint="A6"/>
          <w:sz w:val="24"/>
          <w:szCs w:val="24"/>
        </w:rPr>
        <w:t>οποίες διαμορφώθηκαν στα 2.164 εκατ. ευρώ στο τέλος του 2020, ελαφρώς αυξημένες κατά 82 εκατ. ευρώ</w:t>
      </w:r>
      <w:r w:rsidR="00866253">
        <w:rPr>
          <w:rFonts w:eastAsia="Calibri" w:cs="Times New Roman"/>
          <w:b/>
          <w:i/>
          <w:color w:val="595959" w:themeColor="text1" w:themeTint="A6"/>
          <w:sz w:val="24"/>
          <w:szCs w:val="24"/>
        </w:rPr>
        <w:t>.</w:t>
      </w:r>
    </w:p>
    <w:p w14:paraId="6238F77B" w14:textId="5BCE2C8F" w:rsidR="00866253" w:rsidRDefault="00866253" w:rsidP="0049730B">
      <w:pPr>
        <w:numPr>
          <w:ilvl w:val="0"/>
          <w:numId w:val="21"/>
        </w:numPr>
        <w:spacing w:after="160"/>
        <w:rPr>
          <w:rFonts w:eastAsia="Calibri" w:cs="Times New Roman"/>
          <w:b/>
          <w:i/>
          <w:color w:val="595959" w:themeColor="text1" w:themeTint="A6"/>
          <w:sz w:val="24"/>
          <w:szCs w:val="24"/>
        </w:rPr>
      </w:pPr>
      <w:r>
        <w:rPr>
          <w:rFonts w:eastAsia="Calibri" w:cs="Times New Roman"/>
          <w:b/>
          <w:i/>
          <w:color w:val="595959" w:themeColor="text1" w:themeTint="A6"/>
          <w:sz w:val="24"/>
          <w:szCs w:val="24"/>
        </w:rPr>
        <w:t>Αντίστοιχη επιδείνωση κατέγραψαν οι εισπράξεις έναντι ληξιπρόθεσμων απαιτήσεων σε σχέση με πέρυσι (1.052 εκατ. ευρώ το 2020, έναντι 1.155 εκατ. ευρώ το 2019).</w:t>
      </w:r>
    </w:p>
    <w:p w14:paraId="0F905699" w14:textId="2DEED043" w:rsidR="00866253" w:rsidRDefault="000D3B8F" w:rsidP="000D3B8F">
      <w:pPr>
        <w:numPr>
          <w:ilvl w:val="0"/>
          <w:numId w:val="21"/>
        </w:numPr>
        <w:spacing w:after="160"/>
        <w:rPr>
          <w:rFonts w:eastAsia="Calibri" w:cs="Times New Roman"/>
          <w:b/>
          <w:i/>
          <w:color w:val="595959" w:themeColor="text1" w:themeTint="A6"/>
          <w:sz w:val="24"/>
          <w:szCs w:val="24"/>
        </w:rPr>
      </w:pPr>
      <w:r>
        <w:rPr>
          <w:rFonts w:eastAsia="Calibri" w:cs="Times New Roman"/>
          <w:b/>
          <w:i/>
          <w:color w:val="595959" w:themeColor="text1" w:themeTint="A6"/>
          <w:sz w:val="24"/>
          <w:szCs w:val="24"/>
        </w:rPr>
        <w:t xml:space="preserve">Συνεχίστηκε το 2020 </w:t>
      </w:r>
      <w:r w:rsidRPr="000D3B8F">
        <w:rPr>
          <w:rFonts w:eastAsia="Calibri" w:cs="Times New Roman"/>
          <w:b/>
          <w:i/>
          <w:color w:val="595959" w:themeColor="text1" w:themeTint="A6"/>
          <w:sz w:val="24"/>
          <w:szCs w:val="24"/>
        </w:rPr>
        <w:t xml:space="preserve">η συρρίκνωση του ανεξόφλητου κεφαλαίου </w:t>
      </w:r>
      <w:r>
        <w:rPr>
          <w:rFonts w:eastAsia="Calibri" w:cs="Times New Roman"/>
          <w:b/>
          <w:i/>
          <w:color w:val="595959" w:themeColor="text1" w:themeTint="A6"/>
          <w:sz w:val="24"/>
          <w:szCs w:val="24"/>
        </w:rPr>
        <w:t>των εγγυήσεων του ελληνικού Δημοσίου το οποίο διαμορφώθηκε στα 9.277 εκατ. ευρώ.</w:t>
      </w:r>
    </w:p>
    <w:p w14:paraId="0EDE8DE3" w14:textId="64EF645A" w:rsidR="00B75733" w:rsidRDefault="00B75733" w:rsidP="000D3B8F">
      <w:pPr>
        <w:numPr>
          <w:ilvl w:val="0"/>
          <w:numId w:val="21"/>
        </w:numPr>
        <w:spacing w:after="160"/>
        <w:rPr>
          <w:rFonts w:eastAsia="Calibri" w:cs="Times New Roman"/>
          <w:b/>
          <w:i/>
          <w:color w:val="595959" w:themeColor="text1" w:themeTint="A6"/>
          <w:sz w:val="24"/>
          <w:szCs w:val="24"/>
        </w:rPr>
      </w:pPr>
      <w:r>
        <w:rPr>
          <w:rFonts w:eastAsia="Calibri" w:cs="Times New Roman"/>
          <w:b/>
          <w:i/>
          <w:color w:val="595959" w:themeColor="text1" w:themeTint="A6"/>
          <w:sz w:val="24"/>
          <w:szCs w:val="24"/>
        </w:rPr>
        <w:t>Για την αντιμετώπιση της πανδημίας</w:t>
      </w:r>
      <w:r w:rsidR="00203C86">
        <w:rPr>
          <w:rFonts w:eastAsia="Calibri" w:cs="Times New Roman"/>
          <w:b/>
          <w:i/>
          <w:color w:val="595959" w:themeColor="text1" w:themeTint="A6"/>
          <w:sz w:val="24"/>
          <w:szCs w:val="24"/>
        </w:rPr>
        <w:t>,</w:t>
      </w:r>
      <w:r>
        <w:rPr>
          <w:rFonts w:eastAsia="Calibri" w:cs="Times New Roman"/>
          <w:b/>
          <w:i/>
          <w:color w:val="595959" w:themeColor="text1" w:themeTint="A6"/>
          <w:sz w:val="24"/>
          <w:szCs w:val="24"/>
        </w:rPr>
        <w:t xml:space="preserve"> το ελληνικό Δημόσιο επέκτεινε</w:t>
      </w:r>
      <w:r w:rsidR="00203C86">
        <w:rPr>
          <w:rFonts w:eastAsia="Calibri" w:cs="Times New Roman"/>
          <w:b/>
          <w:i/>
          <w:color w:val="595959" w:themeColor="text1" w:themeTint="A6"/>
          <w:sz w:val="24"/>
          <w:szCs w:val="24"/>
        </w:rPr>
        <w:t xml:space="preserve"> το 2020</w:t>
      </w:r>
      <w:r>
        <w:rPr>
          <w:rFonts w:eastAsia="Calibri" w:cs="Times New Roman"/>
          <w:b/>
          <w:i/>
          <w:color w:val="595959" w:themeColor="text1" w:themeTint="A6"/>
          <w:sz w:val="24"/>
          <w:szCs w:val="24"/>
        </w:rPr>
        <w:t xml:space="preserve"> το εγγυητικό του πρόγραμμα μέχρι </w:t>
      </w:r>
      <w:r w:rsidR="00203C86">
        <w:rPr>
          <w:rFonts w:eastAsia="Calibri" w:cs="Times New Roman"/>
          <w:b/>
          <w:i/>
          <w:color w:val="595959" w:themeColor="text1" w:themeTint="A6"/>
          <w:sz w:val="24"/>
          <w:szCs w:val="24"/>
        </w:rPr>
        <w:t>το ποσό</w:t>
      </w:r>
      <w:r>
        <w:rPr>
          <w:rFonts w:eastAsia="Calibri" w:cs="Times New Roman"/>
          <w:b/>
          <w:i/>
          <w:color w:val="595959" w:themeColor="text1" w:themeTint="A6"/>
          <w:sz w:val="24"/>
          <w:szCs w:val="24"/>
        </w:rPr>
        <w:t xml:space="preserve"> των 2,7 δισ. ευρώ.</w:t>
      </w:r>
    </w:p>
    <w:p w14:paraId="07D8FA11" w14:textId="77777777" w:rsidR="00042D74" w:rsidRPr="00042D74" w:rsidRDefault="00042D74" w:rsidP="00042D74">
      <w:pPr>
        <w:rPr>
          <w:rFonts w:eastAsia="Calibri" w:cs="Times New Roman"/>
          <w:b/>
          <w:iCs/>
          <w:color w:val="808080" w:themeColor="background1" w:themeShade="80"/>
        </w:rPr>
      </w:pPr>
    </w:p>
    <w:p w14:paraId="63A94A02" w14:textId="64BC48AA" w:rsidR="00C14992" w:rsidRDefault="00C14992">
      <w:pPr>
        <w:spacing w:after="160" w:line="0" w:lineRule="auto"/>
        <w:jc w:val="left"/>
      </w:pPr>
      <w:r>
        <w:br w:type="page"/>
      </w:r>
    </w:p>
    <w:p w14:paraId="0238FD9E" w14:textId="7972863C" w:rsidR="002F5A77" w:rsidRPr="00312FFB" w:rsidRDefault="005072FE" w:rsidP="00D07140">
      <w:pPr>
        <w:pStyle w:val="a1"/>
        <w:numPr>
          <w:ilvl w:val="1"/>
          <w:numId w:val="3"/>
        </w:numPr>
        <w:ind w:left="0"/>
        <w:rPr>
          <w:color w:val="00B0F0"/>
          <w:sz w:val="28"/>
          <w:szCs w:val="28"/>
        </w:rPr>
      </w:pPr>
      <w:bookmarkStart w:id="171" w:name="_Toc73435754"/>
      <w:r w:rsidRPr="005072FE">
        <w:rPr>
          <w:color w:val="00B0F0"/>
          <w:sz w:val="28"/>
          <w:szCs w:val="28"/>
        </w:rPr>
        <w:t>Ληξιπρόθεσμες υποχρεώσεις Γενικής Κυβέρνησης</w:t>
      </w:r>
      <w:bookmarkEnd w:id="171"/>
    </w:p>
    <w:p w14:paraId="0598EDF3" w14:textId="787B660B" w:rsidR="00DF2770" w:rsidRPr="00C14992" w:rsidRDefault="00DF2770" w:rsidP="00DF2770">
      <w:pPr>
        <w:autoSpaceDE w:val="0"/>
        <w:autoSpaceDN w:val="0"/>
        <w:adjustRightInd w:val="0"/>
        <w:spacing w:after="0"/>
        <w:rPr>
          <w:color w:val="auto"/>
        </w:rPr>
      </w:pPr>
      <w:bookmarkStart w:id="172" w:name="_Toc495497480"/>
      <w:r w:rsidRPr="00C14992">
        <w:rPr>
          <w:rFonts w:eastAsia="Calibri" w:cs="Times New Roman"/>
          <w:color w:val="auto"/>
        </w:rPr>
        <w:t xml:space="preserve">Το απόθεμα των ληξιπρόθεσμων υποχρεώσεων (συμπεριλαμβανομένων και των εκκρεμών επιστροφών φόρων) το 2020 </w:t>
      </w:r>
      <w:r w:rsidR="00C80D28">
        <w:rPr>
          <w:rFonts w:eastAsia="Calibri" w:cs="Times New Roman"/>
          <w:color w:val="auto"/>
        </w:rPr>
        <w:t xml:space="preserve">περιορίστηκε </w:t>
      </w:r>
      <w:r>
        <w:rPr>
          <w:rFonts w:eastAsia="Calibri" w:cs="Times New Roman"/>
          <w:color w:val="auto"/>
        </w:rPr>
        <w:t>σ</w:t>
      </w:r>
      <w:r w:rsidRPr="00C14992">
        <w:rPr>
          <w:rFonts w:eastAsia="Calibri" w:cs="Times New Roman"/>
          <w:color w:val="auto"/>
        </w:rPr>
        <w:t>τα 1.839 εκατ.</w:t>
      </w:r>
      <w:r>
        <w:rPr>
          <w:rFonts w:eastAsia="Calibri" w:cs="Times New Roman"/>
          <w:color w:val="auto"/>
        </w:rPr>
        <w:t xml:space="preserve"> </w:t>
      </w:r>
      <w:r w:rsidRPr="00C14992">
        <w:rPr>
          <w:rFonts w:eastAsia="Calibri" w:cs="Times New Roman"/>
          <w:color w:val="auto"/>
        </w:rPr>
        <w:t>ευρώ</w:t>
      </w:r>
      <w:r>
        <w:rPr>
          <w:rFonts w:eastAsia="Calibri" w:cs="Times New Roman"/>
          <w:color w:val="auto"/>
        </w:rPr>
        <w:t>, που αντιστοιχεί σ</w:t>
      </w:r>
      <w:r w:rsidRPr="00C14992">
        <w:rPr>
          <w:rFonts w:eastAsia="Calibri" w:cs="Times New Roman"/>
          <w:color w:val="auto"/>
        </w:rPr>
        <w:t>το κατώτερ</w:t>
      </w:r>
      <w:r>
        <w:rPr>
          <w:rFonts w:eastAsia="Calibri" w:cs="Times New Roman"/>
          <w:color w:val="auto"/>
        </w:rPr>
        <w:t xml:space="preserve">ο σημείο </w:t>
      </w:r>
      <w:r w:rsidR="00C80D28">
        <w:rPr>
          <w:rFonts w:eastAsia="Calibri" w:cs="Times New Roman"/>
          <w:color w:val="auto"/>
        </w:rPr>
        <w:t>από το 2012</w:t>
      </w:r>
      <w:r>
        <w:rPr>
          <w:rFonts w:eastAsia="Calibri" w:cs="Times New Roman"/>
          <w:color w:val="auto"/>
        </w:rPr>
        <w:t>.</w:t>
      </w:r>
      <w:r w:rsidRPr="00C14992">
        <w:rPr>
          <w:rFonts w:eastAsia="Calibri" w:cs="Times New Roman"/>
          <w:color w:val="auto"/>
        </w:rPr>
        <w:t xml:space="preserve"> </w:t>
      </w:r>
      <w:r>
        <w:rPr>
          <w:rFonts w:eastAsia="Calibri" w:cs="Times New Roman"/>
          <w:color w:val="auto"/>
        </w:rPr>
        <w:t>Εξ αυτών</w:t>
      </w:r>
      <w:r w:rsidRPr="00C14992">
        <w:rPr>
          <w:rFonts w:eastAsia="Calibri" w:cs="Times New Roman"/>
          <w:color w:val="auto"/>
        </w:rPr>
        <w:t xml:space="preserve"> 1.203 εκατ. ευρώ αφορούσ</w:t>
      </w:r>
      <w:r>
        <w:rPr>
          <w:rFonts w:eastAsia="Calibri" w:cs="Times New Roman"/>
          <w:color w:val="auto"/>
        </w:rPr>
        <w:t>αν</w:t>
      </w:r>
      <w:r w:rsidRPr="00C14992">
        <w:rPr>
          <w:rFonts w:eastAsia="Calibri" w:cs="Times New Roman"/>
          <w:color w:val="auto"/>
        </w:rPr>
        <w:t xml:space="preserve"> ληξιπρόθεσμες υποχρεώσεις των φορέων της ΓΚ. Το </w:t>
      </w:r>
      <w:r>
        <w:rPr>
          <w:rFonts w:eastAsia="Calibri" w:cs="Times New Roman"/>
          <w:color w:val="auto"/>
        </w:rPr>
        <w:t xml:space="preserve">α’ </w:t>
      </w:r>
      <w:r w:rsidRPr="00C14992">
        <w:rPr>
          <w:rFonts w:eastAsia="Calibri" w:cs="Times New Roman"/>
          <w:color w:val="auto"/>
        </w:rPr>
        <w:t xml:space="preserve">τρίμηνο του 2021, το εν λόγω απόθεμα </w:t>
      </w:r>
      <w:r>
        <w:rPr>
          <w:rFonts w:eastAsia="Calibri" w:cs="Times New Roman"/>
          <w:color w:val="auto"/>
        </w:rPr>
        <w:t>σημείωσε</w:t>
      </w:r>
      <w:r w:rsidRPr="00C14992">
        <w:rPr>
          <w:rFonts w:eastAsia="Calibri" w:cs="Times New Roman"/>
          <w:color w:val="auto"/>
        </w:rPr>
        <w:t xml:space="preserve"> αυξητική τάση, </w:t>
      </w:r>
      <w:r>
        <w:rPr>
          <w:rFonts w:eastAsia="Calibri" w:cs="Times New Roman"/>
          <w:color w:val="auto"/>
        </w:rPr>
        <w:t>οφειλ</w:t>
      </w:r>
      <w:r w:rsidRPr="00C14992">
        <w:rPr>
          <w:rFonts w:eastAsia="Calibri" w:cs="Times New Roman"/>
          <w:color w:val="auto"/>
        </w:rPr>
        <w:t xml:space="preserve">όμενη </w:t>
      </w:r>
      <w:r>
        <w:rPr>
          <w:rFonts w:eastAsia="Calibri" w:cs="Times New Roman"/>
          <w:color w:val="auto"/>
        </w:rPr>
        <w:t>σ</w:t>
      </w:r>
      <w:r w:rsidRPr="00C14992">
        <w:rPr>
          <w:rFonts w:eastAsia="Calibri" w:cs="Times New Roman"/>
          <w:color w:val="auto"/>
        </w:rPr>
        <w:t xml:space="preserve">τη συσσώρευση </w:t>
      </w:r>
      <w:r>
        <w:rPr>
          <w:rFonts w:eastAsia="Calibri" w:cs="Times New Roman"/>
          <w:color w:val="auto"/>
        </w:rPr>
        <w:t xml:space="preserve">νέων </w:t>
      </w:r>
      <w:r w:rsidR="00C80D28">
        <w:rPr>
          <w:rFonts w:eastAsia="Calibri" w:cs="Times New Roman"/>
          <w:color w:val="auto"/>
        </w:rPr>
        <w:t xml:space="preserve">ληξιπρόθεσμων </w:t>
      </w:r>
      <w:r w:rsidRPr="00C14992">
        <w:rPr>
          <w:rFonts w:eastAsia="Calibri" w:cs="Times New Roman"/>
          <w:color w:val="auto"/>
        </w:rPr>
        <w:t>υποχρεώσεων όλων των υποτομέων και ιδιαίτερα των Νοσοκομείων</w:t>
      </w:r>
      <w:r>
        <w:rPr>
          <w:rFonts w:eastAsia="Calibri" w:cs="Times New Roman"/>
          <w:color w:val="auto"/>
        </w:rPr>
        <w:t>.</w:t>
      </w:r>
      <w:r w:rsidRPr="00C14992">
        <w:rPr>
          <w:rFonts w:eastAsia="Calibri" w:cs="Times New Roman"/>
          <w:color w:val="auto"/>
          <w:vertAlign w:val="superscript"/>
        </w:rPr>
        <w:footnoteReference w:id="18"/>
      </w:r>
      <w:r w:rsidRPr="00C14992">
        <w:rPr>
          <w:rFonts w:eastAsia="Calibri" w:cs="Times New Roman"/>
          <w:color w:val="auto"/>
        </w:rPr>
        <w:t xml:space="preserve"> </w:t>
      </w:r>
      <w:r>
        <w:rPr>
          <w:rFonts w:eastAsia="Calibri" w:cs="Times New Roman"/>
          <w:color w:val="auto"/>
        </w:rPr>
        <w:t>Π</w:t>
      </w:r>
      <w:r w:rsidRPr="00C14992">
        <w:rPr>
          <w:rFonts w:eastAsia="Calibri" w:cs="Times New Roman"/>
          <w:color w:val="auto"/>
        </w:rPr>
        <w:t>ροκλ</w:t>
      </w:r>
      <w:r>
        <w:rPr>
          <w:rFonts w:eastAsia="Calibri" w:cs="Times New Roman"/>
          <w:color w:val="auto"/>
        </w:rPr>
        <w:t>ήθηκε</w:t>
      </w:r>
      <w:r w:rsidRPr="00C14992">
        <w:rPr>
          <w:rFonts w:eastAsia="Calibri" w:cs="Times New Roman"/>
          <w:color w:val="auto"/>
        </w:rPr>
        <w:t xml:space="preserve"> έτσι η διόγκωση των συνολικών ληξιπρόθεσμων υποχρεώσεων των φορέων της ΓΚ κατά 700 εκατ. ευρώ περίπου (από 1.203 εκατ. ευρώ σε 1.920 εκατ. ευρώ</w:t>
      </w:r>
      <w:r w:rsidRPr="00C14992">
        <w:rPr>
          <w:color w:val="auto"/>
          <w:vertAlign w:val="superscript"/>
        </w:rPr>
        <w:footnoteReference w:id="19"/>
      </w:r>
      <w:r w:rsidRPr="00C14992">
        <w:rPr>
          <w:rFonts w:eastAsia="Calibri" w:cs="Times New Roman"/>
          <w:color w:val="auto"/>
        </w:rPr>
        <w:t>).</w:t>
      </w:r>
      <w:r w:rsidRPr="00C14992">
        <w:rPr>
          <w:color w:val="auto"/>
        </w:rPr>
        <w:t xml:space="preserve"> </w:t>
      </w:r>
    </w:p>
    <w:p w14:paraId="6E9428D0" w14:textId="77777777" w:rsidR="00C14992" w:rsidRPr="00C14992" w:rsidRDefault="00C14992" w:rsidP="00C14992">
      <w:pPr>
        <w:autoSpaceDE w:val="0"/>
        <w:autoSpaceDN w:val="0"/>
        <w:adjustRightInd w:val="0"/>
        <w:spacing w:after="0"/>
        <w:rPr>
          <w:rFonts w:ascii="Calibri" w:eastAsia="Calibri" w:hAnsi="Calibri" w:cs="Calibri"/>
          <w:color w:val="auto"/>
        </w:rPr>
      </w:pPr>
    </w:p>
    <w:p w14:paraId="44EEB484" w14:textId="4211CB1C" w:rsidR="00C14992" w:rsidRPr="00C14992" w:rsidRDefault="00CE1F55" w:rsidP="00C14992">
      <w:pPr>
        <w:autoSpaceDE w:val="0"/>
        <w:autoSpaceDN w:val="0"/>
        <w:adjustRightInd w:val="0"/>
        <w:spacing w:after="0" w:line="240" w:lineRule="auto"/>
        <w:jc w:val="left"/>
        <w:rPr>
          <w:rFonts w:eastAsia="Calibri" w:cs="Calibri"/>
          <w:color w:val="00A3E0"/>
          <w:sz w:val="20"/>
          <w:szCs w:val="20"/>
        </w:rPr>
      </w:pPr>
      <w:bookmarkStart w:id="173" w:name="_Ref9860702"/>
      <w:bookmarkStart w:id="174" w:name="_Toc10199810"/>
      <w:bookmarkStart w:id="175" w:name="_Toc73435813"/>
      <w:r w:rsidRPr="001D1BA7">
        <w:rPr>
          <w:sz w:val="20"/>
          <w:szCs w:val="20"/>
        </w:rPr>
        <w:t xml:space="preserve">Διάγραμμα </w:t>
      </w:r>
      <w:r w:rsidRPr="001D1BA7">
        <w:rPr>
          <w:i/>
          <w:sz w:val="20"/>
          <w:szCs w:val="20"/>
        </w:rPr>
        <w:fldChar w:fldCharType="begin"/>
      </w:r>
      <w:r w:rsidRPr="001D1BA7">
        <w:rPr>
          <w:sz w:val="20"/>
          <w:szCs w:val="20"/>
        </w:rPr>
        <w:instrText xml:space="preserve"> SEQ Διάγραμμα \* ARABIC </w:instrText>
      </w:r>
      <w:r w:rsidRPr="001D1BA7">
        <w:rPr>
          <w:i/>
          <w:sz w:val="20"/>
          <w:szCs w:val="20"/>
        </w:rPr>
        <w:fldChar w:fldCharType="separate"/>
      </w:r>
      <w:r w:rsidR="00CC05A7">
        <w:rPr>
          <w:noProof/>
          <w:sz w:val="20"/>
          <w:szCs w:val="20"/>
        </w:rPr>
        <w:t>27</w:t>
      </w:r>
      <w:r w:rsidRPr="001D1BA7">
        <w:rPr>
          <w:i/>
          <w:sz w:val="20"/>
          <w:szCs w:val="20"/>
        </w:rPr>
        <w:fldChar w:fldCharType="end"/>
      </w:r>
      <w:r w:rsidRPr="001D1BA7">
        <w:rPr>
          <w:sz w:val="20"/>
          <w:szCs w:val="20"/>
        </w:rPr>
        <w:t xml:space="preserve">: </w:t>
      </w:r>
      <w:bookmarkEnd w:id="173"/>
      <w:r w:rsidR="00C14992" w:rsidRPr="00C14992">
        <w:rPr>
          <w:rFonts w:eastAsia="Calibri" w:cs="Calibri"/>
          <w:color w:val="00A3E0"/>
          <w:sz w:val="20"/>
          <w:szCs w:val="20"/>
        </w:rPr>
        <w:t>Ληξιπρόθεσμες Υποχρεώσεις ΓΚ και υποτομέων της 2012- Μάρτιος 2021 (σε εκατ. ευρώ)</w:t>
      </w:r>
      <w:bookmarkEnd w:id="174"/>
      <w:bookmarkEnd w:id="175"/>
    </w:p>
    <w:p w14:paraId="148FF6A9" w14:textId="77777777" w:rsidR="00C14992" w:rsidRPr="00C14992" w:rsidRDefault="00C14992" w:rsidP="00C14992">
      <w:pPr>
        <w:autoSpaceDE w:val="0"/>
        <w:autoSpaceDN w:val="0"/>
        <w:adjustRightInd w:val="0"/>
        <w:spacing w:after="0" w:line="240" w:lineRule="auto"/>
        <w:jc w:val="left"/>
        <w:rPr>
          <w:rFonts w:ascii="Calibri" w:eastAsia="Calibri" w:hAnsi="Calibri" w:cs="Calibri"/>
          <w:color w:val="00A3E0"/>
          <w:sz w:val="20"/>
          <w:szCs w:val="20"/>
        </w:rPr>
      </w:pPr>
      <w:r w:rsidRPr="00C14992">
        <w:rPr>
          <w:rFonts w:asciiTheme="minorHAnsi" w:hAnsiTheme="minorHAnsi"/>
          <w:noProof/>
          <w:color w:val="auto"/>
          <w:lang w:eastAsia="el-GR"/>
        </w:rPr>
        <w:drawing>
          <wp:inline distT="0" distB="0" distL="0" distR="0" wp14:anchorId="15156A59" wp14:editId="657B55B4">
            <wp:extent cx="5615354" cy="3692769"/>
            <wp:effectExtent l="0" t="0" r="4445" b="3175"/>
            <wp:docPr id="36" name="Γράφημα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1F6688A" w14:textId="77777777" w:rsidR="00C14992" w:rsidRPr="00C14992" w:rsidRDefault="00C14992" w:rsidP="00C14992">
      <w:pPr>
        <w:autoSpaceDE w:val="0"/>
        <w:autoSpaceDN w:val="0"/>
        <w:adjustRightInd w:val="0"/>
        <w:spacing w:after="0" w:line="240" w:lineRule="auto"/>
        <w:jc w:val="left"/>
        <w:rPr>
          <w:rFonts w:ascii="Calibri" w:eastAsia="Calibri" w:hAnsi="Calibri" w:cs="Calibri"/>
          <w:b/>
          <w:color w:val="00B0F0"/>
          <w:sz w:val="24"/>
          <w:szCs w:val="24"/>
        </w:rPr>
      </w:pPr>
      <w:r w:rsidRPr="00C14992">
        <w:rPr>
          <w:rFonts w:ascii="Calibri" w:eastAsia="Calibri" w:hAnsi="Calibri" w:cs="Calibri"/>
          <w:b/>
          <w:bCs/>
          <w:color w:val="000000"/>
          <w:sz w:val="16"/>
          <w:szCs w:val="16"/>
        </w:rPr>
        <w:t xml:space="preserve">Πηγή: </w:t>
      </w:r>
      <w:r w:rsidRPr="00C14992">
        <w:rPr>
          <w:rFonts w:ascii="Calibri" w:eastAsia="Calibri" w:hAnsi="Calibri" w:cs="Calibri"/>
          <w:color w:val="000000"/>
          <w:sz w:val="16"/>
          <w:szCs w:val="16"/>
        </w:rPr>
        <w:t xml:space="preserve">Δελτία Μηνιαίων Στοιχείων Γενικής Κυβέρνησης ΓΛΚ </w:t>
      </w:r>
    </w:p>
    <w:p w14:paraId="02B83CFA" w14:textId="78DC8CA1" w:rsidR="00C14992" w:rsidRDefault="00C14992" w:rsidP="00EA3B88">
      <w:pPr>
        <w:autoSpaceDE w:val="0"/>
        <w:autoSpaceDN w:val="0"/>
        <w:adjustRightInd w:val="0"/>
        <w:spacing w:after="240"/>
        <w:rPr>
          <w:rFonts w:eastAsia="Calibri" w:cs="Times New Roman"/>
          <w:color w:val="auto"/>
        </w:rPr>
      </w:pPr>
    </w:p>
    <w:p w14:paraId="410E8F37" w14:textId="3C3F7A61" w:rsidR="00C14992" w:rsidRPr="00C14992" w:rsidRDefault="00C14992" w:rsidP="00C14992">
      <w:pPr>
        <w:autoSpaceDE w:val="0"/>
        <w:autoSpaceDN w:val="0"/>
        <w:adjustRightInd w:val="0"/>
        <w:spacing w:after="0"/>
        <w:rPr>
          <w:color w:val="auto"/>
        </w:rPr>
      </w:pPr>
      <w:r w:rsidRPr="00C14992">
        <w:rPr>
          <w:color w:val="auto"/>
        </w:rPr>
        <w:t xml:space="preserve">Για το τρέχον έτος, βασική επιδίωξη των αρχών είναι η επιτυχής υλοποίηση του ανανεωμένου σχεδίου δράσης που περιλαμβάνει την πλήρη εκκαθάριση των ληξιπρόθεσμων υποχρεώσεων έως το τέλος του έτους, μεταξύ των οποίων και  461 εκατ. ευρώ που αφορούν ληξιπρόθεσμες υποχρεώσεις από εκκρεμή αιτήματα συνταξιοδότησης. Ταυτόχρονα, ένα σημαντικό μέρος των λοιπών ληξιπρόθεσμων υποχρεώσεων της ΓΚ αναμένεται να εκκαθαριστεί το </w:t>
      </w:r>
      <w:r w:rsidR="008537DC">
        <w:rPr>
          <w:color w:val="auto"/>
        </w:rPr>
        <w:t>α’</w:t>
      </w:r>
      <w:r w:rsidRPr="00C14992">
        <w:rPr>
          <w:color w:val="auto"/>
        </w:rPr>
        <w:t xml:space="preserve"> εξάμηνο του έτους (περί τα 220 εκατ. ευρώ). Απώτερος στόχος είναι το καθαρό απόθεμα των ληξιπρόθεσμων υποχρεώσεων να μην ξεπερνά το 0,2% του ΑΕΠ στο τέλος εκάστου έτους. </w:t>
      </w:r>
    </w:p>
    <w:p w14:paraId="400BECE2" w14:textId="77777777" w:rsidR="00C14992" w:rsidRDefault="00C14992" w:rsidP="00C14992">
      <w:pPr>
        <w:autoSpaceDE w:val="0"/>
        <w:autoSpaceDN w:val="0"/>
        <w:adjustRightInd w:val="0"/>
        <w:spacing w:after="240"/>
        <w:rPr>
          <w:rFonts w:eastAsia="Calibri" w:cs="Times New Roman"/>
          <w:color w:val="auto"/>
        </w:rPr>
      </w:pPr>
    </w:p>
    <w:p w14:paraId="12D711E3" w14:textId="70DCC830" w:rsidR="003E2548" w:rsidRDefault="003E2548" w:rsidP="00D07140">
      <w:pPr>
        <w:pStyle w:val="a1"/>
        <w:numPr>
          <w:ilvl w:val="1"/>
          <w:numId w:val="3"/>
        </w:numPr>
        <w:ind w:left="0"/>
        <w:rPr>
          <w:color w:val="00B0F0"/>
          <w:sz w:val="28"/>
          <w:szCs w:val="28"/>
        </w:rPr>
      </w:pPr>
      <w:bookmarkStart w:id="176" w:name="_Toc73435755"/>
      <w:r w:rsidRPr="005072FE">
        <w:rPr>
          <w:color w:val="00B0F0"/>
          <w:sz w:val="28"/>
          <w:szCs w:val="28"/>
        </w:rPr>
        <w:t xml:space="preserve">Ληξιπρόθεσμες </w:t>
      </w:r>
      <w:r>
        <w:rPr>
          <w:color w:val="00B0F0"/>
          <w:sz w:val="28"/>
          <w:szCs w:val="28"/>
        </w:rPr>
        <w:t>απαιτήσεις</w:t>
      </w:r>
      <w:r w:rsidRPr="005072FE">
        <w:rPr>
          <w:color w:val="00B0F0"/>
          <w:sz w:val="28"/>
          <w:szCs w:val="28"/>
        </w:rPr>
        <w:t xml:space="preserve"> Γενικής Κυβέρνησης</w:t>
      </w:r>
      <w:bookmarkEnd w:id="176"/>
    </w:p>
    <w:p w14:paraId="1D49495E" w14:textId="7258955B" w:rsidR="00124001" w:rsidRPr="00391760" w:rsidRDefault="00124001" w:rsidP="00124001">
      <w:pPr>
        <w:rPr>
          <w:rFonts w:eastAsia="Calibri" w:cs="Calibri"/>
          <w:noProof/>
          <w:color w:val="auto"/>
          <w:lang w:eastAsia="el-GR"/>
        </w:rPr>
      </w:pPr>
      <w:r>
        <w:rPr>
          <w:color w:val="auto"/>
        </w:rPr>
        <w:t>Η πανδημία επηρέασε τόσο τις ληξιπρόθεσμες απαιτήσεις του ελληνικού δημοσίου (παλιές και νέες), όσο και τις εισπράξεις έναντι  αυτών. Συγκεκριμένα, το πρώτο τρίμηνο του 2021, το συνολικό παλιό ληξιπρόθεσμο κεφάλαιο συσσωρευμένων απαιτήσεων ανήλθε σε περίπου 107 δισ.</w:t>
      </w:r>
      <w:r w:rsidR="00760FCD">
        <w:rPr>
          <w:color w:val="auto"/>
        </w:rPr>
        <w:t xml:space="preserve"> ευρώ</w:t>
      </w:r>
      <w:r>
        <w:rPr>
          <w:color w:val="auto"/>
        </w:rPr>
        <w:t>, παρουσιάζοντας αύξηση σε σχέση με το πρώτο τρίμηνο του 2020 κατά 3 δισ.</w:t>
      </w:r>
      <w:r w:rsidR="00760FCD">
        <w:rPr>
          <w:color w:val="auto"/>
        </w:rPr>
        <w:t xml:space="preserve"> ευρώ.</w:t>
      </w:r>
      <w:r w:rsidRPr="00764615">
        <w:rPr>
          <w:color w:val="auto"/>
        </w:rPr>
        <w:t xml:space="preserve"> </w:t>
      </w:r>
      <w:r>
        <w:rPr>
          <w:color w:val="auto"/>
        </w:rPr>
        <w:t xml:space="preserve">Η αύξηση αυτή είναι μεγαλύτερη </w:t>
      </w:r>
      <w:r w:rsidR="00DF2770">
        <w:rPr>
          <w:color w:val="auto"/>
        </w:rPr>
        <w:t>εκείνης</w:t>
      </w:r>
      <w:r w:rsidR="00876902">
        <w:rPr>
          <w:color w:val="auto"/>
        </w:rPr>
        <w:t xml:space="preserve"> που παρατηρήθηκε</w:t>
      </w:r>
      <w:r>
        <w:rPr>
          <w:color w:val="auto"/>
        </w:rPr>
        <w:t xml:space="preserve"> τα προηγούμενα χρόνια, </w:t>
      </w:r>
      <w:r w:rsidR="00876902">
        <w:rPr>
          <w:color w:val="auto"/>
        </w:rPr>
        <w:t>όταν</w:t>
      </w:r>
      <w:r w:rsidR="00DF2770">
        <w:rPr>
          <w:color w:val="auto"/>
        </w:rPr>
        <w:t xml:space="preserve"> ο ρυθμός αύξησης </w:t>
      </w:r>
      <w:r>
        <w:rPr>
          <w:color w:val="auto"/>
        </w:rPr>
        <w:t>του παλιού ληξιπρόθεσμου κεφαλαίου ακολουθούσε φθίνουσα πορεία.</w:t>
      </w:r>
      <w:r w:rsidRPr="0011532F">
        <w:rPr>
          <w:color w:val="000000" w:themeColor="text1"/>
        </w:rPr>
        <w:t xml:space="preserve"> </w:t>
      </w:r>
    </w:p>
    <w:p w14:paraId="1F906003" w14:textId="32665212" w:rsidR="00124001" w:rsidRPr="008C7A1B" w:rsidRDefault="0080194C" w:rsidP="00124001">
      <w:pPr>
        <w:spacing w:after="0" w:line="240" w:lineRule="auto"/>
        <w:rPr>
          <w:rFonts w:eastAsia="Calibri" w:cs="Calibri"/>
          <w:noProof/>
          <w:color w:val="auto"/>
          <w:lang w:eastAsia="el-GR"/>
        </w:rPr>
      </w:pPr>
      <w:bookmarkStart w:id="177" w:name="_Toc43377032"/>
      <w:bookmarkStart w:id="178" w:name="_Toc73435814"/>
      <w:r w:rsidRPr="00854B21">
        <w:rPr>
          <w:sz w:val="20"/>
          <w:szCs w:val="20"/>
        </w:rPr>
        <w:t xml:space="preserve">Διάγραμμα </w:t>
      </w:r>
      <w:r w:rsidRPr="00854B21">
        <w:rPr>
          <w:i/>
          <w:sz w:val="20"/>
          <w:szCs w:val="20"/>
        </w:rPr>
        <w:fldChar w:fldCharType="begin"/>
      </w:r>
      <w:r w:rsidRPr="00854B21">
        <w:rPr>
          <w:sz w:val="20"/>
          <w:szCs w:val="20"/>
        </w:rPr>
        <w:instrText xml:space="preserve"> SEQ Διάγραμμα \* ARABIC </w:instrText>
      </w:r>
      <w:r w:rsidRPr="00854B21">
        <w:rPr>
          <w:i/>
          <w:sz w:val="20"/>
          <w:szCs w:val="20"/>
        </w:rPr>
        <w:fldChar w:fldCharType="separate"/>
      </w:r>
      <w:r w:rsidR="00CC05A7">
        <w:rPr>
          <w:noProof/>
          <w:sz w:val="20"/>
          <w:szCs w:val="20"/>
        </w:rPr>
        <w:t>28</w:t>
      </w:r>
      <w:r w:rsidRPr="00854B21">
        <w:rPr>
          <w:i/>
          <w:sz w:val="20"/>
          <w:szCs w:val="20"/>
        </w:rPr>
        <w:fldChar w:fldCharType="end"/>
      </w:r>
      <w:r w:rsidRPr="00854B21">
        <w:rPr>
          <w:sz w:val="20"/>
          <w:szCs w:val="20"/>
        </w:rPr>
        <w:t xml:space="preserve">: </w:t>
      </w:r>
      <w:r w:rsidR="00124001" w:rsidRPr="008078CB">
        <w:rPr>
          <w:rFonts w:eastAsia="Calibri" w:cs="Times New Roman"/>
          <w:iCs/>
          <w:color w:val="00A3E0"/>
          <w:sz w:val="20"/>
          <w:szCs w:val="20"/>
        </w:rPr>
        <w:t xml:space="preserve">Ληξιπρόθεσμες </w:t>
      </w:r>
      <w:r w:rsidR="00124001">
        <w:rPr>
          <w:rFonts w:eastAsia="Calibri" w:cs="Times New Roman"/>
          <w:iCs/>
          <w:color w:val="00A3E0"/>
          <w:sz w:val="20"/>
          <w:szCs w:val="20"/>
        </w:rPr>
        <w:t>α</w:t>
      </w:r>
      <w:r w:rsidR="00124001" w:rsidRPr="008078CB">
        <w:rPr>
          <w:rFonts w:eastAsia="Calibri" w:cs="Times New Roman"/>
          <w:iCs/>
          <w:color w:val="00A3E0"/>
          <w:sz w:val="20"/>
          <w:szCs w:val="20"/>
        </w:rPr>
        <w:t>παιτήσεις</w:t>
      </w:r>
      <w:r w:rsidR="00124001">
        <w:rPr>
          <w:rFonts w:eastAsia="Calibri" w:cs="Times New Roman"/>
          <w:iCs/>
          <w:color w:val="00A3E0"/>
          <w:sz w:val="20"/>
          <w:szCs w:val="20"/>
        </w:rPr>
        <w:t xml:space="preserve"> ε</w:t>
      </w:r>
      <w:r w:rsidR="00124001" w:rsidRPr="008078CB">
        <w:rPr>
          <w:rFonts w:eastAsia="Calibri" w:cs="Times New Roman"/>
          <w:iCs/>
          <w:color w:val="00A3E0"/>
          <w:sz w:val="20"/>
          <w:szCs w:val="20"/>
        </w:rPr>
        <w:t xml:space="preserve">λληνικού </w:t>
      </w:r>
      <w:r w:rsidR="00760FCD">
        <w:rPr>
          <w:rFonts w:eastAsia="Calibri" w:cs="Times New Roman"/>
          <w:iCs/>
          <w:color w:val="00A3E0"/>
          <w:sz w:val="20"/>
          <w:szCs w:val="20"/>
        </w:rPr>
        <w:t>Δ</w:t>
      </w:r>
      <w:r w:rsidR="00124001" w:rsidRPr="008078CB">
        <w:rPr>
          <w:rFonts w:eastAsia="Calibri" w:cs="Times New Roman"/>
          <w:iCs/>
          <w:color w:val="00A3E0"/>
          <w:sz w:val="20"/>
          <w:szCs w:val="20"/>
        </w:rPr>
        <w:t>ημοσίου (οφειλές φορολογουμένων</w:t>
      </w:r>
      <w:r w:rsidR="00760FCD">
        <w:rPr>
          <w:rFonts w:eastAsia="Calibri" w:cs="Times New Roman"/>
          <w:iCs/>
          <w:color w:val="00A3E0"/>
          <w:sz w:val="20"/>
          <w:szCs w:val="20"/>
        </w:rPr>
        <w:t xml:space="preserve"> προς το Δ</w:t>
      </w:r>
      <w:r w:rsidR="00124001" w:rsidRPr="008078CB">
        <w:rPr>
          <w:rFonts w:eastAsia="Calibri" w:cs="Times New Roman"/>
          <w:iCs/>
          <w:color w:val="00A3E0"/>
          <w:sz w:val="20"/>
          <w:szCs w:val="20"/>
        </w:rPr>
        <w:t>ημ</w:t>
      </w:r>
      <w:r w:rsidR="00124001">
        <w:rPr>
          <w:rFonts w:eastAsia="Calibri" w:cs="Times New Roman"/>
          <w:iCs/>
          <w:color w:val="00A3E0"/>
          <w:sz w:val="20"/>
          <w:szCs w:val="20"/>
        </w:rPr>
        <w:t xml:space="preserve">όσιο) και συνολικές εισπράξεις </w:t>
      </w:r>
      <w:r w:rsidR="00124001" w:rsidRPr="008078CB">
        <w:rPr>
          <w:rFonts w:eastAsia="Calibri" w:cs="Times New Roman"/>
          <w:iCs/>
          <w:color w:val="00A3E0"/>
          <w:sz w:val="20"/>
          <w:szCs w:val="20"/>
        </w:rPr>
        <w:t>(σε εκατ. ευρώ)</w:t>
      </w:r>
      <w:r w:rsidR="00760FCD">
        <w:rPr>
          <w:rFonts w:eastAsia="Calibri" w:cs="Times New Roman"/>
          <w:iCs/>
          <w:color w:val="00A3E0"/>
          <w:sz w:val="20"/>
          <w:szCs w:val="20"/>
        </w:rPr>
        <w:t xml:space="preserve"> για το Α’ τρίμηνο ετών 2017-2021</w:t>
      </w:r>
      <w:r w:rsidR="00124001" w:rsidRPr="008078CB">
        <w:rPr>
          <w:rFonts w:eastAsia="Calibri" w:cs="Times New Roman"/>
          <w:iCs/>
          <w:color w:val="00A3E0"/>
          <w:sz w:val="20"/>
          <w:szCs w:val="20"/>
        </w:rPr>
        <w:t>.</w:t>
      </w:r>
      <w:bookmarkEnd w:id="177"/>
      <w:bookmarkEnd w:id="178"/>
    </w:p>
    <w:p w14:paraId="00C003CC" w14:textId="77777777" w:rsidR="00124001" w:rsidRPr="003B6425" w:rsidRDefault="00124001" w:rsidP="00AA4EDB">
      <w:pPr>
        <w:spacing w:after="0" w:line="240" w:lineRule="auto"/>
        <w:rPr>
          <w:noProof/>
          <w:color w:val="auto"/>
          <w:lang w:val="en-GB" w:eastAsia="en-GB"/>
        </w:rPr>
      </w:pPr>
      <w:r>
        <w:rPr>
          <w:noProof/>
          <w:lang w:eastAsia="el-GR"/>
        </w:rPr>
        <w:drawing>
          <wp:inline distT="0" distB="0" distL="0" distR="0" wp14:anchorId="3ED6ADA3" wp14:editId="1CD1BFA6">
            <wp:extent cx="5248275" cy="3857625"/>
            <wp:effectExtent l="0" t="0" r="9525" b="9525"/>
            <wp:docPr id="3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15E5F22" w14:textId="77777777" w:rsidR="00124001" w:rsidRPr="003666A3" w:rsidRDefault="00124001" w:rsidP="00124001">
      <w:pPr>
        <w:autoSpaceDE w:val="0"/>
        <w:autoSpaceDN w:val="0"/>
        <w:adjustRightInd w:val="0"/>
        <w:spacing w:after="0" w:line="240" w:lineRule="auto"/>
        <w:jc w:val="left"/>
        <w:rPr>
          <w:rFonts w:eastAsia="Calibri" w:cs="Times New Roman"/>
          <w:color w:val="00B0F0"/>
          <w:sz w:val="16"/>
          <w:szCs w:val="16"/>
        </w:rPr>
      </w:pPr>
      <w:r w:rsidRPr="003666A3">
        <w:rPr>
          <w:rFonts w:eastAsia="Times New Roman" w:cs="Calibri"/>
          <w:b/>
          <w:iCs/>
          <w:color w:val="808080"/>
          <w:sz w:val="16"/>
          <w:szCs w:val="16"/>
          <w:lang w:eastAsia="el-GR"/>
        </w:rPr>
        <w:t>Πηγή:</w:t>
      </w:r>
      <w:r w:rsidRPr="008078CB">
        <w:rPr>
          <w:rFonts w:ascii="Calibri" w:eastAsia="Calibri" w:hAnsi="Calibri" w:cs="Calibri"/>
          <w:bCs/>
          <w:color w:val="000000"/>
          <w:sz w:val="16"/>
          <w:szCs w:val="16"/>
        </w:rPr>
        <w:t xml:space="preserve"> </w:t>
      </w:r>
      <w:r w:rsidRPr="003666A3">
        <w:rPr>
          <w:rFonts w:eastAsia="Calibri" w:cs="Times New Roman"/>
          <w:color w:val="00B0F0"/>
          <w:sz w:val="16"/>
          <w:szCs w:val="16"/>
        </w:rPr>
        <w:t>Ανεξάρτητη Αρχή Δημοσίων Εσόδων (Α.Α.Δ.Ε)</w:t>
      </w:r>
    </w:p>
    <w:p w14:paraId="7C7473C4" w14:textId="77777777" w:rsidR="00124001" w:rsidRPr="00F17A93" w:rsidRDefault="00124001" w:rsidP="00124001">
      <w:pPr>
        <w:autoSpaceDE w:val="0"/>
        <w:autoSpaceDN w:val="0"/>
        <w:adjustRightInd w:val="0"/>
        <w:spacing w:after="0" w:line="240" w:lineRule="auto"/>
        <w:rPr>
          <w:rFonts w:eastAsia="Calibri" w:cs="Calibri"/>
          <w:bCs/>
          <w:color w:val="000000"/>
          <w:sz w:val="16"/>
          <w:szCs w:val="16"/>
        </w:rPr>
      </w:pPr>
      <w:r>
        <w:rPr>
          <w:rFonts w:eastAsia="Calibri" w:cs="Calibri"/>
          <w:bCs/>
          <w:color w:val="000000"/>
          <w:sz w:val="16"/>
          <w:szCs w:val="16"/>
        </w:rPr>
        <w:t>*Τα στοιχεία του «</w:t>
      </w:r>
      <w:r w:rsidRPr="00F17A93">
        <w:rPr>
          <w:rFonts w:eastAsia="Calibri" w:cs="Calibri"/>
          <w:bCs/>
          <w:color w:val="000000"/>
          <w:sz w:val="16"/>
          <w:szCs w:val="16"/>
        </w:rPr>
        <w:t>νέου ληξιπρόθεσμου</w:t>
      </w:r>
      <w:r>
        <w:rPr>
          <w:rFonts w:eastAsia="Calibri" w:cs="Calibri"/>
          <w:bCs/>
          <w:color w:val="000000"/>
          <w:sz w:val="16"/>
          <w:szCs w:val="16"/>
        </w:rPr>
        <w:t xml:space="preserve"> χρέους»</w:t>
      </w:r>
      <w:r w:rsidRPr="00F17A93">
        <w:rPr>
          <w:rFonts w:eastAsia="Calibri" w:cs="Calibri"/>
          <w:bCs/>
          <w:color w:val="000000"/>
          <w:sz w:val="16"/>
          <w:szCs w:val="16"/>
        </w:rPr>
        <w:t xml:space="preserve"> υπολογίζονται με χρονική υστέρηση ενός μήνα, σε σχέση με την περίοδο είσπραξης και διαγραφής έναντι αυτού. Σημειώνεται</w:t>
      </w:r>
      <w:r>
        <w:rPr>
          <w:rFonts w:eastAsia="Calibri" w:cs="Calibri"/>
          <w:bCs/>
          <w:color w:val="000000"/>
          <w:sz w:val="16"/>
          <w:szCs w:val="16"/>
        </w:rPr>
        <w:t xml:space="preserve"> ότι το «νέο ληξιπρόθεσμο χρέος»</w:t>
      </w:r>
      <w:r w:rsidRPr="00F17A93">
        <w:rPr>
          <w:rFonts w:eastAsia="Calibri" w:cs="Calibri"/>
          <w:bCs/>
          <w:color w:val="000000"/>
          <w:sz w:val="16"/>
          <w:szCs w:val="16"/>
        </w:rPr>
        <w:t xml:space="preserve"> αφορά το ληξιπρόθεσμο υπόλοιπο έως τον προηγούμενο μήνα από το μήνα αναφοράς ενώ τα στοιχεία του</w:t>
      </w:r>
      <w:r>
        <w:rPr>
          <w:rFonts w:eastAsia="Calibri" w:cs="Calibri"/>
          <w:bCs/>
          <w:color w:val="000000"/>
          <w:sz w:val="16"/>
          <w:szCs w:val="16"/>
        </w:rPr>
        <w:t xml:space="preserve"> «</w:t>
      </w:r>
      <w:r w:rsidRPr="00F17A93">
        <w:rPr>
          <w:rFonts w:eastAsia="Calibri" w:cs="Calibri"/>
          <w:bCs/>
          <w:color w:val="000000"/>
          <w:sz w:val="16"/>
          <w:szCs w:val="16"/>
        </w:rPr>
        <w:t>παλαιού λη</w:t>
      </w:r>
      <w:r>
        <w:rPr>
          <w:rFonts w:eastAsia="Calibri" w:cs="Calibri"/>
          <w:bCs/>
          <w:color w:val="000000"/>
          <w:sz w:val="16"/>
          <w:szCs w:val="16"/>
        </w:rPr>
        <w:t>ξιπρόθεσμου χρέους» αφορούν το «παλαιό ληξιπρόθεσμο κεφάλαιο»</w:t>
      </w:r>
      <w:r w:rsidRPr="00F17A93">
        <w:rPr>
          <w:rFonts w:eastAsia="Calibri" w:cs="Calibri"/>
          <w:bCs/>
          <w:color w:val="000000"/>
          <w:sz w:val="16"/>
          <w:szCs w:val="16"/>
        </w:rPr>
        <w:t xml:space="preserve"> όπως διαμορφώνεται το μήνα αναφοράς.</w:t>
      </w:r>
    </w:p>
    <w:p w14:paraId="1A8A1865" w14:textId="77777777" w:rsidR="00124001" w:rsidRDefault="00124001" w:rsidP="00124001">
      <w:pPr>
        <w:autoSpaceDE w:val="0"/>
        <w:autoSpaceDN w:val="0"/>
        <w:adjustRightInd w:val="0"/>
        <w:spacing w:after="0" w:line="240" w:lineRule="auto"/>
        <w:rPr>
          <w:rFonts w:eastAsia="Calibri" w:cs="Calibri"/>
          <w:bCs/>
          <w:color w:val="000000"/>
          <w:sz w:val="16"/>
          <w:szCs w:val="16"/>
        </w:rPr>
      </w:pPr>
      <w:r w:rsidRPr="00F17A93">
        <w:rPr>
          <w:rFonts w:eastAsia="Calibri" w:cs="Calibri"/>
          <w:bCs/>
          <w:color w:val="000000"/>
          <w:sz w:val="16"/>
          <w:szCs w:val="16"/>
        </w:rPr>
        <w:t>*</w:t>
      </w:r>
      <w:r>
        <w:rPr>
          <w:rFonts w:eastAsia="Calibri" w:cs="Calibri"/>
          <w:bCs/>
          <w:color w:val="000000"/>
          <w:sz w:val="16"/>
          <w:szCs w:val="16"/>
        </w:rPr>
        <w:t>* Ως «παλαιό ληξιπρόθεσμο χρέος»</w:t>
      </w:r>
      <w:r w:rsidRPr="00F17A93">
        <w:rPr>
          <w:rFonts w:eastAsia="Calibri" w:cs="Calibri"/>
          <w:bCs/>
          <w:color w:val="000000"/>
          <w:sz w:val="16"/>
          <w:szCs w:val="16"/>
        </w:rPr>
        <w:t xml:space="preserve"> ορίζεται το ληξιπρόθεσμο υπόλοιπο την 30/11 του προηγούμενου έτους από το έτος  αναφοράς (αναγράφεται κατόπιν αφαίρεσης των διενεργούμενων εισπράξεων και διαγραφών).</w:t>
      </w:r>
    </w:p>
    <w:p w14:paraId="6189DE2E" w14:textId="77777777" w:rsidR="00124001" w:rsidRDefault="00124001" w:rsidP="003E2548">
      <w:pPr>
        <w:autoSpaceDE w:val="0"/>
        <w:autoSpaceDN w:val="0"/>
        <w:adjustRightInd w:val="0"/>
        <w:spacing w:after="240"/>
        <w:rPr>
          <w:rFonts w:eastAsia="Calibri" w:cs="Times New Roman"/>
          <w:color w:val="auto"/>
        </w:rPr>
      </w:pPr>
    </w:p>
    <w:p w14:paraId="0F1747AF" w14:textId="77CC57B8" w:rsidR="00AA4EDB" w:rsidRDefault="00AA4EDB" w:rsidP="00AA4EDB">
      <w:pPr>
        <w:spacing w:after="240"/>
        <w:rPr>
          <w:rFonts w:eastAsia="Calibri" w:cs="Calibri"/>
          <w:noProof/>
          <w:color w:val="auto"/>
          <w:lang w:eastAsia="el-GR"/>
        </w:rPr>
      </w:pPr>
      <w:r>
        <w:rPr>
          <w:color w:val="000000" w:themeColor="text1"/>
        </w:rPr>
        <w:t>Επιπλέον, αύξηση παρουσίασε και το σωρευτικό υπόλοιπο των νέων ληξιπρόθεσμων απαιτήσεων</w:t>
      </w:r>
      <w:r w:rsidR="00DF2770">
        <w:rPr>
          <w:color w:val="000000" w:themeColor="text1"/>
        </w:rPr>
        <w:t>,</w:t>
      </w:r>
      <w:r w:rsidRPr="00B468DC">
        <w:rPr>
          <w:rFonts w:eastAsia="Calibri" w:cs="Calibri"/>
          <w:noProof/>
          <w:color w:val="auto"/>
          <w:vertAlign w:val="superscript"/>
          <w:lang w:eastAsia="el-GR"/>
        </w:rPr>
        <w:footnoteReference w:id="20"/>
      </w:r>
      <w:r>
        <w:rPr>
          <w:color w:val="000000" w:themeColor="text1"/>
        </w:rPr>
        <w:t xml:space="preserve"> που </w:t>
      </w:r>
      <w:r w:rsidRPr="0016585C">
        <w:rPr>
          <w:color w:val="000000" w:themeColor="text1"/>
        </w:rPr>
        <w:t>από την</w:t>
      </w:r>
      <w:r>
        <w:rPr>
          <w:color w:val="000000" w:themeColor="text1"/>
        </w:rPr>
        <w:t xml:space="preserve"> αρχή του έτους έφτασε τα 2.164</w:t>
      </w:r>
      <w:r w:rsidRPr="0016585C">
        <w:rPr>
          <w:color w:val="000000" w:themeColor="text1"/>
        </w:rPr>
        <w:t xml:space="preserve"> εκατ.</w:t>
      </w:r>
      <w:r>
        <w:rPr>
          <w:color w:val="000000" w:themeColor="text1"/>
        </w:rPr>
        <w:t xml:space="preserve"> ευρώ</w:t>
      </w:r>
      <w:r w:rsidRPr="0016585C">
        <w:rPr>
          <w:color w:val="000000" w:themeColor="text1"/>
        </w:rPr>
        <w:t>,</w:t>
      </w:r>
      <w:r>
        <w:rPr>
          <w:color w:val="000000" w:themeColor="text1"/>
        </w:rPr>
        <w:t xml:space="preserve"> έναντι 2.082 εκατ. ευρώ το 2020. Ο</w:t>
      </w:r>
      <w:r w:rsidRPr="0016585C">
        <w:rPr>
          <w:color w:val="000000" w:themeColor="text1"/>
        </w:rPr>
        <w:t>ι συνολικές εισπράξεις έναντι ληξιπρόθεσμων</w:t>
      </w:r>
      <w:r w:rsidR="00760FCD">
        <w:rPr>
          <w:color w:val="000000" w:themeColor="text1"/>
        </w:rPr>
        <w:t xml:space="preserve"> απαιτήσεων του ελληνικού Δ</w:t>
      </w:r>
      <w:r>
        <w:rPr>
          <w:color w:val="000000" w:themeColor="text1"/>
        </w:rPr>
        <w:t>ημοσίου ανήλθαν σε 1.052</w:t>
      </w:r>
      <w:r w:rsidRPr="0016585C">
        <w:rPr>
          <w:color w:val="000000" w:themeColor="text1"/>
        </w:rPr>
        <w:t xml:space="preserve"> εκατ.</w:t>
      </w:r>
      <w:r>
        <w:rPr>
          <w:color w:val="000000" w:themeColor="text1"/>
        </w:rPr>
        <w:t xml:space="preserve"> ευρώ, παρουσιάζοντας μείωση σε σχέση µε την αντίστοιχη περίοδο των ετών 2017-2020, </w:t>
      </w:r>
      <w:r w:rsidR="00E27190">
        <w:rPr>
          <w:color w:val="000000" w:themeColor="text1"/>
        </w:rPr>
        <w:t>ενώ</w:t>
      </w:r>
      <w:r>
        <w:rPr>
          <w:color w:val="000000" w:themeColor="text1"/>
        </w:rPr>
        <w:t xml:space="preserve"> κατά μέσο όρο έφταναν τα 1.278 εκατ. ευρώ. </w:t>
      </w:r>
      <w:r>
        <w:rPr>
          <w:rFonts w:eastAsia="Calibri" w:cs="Calibri"/>
          <w:noProof/>
          <w:color w:val="auto"/>
          <w:lang w:eastAsia="el-GR"/>
        </w:rPr>
        <w:t>Επισημαίνεται όμως ότι η μείωση στις συνολικές εισπράξεις και η συγκρατημένη αύξηση στις νέες ληξιπρόθεσμες οφειλές, οφείλεται κυρίως στα μέτρα που υιοθέτησε η κυβέρνηση για την αντιμετώπιση των επιπτώσεων της πανδημίας</w:t>
      </w:r>
      <w:r w:rsidR="00DF2770">
        <w:rPr>
          <w:rFonts w:eastAsia="Calibri" w:cs="Calibri"/>
          <w:noProof/>
          <w:color w:val="auto"/>
          <w:lang w:eastAsia="el-GR"/>
        </w:rPr>
        <w:t xml:space="preserve"> και πιο σ</w:t>
      </w:r>
      <w:r>
        <w:rPr>
          <w:rFonts w:eastAsia="Calibri" w:cs="Calibri"/>
          <w:noProof/>
          <w:color w:val="auto"/>
          <w:lang w:eastAsia="el-GR"/>
        </w:rPr>
        <w:t xml:space="preserve">υγκεκριμένα, στο μέτρο αναστολής είσπραξης βεβαιωμένων και ληξιπρόθεσμων οφειλών και στην παράταση της προθεσμίας καταβολής βεβαιωμένων οφειλών και δόσεων ρυθμίσεων. </w:t>
      </w:r>
    </w:p>
    <w:p w14:paraId="1B18F1B2" w14:textId="77777777" w:rsidR="00AA4EDB" w:rsidRPr="00391760" w:rsidRDefault="00AA4EDB" w:rsidP="00AA4EDB">
      <w:pPr>
        <w:spacing w:after="240"/>
        <w:rPr>
          <w:rFonts w:eastAsia="Calibri" w:cs="Calibri"/>
          <w:noProof/>
          <w:color w:val="auto"/>
          <w:lang w:eastAsia="el-GR"/>
        </w:rPr>
      </w:pPr>
    </w:p>
    <w:p w14:paraId="65715066" w14:textId="7199B70B" w:rsidR="003E2548" w:rsidRPr="003E2548" w:rsidRDefault="003E2548" w:rsidP="00D07140">
      <w:pPr>
        <w:pStyle w:val="a1"/>
        <w:numPr>
          <w:ilvl w:val="1"/>
          <w:numId w:val="3"/>
        </w:numPr>
        <w:ind w:left="0"/>
        <w:rPr>
          <w:color w:val="00B0F0"/>
          <w:sz w:val="28"/>
          <w:szCs w:val="28"/>
        </w:rPr>
      </w:pPr>
      <w:bookmarkStart w:id="179" w:name="_Toc73435756"/>
      <w:r w:rsidRPr="003E2548">
        <w:rPr>
          <w:color w:val="00B0F0"/>
          <w:sz w:val="28"/>
          <w:szCs w:val="28"/>
        </w:rPr>
        <w:t xml:space="preserve">Εξέλιξη εγγυήσεων του ελληνικού </w:t>
      </w:r>
      <w:r w:rsidR="00760FCD">
        <w:rPr>
          <w:color w:val="00B0F0"/>
          <w:sz w:val="28"/>
          <w:szCs w:val="28"/>
        </w:rPr>
        <w:t>Δ</w:t>
      </w:r>
      <w:r w:rsidRPr="003E2548">
        <w:rPr>
          <w:color w:val="00B0F0"/>
          <w:sz w:val="28"/>
          <w:szCs w:val="28"/>
        </w:rPr>
        <w:t>ημοσίου</w:t>
      </w:r>
      <w:bookmarkEnd w:id="179"/>
    </w:p>
    <w:p w14:paraId="0BA43C0F" w14:textId="0DB41247" w:rsidR="000F4F90" w:rsidRDefault="000F4F90" w:rsidP="000F4F90">
      <w:pPr>
        <w:spacing w:after="160" w:line="259" w:lineRule="auto"/>
        <w:rPr>
          <w:color w:val="auto"/>
        </w:rPr>
      </w:pPr>
      <w:r w:rsidRPr="000F4F90">
        <w:rPr>
          <w:color w:val="auto"/>
        </w:rPr>
        <w:t xml:space="preserve">Τα πιο πρόσφατα στοιχεία αναφορικά με τις εγγυήσεις του ελληνικού δημοσίου (ΕΔ) </w:t>
      </w:r>
      <w:r w:rsidR="00FB729C">
        <w:rPr>
          <w:color w:val="auto"/>
        </w:rPr>
        <w:t>(</w:t>
      </w:r>
      <w:r w:rsidR="00DF2770" w:rsidRPr="000F4F90">
        <w:rPr>
          <w:color w:val="auto"/>
        </w:rPr>
        <w:t>Δεκέμβριος 2020)</w:t>
      </w:r>
      <w:r w:rsidR="00DF2770">
        <w:rPr>
          <w:color w:val="auto"/>
        </w:rPr>
        <w:t xml:space="preserve"> </w:t>
      </w:r>
      <w:r w:rsidRPr="000F4F90">
        <w:rPr>
          <w:color w:val="auto"/>
        </w:rPr>
        <w:t>δείχνουν συρρίκνωση του ανεξόφλητου κεφαλαίου στα 9.277 εκατ. ευρώ. Η μείωση του ανεξόφλητου εγγυημένου υπολοίπου οφείλεται, αφενός στις αυξημένες πληρωμές για καταπτώσεις</w:t>
      </w:r>
      <w:r w:rsidRPr="000F4F90">
        <w:rPr>
          <w:rFonts w:asciiTheme="minorHAnsi" w:hAnsiTheme="minorHAnsi"/>
          <w:color w:val="auto"/>
          <w:vertAlign w:val="superscript"/>
        </w:rPr>
        <w:footnoteReference w:id="21"/>
      </w:r>
      <w:r w:rsidRPr="000F4F90">
        <w:rPr>
          <w:color w:val="auto"/>
        </w:rPr>
        <w:t xml:space="preserve"> και αφετέρου στην συγκρατημένη παροχή νέων εγγυήσεων του ΕΔ για δανειοδότηση φορέων εντός και εκτός Γενικής Κυβέρνησης.</w:t>
      </w:r>
    </w:p>
    <w:p w14:paraId="20B0EA58" w14:textId="493C2E93" w:rsidR="00AA4EDB" w:rsidRDefault="00AA4EDB" w:rsidP="00AA4EDB">
      <w:pPr>
        <w:spacing w:after="160" w:line="259" w:lineRule="auto"/>
        <w:rPr>
          <w:color w:val="auto"/>
        </w:rPr>
      </w:pPr>
      <w:r w:rsidRPr="000F4F90">
        <w:rPr>
          <w:color w:val="auto"/>
        </w:rPr>
        <w:t>Το 2018 θεσμοθετήθηκαν τα κριτήρια για την παροχή νέων εγγυήσεων από το ΕΔ</w:t>
      </w:r>
      <w:r w:rsidRPr="000F4F90">
        <w:rPr>
          <w:rFonts w:asciiTheme="minorHAnsi" w:hAnsiTheme="minorHAnsi"/>
          <w:color w:val="auto"/>
          <w:vertAlign w:val="superscript"/>
        </w:rPr>
        <w:footnoteReference w:id="22"/>
      </w:r>
      <w:r w:rsidRPr="000F4F90">
        <w:rPr>
          <w:color w:val="auto"/>
        </w:rPr>
        <w:t xml:space="preserve"> προκειμένου να αποφεύγεται η καταχρηστική ενεργοποίηση αυτού του εργαλείου δημοσιονομικής πολιτικής</w:t>
      </w:r>
      <w:r w:rsidR="00DF2770">
        <w:rPr>
          <w:color w:val="auto"/>
        </w:rPr>
        <w:t>.</w:t>
      </w:r>
      <w:r w:rsidRPr="000F4F90">
        <w:rPr>
          <w:rFonts w:asciiTheme="minorHAnsi" w:hAnsiTheme="minorHAnsi"/>
          <w:color w:val="auto"/>
          <w:vertAlign w:val="superscript"/>
        </w:rPr>
        <w:footnoteReference w:id="23"/>
      </w:r>
      <w:r w:rsidRPr="000F4F90">
        <w:rPr>
          <w:color w:val="auto"/>
        </w:rPr>
        <w:t xml:space="preserve"> Στο πλαίσιο αυτό, οι πιο πρόσφατες εγγυήσεις του ΕΔ που έχουν παρασχεθεί αφορούν </w:t>
      </w:r>
      <w:r w:rsidR="00DF2770">
        <w:rPr>
          <w:color w:val="auto"/>
        </w:rPr>
        <w:t>τη</w:t>
      </w:r>
      <w:r w:rsidRPr="000F4F90">
        <w:rPr>
          <w:color w:val="auto"/>
        </w:rPr>
        <w:t xml:space="preserve"> δανειοδότηση των δημοσίων επιχειρήσεων ΔΕΗ, ΑΔΜΙΕ και ΔΕΗΑΝ συνολικού ύψους 429 εκατ. ευρώ</w:t>
      </w:r>
      <w:r w:rsidR="00DF2770">
        <w:rPr>
          <w:color w:val="auto"/>
        </w:rPr>
        <w:t>,</w:t>
      </w:r>
      <w:r w:rsidRPr="000F4F90">
        <w:rPr>
          <w:color w:val="auto"/>
          <w:vertAlign w:val="superscript"/>
        </w:rPr>
        <w:footnoteReference w:id="24"/>
      </w:r>
      <w:r w:rsidRPr="000F4F90">
        <w:rPr>
          <w:color w:val="auto"/>
          <w:vertAlign w:val="superscript"/>
        </w:rPr>
        <w:t>,</w:t>
      </w:r>
      <w:r w:rsidRPr="000F4F90">
        <w:rPr>
          <w:color w:val="auto"/>
        </w:rPr>
        <w:t xml:space="preserve"> αποκλεισ</w:t>
      </w:r>
      <w:r w:rsidR="00FB729C">
        <w:rPr>
          <w:color w:val="auto"/>
        </w:rPr>
        <w:t>τικά για κεφάλαια που εκταμιεύθη</w:t>
      </w:r>
      <w:r w:rsidRPr="000F4F90">
        <w:rPr>
          <w:color w:val="auto"/>
        </w:rPr>
        <w:t xml:space="preserve">καν </w:t>
      </w:r>
      <w:r w:rsidR="00DF2770" w:rsidRPr="000F4F90">
        <w:rPr>
          <w:color w:val="auto"/>
        </w:rPr>
        <w:t>για επενδυτικούς</w:t>
      </w:r>
      <w:r w:rsidR="00DF2770" w:rsidRPr="000F4F90">
        <w:rPr>
          <w:rFonts w:asciiTheme="minorHAnsi" w:hAnsiTheme="minorHAnsi"/>
          <w:color w:val="auto"/>
        </w:rPr>
        <w:t xml:space="preserve"> </w:t>
      </w:r>
      <w:r w:rsidR="00DF2770" w:rsidRPr="000F4F90">
        <w:rPr>
          <w:color w:val="auto"/>
        </w:rPr>
        <w:t xml:space="preserve">σκοπούς </w:t>
      </w:r>
      <w:r w:rsidRPr="000F4F90">
        <w:rPr>
          <w:color w:val="auto"/>
        </w:rPr>
        <w:t>από την Ευρωπαϊκή Τράπεζα Επενδύσεων (ΕΤΕπ).</w:t>
      </w:r>
    </w:p>
    <w:p w14:paraId="444D0825" w14:textId="405A62C7" w:rsidR="00AA4EDB" w:rsidRPr="000F4F90" w:rsidRDefault="00AA4EDB" w:rsidP="00AA4EDB">
      <w:pPr>
        <w:spacing w:after="160" w:line="259" w:lineRule="auto"/>
        <w:rPr>
          <w:color w:val="auto"/>
        </w:rPr>
      </w:pPr>
      <w:r w:rsidRPr="000F4F90">
        <w:rPr>
          <w:color w:val="auto"/>
        </w:rPr>
        <w:t>Επιπρόσθετα, βρίσκεται σε εξέλιξη σχέδιο δράσης το οποίο αποσκοπεί στην εκκαθάριση του υπολοίπου των παρεχόμενων κρατικών εγγυήσεων, ιδιαίτερα στο μέρος που αφορά τις ιδιωτικές επιχειρήσεις και φυσικά πρόσωπα, το ύψος των  οποίων ανέρχεται σε 3.241 εκατ. ευρώ (</w:t>
      </w:r>
      <w:r w:rsidRPr="00AA4EDB">
        <w:rPr>
          <w:i/>
          <w:color w:val="auto"/>
        </w:rPr>
        <w:fldChar w:fldCharType="begin"/>
      </w:r>
      <w:r w:rsidRPr="00AA4EDB">
        <w:rPr>
          <w:i/>
          <w:color w:val="auto"/>
        </w:rPr>
        <w:instrText xml:space="preserve"> REF _Ref72411361 \h  \* MERGEFORMAT </w:instrText>
      </w:r>
      <w:r w:rsidRPr="00AA4EDB">
        <w:rPr>
          <w:i/>
          <w:color w:val="auto"/>
        </w:rPr>
      </w:r>
      <w:r w:rsidRPr="00AA4EDB">
        <w:rPr>
          <w:i/>
          <w:color w:val="auto"/>
        </w:rPr>
        <w:fldChar w:fldCharType="separate"/>
      </w:r>
      <w:r w:rsidR="00CC05A7" w:rsidRPr="00CC05A7">
        <w:rPr>
          <w:i/>
          <w:color w:val="auto"/>
        </w:rPr>
        <w:t xml:space="preserve">Πίνακας </w:t>
      </w:r>
      <w:r w:rsidR="00CC05A7" w:rsidRPr="00CC05A7">
        <w:rPr>
          <w:i/>
          <w:noProof/>
          <w:color w:val="auto"/>
        </w:rPr>
        <w:t>21</w:t>
      </w:r>
      <w:r w:rsidRPr="00AA4EDB">
        <w:rPr>
          <w:i/>
          <w:color w:val="auto"/>
        </w:rPr>
        <w:fldChar w:fldCharType="end"/>
      </w:r>
      <w:r w:rsidRPr="000F4F90">
        <w:rPr>
          <w:color w:val="auto"/>
        </w:rPr>
        <w:t xml:space="preserve">). </w:t>
      </w:r>
    </w:p>
    <w:p w14:paraId="7168B0F9" w14:textId="77777777" w:rsidR="00AA4EDB" w:rsidRDefault="00AA4EDB" w:rsidP="00AA4EDB">
      <w:pPr>
        <w:spacing w:after="160" w:line="259" w:lineRule="auto"/>
        <w:rPr>
          <w:color w:val="auto"/>
        </w:rPr>
      </w:pPr>
    </w:p>
    <w:p w14:paraId="20679974" w14:textId="77777777" w:rsidR="00AA4EDB" w:rsidRDefault="00AA4EDB" w:rsidP="000F4F90">
      <w:pPr>
        <w:spacing w:after="160" w:line="259" w:lineRule="auto"/>
        <w:rPr>
          <w:color w:val="auto"/>
        </w:rPr>
      </w:pPr>
    </w:p>
    <w:p w14:paraId="64CFFD15" w14:textId="3958A8A5" w:rsidR="00AA4EDB" w:rsidRPr="0080194C" w:rsidRDefault="00AA4EDB" w:rsidP="00AA4EDB">
      <w:pPr>
        <w:spacing w:after="0" w:line="240" w:lineRule="auto"/>
        <w:jc w:val="left"/>
        <w:rPr>
          <w:color w:val="00B0F0"/>
          <w:sz w:val="20"/>
          <w:szCs w:val="20"/>
        </w:rPr>
      </w:pPr>
      <w:bookmarkStart w:id="180" w:name="_Toc73435815"/>
      <w:r w:rsidRPr="0080194C">
        <w:rPr>
          <w:sz w:val="20"/>
          <w:szCs w:val="20"/>
        </w:rPr>
        <w:t xml:space="preserve">Διάγραμμα </w:t>
      </w:r>
      <w:r w:rsidRPr="0080194C">
        <w:rPr>
          <w:i/>
          <w:sz w:val="20"/>
          <w:szCs w:val="20"/>
        </w:rPr>
        <w:fldChar w:fldCharType="begin"/>
      </w:r>
      <w:r w:rsidRPr="0080194C">
        <w:rPr>
          <w:sz w:val="20"/>
          <w:szCs w:val="20"/>
        </w:rPr>
        <w:instrText xml:space="preserve"> SEQ Διάγραμμα \* ARABIC </w:instrText>
      </w:r>
      <w:r w:rsidRPr="0080194C">
        <w:rPr>
          <w:i/>
          <w:sz w:val="20"/>
          <w:szCs w:val="20"/>
        </w:rPr>
        <w:fldChar w:fldCharType="separate"/>
      </w:r>
      <w:r w:rsidR="00CC05A7">
        <w:rPr>
          <w:noProof/>
          <w:sz w:val="20"/>
          <w:szCs w:val="20"/>
        </w:rPr>
        <w:t>29</w:t>
      </w:r>
      <w:r w:rsidRPr="0080194C">
        <w:rPr>
          <w:i/>
          <w:sz w:val="20"/>
          <w:szCs w:val="20"/>
        </w:rPr>
        <w:fldChar w:fldCharType="end"/>
      </w:r>
      <w:r w:rsidRPr="0080194C">
        <w:rPr>
          <w:sz w:val="20"/>
          <w:szCs w:val="20"/>
        </w:rPr>
        <w:t xml:space="preserve">: </w:t>
      </w:r>
      <w:r w:rsidRPr="0080194C">
        <w:rPr>
          <w:color w:val="00B0F0"/>
          <w:sz w:val="20"/>
          <w:szCs w:val="20"/>
        </w:rPr>
        <w:t>Ανεξόφλητο εγγυημένο υπόλοιπο, πληρωμές καταπτώσεων εγγυήσεων και παρεχόμενες νέες εγγυήσεις ελληνικού Δημοσίου (ΕΔ) 2009- 2020</w:t>
      </w:r>
      <w:bookmarkEnd w:id="180"/>
    </w:p>
    <w:p w14:paraId="1A2D0864" w14:textId="77777777" w:rsidR="00AA4EDB" w:rsidRPr="000F4F90" w:rsidRDefault="00AA4EDB" w:rsidP="00AA4EDB">
      <w:pPr>
        <w:spacing w:after="0" w:line="240" w:lineRule="auto"/>
        <w:jc w:val="left"/>
        <w:rPr>
          <w:color w:val="00B0F0"/>
        </w:rPr>
      </w:pPr>
      <w:r w:rsidRPr="000F4F90">
        <w:rPr>
          <w:rFonts w:asciiTheme="minorHAnsi" w:hAnsiTheme="minorHAnsi"/>
          <w:noProof/>
          <w:color w:val="00B0F0"/>
          <w:shd w:val="clear" w:color="auto" w:fill="00B0F0"/>
          <w:lang w:eastAsia="el-GR"/>
        </w:rPr>
        <w:drawing>
          <wp:inline distT="0" distB="0" distL="0" distR="0" wp14:anchorId="2690FC53" wp14:editId="232CC3DC">
            <wp:extent cx="5278120" cy="3228975"/>
            <wp:effectExtent l="0" t="0" r="17780" b="9525"/>
            <wp:docPr id="13" name="Γράφημα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CA79E2C" w14:textId="77777777" w:rsidR="00AA4EDB" w:rsidRPr="000F4F90" w:rsidRDefault="00AA4EDB" w:rsidP="00AA4EDB">
      <w:pPr>
        <w:spacing w:after="0" w:line="240" w:lineRule="auto"/>
        <w:jc w:val="left"/>
        <w:rPr>
          <w:i/>
          <w:color w:val="auto"/>
          <w:sz w:val="16"/>
          <w:szCs w:val="16"/>
        </w:rPr>
      </w:pPr>
      <w:r w:rsidRPr="000F4F90">
        <w:rPr>
          <w:b/>
          <w:sz w:val="16"/>
          <w:szCs w:val="16"/>
        </w:rPr>
        <w:t>Πηγή:</w:t>
      </w:r>
      <w:r w:rsidRPr="000F4F90">
        <w:rPr>
          <w:b/>
          <w:i/>
          <w:color w:val="auto"/>
          <w:sz w:val="16"/>
          <w:szCs w:val="16"/>
        </w:rPr>
        <w:t xml:space="preserve">  </w:t>
      </w:r>
      <w:r w:rsidRPr="000F4F90">
        <w:rPr>
          <w:color w:val="00B0F0"/>
          <w:sz w:val="16"/>
          <w:szCs w:val="16"/>
        </w:rPr>
        <w:t>ΥΠΟΙΚ - ΓΛΚ - Γενική Διεύθυνση Θησαυροφυλακίου &amp;  Δημόσιου Λογιστικού</w:t>
      </w:r>
      <w:r w:rsidRPr="000F4F90">
        <w:rPr>
          <w:i/>
          <w:color w:val="auto"/>
          <w:sz w:val="16"/>
          <w:szCs w:val="16"/>
        </w:rPr>
        <w:t xml:space="preserve"> </w:t>
      </w:r>
    </w:p>
    <w:p w14:paraId="556BE084" w14:textId="77777777" w:rsidR="00AA4EDB" w:rsidRPr="000F4F90" w:rsidRDefault="00AA4EDB" w:rsidP="00AA4EDB">
      <w:pPr>
        <w:spacing w:after="240" w:line="259" w:lineRule="auto"/>
        <w:jc w:val="left"/>
        <w:rPr>
          <w:i/>
          <w:color w:val="auto"/>
          <w:sz w:val="16"/>
          <w:szCs w:val="16"/>
        </w:rPr>
      </w:pPr>
      <w:r w:rsidRPr="000F4F90">
        <w:rPr>
          <w:i/>
          <w:color w:val="auto"/>
          <w:sz w:val="16"/>
          <w:szCs w:val="16"/>
        </w:rPr>
        <w:t>*Οι Πληρωμές για καταπτώσεις  εγγυήσεων είναι σε ακαθάριστη βάση</w:t>
      </w:r>
    </w:p>
    <w:p w14:paraId="6C97B52D" w14:textId="6C400FFD" w:rsidR="00AA4EDB" w:rsidRPr="000F4F90" w:rsidRDefault="00AA4EDB" w:rsidP="00AA4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Times New Roman" w:hAnsi="Arial" w:cs="Arial"/>
          <w:color w:val="000000"/>
          <w:sz w:val="24"/>
          <w:szCs w:val="24"/>
          <w:lang w:eastAsia="el-GR"/>
        </w:rPr>
      </w:pPr>
      <w:r w:rsidRPr="000F4F90">
        <w:rPr>
          <w:color w:val="auto"/>
        </w:rPr>
        <w:t>Για να αντιμετωπιστούν τα προβλήματα που εμπόδιζαν την αποκλιμάκωση των συσσωρευμένων δανειακών κεφαλαίων που είχαν παρασχεθεί σε φυσικά πρόσωπα και ιδιωτικές επιχειρήσεις με την εγγύηση του ΕΔ, ξεκίνησε το 2020 η υλοποίηση ενός σχεδίου δράσης που περι</w:t>
      </w:r>
      <w:r w:rsidR="00F60FC9">
        <w:rPr>
          <w:color w:val="auto"/>
        </w:rPr>
        <w:t>λάμβανε τη</w:t>
      </w:r>
      <w:r w:rsidRPr="000F4F90">
        <w:rPr>
          <w:color w:val="auto"/>
        </w:rPr>
        <w:t xml:space="preserve"> χρήση ψηφιακών δυνατοτήτων</w:t>
      </w:r>
      <w:r w:rsidRPr="000F4F90">
        <w:rPr>
          <w:color w:val="auto"/>
          <w:vertAlign w:val="superscript"/>
        </w:rPr>
        <w:footnoteReference w:id="25"/>
      </w:r>
      <w:r w:rsidRPr="000F4F90">
        <w:rPr>
          <w:color w:val="auto"/>
          <w:vertAlign w:val="superscript"/>
        </w:rPr>
        <w:t>,</w:t>
      </w:r>
      <w:r w:rsidRPr="000F4F90">
        <w:rPr>
          <w:color w:val="auto"/>
          <w:vertAlign w:val="superscript"/>
        </w:rPr>
        <w:footnoteReference w:id="26"/>
      </w:r>
      <w:r w:rsidRPr="000F4F90">
        <w:rPr>
          <w:color w:val="auto"/>
        </w:rPr>
        <w:t xml:space="preserve"> προκειμένου να επιταχυνθεί η διαδικασία κατάπτωσης και πληρωμής από το ΕΔ. Ωστόσο, εξαιτίας της πανδημίας, παρατηρήθηκαν καθυστερήσεις στην υλοποίηση του αρχικού προγραμματισμού, με συνέπεια η εξέταση των αιτημάτων κατάπτωσης και οι αναμενόμενες πληρωμές τους να υπολείπονται του αρχικού στόχου που </w:t>
      </w:r>
      <w:r w:rsidR="00760FCD">
        <w:rPr>
          <w:color w:val="auto"/>
        </w:rPr>
        <w:t>τέθηκε</w:t>
      </w:r>
      <w:r w:rsidRPr="000F4F90">
        <w:rPr>
          <w:color w:val="auto"/>
        </w:rPr>
        <w:t xml:space="preserve"> το 2020. Με την άρση των μέτρων περιορισμού, αναμένεται να επιταχυνθούν οι διαδικασίες για την υλοποίηση του εν λόγω Σχεδίου, ενώ παράλληλα λαμβάνονται μέτρα περιορισμού του δημοσιονομικού κόστους μέσω της διευκόλυνσης αποπληρωμής της αρχικής οφειλής από τους δικαιούχους. Προς την κατεύθυνση αυτή εκδόθηκε πρόσφατα σχετική εγκύκλιος</w:t>
      </w:r>
      <w:r w:rsidRPr="000F4F90">
        <w:rPr>
          <w:rFonts w:asciiTheme="minorHAnsi" w:hAnsiTheme="minorHAnsi"/>
          <w:color w:val="auto"/>
          <w:vertAlign w:val="superscript"/>
        </w:rPr>
        <w:footnoteReference w:id="27"/>
      </w:r>
      <w:r w:rsidRPr="000F4F90">
        <w:rPr>
          <w:color w:val="auto"/>
        </w:rPr>
        <w:t xml:space="preserve"> από την Ανεξάρτητη Αρχή Δ</w:t>
      </w:r>
      <w:r w:rsidR="00DF2770">
        <w:rPr>
          <w:color w:val="auto"/>
        </w:rPr>
        <w:t>ημοσίων Εσόδων η οποία δίνει τη</w:t>
      </w:r>
      <w:r w:rsidRPr="000F4F90">
        <w:rPr>
          <w:color w:val="auto"/>
        </w:rPr>
        <w:t xml:space="preserve"> δυνατότητα σε φυσικά πρόσωπα και επιχειρήσεις να ρυθμίσουν σε έως και 120 δόσεις βεβαιωμένες οφειλές </w:t>
      </w:r>
      <w:r w:rsidR="00DF2770">
        <w:rPr>
          <w:color w:val="auto"/>
        </w:rPr>
        <w:t xml:space="preserve">από </w:t>
      </w:r>
      <w:r w:rsidRPr="000F4F90">
        <w:rPr>
          <w:color w:val="auto"/>
        </w:rPr>
        <w:t xml:space="preserve">δάνεια, τα οποία χορηγήθηκαν έως και το 2012, με εγγύηση του Ελληνικού Δημοσίου, της Ελληνικής Αναπτυξιακής Τράπεζας (πρώην "Εθνικό Ταμείο Επιχειρηματικότητας και Ανάπτυξης ΑΕ") ή του Ταμείου Εγγυοδοσίας Μικρών και Πολύ Μικρών Επιχειρήσεων ΑΕ (ΤΕΜΠΜΕ), και τα οποία έχουν καταστεί ληξιπρόθεσμα </w:t>
      </w:r>
      <w:r w:rsidR="007D6536">
        <w:rPr>
          <w:color w:val="auto"/>
        </w:rPr>
        <w:t>στις τράπεζες έως τις 7.10.2019</w:t>
      </w:r>
      <w:r w:rsidRPr="000F4F90">
        <w:rPr>
          <w:color w:val="auto"/>
        </w:rPr>
        <w:t>.</w:t>
      </w:r>
    </w:p>
    <w:p w14:paraId="24526978" w14:textId="5D85A41A" w:rsidR="000F4F90" w:rsidRPr="007D6510" w:rsidRDefault="0080194C" w:rsidP="0080194C">
      <w:pPr>
        <w:spacing w:after="0" w:line="240" w:lineRule="auto"/>
        <w:rPr>
          <w:color w:val="auto"/>
          <w:sz w:val="20"/>
          <w:szCs w:val="20"/>
        </w:rPr>
      </w:pPr>
      <w:bookmarkStart w:id="181" w:name="_Ref72411361"/>
      <w:bookmarkStart w:id="182" w:name="_Toc11843879"/>
      <w:bookmarkStart w:id="183" w:name="_Toc73435782"/>
      <w:r w:rsidRPr="007D6510">
        <w:rPr>
          <w:sz w:val="20"/>
          <w:szCs w:val="20"/>
        </w:rPr>
        <w:t xml:space="preserve">Πίνακας </w:t>
      </w:r>
      <w:r w:rsidRPr="007D6510">
        <w:rPr>
          <w:i/>
          <w:sz w:val="20"/>
          <w:szCs w:val="20"/>
        </w:rPr>
        <w:fldChar w:fldCharType="begin"/>
      </w:r>
      <w:r w:rsidRPr="007D6510">
        <w:rPr>
          <w:sz w:val="20"/>
          <w:szCs w:val="20"/>
        </w:rPr>
        <w:instrText xml:space="preserve"> SEQ Πίνακας \* ARABIC </w:instrText>
      </w:r>
      <w:r w:rsidRPr="007D6510">
        <w:rPr>
          <w:i/>
          <w:sz w:val="20"/>
          <w:szCs w:val="20"/>
        </w:rPr>
        <w:fldChar w:fldCharType="separate"/>
      </w:r>
      <w:r w:rsidR="00CC05A7">
        <w:rPr>
          <w:noProof/>
          <w:sz w:val="20"/>
          <w:szCs w:val="20"/>
        </w:rPr>
        <w:t>21</w:t>
      </w:r>
      <w:r w:rsidRPr="007D6510">
        <w:rPr>
          <w:i/>
          <w:sz w:val="20"/>
          <w:szCs w:val="20"/>
        </w:rPr>
        <w:fldChar w:fldCharType="end"/>
      </w:r>
      <w:bookmarkEnd w:id="181"/>
      <w:r w:rsidRPr="007D6510">
        <w:rPr>
          <w:color w:val="00B0F0"/>
          <w:sz w:val="20"/>
          <w:szCs w:val="20"/>
        </w:rPr>
        <w:t xml:space="preserve">: </w:t>
      </w:r>
      <w:r w:rsidR="000F4F90" w:rsidRPr="007D6510">
        <w:rPr>
          <w:color w:val="00A3E0"/>
          <w:sz w:val="20"/>
          <w:szCs w:val="20"/>
        </w:rPr>
        <w:t>Ανεξόφλητα εγγυημένα υπόλοιπα φορέων εντός και εκτός ΓΚ στις 31/12/20</w:t>
      </w:r>
      <w:bookmarkEnd w:id="182"/>
      <w:r w:rsidR="000F4F90" w:rsidRPr="007D6510">
        <w:rPr>
          <w:color w:val="00A3E0"/>
          <w:sz w:val="20"/>
          <w:szCs w:val="20"/>
        </w:rPr>
        <w:t>20</w:t>
      </w:r>
      <w:bookmarkEnd w:id="183"/>
    </w:p>
    <w:tbl>
      <w:tblPr>
        <w:tblW w:w="8569" w:type="dxa"/>
        <w:tblInd w:w="-23" w:type="dxa"/>
        <w:tblCellMar>
          <w:left w:w="0" w:type="dxa"/>
          <w:right w:w="0" w:type="dxa"/>
        </w:tblCellMar>
        <w:tblLook w:val="04A0" w:firstRow="1" w:lastRow="0" w:firstColumn="1" w:lastColumn="0" w:noHBand="0" w:noVBand="1"/>
      </w:tblPr>
      <w:tblGrid>
        <w:gridCol w:w="2571"/>
        <w:gridCol w:w="1816"/>
        <w:gridCol w:w="3271"/>
        <w:gridCol w:w="911"/>
      </w:tblGrid>
      <w:tr w:rsidR="000F4F90" w:rsidRPr="000F4F90" w14:paraId="65253D12" w14:textId="77777777" w:rsidTr="00AA4EDB">
        <w:trPr>
          <w:trHeight w:val="96"/>
        </w:trPr>
        <w:tc>
          <w:tcPr>
            <w:tcW w:w="4387" w:type="dxa"/>
            <w:gridSpan w:val="2"/>
            <w:tcBorders>
              <w:top w:val="single" w:sz="12" w:space="0" w:color="auto"/>
              <w:bottom w:val="single" w:sz="12" w:space="0" w:color="auto"/>
            </w:tcBorders>
            <w:shd w:val="clear" w:color="auto" w:fill="C1EFFF"/>
            <w:noWrap/>
            <w:tcMar>
              <w:top w:w="15" w:type="dxa"/>
              <w:left w:w="15" w:type="dxa"/>
              <w:bottom w:w="0" w:type="dxa"/>
              <w:right w:w="15" w:type="dxa"/>
            </w:tcMar>
            <w:vAlign w:val="bottom"/>
            <w:hideMark/>
          </w:tcPr>
          <w:p w14:paraId="08A4D6C5" w14:textId="77777777" w:rsidR="000F4F90" w:rsidRPr="000F4F90" w:rsidRDefault="000F4F90" w:rsidP="000F4F90">
            <w:pPr>
              <w:spacing w:after="0" w:line="240" w:lineRule="auto"/>
              <w:jc w:val="center"/>
              <w:rPr>
                <w:rFonts w:cs="Calibri"/>
                <w:b/>
                <w:bCs/>
                <w:color w:val="000000"/>
                <w:sz w:val="18"/>
                <w:szCs w:val="18"/>
              </w:rPr>
            </w:pPr>
            <w:r w:rsidRPr="000F4F90">
              <w:rPr>
                <w:rFonts w:cs="Calibri"/>
                <w:b/>
                <w:bCs/>
                <w:color w:val="000000"/>
                <w:sz w:val="18"/>
                <w:szCs w:val="18"/>
              </w:rPr>
              <w:t>ΦΟΡΕΙΣ ΕΝΤΟΣ ΓΚ</w:t>
            </w:r>
          </w:p>
        </w:tc>
        <w:tc>
          <w:tcPr>
            <w:tcW w:w="4182" w:type="dxa"/>
            <w:gridSpan w:val="2"/>
            <w:tcBorders>
              <w:top w:val="single" w:sz="12" w:space="0" w:color="auto"/>
              <w:bottom w:val="single" w:sz="12" w:space="0" w:color="auto"/>
            </w:tcBorders>
            <w:shd w:val="clear" w:color="auto" w:fill="C1EFFF"/>
            <w:noWrap/>
            <w:tcMar>
              <w:top w:w="15" w:type="dxa"/>
              <w:left w:w="15" w:type="dxa"/>
              <w:bottom w:w="0" w:type="dxa"/>
              <w:right w:w="15" w:type="dxa"/>
            </w:tcMar>
            <w:vAlign w:val="bottom"/>
            <w:hideMark/>
          </w:tcPr>
          <w:p w14:paraId="36D0038E" w14:textId="77777777" w:rsidR="000F4F90" w:rsidRPr="000F4F90" w:rsidRDefault="000F4F90" w:rsidP="000F4F90">
            <w:pPr>
              <w:spacing w:after="0" w:line="240" w:lineRule="auto"/>
              <w:jc w:val="center"/>
              <w:rPr>
                <w:rFonts w:cs="Calibri"/>
                <w:b/>
                <w:bCs/>
                <w:color w:val="000000"/>
                <w:sz w:val="18"/>
                <w:szCs w:val="18"/>
              </w:rPr>
            </w:pPr>
            <w:r w:rsidRPr="000F4F90">
              <w:rPr>
                <w:rFonts w:cs="Calibri"/>
                <w:b/>
                <w:bCs/>
                <w:color w:val="000000"/>
                <w:sz w:val="18"/>
                <w:szCs w:val="18"/>
              </w:rPr>
              <w:t>ΦΟΡΕΙΣ ΕΚΤΟΣ ΓΚ</w:t>
            </w:r>
          </w:p>
        </w:tc>
      </w:tr>
      <w:tr w:rsidR="000F4F90" w:rsidRPr="000F4F90" w14:paraId="661B721D" w14:textId="77777777" w:rsidTr="00AA4EDB">
        <w:trPr>
          <w:trHeight w:val="91"/>
        </w:trPr>
        <w:tc>
          <w:tcPr>
            <w:tcW w:w="2571" w:type="dxa"/>
            <w:tcBorders>
              <w:top w:val="single" w:sz="12" w:space="0" w:color="auto"/>
            </w:tcBorders>
            <w:shd w:val="clear" w:color="auto" w:fill="auto"/>
            <w:noWrap/>
            <w:tcMar>
              <w:top w:w="15" w:type="dxa"/>
              <w:left w:w="15" w:type="dxa"/>
              <w:bottom w:w="0" w:type="dxa"/>
              <w:right w:w="15" w:type="dxa"/>
            </w:tcMar>
            <w:vAlign w:val="bottom"/>
            <w:hideMark/>
          </w:tcPr>
          <w:p w14:paraId="60A4B740" w14:textId="77777777" w:rsidR="000F4F90" w:rsidRPr="000F4F90" w:rsidRDefault="000F4F90" w:rsidP="000F4F90">
            <w:pPr>
              <w:spacing w:after="0" w:line="240" w:lineRule="auto"/>
              <w:jc w:val="left"/>
              <w:rPr>
                <w:rFonts w:cs="Times New Roman"/>
                <w:b/>
                <w:bCs/>
                <w:color w:val="000000"/>
                <w:sz w:val="18"/>
                <w:szCs w:val="18"/>
              </w:rPr>
            </w:pPr>
            <w:r w:rsidRPr="000F4F90">
              <w:rPr>
                <w:b/>
                <w:bCs/>
                <w:color w:val="000000"/>
                <w:sz w:val="18"/>
                <w:szCs w:val="18"/>
              </w:rPr>
              <w:t>Κρατικές Επιχειρήσεις</w:t>
            </w:r>
          </w:p>
        </w:tc>
        <w:tc>
          <w:tcPr>
            <w:tcW w:w="1815" w:type="dxa"/>
            <w:tcBorders>
              <w:top w:val="single" w:sz="12" w:space="0" w:color="auto"/>
            </w:tcBorders>
            <w:shd w:val="clear" w:color="auto" w:fill="auto"/>
            <w:noWrap/>
            <w:tcMar>
              <w:top w:w="15" w:type="dxa"/>
              <w:left w:w="15" w:type="dxa"/>
              <w:bottom w:w="0" w:type="dxa"/>
              <w:right w:w="15" w:type="dxa"/>
            </w:tcMar>
            <w:vAlign w:val="bottom"/>
            <w:hideMark/>
          </w:tcPr>
          <w:p w14:paraId="2A16F8AE" w14:textId="77777777" w:rsidR="000F4F90" w:rsidRPr="000F4F90" w:rsidRDefault="000F4F90" w:rsidP="000F4F90">
            <w:pPr>
              <w:spacing w:after="0" w:line="240" w:lineRule="auto"/>
              <w:jc w:val="right"/>
              <w:rPr>
                <w:b/>
                <w:bCs/>
                <w:color w:val="000000"/>
                <w:sz w:val="18"/>
                <w:szCs w:val="18"/>
              </w:rPr>
            </w:pPr>
            <w:r w:rsidRPr="000F4F90">
              <w:rPr>
                <w:b/>
                <w:bCs/>
                <w:color w:val="000000"/>
                <w:sz w:val="18"/>
                <w:szCs w:val="18"/>
              </w:rPr>
              <w:t> </w:t>
            </w:r>
          </w:p>
        </w:tc>
        <w:tc>
          <w:tcPr>
            <w:tcW w:w="3271" w:type="dxa"/>
            <w:tcBorders>
              <w:top w:val="single" w:sz="12" w:space="0" w:color="auto"/>
            </w:tcBorders>
            <w:shd w:val="clear" w:color="auto" w:fill="auto"/>
            <w:noWrap/>
            <w:tcMar>
              <w:top w:w="15" w:type="dxa"/>
              <w:left w:w="15" w:type="dxa"/>
              <w:bottom w:w="0" w:type="dxa"/>
              <w:right w:w="15" w:type="dxa"/>
            </w:tcMar>
            <w:vAlign w:val="bottom"/>
            <w:hideMark/>
          </w:tcPr>
          <w:p w14:paraId="4E4EEA4D" w14:textId="77777777" w:rsidR="000F4F90" w:rsidRPr="000F4F90" w:rsidRDefault="000F4F90" w:rsidP="000F4F90">
            <w:pPr>
              <w:spacing w:after="0" w:line="240" w:lineRule="auto"/>
              <w:ind w:firstLine="91"/>
              <w:jc w:val="left"/>
              <w:rPr>
                <w:b/>
                <w:bCs/>
                <w:color w:val="000000"/>
                <w:sz w:val="18"/>
                <w:szCs w:val="18"/>
              </w:rPr>
            </w:pPr>
            <w:r w:rsidRPr="000F4F90">
              <w:rPr>
                <w:b/>
                <w:bCs/>
                <w:color w:val="000000"/>
                <w:sz w:val="18"/>
                <w:szCs w:val="18"/>
              </w:rPr>
              <w:t>Δημόσιες Επιχειρήσεις ( ΔΕΚΟ)</w:t>
            </w:r>
          </w:p>
        </w:tc>
        <w:tc>
          <w:tcPr>
            <w:tcW w:w="911" w:type="dxa"/>
            <w:tcBorders>
              <w:top w:val="single" w:sz="12" w:space="0" w:color="auto"/>
            </w:tcBorders>
            <w:shd w:val="clear" w:color="FFFFCC" w:fill="FFFFFF"/>
            <w:noWrap/>
            <w:tcMar>
              <w:top w:w="15" w:type="dxa"/>
              <w:left w:w="15" w:type="dxa"/>
              <w:bottom w:w="0" w:type="dxa"/>
              <w:right w:w="15" w:type="dxa"/>
            </w:tcMar>
            <w:vAlign w:val="bottom"/>
            <w:hideMark/>
          </w:tcPr>
          <w:p w14:paraId="447F6390" w14:textId="77777777" w:rsidR="000F4F90" w:rsidRPr="000F4F90" w:rsidRDefault="000F4F90" w:rsidP="000F4F90">
            <w:pPr>
              <w:spacing w:after="0" w:line="240" w:lineRule="auto"/>
              <w:jc w:val="right"/>
              <w:rPr>
                <w:b/>
                <w:bCs/>
                <w:color w:val="000000"/>
                <w:sz w:val="18"/>
                <w:szCs w:val="18"/>
              </w:rPr>
            </w:pPr>
            <w:r w:rsidRPr="000F4F90">
              <w:rPr>
                <w:b/>
                <w:bCs/>
                <w:color w:val="000000"/>
                <w:sz w:val="18"/>
                <w:szCs w:val="18"/>
              </w:rPr>
              <w:t> </w:t>
            </w:r>
          </w:p>
        </w:tc>
      </w:tr>
      <w:tr w:rsidR="000F4F90" w:rsidRPr="000F4F90" w14:paraId="17A154CC" w14:textId="77777777" w:rsidTr="00AA4EDB">
        <w:trPr>
          <w:trHeight w:val="91"/>
        </w:trPr>
        <w:tc>
          <w:tcPr>
            <w:tcW w:w="2571" w:type="dxa"/>
            <w:shd w:val="clear" w:color="auto" w:fill="auto"/>
            <w:noWrap/>
            <w:tcMar>
              <w:top w:w="15" w:type="dxa"/>
              <w:left w:w="180" w:type="dxa"/>
              <w:bottom w:w="0" w:type="dxa"/>
              <w:right w:w="15" w:type="dxa"/>
            </w:tcMar>
            <w:vAlign w:val="bottom"/>
            <w:hideMark/>
          </w:tcPr>
          <w:p w14:paraId="45F5A477" w14:textId="77777777" w:rsidR="000F4F90" w:rsidRPr="000F4F90" w:rsidRDefault="000F4F90" w:rsidP="000F4F90">
            <w:pPr>
              <w:spacing w:after="0" w:line="240" w:lineRule="auto"/>
              <w:ind w:firstLineChars="100" w:firstLine="180"/>
              <w:jc w:val="left"/>
              <w:rPr>
                <w:color w:val="000000"/>
                <w:sz w:val="18"/>
                <w:szCs w:val="18"/>
              </w:rPr>
            </w:pPr>
            <w:r w:rsidRPr="000F4F90">
              <w:rPr>
                <w:color w:val="000000"/>
                <w:sz w:val="18"/>
                <w:szCs w:val="18"/>
              </w:rPr>
              <w:t>ΕΑΣ</w:t>
            </w:r>
          </w:p>
        </w:tc>
        <w:tc>
          <w:tcPr>
            <w:tcW w:w="1815" w:type="dxa"/>
            <w:shd w:val="clear" w:color="auto" w:fill="auto"/>
            <w:noWrap/>
            <w:tcMar>
              <w:top w:w="15" w:type="dxa"/>
              <w:left w:w="15" w:type="dxa"/>
              <w:bottom w:w="0" w:type="dxa"/>
              <w:right w:w="15" w:type="dxa"/>
            </w:tcMar>
            <w:vAlign w:val="bottom"/>
            <w:hideMark/>
          </w:tcPr>
          <w:p w14:paraId="7BB35294" w14:textId="77777777" w:rsidR="000F4F90" w:rsidRPr="000F4F90" w:rsidRDefault="000F4F90" w:rsidP="000F4F90">
            <w:pPr>
              <w:spacing w:after="0" w:line="240" w:lineRule="auto"/>
              <w:jc w:val="right"/>
              <w:rPr>
                <w:color w:val="000000"/>
                <w:sz w:val="18"/>
                <w:szCs w:val="18"/>
              </w:rPr>
            </w:pPr>
            <w:r w:rsidRPr="000F4F90">
              <w:rPr>
                <w:color w:val="000000"/>
                <w:sz w:val="18"/>
                <w:szCs w:val="18"/>
              </w:rPr>
              <w:t xml:space="preserve">121,86   </w:t>
            </w:r>
          </w:p>
        </w:tc>
        <w:tc>
          <w:tcPr>
            <w:tcW w:w="3271" w:type="dxa"/>
            <w:shd w:val="clear" w:color="auto" w:fill="auto"/>
            <w:noWrap/>
            <w:tcMar>
              <w:top w:w="15" w:type="dxa"/>
              <w:left w:w="180" w:type="dxa"/>
              <w:bottom w:w="0" w:type="dxa"/>
              <w:right w:w="15" w:type="dxa"/>
            </w:tcMar>
            <w:vAlign w:val="bottom"/>
          </w:tcPr>
          <w:p w14:paraId="2973E071" w14:textId="77777777" w:rsidR="000F4F90" w:rsidRPr="000F4F90" w:rsidRDefault="000F4F90" w:rsidP="000F4F90">
            <w:pPr>
              <w:spacing w:after="0" w:line="240" w:lineRule="auto"/>
              <w:ind w:left="-182" w:firstLineChars="191" w:firstLine="344"/>
              <w:jc w:val="left"/>
              <w:rPr>
                <w:color w:val="000000"/>
                <w:sz w:val="18"/>
                <w:szCs w:val="18"/>
              </w:rPr>
            </w:pPr>
          </w:p>
        </w:tc>
        <w:tc>
          <w:tcPr>
            <w:tcW w:w="911" w:type="dxa"/>
            <w:shd w:val="clear" w:color="auto" w:fill="auto"/>
            <w:noWrap/>
            <w:tcMar>
              <w:top w:w="15" w:type="dxa"/>
              <w:left w:w="15" w:type="dxa"/>
              <w:bottom w:w="0" w:type="dxa"/>
              <w:right w:w="15" w:type="dxa"/>
            </w:tcMar>
            <w:vAlign w:val="bottom"/>
          </w:tcPr>
          <w:p w14:paraId="5D761F73" w14:textId="77777777" w:rsidR="000F4F90" w:rsidRPr="000F4F90" w:rsidRDefault="000F4F90" w:rsidP="000F4F90">
            <w:pPr>
              <w:spacing w:after="0" w:line="240" w:lineRule="auto"/>
              <w:jc w:val="right"/>
              <w:rPr>
                <w:color w:val="000000"/>
                <w:sz w:val="18"/>
                <w:szCs w:val="18"/>
              </w:rPr>
            </w:pPr>
          </w:p>
        </w:tc>
      </w:tr>
      <w:tr w:rsidR="000F4F90" w:rsidRPr="000F4F90" w14:paraId="27D3B30D" w14:textId="77777777" w:rsidTr="00AA4EDB">
        <w:trPr>
          <w:trHeight w:val="91"/>
        </w:trPr>
        <w:tc>
          <w:tcPr>
            <w:tcW w:w="2571" w:type="dxa"/>
            <w:shd w:val="clear" w:color="auto" w:fill="auto"/>
            <w:noWrap/>
            <w:tcMar>
              <w:top w:w="15" w:type="dxa"/>
              <w:left w:w="180" w:type="dxa"/>
              <w:bottom w:w="0" w:type="dxa"/>
              <w:right w:w="15" w:type="dxa"/>
            </w:tcMar>
            <w:vAlign w:val="bottom"/>
            <w:hideMark/>
          </w:tcPr>
          <w:p w14:paraId="233EDDAB" w14:textId="77777777" w:rsidR="000F4F90" w:rsidRPr="000F4F90" w:rsidRDefault="000F4F90" w:rsidP="000F4F90">
            <w:pPr>
              <w:spacing w:after="0" w:line="240" w:lineRule="auto"/>
              <w:ind w:firstLineChars="100" w:firstLine="180"/>
              <w:jc w:val="left"/>
              <w:rPr>
                <w:color w:val="000000"/>
                <w:sz w:val="18"/>
                <w:szCs w:val="18"/>
              </w:rPr>
            </w:pPr>
            <w:r w:rsidRPr="000F4F90">
              <w:rPr>
                <w:color w:val="000000"/>
                <w:sz w:val="18"/>
                <w:szCs w:val="18"/>
              </w:rPr>
              <w:t>EAB</w:t>
            </w:r>
          </w:p>
        </w:tc>
        <w:tc>
          <w:tcPr>
            <w:tcW w:w="1815" w:type="dxa"/>
            <w:shd w:val="clear" w:color="auto" w:fill="auto"/>
            <w:noWrap/>
            <w:tcMar>
              <w:top w:w="15" w:type="dxa"/>
              <w:left w:w="15" w:type="dxa"/>
              <w:bottom w:w="0" w:type="dxa"/>
              <w:right w:w="15" w:type="dxa"/>
            </w:tcMar>
            <w:vAlign w:val="bottom"/>
            <w:hideMark/>
          </w:tcPr>
          <w:p w14:paraId="3DCAAE81" w14:textId="77777777" w:rsidR="000F4F90" w:rsidRPr="00042D74" w:rsidRDefault="000F4F90" w:rsidP="000F4F90">
            <w:pPr>
              <w:spacing w:after="0" w:line="240" w:lineRule="auto"/>
              <w:jc w:val="right"/>
              <w:rPr>
                <w:color w:val="000000"/>
                <w:sz w:val="18"/>
                <w:szCs w:val="18"/>
              </w:rPr>
            </w:pPr>
            <w:r w:rsidRPr="00042D74">
              <w:rPr>
                <w:color w:val="000000"/>
                <w:sz w:val="18"/>
                <w:szCs w:val="18"/>
              </w:rPr>
              <w:t>00</w:t>
            </w:r>
          </w:p>
        </w:tc>
        <w:tc>
          <w:tcPr>
            <w:tcW w:w="3271" w:type="dxa"/>
            <w:shd w:val="clear" w:color="auto" w:fill="auto"/>
            <w:noWrap/>
            <w:tcMar>
              <w:top w:w="15" w:type="dxa"/>
              <w:left w:w="180" w:type="dxa"/>
              <w:bottom w:w="0" w:type="dxa"/>
              <w:right w:w="15" w:type="dxa"/>
            </w:tcMar>
            <w:vAlign w:val="bottom"/>
            <w:hideMark/>
          </w:tcPr>
          <w:p w14:paraId="23956C59" w14:textId="77777777" w:rsidR="000F4F90" w:rsidRPr="00042D74" w:rsidRDefault="000F4F90" w:rsidP="000F4F90">
            <w:pPr>
              <w:spacing w:after="0" w:line="240" w:lineRule="auto"/>
              <w:ind w:firstLineChars="100" w:firstLine="180"/>
              <w:jc w:val="left"/>
              <w:rPr>
                <w:color w:val="000000"/>
                <w:sz w:val="18"/>
                <w:szCs w:val="18"/>
              </w:rPr>
            </w:pPr>
            <w:r w:rsidRPr="00042D74">
              <w:rPr>
                <w:color w:val="000000"/>
                <w:sz w:val="18"/>
                <w:szCs w:val="18"/>
              </w:rPr>
              <w:t>ΔΙΕΘΝΗΣ ΑΕΡΟΛΙΜΕΝΑΣ</w:t>
            </w:r>
          </w:p>
        </w:tc>
        <w:tc>
          <w:tcPr>
            <w:tcW w:w="911" w:type="dxa"/>
            <w:shd w:val="clear" w:color="auto" w:fill="auto"/>
            <w:noWrap/>
            <w:tcMar>
              <w:top w:w="15" w:type="dxa"/>
              <w:left w:w="15" w:type="dxa"/>
              <w:bottom w:w="0" w:type="dxa"/>
              <w:right w:w="15" w:type="dxa"/>
            </w:tcMar>
            <w:vAlign w:val="bottom"/>
            <w:hideMark/>
          </w:tcPr>
          <w:p w14:paraId="366A51DF" w14:textId="77777777" w:rsidR="000F4F90" w:rsidRPr="000F4F90" w:rsidRDefault="000F4F90" w:rsidP="000F4F90">
            <w:pPr>
              <w:spacing w:after="0" w:line="240" w:lineRule="auto"/>
              <w:jc w:val="right"/>
              <w:rPr>
                <w:color w:val="000000"/>
                <w:sz w:val="18"/>
                <w:szCs w:val="18"/>
              </w:rPr>
            </w:pPr>
            <w:r w:rsidRPr="000F4F90">
              <w:rPr>
                <w:color w:val="000000"/>
                <w:sz w:val="18"/>
                <w:szCs w:val="18"/>
                <w:lang w:val="en-US"/>
              </w:rPr>
              <w:t>134,35</w:t>
            </w:r>
            <w:r w:rsidRPr="000F4F90">
              <w:rPr>
                <w:color w:val="000000"/>
                <w:sz w:val="18"/>
                <w:szCs w:val="18"/>
              </w:rPr>
              <w:t xml:space="preserve">   </w:t>
            </w:r>
          </w:p>
        </w:tc>
      </w:tr>
      <w:tr w:rsidR="000F4F90" w:rsidRPr="000F4F90" w14:paraId="63CA4C38" w14:textId="77777777" w:rsidTr="00AA4EDB">
        <w:trPr>
          <w:trHeight w:val="91"/>
        </w:trPr>
        <w:tc>
          <w:tcPr>
            <w:tcW w:w="2571" w:type="dxa"/>
            <w:shd w:val="clear" w:color="auto" w:fill="auto"/>
            <w:noWrap/>
            <w:tcMar>
              <w:top w:w="15" w:type="dxa"/>
              <w:left w:w="180" w:type="dxa"/>
              <w:bottom w:w="0" w:type="dxa"/>
              <w:right w:w="15" w:type="dxa"/>
            </w:tcMar>
            <w:vAlign w:val="bottom"/>
            <w:hideMark/>
          </w:tcPr>
          <w:p w14:paraId="7F88C7CB" w14:textId="77777777" w:rsidR="000F4F90" w:rsidRPr="000F4F90" w:rsidRDefault="000F4F90" w:rsidP="000F4F90">
            <w:pPr>
              <w:spacing w:after="0" w:line="240" w:lineRule="auto"/>
              <w:ind w:firstLineChars="100" w:firstLine="180"/>
              <w:jc w:val="left"/>
              <w:rPr>
                <w:color w:val="000000"/>
                <w:sz w:val="18"/>
                <w:szCs w:val="18"/>
              </w:rPr>
            </w:pPr>
            <w:r w:rsidRPr="000F4F90">
              <w:rPr>
                <w:color w:val="000000"/>
                <w:sz w:val="18"/>
                <w:szCs w:val="18"/>
              </w:rPr>
              <w:t>ΟΣΕ</w:t>
            </w:r>
          </w:p>
        </w:tc>
        <w:tc>
          <w:tcPr>
            <w:tcW w:w="1815" w:type="dxa"/>
            <w:shd w:val="clear" w:color="auto" w:fill="auto"/>
            <w:noWrap/>
            <w:tcMar>
              <w:top w:w="15" w:type="dxa"/>
              <w:left w:w="15" w:type="dxa"/>
              <w:bottom w:w="0" w:type="dxa"/>
              <w:right w:w="15" w:type="dxa"/>
            </w:tcMar>
            <w:vAlign w:val="bottom"/>
            <w:hideMark/>
          </w:tcPr>
          <w:p w14:paraId="3D65C14A" w14:textId="77777777" w:rsidR="000F4F90" w:rsidRPr="000F4F90" w:rsidRDefault="000F4F90" w:rsidP="000F4F90">
            <w:pPr>
              <w:spacing w:after="0" w:line="240" w:lineRule="auto"/>
              <w:jc w:val="right"/>
              <w:rPr>
                <w:color w:val="000000"/>
                <w:sz w:val="18"/>
                <w:szCs w:val="18"/>
              </w:rPr>
            </w:pPr>
            <w:r w:rsidRPr="000F4F90">
              <w:rPr>
                <w:color w:val="000000"/>
                <w:sz w:val="18"/>
                <w:szCs w:val="18"/>
              </w:rPr>
              <w:t xml:space="preserve">800,49   </w:t>
            </w:r>
          </w:p>
        </w:tc>
        <w:tc>
          <w:tcPr>
            <w:tcW w:w="3271" w:type="dxa"/>
            <w:shd w:val="clear" w:color="auto" w:fill="auto"/>
            <w:noWrap/>
            <w:tcMar>
              <w:top w:w="15" w:type="dxa"/>
              <w:left w:w="180" w:type="dxa"/>
              <w:bottom w:w="0" w:type="dxa"/>
              <w:right w:w="15" w:type="dxa"/>
            </w:tcMar>
            <w:vAlign w:val="bottom"/>
            <w:hideMark/>
          </w:tcPr>
          <w:p w14:paraId="03B5082E" w14:textId="77777777" w:rsidR="000F4F90" w:rsidRPr="000F4F90" w:rsidRDefault="000F4F90" w:rsidP="000F4F90">
            <w:pPr>
              <w:spacing w:after="0" w:line="240" w:lineRule="auto"/>
              <w:ind w:firstLineChars="100" w:firstLine="180"/>
              <w:jc w:val="left"/>
              <w:rPr>
                <w:color w:val="000000"/>
                <w:sz w:val="18"/>
                <w:szCs w:val="18"/>
              </w:rPr>
            </w:pPr>
            <w:r w:rsidRPr="000F4F90">
              <w:rPr>
                <w:color w:val="000000"/>
                <w:sz w:val="18"/>
                <w:szCs w:val="18"/>
              </w:rPr>
              <w:t>ΔΕΗ</w:t>
            </w:r>
          </w:p>
        </w:tc>
        <w:tc>
          <w:tcPr>
            <w:tcW w:w="911" w:type="dxa"/>
            <w:shd w:val="clear" w:color="auto" w:fill="auto"/>
            <w:noWrap/>
            <w:tcMar>
              <w:top w:w="15" w:type="dxa"/>
              <w:left w:w="15" w:type="dxa"/>
              <w:bottom w:w="0" w:type="dxa"/>
              <w:right w:w="15" w:type="dxa"/>
            </w:tcMar>
            <w:vAlign w:val="bottom"/>
            <w:hideMark/>
          </w:tcPr>
          <w:p w14:paraId="53078D73" w14:textId="77777777" w:rsidR="000F4F90" w:rsidRPr="000F4F90" w:rsidRDefault="000F4F90" w:rsidP="000F4F90">
            <w:pPr>
              <w:spacing w:after="0" w:line="240" w:lineRule="auto"/>
              <w:jc w:val="right"/>
              <w:rPr>
                <w:color w:val="000000"/>
                <w:sz w:val="18"/>
                <w:szCs w:val="18"/>
              </w:rPr>
            </w:pPr>
            <w:r w:rsidRPr="000F4F90">
              <w:rPr>
                <w:color w:val="000000"/>
                <w:sz w:val="18"/>
                <w:szCs w:val="18"/>
                <w:lang w:val="en-US"/>
              </w:rPr>
              <w:t>1.8</w:t>
            </w:r>
            <w:r w:rsidRPr="000F4F90">
              <w:rPr>
                <w:color w:val="000000"/>
                <w:sz w:val="18"/>
                <w:szCs w:val="18"/>
              </w:rPr>
              <w:t>62</w:t>
            </w:r>
            <w:r w:rsidRPr="000F4F90">
              <w:rPr>
                <w:color w:val="000000"/>
                <w:sz w:val="18"/>
                <w:szCs w:val="18"/>
                <w:lang w:val="en-US"/>
              </w:rPr>
              <w:t>,</w:t>
            </w:r>
            <w:r w:rsidRPr="000F4F90">
              <w:rPr>
                <w:color w:val="000000"/>
                <w:sz w:val="18"/>
                <w:szCs w:val="18"/>
              </w:rPr>
              <w:t xml:space="preserve">18   </w:t>
            </w:r>
          </w:p>
        </w:tc>
      </w:tr>
      <w:tr w:rsidR="000F4F90" w:rsidRPr="000F4F90" w14:paraId="51FE73C6" w14:textId="77777777" w:rsidTr="00AA4EDB">
        <w:trPr>
          <w:trHeight w:val="91"/>
        </w:trPr>
        <w:tc>
          <w:tcPr>
            <w:tcW w:w="2571" w:type="dxa"/>
            <w:shd w:val="clear" w:color="auto" w:fill="auto"/>
            <w:noWrap/>
            <w:tcMar>
              <w:top w:w="15" w:type="dxa"/>
              <w:left w:w="180" w:type="dxa"/>
              <w:bottom w:w="0" w:type="dxa"/>
              <w:right w:w="15" w:type="dxa"/>
            </w:tcMar>
            <w:vAlign w:val="bottom"/>
            <w:hideMark/>
          </w:tcPr>
          <w:p w14:paraId="62DAD935" w14:textId="77777777" w:rsidR="000F4F90" w:rsidRPr="000F4F90" w:rsidRDefault="000F4F90" w:rsidP="000F4F90">
            <w:pPr>
              <w:spacing w:after="0" w:line="240" w:lineRule="auto"/>
              <w:ind w:firstLineChars="100" w:firstLine="180"/>
              <w:jc w:val="left"/>
              <w:rPr>
                <w:color w:val="000000"/>
                <w:sz w:val="18"/>
                <w:szCs w:val="18"/>
              </w:rPr>
            </w:pPr>
            <w:r w:rsidRPr="000F4F90">
              <w:rPr>
                <w:color w:val="000000"/>
                <w:sz w:val="18"/>
                <w:szCs w:val="18"/>
              </w:rPr>
              <w:t>ΑΤΤΙΚΟ ΜΕΤΡΟ</w:t>
            </w:r>
          </w:p>
        </w:tc>
        <w:tc>
          <w:tcPr>
            <w:tcW w:w="1815" w:type="dxa"/>
            <w:shd w:val="clear" w:color="auto" w:fill="auto"/>
            <w:noWrap/>
            <w:tcMar>
              <w:top w:w="15" w:type="dxa"/>
              <w:left w:w="15" w:type="dxa"/>
              <w:bottom w:w="0" w:type="dxa"/>
              <w:right w:w="15" w:type="dxa"/>
            </w:tcMar>
            <w:vAlign w:val="bottom"/>
            <w:hideMark/>
          </w:tcPr>
          <w:p w14:paraId="00CBB06E" w14:textId="77777777" w:rsidR="000F4F90" w:rsidRPr="000F4F90" w:rsidRDefault="000F4F90" w:rsidP="000F4F90">
            <w:pPr>
              <w:spacing w:after="0" w:line="240" w:lineRule="auto"/>
              <w:jc w:val="right"/>
              <w:rPr>
                <w:color w:val="000000"/>
                <w:sz w:val="18"/>
                <w:szCs w:val="18"/>
              </w:rPr>
            </w:pPr>
            <w:r w:rsidRPr="000F4F90">
              <w:rPr>
                <w:color w:val="000000"/>
                <w:sz w:val="18"/>
                <w:szCs w:val="18"/>
                <w:lang w:val="en-US"/>
              </w:rPr>
              <w:t>1.</w:t>
            </w:r>
            <w:r w:rsidRPr="000F4F90">
              <w:rPr>
                <w:color w:val="000000"/>
                <w:sz w:val="18"/>
                <w:szCs w:val="18"/>
              </w:rPr>
              <w:t>831</w:t>
            </w:r>
            <w:r w:rsidRPr="000F4F90">
              <w:rPr>
                <w:color w:val="000000"/>
                <w:sz w:val="18"/>
                <w:szCs w:val="18"/>
                <w:lang w:val="en-US"/>
              </w:rPr>
              <w:t>,61</w:t>
            </w:r>
            <w:r w:rsidRPr="000F4F90">
              <w:rPr>
                <w:color w:val="000000"/>
                <w:sz w:val="18"/>
                <w:szCs w:val="18"/>
              </w:rPr>
              <w:t xml:space="preserve">   </w:t>
            </w:r>
          </w:p>
        </w:tc>
        <w:tc>
          <w:tcPr>
            <w:tcW w:w="3271" w:type="dxa"/>
            <w:shd w:val="clear" w:color="auto" w:fill="auto"/>
            <w:noWrap/>
            <w:tcMar>
              <w:top w:w="15" w:type="dxa"/>
              <w:left w:w="180" w:type="dxa"/>
              <w:bottom w:w="0" w:type="dxa"/>
              <w:right w:w="15" w:type="dxa"/>
            </w:tcMar>
            <w:vAlign w:val="bottom"/>
            <w:hideMark/>
          </w:tcPr>
          <w:p w14:paraId="213C2E33" w14:textId="77777777" w:rsidR="000F4F90" w:rsidRPr="000F4F90" w:rsidRDefault="000F4F90" w:rsidP="000F4F90">
            <w:pPr>
              <w:spacing w:after="0" w:line="240" w:lineRule="auto"/>
              <w:ind w:firstLineChars="100" w:firstLine="180"/>
              <w:jc w:val="left"/>
              <w:rPr>
                <w:color w:val="000000"/>
                <w:sz w:val="18"/>
                <w:szCs w:val="18"/>
              </w:rPr>
            </w:pPr>
            <w:r w:rsidRPr="000F4F90">
              <w:rPr>
                <w:color w:val="000000"/>
                <w:sz w:val="18"/>
                <w:szCs w:val="18"/>
              </w:rPr>
              <w:t>ΑΔΜΗΕ</w:t>
            </w:r>
          </w:p>
        </w:tc>
        <w:tc>
          <w:tcPr>
            <w:tcW w:w="911" w:type="dxa"/>
            <w:shd w:val="clear" w:color="auto" w:fill="auto"/>
            <w:noWrap/>
            <w:tcMar>
              <w:top w:w="15" w:type="dxa"/>
              <w:left w:w="15" w:type="dxa"/>
              <w:bottom w:w="0" w:type="dxa"/>
              <w:right w:w="15" w:type="dxa"/>
            </w:tcMar>
            <w:vAlign w:val="bottom"/>
            <w:hideMark/>
          </w:tcPr>
          <w:p w14:paraId="1CC523E3" w14:textId="77777777" w:rsidR="000F4F90" w:rsidRPr="000F4F90" w:rsidRDefault="000F4F90" w:rsidP="000F4F90">
            <w:pPr>
              <w:spacing w:after="0" w:line="240" w:lineRule="auto"/>
              <w:jc w:val="right"/>
              <w:rPr>
                <w:color w:val="000000"/>
                <w:sz w:val="18"/>
                <w:szCs w:val="18"/>
              </w:rPr>
            </w:pPr>
            <w:r w:rsidRPr="000F4F90">
              <w:rPr>
                <w:color w:val="000000"/>
                <w:sz w:val="18"/>
                <w:szCs w:val="18"/>
              </w:rPr>
              <w:t xml:space="preserve">447,03   </w:t>
            </w:r>
          </w:p>
        </w:tc>
      </w:tr>
      <w:tr w:rsidR="000F4F90" w:rsidRPr="000F4F90" w14:paraId="3799A9B0" w14:textId="77777777" w:rsidTr="00AA4EDB">
        <w:trPr>
          <w:trHeight w:val="91"/>
        </w:trPr>
        <w:tc>
          <w:tcPr>
            <w:tcW w:w="2571" w:type="dxa"/>
            <w:tcBorders>
              <w:bottom w:val="single" w:sz="12" w:space="0" w:color="auto"/>
            </w:tcBorders>
            <w:shd w:val="clear" w:color="auto" w:fill="auto"/>
            <w:noWrap/>
            <w:tcMar>
              <w:top w:w="15" w:type="dxa"/>
              <w:left w:w="180" w:type="dxa"/>
              <w:bottom w:w="0" w:type="dxa"/>
              <w:right w:w="15" w:type="dxa"/>
            </w:tcMar>
            <w:vAlign w:val="bottom"/>
            <w:hideMark/>
          </w:tcPr>
          <w:p w14:paraId="29AC4CE2" w14:textId="77777777" w:rsidR="000F4F90" w:rsidRPr="000F4F90" w:rsidRDefault="000F4F90" w:rsidP="000F4F90">
            <w:pPr>
              <w:spacing w:after="0" w:line="240" w:lineRule="auto"/>
              <w:jc w:val="left"/>
              <w:rPr>
                <w:b/>
                <w:bCs/>
                <w:color w:val="000000"/>
                <w:sz w:val="18"/>
                <w:szCs w:val="18"/>
              </w:rPr>
            </w:pPr>
            <w:r w:rsidRPr="000F4F90">
              <w:rPr>
                <w:b/>
                <w:bCs/>
                <w:color w:val="000000"/>
                <w:sz w:val="18"/>
                <w:szCs w:val="18"/>
              </w:rPr>
              <w:t xml:space="preserve">Υποσύνολο </w:t>
            </w:r>
          </w:p>
        </w:tc>
        <w:tc>
          <w:tcPr>
            <w:tcW w:w="1815" w:type="dxa"/>
            <w:tcBorders>
              <w:bottom w:val="single" w:sz="12" w:space="0" w:color="auto"/>
            </w:tcBorders>
            <w:shd w:val="clear" w:color="auto" w:fill="auto"/>
            <w:noWrap/>
            <w:tcMar>
              <w:top w:w="15" w:type="dxa"/>
              <w:left w:w="15" w:type="dxa"/>
              <w:bottom w:w="0" w:type="dxa"/>
              <w:right w:w="15" w:type="dxa"/>
            </w:tcMar>
            <w:vAlign w:val="bottom"/>
            <w:hideMark/>
          </w:tcPr>
          <w:p w14:paraId="520E4315" w14:textId="77777777" w:rsidR="000F4F90" w:rsidRPr="000F4F90" w:rsidRDefault="000F4F90" w:rsidP="000F4F90">
            <w:pPr>
              <w:spacing w:after="0" w:line="240" w:lineRule="auto"/>
              <w:jc w:val="right"/>
              <w:rPr>
                <w:b/>
                <w:bCs/>
                <w:color w:val="000000"/>
                <w:sz w:val="18"/>
                <w:szCs w:val="18"/>
              </w:rPr>
            </w:pPr>
            <w:r w:rsidRPr="000F4F90">
              <w:rPr>
                <w:b/>
                <w:bCs/>
                <w:color w:val="000000"/>
                <w:sz w:val="18"/>
                <w:szCs w:val="18"/>
              </w:rPr>
              <w:t xml:space="preserve">2.754,30   </w:t>
            </w:r>
          </w:p>
        </w:tc>
        <w:tc>
          <w:tcPr>
            <w:tcW w:w="3271" w:type="dxa"/>
            <w:shd w:val="clear" w:color="auto" w:fill="auto"/>
            <w:noWrap/>
            <w:tcMar>
              <w:top w:w="15" w:type="dxa"/>
              <w:left w:w="180" w:type="dxa"/>
              <w:bottom w:w="0" w:type="dxa"/>
              <w:right w:w="15" w:type="dxa"/>
            </w:tcMar>
            <w:vAlign w:val="bottom"/>
            <w:hideMark/>
          </w:tcPr>
          <w:p w14:paraId="08305353" w14:textId="77777777" w:rsidR="000F4F90" w:rsidRPr="000F4F90" w:rsidRDefault="000F4F90" w:rsidP="000F4F90">
            <w:pPr>
              <w:spacing w:after="0" w:line="240" w:lineRule="auto"/>
              <w:ind w:firstLineChars="100" w:firstLine="180"/>
              <w:jc w:val="left"/>
              <w:rPr>
                <w:color w:val="000000"/>
                <w:sz w:val="18"/>
                <w:szCs w:val="18"/>
              </w:rPr>
            </w:pPr>
            <w:r w:rsidRPr="000F4F90">
              <w:rPr>
                <w:color w:val="000000"/>
                <w:sz w:val="18"/>
                <w:szCs w:val="18"/>
              </w:rPr>
              <w:t>ΔΕΣΦΑ</w:t>
            </w:r>
          </w:p>
        </w:tc>
        <w:tc>
          <w:tcPr>
            <w:tcW w:w="911" w:type="dxa"/>
            <w:shd w:val="clear" w:color="auto" w:fill="auto"/>
            <w:noWrap/>
            <w:tcMar>
              <w:top w:w="15" w:type="dxa"/>
              <w:left w:w="15" w:type="dxa"/>
              <w:bottom w:w="0" w:type="dxa"/>
              <w:right w:w="15" w:type="dxa"/>
            </w:tcMar>
            <w:vAlign w:val="bottom"/>
            <w:hideMark/>
          </w:tcPr>
          <w:p w14:paraId="40F950B3" w14:textId="77777777" w:rsidR="000F4F90" w:rsidRPr="000F4F90" w:rsidRDefault="000F4F90" w:rsidP="000F4F90">
            <w:pPr>
              <w:spacing w:after="0" w:line="240" w:lineRule="auto"/>
              <w:jc w:val="right"/>
              <w:rPr>
                <w:color w:val="000000"/>
                <w:sz w:val="18"/>
                <w:szCs w:val="18"/>
              </w:rPr>
            </w:pPr>
            <w:r w:rsidRPr="000F4F90">
              <w:rPr>
                <w:color w:val="000000"/>
                <w:sz w:val="18"/>
                <w:szCs w:val="18"/>
              </w:rPr>
              <w:t xml:space="preserve">155,68   </w:t>
            </w:r>
          </w:p>
        </w:tc>
      </w:tr>
      <w:tr w:rsidR="000F4F90" w:rsidRPr="000F4F90" w14:paraId="1403EE7B" w14:textId="77777777" w:rsidTr="00AA4EDB">
        <w:trPr>
          <w:trHeight w:val="91"/>
        </w:trPr>
        <w:tc>
          <w:tcPr>
            <w:tcW w:w="2571" w:type="dxa"/>
            <w:tcBorders>
              <w:top w:val="single" w:sz="12" w:space="0" w:color="auto"/>
            </w:tcBorders>
            <w:shd w:val="clear" w:color="auto" w:fill="auto"/>
            <w:noWrap/>
            <w:tcMar>
              <w:top w:w="15" w:type="dxa"/>
              <w:left w:w="15" w:type="dxa"/>
              <w:bottom w:w="0" w:type="dxa"/>
              <w:right w:w="15" w:type="dxa"/>
            </w:tcMar>
            <w:vAlign w:val="bottom"/>
            <w:hideMark/>
          </w:tcPr>
          <w:p w14:paraId="1D0F836E" w14:textId="77777777" w:rsidR="000F4F90" w:rsidRPr="000F4F90" w:rsidRDefault="000F4F90" w:rsidP="000F4F90">
            <w:pPr>
              <w:spacing w:after="0" w:line="240" w:lineRule="auto"/>
              <w:jc w:val="left"/>
              <w:rPr>
                <w:b/>
                <w:bCs/>
                <w:color w:val="000000"/>
                <w:sz w:val="18"/>
                <w:szCs w:val="18"/>
              </w:rPr>
            </w:pPr>
            <w:r w:rsidRPr="000F4F90">
              <w:rPr>
                <w:b/>
                <w:bCs/>
                <w:color w:val="000000"/>
                <w:sz w:val="18"/>
                <w:szCs w:val="18"/>
              </w:rPr>
              <w:t>Δημόσιοι Οργανισμοί</w:t>
            </w:r>
          </w:p>
        </w:tc>
        <w:tc>
          <w:tcPr>
            <w:tcW w:w="1815" w:type="dxa"/>
            <w:tcBorders>
              <w:top w:val="single" w:sz="12" w:space="0" w:color="auto"/>
            </w:tcBorders>
            <w:shd w:val="clear" w:color="auto" w:fill="auto"/>
            <w:noWrap/>
            <w:tcMar>
              <w:top w:w="15" w:type="dxa"/>
              <w:left w:w="15" w:type="dxa"/>
              <w:bottom w:w="0" w:type="dxa"/>
              <w:right w:w="15" w:type="dxa"/>
            </w:tcMar>
            <w:vAlign w:val="bottom"/>
            <w:hideMark/>
          </w:tcPr>
          <w:p w14:paraId="7731D92A" w14:textId="77777777" w:rsidR="000F4F90" w:rsidRPr="000F4F90" w:rsidRDefault="000F4F90" w:rsidP="000F4F90">
            <w:pPr>
              <w:spacing w:after="0" w:line="240" w:lineRule="auto"/>
              <w:jc w:val="right"/>
              <w:rPr>
                <w:color w:val="000000"/>
                <w:sz w:val="18"/>
                <w:szCs w:val="18"/>
              </w:rPr>
            </w:pPr>
            <w:r w:rsidRPr="000F4F90">
              <w:rPr>
                <w:color w:val="000000"/>
                <w:sz w:val="18"/>
                <w:szCs w:val="18"/>
              </w:rPr>
              <w:t> </w:t>
            </w:r>
          </w:p>
        </w:tc>
        <w:tc>
          <w:tcPr>
            <w:tcW w:w="3271" w:type="dxa"/>
            <w:shd w:val="clear" w:color="auto" w:fill="auto"/>
            <w:noWrap/>
            <w:tcMar>
              <w:top w:w="15" w:type="dxa"/>
              <w:left w:w="180" w:type="dxa"/>
              <w:bottom w:w="0" w:type="dxa"/>
              <w:right w:w="15" w:type="dxa"/>
            </w:tcMar>
            <w:vAlign w:val="bottom"/>
          </w:tcPr>
          <w:p w14:paraId="4E652807" w14:textId="77777777" w:rsidR="000F4F90" w:rsidRPr="000F4F90" w:rsidRDefault="000F4F90" w:rsidP="000F4F90">
            <w:pPr>
              <w:spacing w:after="0" w:line="240" w:lineRule="auto"/>
              <w:ind w:firstLineChars="100" w:firstLine="180"/>
              <w:jc w:val="left"/>
              <w:rPr>
                <w:color w:val="000000"/>
                <w:sz w:val="18"/>
                <w:szCs w:val="18"/>
              </w:rPr>
            </w:pPr>
            <w:r w:rsidRPr="000F4F90">
              <w:rPr>
                <w:color w:val="000000"/>
                <w:sz w:val="18"/>
                <w:szCs w:val="18"/>
              </w:rPr>
              <w:t>ΔΕΗΑΝ</w:t>
            </w:r>
          </w:p>
        </w:tc>
        <w:tc>
          <w:tcPr>
            <w:tcW w:w="911" w:type="dxa"/>
            <w:shd w:val="clear" w:color="auto" w:fill="auto"/>
            <w:noWrap/>
            <w:tcMar>
              <w:top w:w="15" w:type="dxa"/>
              <w:left w:w="15" w:type="dxa"/>
              <w:bottom w:w="0" w:type="dxa"/>
              <w:right w:w="15" w:type="dxa"/>
            </w:tcMar>
            <w:vAlign w:val="bottom"/>
          </w:tcPr>
          <w:p w14:paraId="19BD737B" w14:textId="77777777" w:rsidR="000F4F90" w:rsidRPr="000F4F90" w:rsidRDefault="000F4F90" w:rsidP="000F4F90">
            <w:pPr>
              <w:spacing w:after="0" w:line="240" w:lineRule="auto"/>
              <w:jc w:val="right"/>
              <w:rPr>
                <w:color w:val="000000"/>
                <w:sz w:val="18"/>
                <w:szCs w:val="18"/>
              </w:rPr>
            </w:pPr>
            <w:r w:rsidRPr="000F4F90">
              <w:rPr>
                <w:color w:val="000000"/>
                <w:sz w:val="18"/>
                <w:szCs w:val="18"/>
              </w:rPr>
              <w:t>85</w:t>
            </w:r>
          </w:p>
        </w:tc>
      </w:tr>
      <w:tr w:rsidR="000F4F90" w:rsidRPr="000F4F90" w14:paraId="3B6F7A52" w14:textId="77777777" w:rsidTr="00AA4EDB">
        <w:trPr>
          <w:trHeight w:val="91"/>
        </w:trPr>
        <w:tc>
          <w:tcPr>
            <w:tcW w:w="2571" w:type="dxa"/>
            <w:shd w:val="clear" w:color="auto" w:fill="auto"/>
            <w:noWrap/>
            <w:tcMar>
              <w:top w:w="15" w:type="dxa"/>
              <w:left w:w="180" w:type="dxa"/>
              <w:bottom w:w="0" w:type="dxa"/>
              <w:right w:w="15" w:type="dxa"/>
            </w:tcMar>
            <w:vAlign w:val="bottom"/>
            <w:hideMark/>
          </w:tcPr>
          <w:p w14:paraId="75E0B262" w14:textId="77777777" w:rsidR="000F4F90" w:rsidRPr="000F4F90" w:rsidRDefault="000F4F90" w:rsidP="000F4F90">
            <w:pPr>
              <w:spacing w:after="0" w:line="240" w:lineRule="auto"/>
              <w:ind w:firstLineChars="100" w:firstLine="180"/>
              <w:jc w:val="left"/>
              <w:rPr>
                <w:color w:val="000000"/>
                <w:sz w:val="18"/>
                <w:szCs w:val="18"/>
              </w:rPr>
            </w:pPr>
            <w:r w:rsidRPr="000F4F90">
              <w:rPr>
                <w:color w:val="000000"/>
                <w:sz w:val="18"/>
                <w:szCs w:val="18"/>
              </w:rPr>
              <w:t>ΕΘΝΙΚΗ ΒΙΒΛΙΟΘΗΚΗ</w:t>
            </w:r>
          </w:p>
        </w:tc>
        <w:tc>
          <w:tcPr>
            <w:tcW w:w="1815" w:type="dxa"/>
            <w:shd w:val="clear" w:color="auto" w:fill="auto"/>
            <w:noWrap/>
            <w:tcMar>
              <w:top w:w="15" w:type="dxa"/>
              <w:left w:w="15" w:type="dxa"/>
              <w:bottom w:w="0" w:type="dxa"/>
              <w:right w:w="15" w:type="dxa"/>
            </w:tcMar>
            <w:vAlign w:val="bottom"/>
            <w:hideMark/>
          </w:tcPr>
          <w:p w14:paraId="4828414D" w14:textId="77777777" w:rsidR="000F4F90" w:rsidRPr="000F4F90" w:rsidRDefault="000F4F90" w:rsidP="000F4F90">
            <w:pPr>
              <w:spacing w:after="0" w:line="240" w:lineRule="auto"/>
              <w:jc w:val="right"/>
              <w:rPr>
                <w:color w:val="000000"/>
                <w:sz w:val="18"/>
                <w:szCs w:val="18"/>
              </w:rPr>
            </w:pPr>
            <w:r w:rsidRPr="000F4F90">
              <w:rPr>
                <w:color w:val="000000"/>
                <w:sz w:val="18"/>
                <w:szCs w:val="18"/>
              </w:rPr>
              <w:t xml:space="preserve">3,97   </w:t>
            </w:r>
          </w:p>
        </w:tc>
        <w:tc>
          <w:tcPr>
            <w:tcW w:w="3271" w:type="dxa"/>
            <w:shd w:val="clear" w:color="auto" w:fill="auto"/>
            <w:noWrap/>
            <w:tcMar>
              <w:top w:w="15" w:type="dxa"/>
              <w:left w:w="180" w:type="dxa"/>
              <w:bottom w:w="0" w:type="dxa"/>
              <w:right w:w="15" w:type="dxa"/>
            </w:tcMar>
            <w:vAlign w:val="bottom"/>
          </w:tcPr>
          <w:p w14:paraId="4B5E0FCC" w14:textId="77777777" w:rsidR="000F4F90" w:rsidRPr="000F4F90" w:rsidRDefault="000F4F90" w:rsidP="000F4F90">
            <w:pPr>
              <w:spacing w:after="0" w:line="240" w:lineRule="auto"/>
              <w:ind w:firstLineChars="100" w:firstLine="180"/>
              <w:jc w:val="left"/>
              <w:rPr>
                <w:color w:val="000000"/>
                <w:sz w:val="18"/>
                <w:szCs w:val="18"/>
              </w:rPr>
            </w:pPr>
          </w:p>
        </w:tc>
        <w:tc>
          <w:tcPr>
            <w:tcW w:w="911" w:type="dxa"/>
            <w:shd w:val="clear" w:color="auto" w:fill="auto"/>
            <w:noWrap/>
            <w:tcMar>
              <w:top w:w="15" w:type="dxa"/>
              <w:left w:w="15" w:type="dxa"/>
              <w:bottom w:w="0" w:type="dxa"/>
              <w:right w:w="15" w:type="dxa"/>
            </w:tcMar>
            <w:vAlign w:val="bottom"/>
          </w:tcPr>
          <w:p w14:paraId="7290E35E" w14:textId="77777777" w:rsidR="000F4F90" w:rsidRPr="000F4F90" w:rsidRDefault="000F4F90" w:rsidP="000F4F90">
            <w:pPr>
              <w:spacing w:after="0" w:line="240" w:lineRule="auto"/>
              <w:jc w:val="right"/>
              <w:rPr>
                <w:color w:val="000000"/>
                <w:sz w:val="18"/>
                <w:szCs w:val="18"/>
              </w:rPr>
            </w:pPr>
          </w:p>
        </w:tc>
      </w:tr>
      <w:tr w:rsidR="000F4F90" w:rsidRPr="000F4F90" w14:paraId="6DC65E75" w14:textId="77777777" w:rsidTr="00AA4EDB">
        <w:trPr>
          <w:trHeight w:val="91"/>
        </w:trPr>
        <w:tc>
          <w:tcPr>
            <w:tcW w:w="2571" w:type="dxa"/>
            <w:shd w:val="clear" w:color="auto" w:fill="auto"/>
            <w:noWrap/>
            <w:tcMar>
              <w:top w:w="15" w:type="dxa"/>
              <w:left w:w="180" w:type="dxa"/>
              <w:bottom w:w="0" w:type="dxa"/>
              <w:right w:w="15" w:type="dxa"/>
            </w:tcMar>
            <w:vAlign w:val="bottom"/>
            <w:hideMark/>
          </w:tcPr>
          <w:p w14:paraId="3EB4684B" w14:textId="77777777" w:rsidR="000F4F90" w:rsidRPr="000F4F90" w:rsidRDefault="000F4F90" w:rsidP="000F4F90">
            <w:pPr>
              <w:spacing w:after="0" w:line="240" w:lineRule="auto"/>
              <w:ind w:firstLineChars="100" w:firstLine="180"/>
              <w:jc w:val="left"/>
              <w:rPr>
                <w:color w:val="000000"/>
                <w:sz w:val="18"/>
                <w:szCs w:val="18"/>
              </w:rPr>
            </w:pPr>
            <w:r w:rsidRPr="000F4F90">
              <w:rPr>
                <w:color w:val="000000"/>
                <w:sz w:val="18"/>
                <w:szCs w:val="18"/>
              </w:rPr>
              <w:t>ΕΤΑΔ</w:t>
            </w:r>
          </w:p>
        </w:tc>
        <w:tc>
          <w:tcPr>
            <w:tcW w:w="1815" w:type="dxa"/>
            <w:shd w:val="clear" w:color="auto" w:fill="auto"/>
            <w:noWrap/>
            <w:tcMar>
              <w:top w:w="15" w:type="dxa"/>
              <w:left w:w="15" w:type="dxa"/>
              <w:bottom w:w="0" w:type="dxa"/>
              <w:right w:w="15" w:type="dxa"/>
            </w:tcMar>
            <w:vAlign w:val="bottom"/>
            <w:hideMark/>
          </w:tcPr>
          <w:p w14:paraId="2A11CA2F" w14:textId="77777777" w:rsidR="000F4F90" w:rsidRPr="000F4F90" w:rsidRDefault="000F4F90" w:rsidP="000F4F90">
            <w:pPr>
              <w:spacing w:after="0" w:line="240" w:lineRule="auto"/>
              <w:jc w:val="right"/>
              <w:rPr>
                <w:color w:val="000000"/>
                <w:sz w:val="18"/>
                <w:szCs w:val="18"/>
              </w:rPr>
            </w:pPr>
            <w:r w:rsidRPr="000F4F90">
              <w:rPr>
                <w:color w:val="000000"/>
                <w:sz w:val="18"/>
                <w:szCs w:val="18"/>
              </w:rPr>
              <w:t xml:space="preserve">57,52   </w:t>
            </w:r>
          </w:p>
        </w:tc>
        <w:tc>
          <w:tcPr>
            <w:tcW w:w="3271" w:type="dxa"/>
            <w:tcBorders>
              <w:bottom w:val="single" w:sz="12" w:space="0" w:color="auto"/>
            </w:tcBorders>
            <w:shd w:val="clear" w:color="auto" w:fill="auto"/>
            <w:noWrap/>
            <w:tcMar>
              <w:top w:w="15" w:type="dxa"/>
              <w:left w:w="180" w:type="dxa"/>
              <w:bottom w:w="0" w:type="dxa"/>
              <w:right w:w="15" w:type="dxa"/>
            </w:tcMar>
            <w:vAlign w:val="bottom"/>
            <w:hideMark/>
          </w:tcPr>
          <w:p w14:paraId="078624C0" w14:textId="77777777" w:rsidR="000F4F90" w:rsidRPr="000F4F90" w:rsidRDefault="000F4F90" w:rsidP="000F4F90">
            <w:pPr>
              <w:spacing w:after="0" w:line="240" w:lineRule="auto"/>
              <w:jc w:val="left"/>
              <w:rPr>
                <w:b/>
                <w:bCs/>
                <w:color w:val="000000"/>
                <w:sz w:val="18"/>
                <w:szCs w:val="18"/>
              </w:rPr>
            </w:pPr>
            <w:r w:rsidRPr="000F4F90">
              <w:rPr>
                <w:b/>
                <w:bCs/>
                <w:color w:val="000000"/>
                <w:sz w:val="18"/>
                <w:szCs w:val="18"/>
              </w:rPr>
              <w:t xml:space="preserve">Υποσύνολο </w:t>
            </w:r>
          </w:p>
        </w:tc>
        <w:tc>
          <w:tcPr>
            <w:tcW w:w="911" w:type="dxa"/>
            <w:tcBorders>
              <w:bottom w:val="single" w:sz="12" w:space="0" w:color="auto"/>
            </w:tcBorders>
            <w:shd w:val="clear" w:color="auto" w:fill="auto"/>
            <w:noWrap/>
            <w:tcMar>
              <w:top w:w="15" w:type="dxa"/>
              <w:left w:w="15" w:type="dxa"/>
              <w:bottom w:w="0" w:type="dxa"/>
              <w:right w:w="15" w:type="dxa"/>
            </w:tcMar>
            <w:vAlign w:val="bottom"/>
            <w:hideMark/>
          </w:tcPr>
          <w:p w14:paraId="403C8BA7" w14:textId="77777777" w:rsidR="000F4F90" w:rsidRPr="000F4F90" w:rsidRDefault="000F4F90" w:rsidP="000F4F90">
            <w:pPr>
              <w:spacing w:after="0" w:line="240" w:lineRule="auto"/>
              <w:jc w:val="right"/>
              <w:rPr>
                <w:b/>
                <w:bCs/>
                <w:color w:val="000000"/>
                <w:sz w:val="18"/>
                <w:szCs w:val="18"/>
              </w:rPr>
            </w:pPr>
            <w:r w:rsidRPr="000F4F90">
              <w:rPr>
                <w:b/>
                <w:bCs/>
                <w:color w:val="000000"/>
                <w:sz w:val="18"/>
                <w:szCs w:val="18"/>
              </w:rPr>
              <w:t xml:space="preserve">2.684,24   </w:t>
            </w:r>
          </w:p>
        </w:tc>
      </w:tr>
      <w:tr w:rsidR="000F4F90" w:rsidRPr="000F4F90" w14:paraId="1130998F" w14:textId="77777777" w:rsidTr="00AA4EDB">
        <w:trPr>
          <w:trHeight w:val="159"/>
        </w:trPr>
        <w:tc>
          <w:tcPr>
            <w:tcW w:w="2571" w:type="dxa"/>
            <w:shd w:val="clear" w:color="auto" w:fill="auto"/>
            <w:noWrap/>
            <w:tcMar>
              <w:top w:w="15" w:type="dxa"/>
              <w:left w:w="180" w:type="dxa"/>
              <w:bottom w:w="0" w:type="dxa"/>
              <w:right w:w="15" w:type="dxa"/>
            </w:tcMar>
            <w:vAlign w:val="bottom"/>
            <w:hideMark/>
          </w:tcPr>
          <w:p w14:paraId="6E2291B5" w14:textId="77777777" w:rsidR="000F4F90" w:rsidRPr="000F4F90" w:rsidRDefault="000F4F90" w:rsidP="000F4F90">
            <w:pPr>
              <w:spacing w:after="0" w:line="240" w:lineRule="auto"/>
              <w:ind w:firstLineChars="100" w:firstLine="180"/>
              <w:jc w:val="left"/>
              <w:rPr>
                <w:color w:val="000000"/>
                <w:sz w:val="18"/>
                <w:szCs w:val="18"/>
              </w:rPr>
            </w:pPr>
            <w:r w:rsidRPr="000F4F90">
              <w:rPr>
                <w:color w:val="000000"/>
                <w:sz w:val="18"/>
                <w:szCs w:val="18"/>
              </w:rPr>
              <w:t>KTYP  (OSK)</w:t>
            </w:r>
          </w:p>
        </w:tc>
        <w:tc>
          <w:tcPr>
            <w:tcW w:w="1815" w:type="dxa"/>
            <w:shd w:val="clear" w:color="auto" w:fill="auto"/>
            <w:noWrap/>
            <w:tcMar>
              <w:top w:w="15" w:type="dxa"/>
              <w:left w:w="15" w:type="dxa"/>
              <w:bottom w:w="0" w:type="dxa"/>
              <w:right w:w="15" w:type="dxa"/>
            </w:tcMar>
            <w:vAlign w:val="bottom"/>
            <w:hideMark/>
          </w:tcPr>
          <w:p w14:paraId="3F3CB97A" w14:textId="77777777" w:rsidR="000F4F90" w:rsidRPr="000F4F90" w:rsidRDefault="000F4F90" w:rsidP="000F4F90">
            <w:pPr>
              <w:spacing w:after="0" w:line="240" w:lineRule="auto"/>
              <w:jc w:val="right"/>
              <w:rPr>
                <w:color w:val="000000"/>
                <w:sz w:val="18"/>
                <w:szCs w:val="18"/>
              </w:rPr>
            </w:pPr>
            <w:r w:rsidRPr="000F4F90">
              <w:rPr>
                <w:color w:val="000000"/>
                <w:sz w:val="18"/>
                <w:szCs w:val="18"/>
              </w:rPr>
              <w:t>329,76</w:t>
            </w:r>
          </w:p>
        </w:tc>
        <w:tc>
          <w:tcPr>
            <w:tcW w:w="3271" w:type="dxa"/>
            <w:tcBorders>
              <w:top w:val="single" w:sz="12" w:space="0" w:color="auto"/>
            </w:tcBorders>
            <w:shd w:val="clear" w:color="auto" w:fill="auto"/>
            <w:tcMar>
              <w:top w:w="15" w:type="dxa"/>
              <w:left w:w="15" w:type="dxa"/>
              <w:bottom w:w="0" w:type="dxa"/>
              <w:right w:w="15" w:type="dxa"/>
            </w:tcMar>
            <w:vAlign w:val="center"/>
            <w:hideMark/>
          </w:tcPr>
          <w:p w14:paraId="17A44661" w14:textId="77777777" w:rsidR="000F4F90" w:rsidRPr="000F4F90" w:rsidRDefault="000F4F90" w:rsidP="000F4F90">
            <w:pPr>
              <w:spacing w:after="0" w:line="240" w:lineRule="auto"/>
              <w:ind w:left="375" w:hanging="284"/>
              <w:jc w:val="left"/>
              <w:rPr>
                <w:b/>
                <w:bCs/>
                <w:color w:val="000000"/>
                <w:sz w:val="18"/>
                <w:szCs w:val="18"/>
              </w:rPr>
            </w:pPr>
            <w:r w:rsidRPr="000F4F90">
              <w:rPr>
                <w:b/>
                <w:bCs/>
                <w:color w:val="000000"/>
                <w:sz w:val="18"/>
                <w:szCs w:val="18"/>
              </w:rPr>
              <w:t>Εγγυήσεις Φυσικών Προσώπων &amp; Επιχειρήσεων</w:t>
            </w:r>
          </w:p>
        </w:tc>
        <w:tc>
          <w:tcPr>
            <w:tcW w:w="911" w:type="dxa"/>
            <w:tcBorders>
              <w:top w:val="single" w:sz="12" w:space="0" w:color="auto"/>
            </w:tcBorders>
            <w:shd w:val="clear" w:color="auto" w:fill="auto"/>
            <w:noWrap/>
            <w:tcMar>
              <w:top w:w="15" w:type="dxa"/>
              <w:left w:w="15" w:type="dxa"/>
              <w:bottom w:w="0" w:type="dxa"/>
              <w:right w:w="15" w:type="dxa"/>
            </w:tcMar>
            <w:vAlign w:val="bottom"/>
            <w:hideMark/>
          </w:tcPr>
          <w:p w14:paraId="142CAE8A" w14:textId="77777777" w:rsidR="000F4F90" w:rsidRPr="000F4F90" w:rsidRDefault="000F4F90" w:rsidP="000F4F90">
            <w:pPr>
              <w:spacing w:after="0" w:line="240" w:lineRule="auto"/>
              <w:jc w:val="right"/>
              <w:rPr>
                <w:color w:val="000000"/>
                <w:sz w:val="18"/>
                <w:szCs w:val="18"/>
              </w:rPr>
            </w:pPr>
            <w:r w:rsidRPr="000F4F90">
              <w:rPr>
                <w:color w:val="000000"/>
                <w:sz w:val="18"/>
                <w:szCs w:val="18"/>
              </w:rPr>
              <w:t> </w:t>
            </w:r>
          </w:p>
        </w:tc>
      </w:tr>
      <w:tr w:rsidR="000F4F90" w:rsidRPr="000F4F90" w14:paraId="7919ABFE" w14:textId="77777777" w:rsidTr="00AA4EDB">
        <w:trPr>
          <w:trHeight w:val="91"/>
        </w:trPr>
        <w:tc>
          <w:tcPr>
            <w:tcW w:w="2571" w:type="dxa"/>
            <w:shd w:val="clear" w:color="auto" w:fill="auto"/>
            <w:noWrap/>
            <w:tcMar>
              <w:top w:w="15" w:type="dxa"/>
              <w:left w:w="180" w:type="dxa"/>
              <w:bottom w:w="0" w:type="dxa"/>
              <w:right w:w="15" w:type="dxa"/>
            </w:tcMar>
            <w:vAlign w:val="bottom"/>
            <w:hideMark/>
          </w:tcPr>
          <w:p w14:paraId="107FC9FC" w14:textId="77777777" w:rsidR="000F4F90" w:rsidRPr="000F4F90" w:rsidRDefault="000F4F90" w:rsidP="000F4F90">
            <w:pPr>
              <w:spacing w:after="0" w:line="240" w:lineRule="auto"/>
              <w:ind w:firstLineChars="100" w:firstLine="180"/>
              <w:jc w:val="left"/>
              <w:rPr>
                <w:color w:val="000000"/>
                <w:sz w:val="18"/>
                <w:szCs w:val="18"/>
              </w:rPr>
            </w:pPr>
            <w:r w:rsidRPr="000F4F90">
              <w:rPr>
                <w:color w:val="000000"/>
                <w:sz w:val="18"/>
                <w:szCs w:val="18"/>
              </w:rPr>
              <w:t>ΤΠ&amp;Δ</w:t>
            </w:r>
          </w:p>
        </w:tc>
        <w:tc>
          <w:tcPr>
            <w:tcW w:w="1815" w:type="dxa"/>
            <w:shd w:val="clear" w:color="auto" w:fill="auto"/>
            <w:noWrap/>
            <w:tcMar>
              <w:top w:w="15" w:type="dxa"/>
              <w:left w:w="15" w:type="dxa"/>
              <w:bottom w:w="0" w:type="dxa"/>
              <w:right w:w="15" w:type="dxa"/>
            </w:tcMar>
            <w:vAlign w:val="bottom"/>
            <w:hideMark/>
          </w:tcPr>
          <w:p w14:paraId="11748385" w14:textId="77777777" w:rsidR="000F4F90" w:rsidRPr="000F4F90" w:rsidRDefault="000F4F90" w:rsidP="000F4F90">
            <w:pPr>
              <w:spacing w:after="0" w:line="240" w:lineRule="auto"/>
              <w:jc w:val="right"/>
              <w:rPr>
                <w:color w:val="000000"/>
                <w:sz w:val="18"/>
                <w:szCs w:val="18"/>
              </w:rPr>
            </w:pPr>
            <w:r w:rsidRPr="000F4F90">
              <w:rPr>
                <w:color w:val="000000"/>
                <w:sz w:val="18"/>
                <w:szCs w:val="18"/>
              </w:rPr>
              <w:t xml:space="preserve">94,51   </w:t>
            </w:r>
          </w:p>
        </w:tc>
        <w:tc>
          <w:tcPr>
            <w:tcW w:w="3271" w:type="dxa"/>
            <w:shd w:val="clear" w:color="auto" w:fill="auto"/>
            <w:tcMar>
              <w:top w:w="15" w:type="dxa"/>
              <w:left w:w="180" w:type="dxa"/>
              <w:bottom w:w="0" w:type="dxa"/>
              <w:right w:w="15" w:type="dxa"/>
            </w:tcMar>
            <w:vAlign w:val="bottom"/>
            <w:hideMark/>
          </w:tcPr>
          <w:p w14:paraId="3DE636EB" w14:textId="77777777" w:rsidR="000F4F90" w:rsidRPr="000F4F90" w:rsidRDefault="000F4F90" w:rsidP="000F4F90">
            <w:pPr>
              <w:spacing w:after="0" w:line="240" w:lineRule="auto"/>
              <w:ind w:hanging="74"/>
              <w:jc w:val="left"/>
              <w:rPr>
                <w:color w:val="000000"/>
                <w:sz w:val="18"/>
                <w:szCs w:val="18"/>
              </w:rPr>
            </w:pPr>
            <w:r w:rsidRPr="000F4F90">
              <w:rPr>
                <w:color w:val="000000"/>
                <w:sz w:val="18"/>
                <w:szCs w:val="18"/>
              </w:rPr>
              <w:t>ΙΔΙΩΤΙΚΕΣ ΕΠΙΧΕΙΡΗΣΕΙΣ</w:t>
            </w:r>
          </w:p>
        </w:tc>
        <w:tc>
          <w:tcPr>
            <w:tcW w:w="911" w:type="dxa"/>
            <w:shd w:val="clear" w:color="auto" w:fill="auto"/>
            <w:noWrap/>
            <w:tcMar>
              <w:top w:w="15" w:type="dxa"/>
              <w:left w:w="15" w:type="dxa"/>
              <w:bottom w:w="0" w:type="dxa"/>
              <w:right w:w="15" w:type="dxa"/>
            </w:tcMar>
            <w:vAlign w:val="bottom"/>
            <w:hideMark/>
          </w:tcPr>
          <w:p w14:paraId="43D5B8A7" w14:textId="77777777" w:rsidR="000F4F90" w:rsidRPr="000F4F90" w:rsidRDefault="000F4F90" w:rsidP="000F4F90">
            <w:pPr>
              <w:spacing w:after="0" w:line="240" w:lineRule="auto"/>
              <w:jc w:val="right"/>
              <w:rPr>
                <w:color w:val="000000"/>
                <w:sz w:val="18"/>
                <w:szCs w:val="18"/>
              </w:rPr>
            </w:pPr>
            <w:r w:rsidRPr="000F4F90">
              <w:rPr>
                <w:color w:val="000000"/>
                <w:sz w:val="18"/>
                <w:szCs w:val="18"/>
              </w:rPr>
              <w:t xml:space="preserve">1.541,66   </w:t>
            </w:r>
          </w:p>
        </w:tc>
      </w:tr>
      <w:tr w:rsidR="000F4F90" w:rsidRPr="000F4F90" w14:paraId="109DE830" w14:textId="77777777" w:rsidTr="00AA4EDB">
        <w:trPr>
          <w:trHeight w:val="163"/>
        </w:trPr>
        <w:tc>
          <w:tcPr>
            <w:tcW w:w="2571" w:type="dxa"/>
            <w:shd w:val="clear" w:color="auto" w:fill="auto"/>
            <w:noWrap/>
            <w:tcMar>
              <w:top w:w="15" w:type="dxa"/>
              <w:left w:w="180" w:type="dxa"/>
              <w:bottom w:w="0" w:type="dxa"/>
              <w:right w:w="15" w:type="dxa"/>
            </w:tcMar>
            <w:vAlign w:val="bottom"/>
          </w:tcPr>
          <w:p w14:paraId="68E81A7E" w14:textId="77777777" w:rsidR="000F4F90" w:rsidRPr="000F4F90" w:rsidRDefault="000F4F90" w:rsidP="000F4F90">
            <w:pPr>
              <w:spacing w:after="0" w:line="240" w:lineRule="auto"/>
              <w:ind w:firstLineChars="100" w:firstLine="180"/>
              <w:jc w:val="left"/>
              <w:rPr>
                <w:color w:val="000000"/>
                <w:sz w:val="18"/>
                <w:szCs w:val="18"/>
              </w:rPr>
            </w:pPr>
          </w:p>
        </w:tc>
        <w:tc>
          <w:tcPr>
            <w:tcW w:w="1815" w:type="dxa"/>
            <w:shd w:val="clear" w:color="auto" w:fill="auto"/>
            <w:noWrap/>
            <w:tcMar>
              <w:top w:w="15" w:type="dxa"/>
              <w:left w:w="15" w:type="dxa"/>
              <w:bottom w:w="0" w:type="dxa"/>
              <w:right w:w="15" w:type="dxa"/>
            </w:tcMar>
            <w:vAlign w:val="bottom"/>
          </w:tcPr>
          <w:p w14:paraId="2B4D5148" w14:textId="77777777" w:rsidR="000F4F90" w:rsidRPr="000F4F90" w:rsidRDefault="000F4F90" w:rsidP="000F4F90">
            <w:pPr>
              <w:spacing w:after="0" w:line="240" w:lineRule="auto"/>
              <w:jc w:val="right"/>
              <w:rPr>
                <w:color w:val="000000"/>
                <w:sz w:val="18"/>
                <w:szCs w:val="18"/>
              </w:rPr>
            </w:pPr>
          </w:p>
        </w:tc>
        <w:tc>
          <w:tcPr>
            <w:tcW w:w="3271" w:type="dxa"/>
            <w:shd w:val="clear" w:color="auto" w:fill="auto"/>
            <w:tcMar>
              <w:top w:w="15" w:type="dxa"/>
              <w:left w:w="180" w:type="dxa"/>
              <w:bottom w:w="0" w:type="dxa"/>
              <w:right w:w="15" w:type="dxa"/>
            </w:tcMar>
            <w:vAlign w:val="bottom"/>
            <w:hideMark/>
          </w:tcPr>
          <w:p w14:paraId="5033F426" w14:textId="77777777" w:rsidR="000F4F90" w:rsidRPr="000F4F90" w:rsidRDefault="000F4F90" w:rsidP="000F4F90">
            <w:pPr>
              <w:spacing w:after="0" w:line="240" w:lineRule="auto"/>
              <w:ind w:leftChars="-33" w:left="-6" w:hangingChars="37" w:hanging="67"/>
              <w:jc w:val="left"/>
              <w:rPr>
                <w:color w:val="000000"/>
                <w:sz w:val="18"/>
                <w:szCs w:val="18"/>
              </w:rPr>
            </w:pPr>
            <w:r w:rsidRPr="000F4F90">
              <w:rPr>
                <w:color w:val="000000"/>
                <w:sz w:val="18"/>
                <w:szCs w:val="18"/>
              </w:rPr>
              <w:t>ΠΛΗΓΕΝΤΕΣ ΦΥΣΙΚΩΝ ΚΑΤΑΣΤΡΟΦΩΝ</w:t>
            </w:r>
          </w:p>
        </w:tc>
        <w:tc>
          <w:tcPr>
            <w:tcW w:w="911" w:type="dxa"/>
            <w:shd w:val="clear" w:color="auto" w:fill="auto"/>
            <w:noWrap/>
            <w:tcMar>
              <w:top w:w="15" w:type="dxa"/>
              <w:left w:w="15" w:type="dxa"/>
              <w:bottom w:w="0" w:type="dxa"/>
              <w:right w:w="15" w:type="dxa"/>
            </w:tcMar>
            <w:vAlign w:val="bottom"/>
            <w:hideMark/>
          </w:tcPr>
          <w:p w14:paraId="742A2A19" w14:textId="77777777" w:rsidR="000F4F90" w:rsidRPr="000F4F90" w:rsidRDefault="000F4F90" w:rsidP="000F4F90">
            <w:pPr>
              <w:spacing w:after="0" w:line="240" w:lineRule="auto"/>
              <w:jc w:val="right"/>
              <w:rPr>
                <w:color w:val="000000"/>
                <w:sz w:val="18"/>
                <w:szCs w:val="18"/>
              </w:rPr>
            </w:pPr>
            <w:r w:rsidRPr="000F4F90">
              <w:rPr>
                <w:color w:val="000000"/>
                <w:sz w:val="18"/>
                <w:szCs w:val="18"/>
              </w:rPr>
              <w:t>1.699,88</w:t>
            </w:r>
          </w:p>
        </w:tc>
      </w:tr>
      <w:tr w:rsidR="000F4F90" w:rsidRPr="000F4F90" w14:paraId="736133ED" w14:textId="77777777" w:rsidTr="00AA4EDB">
        <w:trPr>
          <w:trHeight w:val="91"/>
        </w:trPr>
        <w:tc>
          <w:tcPr>
            <w:tcW w:w="2571" w:type="dxa"/>
            <w:tcBorders>
              <w:bottom w:val="single" w:sz="12" w:space="0" w:color="auto"/>
            </w:tcBorders>
            <w:shd w:val="clear" w:color="auto" w:fill="auto"/>
            <w:noWrap/>
            <w:tcMar>
              <w:top w:w="15" w:type="dxa"/>
              <w:left w:w="180" w:type="dxa"/>
              <w:bottom w:w="0" w:type="dxa"/>
              <w:right w:w="15" w:type="dxa"/>
            </w:tcMar>
            <w:vAlign w:val="bottom"/>
            <w:hideMark/>
          </w:tcPr>
          <w:p w14:paraId="14E12A85" w14:textId="77777777" w:rsidR="000F4F90" w:rsidRPr="000F4F90" w:rsidRDefault="000F4F90" w:rsidP="000F4F90">
            <w:pPr>
              <w:spacing w:after="0" w:line="240" w:lineRule="auto"/>
              <w:jc w:val="left"/>
              <w:rPr>
                <w:b/>
                <w:bCs/>
                <w:color w:val="000000"/>
                <w:sz w:val="18"/>
                <w:szCs w:val="18"/>
              </w:rPr>
            </w:pPr>
            <w:r w:rsidRPr="000F4F90">
              <w:rPr>
                <w:b/>
                <w:bCs/>
                <w:color w:val="000000"/>
                <w:sz w:val="18"/>
                <w:szCs w:val="18"/>
              </w:rPr>
              <w:t xml:space="preserve">Υποσύνολο </w:t>
            </w:r>
          </w:p>
        </w:tc>
        <w:tc>
          <w:tcPr>
            <w:tcW w:w="1815" w:type="dxa"/>
            <w:tcBorders>
              <w:bottom w:val="single" w:sz="12" w:space="0" w:color="auto"/>
            </w:tcBorders>
            <w:shd w:val="clear" w:color="auto" w:fill="auto"/>
            <w:noWrap/>
            <w:tcMar>
              <w:top w:w="15" w:type="dxa"/>
              <w:left w:w="15" w:type="dxa"/>
              <w:bottom w:w="0" w:type="dxa"/>
              <w:right w:w="15" w:type="dxa"/>
            </w:tcMar>
            <w:vAlign w:val="bottom"/>
            <w:hideMark/>
          </w:tcPr>
          <w:p w14:paraId="1D28E2D2" w14:textId="77777777" w:rsidR="000F4F90" w:rsidRPr="000F4F90" w:rsidRDefault="000F4F90" w:rsidP="000F4F90">
            <w:pPr>
              <w:spacing w:after="0" w:line="240" w:lineRule="auto"/>
              <w:jc w:val="right"/>
              <w:rPr>
                <w:b/>
                <w:bCs/>
                <w:color w:val="000000"/>
                <w:sz w:val="18"/>
                <w:szCs w:val="18"/>
              </w:rPr>
            </w:pPr>
            <w:r w:rsidRPr="000F4F90">
              <w:rPr>
                <w:b/>
                <w:bCs/>
                <w:color w:val="000000"/>
                <w:sz w:val="18"/>
                <w:szCs w:val="18"/>
              </w:rPr>
              <w:t xml:space="preserve">485,76   </w:t>
            </w:r>
          </w:p>
        </w:tc>
        <w:tc>
          <w:tcPr>
            <w:tcW w:w="3271" w:type="dxa"/>
            <w:tcBorders>
              <w:bottom w:val="single" w:sz="12" w:space="0" w:color="auto"/>
            </w:tcBorders>
            <w:shd w:val="clear" w:color="auto" w:fill="auto"/>
            <w:noWrap/>
            <w:tcMar>
              <w:top w:w="15" w:type="dxa"/>
              <w:left w:w="180" w:type="dxa"/>
              <w:bottom w:w="0" w:type="dxa"/>
              <w:right w:w="15" w:type="dxa"/>
            </w:tcMar>
            <w:vAlign w:val="bottom"/>
            <w:hideMark/>
          </w:tcPr>
          <w:p w14:paraId="44925619" w14:textId="77777777" w:rsidR="000F4F90" w:rsidRPr="000F4F90" w:rsidRDefault="000F4F90" w:rsidP="000F4F90">
            <w:pPr>
              <w:spacing w:after="0" w:line="240" w:lineRule="auto"/>
              <w:jc w:val="left"/>
              <w:rPr>
                <w:b/>
                <w:bCs/>
                <w:color w:val="000000"/>
                <w:sz w:val="18"/>
                <w:szCs w:val="18"/>
              </w:rPr>
            </w:pPr>
            <w:r w:rsidRPr="000F4F90">
              <w:rPr>
                <w:b/>
                <w:bCs/>
                <w:color w:val="000000"/>
                <w:sz w:val="18"/>
                <w:szCs w:val="18"/>
              </w:rPr>
              <w:t>Υποσύνολο</w:t>
            </w:r>
          </w:p>
        </w:tc>
        <w:tc>
          <w:tcPr>
            <w:tcW w:w="911" w:type="dxa"/>
            <w:tcBorders>
              <w:bottom w:val="single" w:sz="12" w:space="0" w:color="auto"/>
            </w:tcBorders>
            <w:shd w:val="clear" w:color="auto" w:fill="auto"/>
            <w:noWrap/>
            <w:tcMar>
              <w:top w:w="15" w:type="dxa"/>
              <w:left w:w="15" w:type="dxa"/>
              <w:bottom w:w="0" w:type="dxa"/>
              <w:right w:w="15" w:type="dxa"/>
            </w:tcMar>
            <w:vAlign w:val="bottom"/>
            <w:hideMark/>
          </w:tcPr>
          <w:p w14:paraId="3CFDE5AF" w14:textId="77777777" w:rsidR="000F4F90" w:rsidRPr="000F4F90" w:rsidRDefault="000F4F90" w:rsidP="000F4F90">
            <w:pPr>
              <w:spacing w:after="0" w:line="240" w:lineRule="auto"/>
              <w:jc w:val="right"/>
              <w:rPr>
                <w:b/>
                <w:bCs/>
                <w:color w:val="000000"/>
                <w:sz w:val="18"/>
                <w:szCs w:val="18"/>
              </w:rPr>
            </w:pPr>
            <w:r w:rsidRPr="000F4F90">
              <w:rPr>
                <w:b/>
                <w:bCs/>
                <w:color w:val="000000"/>
                <w:sz w:val="18"/>
                <w:szCs w:val="18"/>
              </w:rPr>
              <w:t xml:space="preserve">3.241,54   </w:t>
            </w:r>
          </w:p>
        </w:tc>
      </w:tr>
      <w:tr w:rsidR="000F4F90" w:rsidRPr="000F4F90" w14:paraId="43AFAE04" w14:textId="77777777" w:rsidTr="00AA4EDB">
        <w:trPr>
          <w:trHeight w:val="91"/>
        </w:trPr>
        <w:tc>
          <w:tcPr>
            <w:tcW w:w="2571" w:type="dxa"/>
            <w:tcBorders>
              <w:top w:val="single" w:sz="12" w:space="0" w:color="auto"/>
            </w:tcBorders>
            <w:shd w:val="clear" w:color="auto" w:fill="auto"/>
            <w:noWrap/>
            <w:tcMar>
              <w:top w:w="15" w:type="dxa"/>
              <w:left w:w="15" w:type="dxa"/>
              <w:bottom w:w="0" w:type="dxa"/>
              <w:right w:w="15" w:type="dxa"/>
            </w:tcMar>
            <w:vAlign w:val="bottom"/>
            <w:hideMark/>
          </w:tcPr>
          <w:p w14:paraId="731204A1" w14:textId="77777777" w:rsidR="000F4F90" w:rsidRPr="000F4F90" w:rsidRDefault="000F4F90" w:rsidP="000F4F90">
            <w:pPr>
              <w:spacing w:after="0" w:line="240" w:lineRule="auto"/>
              <w:jc w:val="left"/>
              <w:rPr>
                <w:b/>
                <w:bCs/>
                <w:color w:val="000000"/>
                <w:sz w:val="18"/>
                <w:szCs w:val="18"/>
              </w:rPr>
            </w:pPr>
            <w:r w:rsidRPr="000F4F90">
              <w:rPr>
                <w:b/>
                <w:bCs/>
                <w:color w:val="000000"/>
                <w:sz w:val="18"/>
                <w:szCs w:val="18"/>
              </w:rPr>
              <w:t>ΟΤΑ</w:t>
            </w:r>
          </w:p>
        </w:tc>
        <w:tc>
          <w:tcPr>
            <w:tcW w:w="1815" w:type="dxa"/>
            <w:tcBorders>
              <w:top w:val="single" w:sz="12" w:space="0" w:color="auto"/>
            </w:tcBorders>
            <w:shd w:val="clear" w:color="auto" w:fill="auto"/>
            <w:noWrap/>
            <w:tcMar>
              <w:top w:w="15" w:type="dxa"/>
              <w:left w:w="15" w:type="dxa"/>
              <w:bottom w:w="0" w:type="dxa"/>
              <w:right w:w="15" w:type="dxa"/>
            </w:tcMar>
            <w:vAlign w:val="bottom"/>
            <w:hideMark/>
          </w:tcPr>
          <w:p w14:paraId="1548864F" w14:textId="77777777" w:rsidR="000F4F90" w:rsidRPr="000F4F90" w:rsidRDefault="000F4F90" w:rsidP="000F4F90">
            <w:pPr>
              <w:spacing w:after="0" w:line="240" w:lineRule="auto"/>
              <w:jc w:val="right"/>
              <w:rPr>
                <w:color w:val="000000"/>
                <w:sz w:val="18"/>
                <w:szCs w:val="18"/>
              </w:rPr>
            </w:pPr>
            <w:r w:rsidRPr="000F4F90">
              <w:rPr>
                <w:color w:val="000000"/>
                <w:sz w:val="18"/>
                <w:szCs w:val="18"/>
              </w:rPr>
              <w:t> </w:t>
            </w:r>
          </w:p>
        </w:tc>
        <w:tc>
          <w:tcPr>
            <w:tcW w:w="3271" w:type="dxa"/>
            <w:tcBorders>
              <w:top w:val="single" w:sz="12" w:space="0" w:color="auto"/>
            </w:tcBorders>
            <w:shd w:val="clear" w:color="auto" w:fill="auto"/>
            <w:noWrap/>
            <w:tcMar>
              <w:top w:w="15" w:type="dxa"/>
              <w:left w:w="15" w:type="dxa"/>
              <w:bottom w:w="0" w:type="dxa"/>
              <w:right w:w="15" w:type="dxa"/>
            </w:tcMar>
            <w:vAlign w:val="bottom"/>
            <w:hideMark/>
          </w:tcPr>
          <w:p w14:paraId="1A5534E1" w14:textId="77777777" w:rsidR="000F4F90" w:rsidRPr="000F4F90" w:rsidRDefault="000F4F90" w:rsidP="000F4F90">
            <w:pPr>
              <w:spacing w:after="0" w:line="240" w:lineRule="auto"/>
              <w:jc w:val="right"/>
              <w:rPr>
                <w:color w:val="000000"/>
                <w:sz w:val="18"/>
                <w:szCs w:val="18"/>
              </w:rPr>
            </w:pPr>
          </w:p>
        </w:tc>
        <w:tc>
          <w:tcPr>
            <w:tcW w:w="911" w:type="dxa"/>
            <w:tcBorders>
              <w:top w:val="single" w:sz="12" w:space="0" w:color="auto"/>
            </w:tcBorders>
            <w:shd w:val="clear" w:color="auto" w:fill="auto"/>
            <w:noWrap/>
            <w:tcMar>
              <w:top w:w="15" w:type="dxa"/>
              <w:left w:w="15" w:type="dxa"/>
              <w:bottom w:w="0" w:type="dxa"/>
              <w:right w:w="15" w:type="dxa"/>
            </w:tcMar>
            <w:vAlign w:val="bottom"/>
            <w:hideMark/>
          </w:tcPr>
          <w:p w14:paraId="51DA6DB6" w14:textId="77777777" w:rsidR="000F4F90" w:rsidRPr="000F4F90" w:rsidRDefault="000F4F90" w:rsidP="000F4F90">
            <w:pPr>
              <w:spacing w:after="0" w:line="240" w:lineRule="auto"/>
              <w:jc w:val="left"/>
              <w:rPr>
                <w:color w:val="auto"/>
                <w:sz w:val="18"/>
                <w:szCs w:val="18"/>
              </w:rPr>
            </w:pPr>
          </w:p>
        </w:tc>
      </w:tr>
      <w:tr w:rsidR="000F4F90" w:rsidRPr="000F4F90" w14:paraId="3411F38F" w14:textId="77777777" w:rsidTr="00AA4EDB">
        <w:trPr>
          <w:trHeight w:val="91"/>
        </w:trPr>
        <w:tc>
          <w:tcPr>
            <w:tcW w:w="2571" w:type="dxa"/>
            <w:shd w:val="clear" w:color="auto" w:fill="auto"/>
            <w:noWrap/>
            <w:tcMar>
              <w:top w:w="15" w:type="dxa"/>
              <w:left w:w="180" w:type="dxa"/>
              <w:bottom w:w="0" w:type="dxa"/>
              <w:right w:w="15" w:type="dxa"/>
            </w:tcMar>
            <w:vAlign w:val="bottom"/>
            <w:hideMark/>
          </w:tcPr>
          <w:p w14:paraId="45B3B38F" w14:textId="77777777" w:rsidR="000F4F90" w:rsidRPr="000F4F90" w:rsidRDefault="000F4F90" w:rsidP="000F4F90">
            <w:pPr>
              <w:spacing w:after="0" w:line="240" w:lineRule="auto"/>
              <w:ind w:leftChars="-4" w:left="-9" w:firstLine="143"/>
              <w:jc w:val="left"/>
              <w:rPr>
                <w:color w:val="000000"/>
                <w:sz w:val="18"/>
                <w:szCs w:val="18"/>
              </w:rPr>
            </w:pPr>
            <w:r w:rsidRPr="000F4F90">
              <w:rPr>
                <w:color w:val="000000"/>
                <w:sz w:val="18"/>
                <w:szCs w:val="18"/>
              </w:rPr>
              <w:t>ΔΗΜΟΣ ΑΘΗΝΑΙΩΝ</w:t>
            </w:r>
          </w:p>
        </w:tc>
        <w:tc>
          <w:tcPr>
            <w:tcW w:w="1815" w:type="dxa"/>
            <w:shd w:val="clear" w:color="auto" w:fill="auto"/>
            <w:noWrap/>
            <w:tcMar>
              <w:top w:w="15" w:type="dxa"/>
              <w:left w:w="15" w:type="dxa"/>
              <w:bottom w:w="0" w:type="dxa"/>
              <w:right w:w="15" w:type="dxa"/>
            </w:tcMar>
            <w:vAlign w:val="bottom"/>
            <w:hideMark/>
          </w:tcPr>
          <w:p w14:paraId="19FC4234" w14:textId="77777777" w:rsidR="000F4F90" w:rsidRPr="000F4F90" w:rsidRDefault="000F4F90" w:rsidP="000F4F90">
            <w:pPr>
              <w:spacing w:after="0" w:line="240" w:lineRule="auto"/>
              <w:jc w:val="right"/>
              <w:rPr>
                <w:color w:val="000000"/>
                <w:sz w:val="18"/>
                <w:szCs w:val="18"/>
              </w:rPr>
            </w:pPr>
            <w:r w:rsidRPr="000F4F90">
              <w:rPr>
                <w:color w:val="000000"/>
                <w:sz w:val="18"/>
                <w:szCs w:val="18"/>
              </w:rPr>
              <w:t xml:space="preserve">71,76   </w:t>
            </w:r>
          </w:p>
        </w:tc>
        <w:tc>
          <w:tcPr>
            <w:tcW w:w="3271" w:type="dxa"/>
            <w:shd w:val="clear" w:color="auto" w:fill="auto"/>
            <w:noWrap/>
            <w:tcMar>
              <w:top w:w="15" w:type="dxa"/>
              <w:left w:w="15" w:type="dxa"/>
              <w:bottom w:w="0" w:type="dxa"/>
              <w:right w:w="15" w:type="dxa"/>
            </w:tcMar>
            <w:vAlign w:val="bottom"/>
            <w:hideMark/>
          </w:tcPr>
          <w:p w14:paraId="7D8482C7" w14:textId="77777777" w:rsidR="000F4F90" w:rsidRPr="000F4F90" w:rsidRDefault="000F4F90" w:rsidP="000F4F90">
            <w:pPr>
              <w:spacing w:after="0" w:line="240" w:lineRule="auto"/>
              <w:jc w:val="right"/>
              <w:rPr>
                <w:color w:val="000000"/>
                <w:sz w:val="18"/>
                <w:szCs w:val="18"/>
              </w:rPr>
            </w:pPr>
          </w:p>
        </w:tc>
        <w:tc>
          <w:tcPr>
            <w:tcW w:w="911" w:type="dxa"/>
            <w:shd w:val="clear" w:color="auto" w:fill="auto"/>
            <w:noWrap/>
            <w:tcMar>
              <w:top w:w="15" w:type="dxa"/>
              <w:left w:w="15" w:type="dxa"/>
              <w:bottom w:w="0" w:type="dxa"/>
              <w:right w:w="15" w:type="dxa"/>
            </w:tcMar>
            <w:vAlign w:val="bottom"/>
            <w:hideMark/>
          </w:tcPr>
          <w:p w14:paraId="5F9A0DD8" w14:textId="77777777" w:rsidR="000F4F90" w:rsidRPr="000F4F90" w:rsidRDefault="000F4F90" w:rsidP="000F4F90">
            <w:pPr>
              <w:spacing w:after="0" w:line="240" w:lineRule="auto"/>
              <w:jc w:val="left"/>
              <w:rPr>
                <w:color w:val="auto"/>
                <w:sz w:val="18"/>
                <w:szCs w:val="18"/>
              </w:rPr>
            </w:pPr>
          </w:p>
        </w:tc>
      </w:tr>
      <w:tr w:rsidR="000F4F90" w:rsidRPr="000F4F90" w14:paraId="4DE1F613" w14:textId="77777777" w:rsidTr="00AA4EDB">
        <w:trPr>
          <w:trHeight w:val="96"/>
        </w:trPr>
        <w:tc>
          <w:tcPr>
            <w:tcW w:w="2571" w:type="dxa"/>
            <w:shd w:val="clear" w:color="auto" w:fill="auto"/>
            <w:noWrap/>
            <w:tcMar>
              <w:top w:w="15" w:type="dxa"/>
              <w:left w:w="180" w:type="dxa"/>
              <w:bottom w:w="0" w:type="dxa"/>
              <w:right w:w="15" w:type="dxa"/>
            </w:tcMar>
            <w:vAlign w:val="bottom"/>
          </w:tcPr>
          <w:p w14:paraId="2FB9717E" w14:textId="77777777" w:rsidR="000F4F90" w:rsidRPr="000F4F90" w:rsidRDefault="000F4F90" w:rsidP="000F4F90">
            <w:pPr>
              <w:spacing w:after="0" w:line="240" w:lineRule="auto"/>
              <w:ind w:left="1" w:firstLine="133"/>
              <w:jc w:val="left"/>
              <w:rPr>
                <w:color w:val="000000"/>
                <w:sz w:val="18"/>
                <w:szCs w:val="18"/>
              </w:rPr>
            </w:pPr>
            <w:r w:rsidRPr="000F4F90">
              <w:rPr>
                <w:color w:val="000000"/>
                <w:sz w:val="18"/>
                <w:szCs w:val="18"/>
              </w:rPr>
              <w:t xml:space="preserve">ΔΗΜΟΣ ΘΕΣΣΑΛΟΝΙΚΗΣ                         </w:t>
            </w:r>
          </w:p>
        </w:tc>
        <w:tc>
          <w:tcPr>
            <w:tcW w:w="1815" w:type="dxa"/>
            <w:shd w:val="clear" w:color="auto" w:fill="auto"/>
            <w:noWrap/>
            <w:tcMar>
              <w:top w:w="15" w:type="dxa"/>
              <w:left w:w="15" w:type="dxa"/>
              <w:bottom w:w="0" w:type="dxa"/>
              <w:right w:w="15" w:type="dxa"/>
            </w:tcMar>
            <w:vAlign w:val="bottom"/>
          </w:tcPr>
          <w:p w14:paraId="7843BF9E" w14:textId="77777777" w:rsidR="000F4F90" w:rsidRPr="000F4F90" w:rsidRDefault="000F4F90" w:rsidP="000F4F90">
            <w:pPr>
              <w:spacing w:after="0" w:line="240" w:lineRule="auto"/>
              <w:jc w:val="right"/>
              <w:rPr>
                <w:color w:val="000000"/>
                <w:sz w:val="18"/>
                <w:szCs w:val="18"/>
              </w:rPr>
            </w:pPr>
            <w:r w:rsidRPr="000F4F90">
              <w:rPr>
                <w:color w:val="000000"/>
                <w:sz w:val="18"/>
                <w:szCs w:val="18"/>
              </w:rPr>
              <w:t>10</w:t>
            </w:r>
          </w:p>
        </w:tc>
        <w:tc>
          <w:tcPr>
            <w:tcW w:w="3271" w:type="dxa"/>
            <w:shd w:val="clear" w:color="auto" w:fill="auto"/>
            <w:noWrap/>
            <w:tcMar>
              <w:top w:w="15" w:type="dxa"/>
              <w:left w:w="15" w:type="dxa"/>
              <w:bottom w:w="0" w:type="dxa"/>
              <w:right w:w="15" w:type="dxa"/>
            </w:tcMar>
            <w:vAlign w:val="bottom"/>
          </w:tcPr>
          <w:p w14:paraId="5A1B103A" w14:textId="77777777" w:rsidR="000F4F90" w:rsidRPr="000F4F90" w:rsidRDefault="000F4F90" w:rsidP="000F4F90">
            <w:pPr>
              <w:spacing w:after="0" w:line="240" w:lineRule="auto"/>
              <w:jc w:val="right"/>
              <w:rPr>
                <w:color w:val="000000"/>
                <w:sz w:val="18"/>
                <w:szCs w:val="18"/>
              </w:rPr>
            </w:pPr>
          </w:p>
        </w:tc>
        <w:tc>
          <w:tcPr>
            <w:tcW w:w="911" w:type="dxa"/>
            <w:shd w:val="clear" w:color="auto" w:fill="auto"/>
            <w:noWrap/>
            <w:tcMar>
              <w:top w:w="15" w:type="dxa"/>
              <w:left w:w="15" w:type="dxa"/>
              <w:bottom w:w="0" w:type="dxa"/>
              <w:right w:w="15" w:type="dxa"/>
            </w:tcMar>
            <w:vAlign w:val="bottom"/>
          </w:tcPr>
          <w:p w14:paraId="5B4A566A" w14:textId="77777777" w:rsidR="000F4F90" w:rsidRPr="000F4F90" w:rsidRDefault="000F4F90" w:rsidP="000F4F90">
            <w:pPr>
              <w:spacing w:after="0" w:line="240" w:lineRule="auto"/>
              <w:jc w:val="left"/>
              <w:rPr>
                <w:color w:val="auto"/>
                <w:sz w:val="18"/>
                <w:szCs w:val="18"/>
              </w:rPr>
            </w:pPr>
          </w:p>
        </w:tc>
      </w:tr>
      <w:tr w:rsidR="000F4F90" w:rsidRPr="000F4F90" w14:paraId="0E232FBC" w14:textId="77777777" w:rsidTr="00AA4EDB">
        <w:trPr>
          <w:trHeight w:val="96"/>
        </w:trPr>
        <w:tc>
          <w:tcPr>
            <w:tcW w:w="2571" w:type="dxa"/>
            <w:shd w:val="clear" w:color="auto" w:fill="auto"/>
            <w:noWrap/>
            <w:tcMar>
              <w:top w:w="15" w:type="dxa"/>
              <w:left w:w="180" w:type="dxa"/>
              <w:bottom w:w="0" w:type="dxa"/>
              <w:right w:w="15" w:type="dxa"/>
            </w:tcMar>
            <w:vAlign w:val="bottom"/>
            <w:hideMark/>
          </w:tcPr>
          <w:p w14:paraId="70AA215F" w14:textId="77777777" w:rsidR="000F4F90" w:rsidRPr="000F4F90" w:rsidRDefault="000F4F90" w:rsidP="000F4F90">
            <w:pPr>
              <w:spacing w:after="0" w:line="240" w:lineRule="auto"/>
              <w:ind w:firstLine="134"/>
              <w:jc w:val="left"/>
              <w:rPr>
                <w:color w:val="000000"/>
                <w:sz w:val="18"/>
                <w:szCs w:val="18"/>
              </w:rPr>
            </w:pPr>
            <w:r w:rsidRPr="000F4F90">
              <w:rPr>
                <w:color w:val="000000"/>
                <w:sz w:val="18"/>
                <w:szCs w:val="18"/>
              </w:rPr>
              <w:t>ΔΗΜΟΣ ΗΡΑΚΛΕΙΟΥ</w:t>
            </w:r>
          </w:p>
        </w:tc>
        <w:tc>
          <w:tcPr>
            <w:tcW w:w="1815" w:type="dxa"/>
            <w:shd w:val="clear" w:color="auto" w:fill="auto"/>
            <w:noWrap/>
            <w:tcMar>
              <w:top w:w="15" w:type="dxa"/>
              <w:left w:w="15" w:type="dxa"/>
              <w:bottom w:w="0" w:type="dxa"/>
              <w:right w:w="15" w:type="dxa"/>
            </w:tcMar>
            <w:vAlign w:val="bottom"/>
            <w:hideMark/>
          </w:tcPr>
          <w:p w14:paraId="49CF3DFC" w14:textId="77777777" w:rsidR="000F4F90" w:rsidRPr="000F4F90" w:rsidRDefault="000F4F90" w:rsidP="000F4F90">
            <w:pPr>
              <w:spacing w:after="0" w:line="240" w:lineRule="auto"/>
              <w:jc w:val="right"/>
              <w:rPr>
                <w:color w:val="000000"/>
                <w:sz w:val="18"/>
                <w:szCs w:val="18"/>
              </w:rPr>
            </w:pPr>
            <w:r w:rsidRPr="000F4F90">
              <w:rPr>
                <w:color w:val="000000"/>
                <w:sz w:val="18"/>
                <w:szCs w:val="18"/>
              </w:rPr>
              <w:t xml:space="preserve">21   </w:t>
            </w:r>
          </w:p>
        </w:tc>
        <w:tc>
          <w:tcPr>
            <w:tcW w:w="3271" w:type="dxa"/>
            <w:shd w:val="clear" w:color="auto" w:fill="auto"/>
            <w:noWrap/>
            <w:tcMar>
              <w:top w:w="15" w:type="dxa"/>
              <w:left w:w="15" w:type="dxa"/>
              <w:bottom w:w="0" w:type="dxa"/>
              <w:right w:w="15" w:type="dxa"/>
            </w:tcMar>
            <w:vAlign w:val="bottom"/>
            <w:hideMark/>
          </w:tcPr>
          <w:p w14:paraId="2E89CBC8" w14:textId="77777777" w:rsidR="000F4F90" w:rsidRPr="000F4F90" w:rsidRDefault="000F4F90" w:rsidP="000F4F90">
            <w:pPr>
              <w:spacing w:after="0" w:line="240" w:lineRule="auto"/>
              <w:jc w:val="right"/>
              <w:rPr>
                <w:color w:val="000000"/>
                <w:sz w:val="18"/>
                <w:szCs w:val="18"/>
              </w:rPr>
            </w:pPr>
          </w:p>
        </w:tc>
        <w:tc>
          <w:tcPr>
            <w:tcW w:w="911" w:type="dxa"/>
            <w:shd w:val="clear" w:color="auto" w:fill="auto"/>
            <w:noWrap/>
            <w:tcMar>
              <w:top w:w="15" w:type="dxa"/>
              <w:left w:w="15" w:type="dxa"/>
              <w:bottom w:w="0" w:type="dxa"/>
              <w:right w:w="15" w:type="dxa"/>
            </w:tcMar>
            <w:vAlign w:val="bottom"/>
            <w:hideMark/>
          </w:tcPr>
          <w:p w14:paraId="775B8C52" w14:textId="77777777" w:rsidR="000F4F90" w:rsidRPr="000F4F90" w:rsidRDefault="000F4F90" w:rsidP="000F4F90">
            <w:pPr>
              <w:spacing w:after="0" w:line="240" w:lineRule="auto"/>
              <w:jc w:val="left"/>
              <w:rPr>
                <w:color w:val="auto"/>
                <w:sz w:val="18"/>
                <w:szCs w:val="18"/>
              </w:rPr>
            </w:pPr>
          </w:p>
        </w:tc>
      </w:tr>
      <w:tr w:rsidR="000F4F90" w:rsidRPr="000F4F90" w14:paraId="5EFF7A5C" w14:textId="77777777" w:rsidTr="00AA4EDB">
        <w:trPr>
          <w:trHeight w:val="133"/>
        </w:trPr>
        <w:tc>
          <w:tcPr>
            <w:tcW w:w="4387" w:type="dxa"/>
            <w:gridSpan w:val="2"/>
            <w:tcBorders>
              <w:bottom w:val="single" w:sz="12" w:space="0" w:color="auto"/>
            </w:tcBorders>
            <w:shd w:val="clear" w:color="auto" w:fill="auto"/>
            <w:noWrap/>
            <w:tcMar>
              <w:top w:w="15" w:type="dxa"/>
              <w:left w:w="180" w:type="dxa"/>
              <w:bottom w:w="0" w:type="dxa"/>
              <w:right w:w="15" w:type="dxa"/>
            </w:tcMar>
            <w:vAlign w:val="bottom"/>
            <w:hideMark/>
          </w:tcPr>
          <w:p w14:paraId="76EB0234" w14:textId="77777777" w:rsidR="000F4F90" w:rsidRPr="000F4F90" w:rsidRDefault="000F4F90" w:rsidP="000F4F90">
            <w:pPr>
              <w:spacing w:after="0" w:line="240" w:lineRule="auto"/>
              <w:rPr>
                <w:bCs/>
                <w:color w:val="000000"/>
                <w:sz w:val="18"/>
                <w:szCs w:val="18"/>
                <w:lang w:val="en-US"/>
              </w:rPr>
            </w:pPr>
            <w:r w:rsidRPr="000F4F90">
              <w:rPr>
                <w:bCs/>
                <w:color w:val="000000"/>
                <w:sz w:val="18"/>
                <w:szCs w:val="18"/>
              </w:rPr>
              <w:t xml:space="preserve">  ΔΗΜΟΣ ΚΟΖΑΝΗΣ                                            8,65</w:t>
            </w:r>
          </w:p>
          <w:p w14:paraId="30C08CF6" w14:textId="77777777" w:rsidR="000F4F90" w:rsidRPr="000F4F90" w:rsidRDefault="000F4F90" w:rsidP="000F4F90">
            <w:pPr>
              <w:spacing w:after="0" w:line="240" w:lineRule="auto"/>
              <w:ind w:right="-11"/>
              <w:jc w:val="left"/>
              <w:rPr>
                <w:b/>
                <w:bCs/>
                <w:color w:val="000000"/>
                <w:sz w:val="18"/>
                <w:szCs w:val="18"/>
              </w:rPr>
            </w:pPr>
            <w:r w:rsidRPr="000F4F90">
              <w:rPr>
                <w:b/>
                <w:bCs/>
                <w:color w:val="000000"/>
                <w:sz w:val="18"/>
                <w:szCs w:val="18"/>
              </w:rPr>
              <w:t xml:space="preserve">Υποσύνολο                                                 111,41   </w:t>
            </w:r>
          </w:p>
        </w:tc>
        <w:tc>
          <w:tcPr>
            <w:tcW w:w="3271" w:type="dxa"/>
            <w:shd w:val="clear" w:color="auto" w:fill="auto"/>
            <w:noWrap/>
            <w:tcMar>
              <w:top w:w="15" w:type="dxa"/>
              <w:left w:w="15" w:type="dxa"/>
              <w:bottom w:w="0" w:type="dxa"/>
              <w:right w:w="15" w:type="dxa"/>
            </w:tcMar>
            <w:vAlign w:val="bottom"/>
            <w:hideMark/>
          </w:tcPr>
          <w:p w14:paraId="65EC8DCF" w14:textId="77777777" w:rsidR="000F4F90" w:rsidRPr="000F4F90" w:rsidRDefault="000F4F90" w:rsidP="000F4F90">
            <w:pPr>
              <w:spacing w:after="0" w:line="240" w:lineRule="auto"/>
              <w:ind w:right="-1017"/>
              <w:jc w:val="right"/>
              <w:rPr>
                <w:b/>
                <w:bCs/>
                <w:color w:val="000000"/>
                <w:sz w:val="18"/>
                <w:szCs w:val="18"/>
              </w:rPr>
            </w:pPr>
          </w:p>
        </w:tc>
        <w:tc>
          <w:tcPr>
            <w:tcW w:w="911" w:type="dxa"/>
            <w:shd w:val="clear" w:color="auto" w:fill="auto"/>
            <w:noWrap/>
            <w:tcMar>
              <w:top w:w="15" w:type="dxa"/>
              <w:left w:w="15" w:type="dxa"/>
              <w:bottom w:w="0" w:type="dxa"/>
              <w:right w:w="15" w:type="dxa"/>
            </w:tcMar>
            <w:vAlign w:val="bottom"/>
            <w:hideMark/>
          </w:tcPr>
          <w:p w14:paraId="3F09333D" w14:textId="77777777" w:rsidR="000F4F90" w:rsidRPr="000F4F90" w:rsidRDefault="000F4F90" w:rsidP="000F4F90">
            <w:pPr>
              <w:spacing w:after="0" w:line="240" w:lineRule="auto"/>
              <w:jc w:val="left"/>
              <w:rPr>
                <w:color w:val="auto"/>
                <w:sz w:val="18"/>
                <w:szCs w:val="18"/>
              </w:rPr>
            </w:pPr>
          </w:p>
        </w:tc>
      </w:tr>
      <w:tr w:rsidR="000F4F90" w:rsidRPr="000F4F90" w14:paraId="32DCF94B" w14:textId="77777777" w:rsidTr="00AA4EDB">
        <w:trPr>
          <w:trHeight w:val="77"/>
        </w:trPr>
        <w:tc>
          <w:tcPr>
            <w:tcW w:w="2571" w:type="dxa"/>
            <w:tcBorders>
              <w:top w:val="single" w:sz="12" w:space="0" w:color="auto"/>
              <w:bottom w:val="single" w:sz="12" w:space="0" w:color="auto"/>
            </w:tcBorders>
            <w:shd w:val="clear" w:color="auto" w:fill="auto"/>
            <w:noWrap/>
            <w:tcMar>
              <w:top w:w="15" w:type="dxa"/>
              <w:left w:w="15" w:type="dxa"/>
              <w:bottom w:w="0" w:type="dxa"/>
              <w:right w:w="15" w:type="dxa"/>
            </w:tcMar>
            <w:vAlign w:val="bottom"/>
            <w:hideMark/>
          </w:tcPr>
          <w:p w14:paraId="0A05F50A" w14:textId="77777777" w:rsidR="000F4F90" w:rsidRPr="000F4F90" w:rsidRDefault="000F4F90" w:rsidP="000F4F90">
            <w:pPr>
              <w:spacing w:after="0" w:line="240" w:lineRule="auto"/>
              <w:jc w:val="left"/>
              <w:rPr>
                <w:b/>
                <w:bCs/>
                <w:color w:val="000000"/>
                <w:sz w:val="18"/>
                <w:szCs w:val="18"/>
                <w:u w:val="single"/>
              </w:rPr>
            </w:pPr>
            <w:r w:rsidRPr="000F4F90">
              <w:rPr>
                <w:b/>
                <w:bCs/>
                <w:color w:val="000000"/>
                <w:sz w:val="18"/>
                <w:szCs w:val="18"/>
                <w:u w:val="single"/>
              </w:rPr>
              <w:t>Σύνολο ταξινομημένων</w:t>
            </w:r>
          </w:p>
        </w:tc>
        <w:tc>
          <w:tcPr>
            <w:tcW w:w="1815" w:type="dxa"/>
            <w:tcBorders>
              <w:top w:val="single" w:sz="12" w:space="0" w:color="auto"/>
              <w:bottom w:val="single" w:sz="12" w:space="0" w:color="auto"/>
            </w:tcBorders>
            <w:shd w:val="clear" w:color="auto" w:fill="auto"/>
            <w:noWrap/>
            <w:tcMar>
              <w:top w:w="15" w:type="dxa"/>
              <w:left w:w="15" w:type="dxa"/>
              <w:bottom w:w="0" w:type="dxa"/>
              <w:right w:w="15" w:type="dxa"/>
            </w:tcMar>
            <w:vAlign w:val="bottom"/>
            <w:hideMark/>
          </w:tcPr>
          <w:p w14:paraId="21963D67" w14:textId="77777777" w:rsidR="000F4F90" w:rsidRPr="000F4F90" w:rsidRDefault="000F4F90" w:rsidP="000F4F90">
            <w:pPr>
              <w:spacing w:after="0" w:line="240" w:lineRule="auto"/>
              <w:jc w:val="right"/>
              <w:rPr>
                <w:b/>
                <w:bCs/>
                <w:color w:val="000000"/>
                <w:sz w:val="18"/>
                <w:szCs w:val="18"/>
                <w:u w:val="single"/>
              </w:rPr>
            </w:pPr>
            <w:r w:rsidRPr="000F4F90">
              <w:rPr>
                <w:b/>
                <w:bCs/>
                <w:color w:val="000000"/>
                <w:sz w:val="18"/>
                <w:szCs w:val="18"/>
                <w:u w:val="single"/>
              </w:rPr>
              <w:t xml:space="preserve">3.351,47   </w:t>
            </w:r>
          </w:p>
        </w:tc>
        <w:tc>
          <w:tcPr>
            <w:tcW w:w="3271" w:type="dxa"/>
            <w:tcBorders>
              <w:bottom w:val="single" w:sz="12" w:space="0" w:color="auto"/>
            </w:tcBorders>
            <w:shd w:val="clear" w:color="auto" w:fill="auto"/>
            <w:noWrap/>
            <w:tcMar>
              <w:top w:w="15" w:type="dxa"/>
              <w:left w:w="15" w:type="dxa"/>
              <w:bottom w:w="0" w:type="dxa"/>
              <w:right w:w="15" w:type="dxa"/>
            </w:tcMar>
            <w:vAlign w:val="bottom"/>
            <w:hideMark/>
          </w:tcPr>
          <w:p w14:paraId="1BBE57CF" w14:textId="77777777" w:rsidR="000F4F90" w:rsidRPr="000F4F90" w:rsidRDefault="000F4F90" w:rsidP="000F4F90">
            <w:pPr>
              <w:spacing w:after="0" w:line="240" w:lineRule="auto"/>
              <w:jc w:val="left"/>
              <w:rPr>
                <w:b/>
                <w:bCs/>
                <w:color w:val="000000"/>
                <w:sz w:val="18"/>
                <w:szCs w:val="18"/>
                <w:u w:val="single"/>
              </w:rPr>
            </w:pPr>
            <w:r w:rsidRPr="000F4F90">
              <w:rPr>
                <w:b/>
                <w:bCs/>
                <w:color w:val="000000"/>
                <w:sz w:val="18"/>
                <w:szCs w:val="18"/>
                <w:u w:val="single"/>
              </w:rPr>
              <w:t xml:space="preserve">  Σύνολο μη ταξινομημένων</w:t>
            </w:r>
          </w:p>
        </w:tc>
        <w:tc>
          <w:tcPr>
            <w:tcW w:w="911" w:type="dxa"/>
            <w:tcBorders>
              <w:bottom w:val="single" w:sz="12" w:space="0" w:color="auto"/>
            </w:tcBorders>
            <w:shd w:val="clear" w:color="auto" w:fill="auto"/>
            <w:noWrap/>
            <w:tcMar>
              <w:top w:w="15" w:type="dxa"/>
              <w:left w:w="15" w:type="dxa"/>
              <w:bottom w:w="0" w:type="dxa"/>
              <w:right w:w="15" w:type="dxa"/>
            </w:tcMar>
            <w:vAlign w:val="bottom"/>
            <w:hideMark/>
          </w:tcPr>
          <w:p w14:paraId="703B6D4C" w14:textId="77777777" w:rsidR="000F4F90" w:rsidRPr="000F4F90" w:rsidRDefault="000F4F90" w:rsidP="000F4F90">
            <w:pPr>
              <w:spacing w:after="0" w:line="240" w:lineRule="auto"/>
              <w:jc w:val="right"/>
              <w:rPr>
                <w:b/>
                <w:bCs/>
                <w:color w:val="000000"/>
                <w:sz w:val="18"/>
                <w:szCs w:val="18"/>
                <w:u w:val="single"/>
              </w:rPr>
            </w:pPr>
            <w:r w:rsidRPr="000F4F90">
              <w:rPr>
                <w:b/>
                <w:bCs/>
                <w:color w:val="000000"/>
                <w:sz w:val="18"/>
                <w:szCs w:val="18"/>
                <w:u w:val="single"/>
              </w:rPr>
              <w:t>5.925,78</w:t>
            </w:r>
          </w:p>
        </w:tc>
      </w:tr>
      <w:tr w:rsidR="000F4F90" w:rsidRPr="000F4F90" w14:paraId="7E6DF221" w14:textId="77777777" w:rsidTr="00AA4EDB">
        <w:trPr>
          <w:trHeight w:val="119"/>
        </w:trPr>
        <w:tc>
          <w:tcPr>
            <w:tcW w:w="7658" w:type="dxa"/>
            <w:gridSpan w:val="3"/>
            <w:tcBorders>
              <w:top w:val="single" w:sz="12" w:space="0" w:color="auto"/>
              <w:bottom w:val="single" w:sz="12" w:space="0" w:color="auto"/>
            </w:tcBorders>
            <w:shd w:val="clear" w:color="auto" w:fill="auto"/>
            <w:noWrap/>
            <w:tcMar>
              <w:top w:w="15" w:type="dxa"/>
              <w:left w:w="15" w:type="dxa"/>
              <w:bottom w:w="0" w:type="dxa"/>
              <w:right w:w="15" w:type="dxa"/>
            </w:tcMar>
            <w:vAlign w:val="bottom"/>
            <w:hideMark/>
          </w:tcPr>
          <w:p w14:paraId="62546F50" w14:textId="77777777" w:rsidR="000F4F90" w:rsidRPr="000F4F90" w:rsidRDefault="000F4F90" w:rsidP="000F4F90">
            <w:pPr>
              <w:spacing w:after="0" w:line="240" w:lineRule="auto"/>
              <w:jc w:val="center"/>
              <w:rPr>
                <w:rFonts w:cs="Calibri"/>
                <w:b/>
                <w:bCs/>
                <w:color w:val="000000"/>
                <w:sz w:val="18"/>
                <w:szCs w:val="18"/>
              </w:rPr>
            </w:pPr>
            <w:r w:rsidRPr="000F4F90">
              <w:rPr>
                <w:rFonts w:cs="Calibri"/>
                <w:b/>
                <w:bCs/>
                <w:color w:val="000000"/>
                <w:sz w:val="18"/>
                <w:szCs w:val="18"/>
              </w:rPr>
              <w:t xml:space="preserve">ΓΕΝΙΚΟ ΣΥΝΟΛΟ           </w:t>
            </w:r>
            <w:r w:rsidRPr="000F4F90">
              <w:rPr>
                <w:rFonts w:cs="Calibri"/>
                <w:b/>
                <w:bCs/>
                <w:color w:val="000000"/>
                <w:sz w:val="18"/>
                <w:szCs w:val="18"/>
                <w:u w:val="double"/>
              </w:rPr>
              <w:t>9.277,25</w:t>
            </w:r>
            <w:r w:rsidRPr="000F4F90">
              <w:rPr>
                <w:rFonts w:cs="Calibri"/>
                <w:b/>
                <w:bCs/>
                <w:color w:val="000000"/>
                <w:sz w:val="18"/>
                <w:szCs w:val="18"/>
                <w:u w:val="double"/>
                <w:vertAlign w:val="superscript"/>
              </w:rPr>
              <w:footnoteReference w:id="28"/>
            </w:r>
          </w:p>
        </w:tc>
        <w:tc>
          <w:tcPr>
            <w:tcW w:w="911" w:type="dxa"/>
            <w:tcBorders>
              <w:top w:val="single" w:sz="12" w:space="0" w:color="auto"/>
              <w:bottom w:val="single" w:sz="12" w:space="0" w:color="auto"/>
            </w:tcBorders>
            <w:shd w:val="clear" w:color="auto" w:fill="auto"/>
            <w:noWrap/>
            <w:tcMar>
              <w:top w:w="15" w:type="dxa"/>
              <w:left w:w="15" w:type="dxa"/>
              <w:bottom w:w="0" w:type="dxa"/>
              <w:right w:w="15" w:type="dxa"/>
            </w:tcMar>
            <w:vAlign w:val="bottom"/>
            <w:hideMark/>
          </w:tcPr>
          <w:p w14:paraId="5C3F2B53" w14:textId="77777777" w:rsidR="000F4F90" w:rsidRPr="000F4F90" w:rsidRDefault="000F4F90" w:rsidP="000F4F90">
            <w:pPr>
              <w:spacing w:after="0" w:line="240" w:lineRule="auto"/>
              <w:jc w:val="center"/>
              <w:rPr>
                <w:rFonts w:cs="Calibri"/>
                <w:b/>
                <w:bCs/>
                <w:color w:val="000000"/>
                <w:sz w:val="18"/>
                <w:szCs w:val="18"/>
              </w:rPr>
            </w:pPr>
          </w:p>
        </w:tc>
      </w:tr>
    </w:tbl>
    <w:p w14:paraId="5AEEDA2B" w14:textId="77777777" w:rsidR="000F4F90" w:rsidRPr="000F4F90" w:rsidRDefault="000F4F90" w:rsidP="000F4F90">
      <w:pPr>
        <w:spacing w:after="160" w:line="259" w:lineRule="auto"/>
        <w:rPr>
          <w:color w:val="auto"/>
        </w:rPr>
      </w:pPr>
      <w:r w:rsidRPr="000F4F90">
        <w:rPr>
          <w:b/>
          <w:sz w:val="16"/>
          <w:szCs w:val="16"/>
        </w:rPr>
        <w:t>Πηγή:</w:t>
      </w:r>
      <w:r w:rsidRPr="000F4F90">
        <w:rPr>
          <w:b/>
          <w:i/>
          <w:color w:val="auto"/>
          <w:sz w:val="16"/>
          <w:szCs w:val="16"/>
        </w:rPr>
        <w:t xml:space="preserve">  </w:t>
      </w:r>
      <w:r w:rsidRPr="000F4F90">
        <w:rPr>
          <w:color w:val="00B0F0"/>
          <w:sz w:val="16"/>
          <w:szCs w:val="16"/>
        </w:rPr>
        <w:t>ΥΠΟΙΚ - ΓΛΚ - Γενική Διεύθυνση Θησαυροφυλακίου &amp;  Δημόσιου Λογιστικού</w:t>
      </w:r>
      <w:r w:rsidRPr="000F4F90">
        <w:rPr>
          <w:i/>
          <w:color w:val="auto"/>
          <w:sz w:val="16"/>
          <w:szCs w:val="16"/>
        </w:rPr>
        <w:t xml:space="preserve">- </w:t>
      </w:r>
      <w:r w:rsidRPr="000F4F90">
        <w:rPr>
          <w:color w:val="00B0F0"/>
          <w:sz w:val="16"/>
          <w:szCs w:val="16"/>
        </w:rPr>
        <w:t>Στοιχεία Δεκεμβρίου 2020</w:t>
      </w:r>
    </w:p>
    <w:p w14:paraId="3011714D" w14:textId="77777777" w:rsidR="000F4F90" w:rsidRPr="000F4F90" w:rsidRDefault="000F4F90" w:rsidP="000F4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Times New Roman" w:hAnsi="Arial" w:cs="Arial"/>
          <w:color w:val="000000"/>
          <w:sz w:val="24"/>
          <w:szCs w:val="24"/>
          <w:lang w:eastAsia="el-GR"/>
        </w:rPr>
      </w:pPr>
    </w:p>
    <w:p w14:paraId="6DB6BBE4" w14:textId="77777777" w:rsidR="000F4F90" w:rsidRPr="000F4F90" w:rsidRDefault="000F4F90" w:rsidP="000F4F90">
      <w:pPr>
        <w:spacing w:after="160"/>
        <w:rPr>
          <w:color w:val="auto"/>
        </w:rPr>
      </w:pPr>
      <w:r w:rsidRPr="000F4F90">
        <w:rPr>
          <w:color w:val="auto"/>
        </w:rPr>
        <w:t>Η υγειονομική κρίση και η συνακόλουθη ύφεση που προκλήθηκε στην ελληνική και ευρωπαϊκή οικονομία το 2020, επέκτειναν την παροχή κρατικών εγγυήσεων προκειμένου να ληφθούν μέτρα μετριασμού των επιπτώσεων της πανδημίας στις οικονομίες των κρατών- μελών της ΕΕ. Στο πλαίσιο αυτό, το ελληνικό Δημόσιο παρείχε κρατικές εγγυήσεις για την υλοποίηση σχεδίων που ελήφθησαν σε ευρωπαϊκό επίπεδο και αφορούσαν την εγχώρια οικονομική δραστηριότητα. Συγκεκριμένα:</w:t>
      </w:r>
    </w:p>
    <w:p w14:paraId="165314F0" w14:textId="77777777" w:rsidR="000F4F90" w:rsidRPr="000F4F90" w:rsidRDefault="000F4F90" w:rsidP="00BD3E0E">
      <w:pPr>
        <w:numPr>
          <w:ilvl w:val="0"/>
          <w:numId w:val="25"/>
        </w:numPr>
        <w:spacing w:after="160" w:line="259" w:lineRule="auto"/>
        <w:contextualSpacing/>
        <w:rPr>
          <w:color w:val="auto"/>
        </w:rPr>
      </w:pPr>
      <w:r w:rsidRPr="000F4F90">
        <w:rPr>
          <w:color w:val="auto"/>
        </w:rPr>
        <w:t>Παρείχε εγγύηση προς το Ευρωπαϊκό Ταμείο Επενδύσεων (ΕΤαΕ) μέχρι του ποσού των 353 εκατ. ευρώ περίπου, για την παροχή δανειακών κεφαλαίων από το Πανευρωπαϊκό Ταμείο Εγγυήσεων (Pan-European Guarantee Fund») σε μικρομεσαίες και μεσαίου μεγέθους επιχειρήσεις για την αντιμετώπιση των οικονομικών συνεπειών της πανδημίας</w:t>
      </w:r>
      <w:r w:rsidRPr="000F4F90">
        <w:rPr>
          <w:color w:val="auto"/>
          <w:vertAlign w:val="superscript"/>
        </w:rPr>
        <w:footnoteReference w:id="29"/>
      </w:r>
      <w:r w:rsidRPr="000F4F90">
        <w:rPr>
          <w:color w:val="auto"/>
        </w:rPr>
        <w:t xml:space="preserve"> .</w:t>
      </w:r>
    </w:p>
    <w:p w14:paraId="0C56FF73" w14:textId="64894860" w:rsidR="000F4F90" w:rsidRPr="000F4F90" w:rsidRDefault="000F4F90" w:rsidP="00BD3E0E">
      <w:pPr>
        <w:numPr>
          <w:ilvl w:val="0"/>
          <w:numId w:val="25"/>
        </w:numPr>
        <w:spacing w:after="160" w:line="259" w:lineRule="auto"/>
        <w:contextualSpacing/>
        <w:rPr>
          <w:color w:val="auto"/>
        </w:rPr>
      </w:pPr>
      <w:r w:rsidRPr="000F4F90">
        <w:rPr>
          <w:color w:val="auto"/>
        </w:rPr>
        <w:t>Παρείχε εγγύηση προς την Ευρωπαϊκή Ένωση μέχρι του ποσού των 343 εκατ. ευρώ περίπου, στο πλαίσιο του προγράμματος στήριξης της απασχόλησης (SURE)</w:t>
      </w:r>
      <w:r w:rsidRPr="000F4F90">
        <w:rPr>
          <w:color w:val="auto"/>
          <w:vertAlign w:val="superscript"/>
        </w:rPr>
        <w:footnoteReference w:id="30"/>
      </w:r>
      <w:r w:rsidRPr="000F4F90">
        <w:rPr>
          <w:color w:val="auto"/>
        </w:rPr>
        <w:t>.</w:t>
      </w:r>
    </w:p>
    <w:p w14:paraId="0092A477" w14:textId="6BE3235D" w:rsidR="000F4F90" w:rsidRPr="000F4F90" w:rsidRDefault="000F4F90" w:rsidP="00BD3E0E">
      <w:pPr>
        <w:numPr>
          <w:ilvl w:val="0"/>
          <w:numId w:val="25"/>
        </w:numPr>
        <w:spacing w:after="160" w:line="259" w:lineRule="auto"/>
        <w:contextualSpacing/>
        <w:rPr>
          <w:color w:val="auto"/>
        </w:rPr>
      </w:pPr>
      <w:r w:rsidRPr="000F4F90">
        <w:rPr>
          <w:color w:val="auto"/>
        </w:rPr>
        <w:t>Παρείχε εγγυήσεις ύψους 2 δισ. ευρώ για την σύσταση του Ταμείου Εγγυοδοσίας επιχειρήσεων COVID-19</w:t>
      </w:r>
      <w:r w:rsidRPr="000F4F90">
        <w:rPr>
          <w:color w:val="auto"/>
          <w:vertAlign w:val="superscript"/>
        </w:rPr>
        <w:footnoteReference w:id="31"/>
      </w:r>
      <w:r w:rsidRPr="000F4F90">
        <w:rPr>
          <w:color w:val="auto"/>
        </w:rPr>
        <w:t xml:space="preserve"> της Ελληνικής Αναπτυξιακής Τράπεζας,</w:t>
      </w:r>
      <w:r w:rsidR="00DF2770">
        <w:rPr>
          <w:color w:val="auto"/>
        </w:rPr>
        <w:t xml:space="preserve"> για την ενίσχυση της ρευστότητα</w:t>
      </w:r>
      <w:r w:rsidRPr="000F4F90">
        <w:rPr>
          <w:color w:val="auto"/>
        </w:rPr>
        <w:t>ς των επιχειρήσεων που πλήττονται από τα υγειονομικά μέτρα κατά της πανδημίας με δάνεια κεφαλαίου κίνησης, μέσω εγγυοδοτικών προγραμμάτων, σε ενδιάμεσους χρηματοπιστωτικούς οργανισμούς (τράπεζες). Έως τις 31/12/2020 τα δανειακά κεφάλαια που είχαν παρασχεθεί από το εν λόγω ταμείο με την εγγύηση του ελληνικού δημοσίου ανέρχονταν σε 1.577 εκατ. ευρώ.</w:t>
      </w:r>
    </w:p>
    <w:p w14:paraId="60224DA4" w14:textId="6A797331" w:rsidR="000E314E" w:rsidRDefault="000E314E">
      <w:pPr>
        <w:spacing w:after="160" w:line="0" w:lineRule="auto"/>
        <w:jc w:val="left"/>
        <w:rPr>
          <w:rFonts w:eastAsia="Calibri" w:cs="Times New Roman"/>
          <w:color w:val="auto"/>
        </w:rPr>
      </w:pPr>
      <w:r>
        <w:rPr>
          <w:rFonts w:eastAsia="Calibri" w:cs="Times New Roman"/>
          <w:color w:val="auto"/>
        </w:rPr>
        <w:br w:type="page"/>
      </w:r>
    </w:p>
    <w:bookmarkEnd w:id="172"/>
    <w:p w14:paraId="330CB282" w14:textId="0B53AE53" w:rsidR="002F5A77" w:rsidRDefault="002F5A77" w:rsidP="002F5A77">
      <w:pPr>
        <w:spacing w:after="160" w:line="0" w:lineRule="auto"/>
        <w:jc w:val="left"/>
        <w:rPr>
          <w:color w:val="auto"/>
        </w:rPr>
      </w:pPr>
    </w:p>
    <w:p w14:paraId="0928FD1F" w14:textId="77777777" w:rsidR="002F5A77" w:rsidRDefault="002F5A77" w:rsidP="002F5A77">
      <w:pPr>
        <w:spacing w:after="160" w:line="0" w:lineRule="auto"/>
        <w:jc w:val="left"/>
        <w:rPr>
          <w:iCs/>
          <w:noProof/>
          <w:color w:val="00A3E0"/>
          <w:sz w:val="16"/>
          <w:szCs w:val="16"/>
        </w:rPr>
      </w:pPr>
    </w:p>
    <w:p w14:paraId="04834437" w14:textId="40919B88" w:rsidR="002F5A77" w:rsidRPr="003E2548" w:rsidRDefault="005072FE" w:rsidP="00D07140">
      <w:pPr>
        <w:pStyle w:val="a0"/>
        <w:numPr>
          <w:ilvl w:val="0"/>
          <w:numId w:val="3"/>
        </w:numPr>
        <w:ind w:left="0"/>
        <w:rPr>
          <w:sz w:val="32"/>
          <w:szCs w:val="32"/>
        </w:rPr>
      </w:pPr>
      <w:bookmarkStart w:id="184" w:name="_Toc73435757"/>
      <w:r w:rsidRPr="003E2548">
        <w:rPr>
          <w:sz w:val="32"/>
          <w:szCs w:val="32"/>
        </w:rPr>
        <w:t>Δημόσιο Χρέος</w:t>
      </w:r>
      <w:bookmarkEnd w:id="184"/>
    </w:p>
    <w:p w14:paraId="2C741AD2" w14:textId="7E64ED9A" w:rsidR="00992120" w:rsidRDefault="00C91415" w:rsidP="00992120">
      <w:pPr>
        <w:numPr>
          <w:ilvl w:val="0"/>
          <w:numId w:val="21"/>
        </w:numPr>
        <w:spacing w:after="160"/>
        <w:rPr>
          <w:rFonts w:eastAsia="Calibri" w:cs="Times New Roman"/>
          <w:b/>
          <w:i/>
          <w:color w:val="595959" w:themeColor="text1" w:themeTint="A6"/>
          <w:sz w:val="24"/>
          <w:szCs w:val="24"/>
        </w:rPr>
      </w:pPr>
      <w:r w:rsidRPr="00E920C7">
        <w:rPr>
          <w:rFonts w:eastAsia="Calibri" w:cs="Times New Roman"/>
          <w:b/>
          <w:i/>
          <w:color w:val="595959" w:themeColor="text1" w:themeTint="A6"/>
          <w:sz w:val="24"/>
          <w:szCs w:val="24"/>
        </w:rPr>
        <w:t>Μεγάλη</w:t>
      </w:r>
      <w:r w:rsidR="001657CF" w:rsidRPr="00E920C7">
        <w:rPr>
          <w:rFonts w:eastAsia="Calibri" w:cs="Times New Roman"/>
          <w:b/>
          <w:i/>
          <w:color w:val="595959" w:themeColor="text1" w:themeTint="A6"/>
          <w:sz w:val="24"/>
          <w:szCs w:val="24"/>
        </w:rPr>
        <w:t xml:space="preserve"> </w:t>
      </w:r>
      <w:r w:rsidR="00992120">
        <w:rPr>
          <w:rFonts w:eastAsia="Calibri" w:cs="Times New Roman"/>
          <w:b/>
          <w:i/>
          <w:color w:val="595959" w:themeColor="text1" w:themeTint="A6"/>
          <w:sz w:val="24"/>
          <w:szCs w:val="24"/>
        </w:rPr>
        <w:t xml:space="preserve">η </w:t>
      </w:r>
      <w:r w:rsidR="00992120" w:rsidRPr="00E920C7">
        <w:rPr>
          <w:rFonts w:eastAsia="Calibri" w:cs="Times New Roman"/>
          <w:b/>
          <w:i/>
          <w:color w:val="595959" w:themeColor="text1" w:themeTint="A6"/>
          <w:sz w:val="24"/>
          <w:szCs w:val="24"/>
        </w:rPr>
        <w:t>αύξηση του δημοσίου χρέους στο 205,6% του ΑΕΠ</w:t>
      </w:r>
      <w:r w:rsidR="00992120">
        <w:rPr>
          <w:rFonts w:eastAsia="Calibri" w:cs="Times New Roman"/>
          <w:b/>
          <w:i/>
          <w:color w:val="595959" w:themeColor="text1" w:themeTint="A6"/>
          <w:sz w:val="24"/>
          <w:szCs w:val="24"/>
        </w:rPr>
        <w:t>, με ιδιαίτερα ωστόσο χαρακτηριστικά:</w:t>
      </w:r>
    </w:p>
    <w:p w14:paraId="7D35A2DB" w14:textId="77777777" w:rsidR="00992120" w:rsidRDefault="00992120" w:rsidP="00992120">
      <w:pPr>
        <w:numPr>
          <w:ilvl w:val="1"/>
          <w:numId w:val="21"/>
        </w:numPr>
        <w:spacing w:after="160"/>
        <w:rPr>
          <w:rFonts w:eastAsia="Calibri" w:cs="Times New Roman"/>
          <w:b/>
          <w:i/>
          <w:color w:val="595959" w:themeColor="text1" w:themeTint="A6"/>
          <w:sz w:val="24"/>
          <w:szCs w:val="24"/>
        </w:rPr>
      </w:pPr>
      <w:r>
        <w:rPr>
          <w:rFonts w:eastAsia="Calibri" w:cs="Times New Roman"/>
          <w:b/>
          <w:i/>
          <w:color w:val="595959" w:themeColor="text1" w:themeTint="A6"/>
          <w:sz w:val="24"/>
          <w:szCs w:val="24"/>
        </w:rPr>
        <w:t>οι αποδόσεις του</w:t>
      </w:r>
      <w:r w:rsidRPr="00E920C7">
        <w:rPr>
          <w:rFonts w:eastAsia="Calibri" w:cs="Times New Roman"/>
          <w:b/>
          <w:i/>
          <w:color w:val="595959" w:themeColor="text1" w:themeTint="A6"/>
          <w:sz w:val="24"/>
          <w:szCs w:val="24"/>
        </w:rPr>
        <w:t xml:space="preserve"> δεκαετούς ομολόγου </w:t>
      </w:r>
      <w:r>
        <w:rPr>
          <w:rFonts w:eastAsia="Calibri" w:cs="Times New Roman"/>
          <w:b/>
          <w:i/>
          <w:color w:val="595959" w:themeColor="text1" w:themeTint="A6"/>
          <w:sz w:val="24"/>
          <w:szCs w:val="24"/>
        </w:rPr>
        <w:t xml:space="preserve">του </w:t>
      </w:r>
      <w:r w:rsidRPr="00E920C7">
        <w:rPr>
          <w:rFonts w:eastAsia="Calibri" w:cs="Times New Roman"/>
          <w:b/>
          <w:i/>
          <w:color w:val="595959" w:themeColor="text1" w:themeTint="A6"/>
          <w:sz w:val="24"/>
          <w:szCs w:val="24"/>
        </w:rPr>
        <w:t>ελληνικού</w:t>
      </w:r>
      <w:r>
        <w:rPr>
          <w:rFonts w:eastAsia="Calibri" w:cs="Times New Roman"/>
          <w:b/>
          <w:i/>
          <w:color w:val="595959" w:themeColor="text1" w:themeTint="A6"/>
          <w:sz w:val="24"/>
          <w:szCs w:val="24"/>
        </w:rPr>
        <w:t xml:space="preserve"> δημοσίου</w:t>
      </w:r>
      <w:r w:rsidRPr="00E920C7">
        <w:rPr>
          <w:rFonts w:eastAsia="Calibri" w:cs="Times New Roman"/>
          <w:b/>
          <w:i/>
          <w:color w:val="595959" w:themeColor="text1" w:themeTint="A6"/>
          <w:sz w:val="24"/>
          <w:szCs w:val="24"/>
        </w:rPr>
        <w:t xml:space="preserve"> </w:t>
      </w:r>
      <w:r>
        <w:rPr>
          <w:rFonts w:eastAsia="Calibri" w:cs="Times New Roman"/>
          <w:b/>
          <w:i/>
          <w:color w:val="595959" w:themeColor="text1" w:themeTint="A6"/>
          <w:sz w:val="24"/>
          <w:szCs w:val="24"/>
        </w:rPr>
        <w:t>παραμένουν σε ιστορικά χαμηλά επίπεδα.</w:t>
      </w:r>
    </w:p>
    <w:p w14:paraId="42C355B5" w14:textId="0DB5B116" w:rsidR="00E920C7" w:rsidRDefault="00992120" w:rsidP="00992120">
      <w:pPr>
        <w:numPr>
          <w:ilvl w:val="1"/>
          <w:numId w:val="21"/>
        </w:numPr>
        <w:spacing w:after="160"/>
        <w:rPr>
          <w:rFonts w:eastAsia="Calibri" w:cs="Times New Roman"/>
          <w:b/>
          <w:i/>
          <w:color w:val="595959" w:themeColor="text1" w:themeTint="A6"/>
          <w:sz w:val="24"/>
          <w:szCs w:val="24"/>
        </w:rPr>
      </w:pPr>
      <w:r>
        <w:rPr>
          <w:rFonts w:eastAsia="Calibri" w:cs="Times New Roman"/>
          <w:b/>
          <w:i/>
          <w:color w:val="595959" w:themeColor="text1" w:themeTint="A6"/>
          <w:sz w:val="24"/>
          <w:szCs w:val="24"/>
        </w:rPr>
        <w:t>η μεσοπρόθεσμη διαχειρισιμότητά του δεν εμπνέει προς το παρόν μεγάλη ανησυχία</w:t>
      </w:r>
      <w:r w:rsidR="00470AC2">
        <w:rPr>
          <w:rFonts w:eastAsia="Calibri" w:cs="Times New Roman"/>
          <w:b/>
          <w:i/>
          <w:color w:val="595959" w:themeColor="text1" w:themeTint="A6"/>
          <w:sz w:val="24"/>
          <w:szCs w:val="24"/>
        </w:rPr>
        <w:t>.</w:t>
      </w:r>
    </w:p>
    <w:p w14:paraId="18FBD3E5" w14:textId="2AF01FC0" w:rsidR="000E314E" w:rsidRDefault="000E314E">
      <w:pPr>
        <w:spacing w:after="160" w:line="0" w:lineRule="auto"/>
        <w:jc w:val="left"/>
        <w:rPr>
          <w:rFonts w:eastAsia="Calibri" w:cs="Trebuchet MS"/>
          <w:bCs/>
          <w:color w:val="000000"/>
        </w:rPr>
      </w:pPr>
    </w:p>
    <w:p w14:paraId="4E98D8C2" w14:textId="47D67E04" w:rsidR="000E314E" w:rsidRPr="000E314E" w:rsidRDefault="002E30A9" w:rsidP="00864462">
      <w:pPr>
        <w:autoSpaceDE w:val="0"/>
        <w:autoSpaceDN w:val="0"/>
        <w:adjustRightInd w:val="0"/>
        <w:spacing w:after="0"/>
        <w:rPr>
          <w:rFonts w:eastAsia="Calibri" w:cs="Trebuchet MS"/>
          <w:bCs/>
          <w:color w:val="000000"/>
        </w:rPr>
      </w:pPr>
      <w:r>
        <w:rPr>
          <w:rFonts w:eastAsia="Calibri" w:cs="Trebuchet MS"/>
          <w:bCs/>
          <w:color w:val="000000"/>
        </w:rPr>
        <w:t xml:space="preserve">Η επιδημική κρίση </w:t>
      </w:r>
      <w:r w:rsidR="00992120" w:rsidRPr="000E314E">
        <w:rPr>
          <w:rFonts w:eastAsia="Calibri" w:cs="Trebuchet MS"/>
          <w:bCs/>
          <w:color w:val="000000"/>
        </w:rPr>
        <w:t>προκάλεσε ισχυρ</w:t>
      </w:r>
      <w:r>
        <w:rPr>
          <w:rFonts w:eastAsia="Calibri" w:cs="Trebuchet MS"/>
          <w:bCs/>
          <w:color w:val="000000"/>
        </w:rPr>
        <w:t xml:space="preserve">ό κλονισμό </w:t>
      </w:r>
      <w:r w:rsidR="00992120" w:rsidRPr="000E314E">
        <w:rPr>
          <w:rFonts w:eastAsia="Calibri" w:cs="Trebuchet MS"/>
          <w:bCs/>
          <w:color w:val="000000"/>
        </w:rPr>
        <w:t>στ</w:t>
      </w:r>
      <w:r w:rsidR="00992120">
        <w:rPr>
          <w:rFonts w:eastAsia="Calibri" w:cs="Trebuchet MS"/>
          <w:bCs/>
          <w:color w:val="000000"/>
        </w:rPr>
        <w:t>ις</w:t>
      </w:r>
      <w:r w:rsidR="00992120" w:rsidRPr="000E314E">
        <w:rPr>
          <w:rFonts w:eastAsia="Calibri" w:cs="Trebuchet MS"/>
          <w:bCs/>
          <w:color w:val="000000"/>
        </w:rPr>
        <w:t xml:space="preserve"> μακροοικονομικ</w:t>
      </w:r>
      <w:r>
        <w:rPr>
          <w:rFonts w:eastAsia="Calibri" w:cs="Trebuchet MS"/>
          <w:bCs/>
          <w:color w:val="000000"/>
        </w:rPr>
        <w:t xml:space="preserve">ές </w:t>
      </w:r>
      <w:r w:rsidR="00992120" w:rsidRPr="000E314E">
        <w:rPr>
          <w:rFonts w:eastAsia="Calibri" w:cs="Trebuchet MS"/>
          <w:bCs/>
          <w:color w:val="000000"/>
        </w:rPr>
        <w:t>και δημοσιονομικ</w:t>
      </w:r>
      <w:r w:rsidR="00992120">
        <w:rPr>
          <w:rFonts w:eastAsia="Calibri" w:cs="Trebuchet MS"/>
          <w:bCs/>
          <w:color w:val="000000"/>
        </w:rPr>
        <w:t>ές</w:t>
      </w:r>
      <w:r w:rsidR="00992120" w:rsidRPr="000E314E">
        <w:rPr>
          <w:rFonts w:eastAsia="Calibri" w:cs="Trebuchet MS"/>
          <w:bCs/>
          <w:color w:val="000000"/>
        </w:rPr>
        <w:t xml:space="preserve"> </w:t>
      </w:r>
      <w:r w:rsidR="00992120">
        <w:rPr>
          <w:rFonts w:eastAsia="Calibri" w:cs="Trebuchet MS"/>
          <w:bCs/>
          <w:color w:val="000000"/>
        </w:rPr>
        <w:t xml:space="preserve">ισορροπίες </w:t>
      </w:r>
      <w:r w:rsidR="00992120" w:rsidRPr="000E314E">
        <w:rPr>
          <w:rFonts w:eastAsia="Calibri" w:cs="Trebuchet MS"/>
          <w:bCs/>
          <w:color w:val="000000"/>
        </w:rPr>
        <w:t>το 2020 με συνέπεια τη μεγάλ</w:t>
      </w:r>
      <w:r w:rsidR="00992120">
        <w:rPr>
          <w:rFonts w:eastAsia="Calibri" w:cs="Trebuchet MS"/>
          <w:bCs/>
          <w:color w:val="000000"/>
        </w:rPr>
        <w:t>η</w:t>
      </w:r>
      <w:r w:rsidR="00992120" w:rsidRPr="000E314E">
        <w:rPr>
          <w:rFonts w:eastAsia="Calibri" w:cs="Trebuchet MS"/>
          <w:bCs/>
          <w:color w:val="000000"/>
        </w:rPr>
        <w:t xml:space="preserve"> άνοδο του λόγου δημοσίου χρέους προς ΑΕΠ κατά</w:t>
      </w:r>
      <w:r>
        <w:rPr>
          <w:rFonts w:eastAsia="Calibri" w:cs="Trebuchet MS"/>
          <w:bCs/>
          <w:color w:val="000000"/>
        </w:rPr>
        <w:t xml:space="preserve"> 25 περίπου ποσοστιαίες μονάδες</w:t>
      </w:r>
      <w:r w:rsidR="00992120" w:rsidRPr="000E314E">
        <w:rPr>
          <w:rFonts w:eastAsia="Calibri" w:cs="Trebuchet MS"/>
          <w:bCs/>
          <w:color w:val="000000"/>
        </w:rPr>
        <w:t xml:space="preserve">, </w:t>
      </w:r>
      <w:r w:rsidR="00992120">
        <w:rPr>
          <w:rFonts w:eastAsia="Calibri" w:cs="Trebuchet MS"/>
          <w:bCs/>
          <w:color w:val="000000"/>
        </w:rPr>
        <w:t>ωθώ</w:t>
      </w:r>
      <w:r w:rsidR="00992120" w:rsidRPr="000E314E">
        <w:rPr>
          <w:rFonts w:eastAsia="Calibri" w:cs="Trebuchet MS"/>
          <w:bCs/>
          <w:color w:val="000000"/>
        </w:rPr>
        <w:t xml:space="preserve">ντας τον </w:t>
      </w:r>
      <w:r w:rsidR="00992120">
        <w:rPr>
          <w:rFonts w:eastAsia="Calibri" w:cs="Trebuchet MS"/>
          <w:bCs/>
          <w:color w:val="000000"/>
        </w:rPr>
        <w:t xml:space="preserve">σχετικό </w:t>
      </w:r>
      <w:r w:rsidR="00992120" w:rsidRPr="000E314E">
        <w:rPr>
          <w:rFonts w:eastAsia="Calibri" w:cs="Trebuchet MS"/>
          <w:bCs/>
          <w:color w:val="000000"/>
        </w:rPr>
        <w:t xml:space="preserve">δείκτη άνω του 205%. Με βάση το πρόγραμμα Σταθερότητας 2022-2024 ο λόγος δημοσίου χρέους προς ΑΕΠ </w:t>
      </w:r>
      <w:r w:rsidR="00992120">
        <w:rPr>
          <w:rFonts w:eastAsia="Calibri" w:cs="Trebuchet MS"/>
          <w:bCs/>
          <w:color w:val="000000"/>
        </w:rPr>
        <w:t xml:space="preserve">προβλέπεται </w:t>
      </w:r>
      <w:r w:rsidR="00992120" w:rsidRPr="000E314E">
        <w:rPr>
          <w:rFonts w:eastAsia="Calibri" w:cs="Trebuchet MS"/>
          <w:bCs/>
          <w:color w:val="000000"/>
        </w:rPr>
        <w:t xml:space="preserve"> να </w:t>
      </w:r>
      <w:r w:rsidR="00992120">
        <w:rPr>
          <w:rFonts w:eastAsia="Calibri" w:cs="Trebuchet MS"/>
          <w:bCs/>
          <w:color w:val="000000"/>
        </w:rPr>
        <w:t xml:space="preserve">μειωθεί </w:t>
      </w:r>
      <w:r w:rsidR="00992120" w:rsidRPr="000E314E">
        <w:rPr>
          <w:rFonts w:eastAsia="Calibri" w:cs="Trebuchet MS"/>
          <w:bCs/>
          <w:color w:val="000000"/>
        </w:rPr>
        <w:t>οριακ</w:t>
      </w:r>
      <w:r w:rsidR="00992120">
        <w:rPr>
          <w:rFonts w:eastAsia="Calibri" w:cs="Trebuchet MS"/>
          <w:bCs/>
          <w:color w:val="000000"/>
        </w:rPr>
        <w:t>ά</w:t>
      </w:r>
      <w:r w:rsidR="00992120" w:rsidRPr="000E314E">
        <w:rPr>
          <w:rFonts w:eastAsia="Calibri" w:cs="Trebuchet MS"/>
          <w:bCs/>
          <w:color w:val="000000"/>
        </w:rPr>
        <w:t xml:space="preserve"> </w:t>
      </w:r>
      <w:r w:rsidR="00D66C6A">
        <w:rPr>
          <w:rFonts w:eastAsia="Calibri" w:cs="Trebuchet MS"/>
          <w:bCs/>
          <w:color w:val="000000"/>
        </w:rPr>
        <w:t xml:space="preserve">το 2021 (204,8% του ΑΕΠ). Από το 2022 </w:t>
      </w:r>
      <w:r w:rsidR="00D66C6A" w:rsidRPr="00D66C6A">
        <w:rPr>
          <w:rFonts w:eastAsia="Calibri" w:cs="Trebuchet MS"/>
          <w:bCs/>
          <w:color w:val="000000"/>
        </w:rPr>
        <w:t xml:space="preserve">αναμένεται αποκλιμάκωση του σχετικού δείκτη άνω </w:t>
      </w:r>
      <w:r w:rsidR="004165DE">
        <w:rPr>
          <w:rFonts w:eastAsia="Calibri" w:cs="Trebuchet MS"/>
          <w:bCs/>
          <w:color w:val="000000"/>
        </w:rPr>
        <w:t>των</w:t>
      </w:r>
      <w:r w:rsidR="00D66C6A" w:rsidRPr="00D66C6A">
        <w:rPr>
          <w:rFonts w:eastAsia="Calibri" w:cs="Trebuchet MS"/>
          <w:bCs/>
          <w:color w:val="000000"/>
        </w:rPr>
        <w:t xml:space="preserve"> 10 ποσοστιαίων μονάδων ετησίως, λόγω της μεγάλης αύξησης του ΑΕΠ, που προβλέπεται στο Πρόγραμμα Σταθερότητας</w:t>
      </w:r>
      <w:r w:rsidR="00992120" w:rsidRPr="000E314E">
        <w:rPr>
          <w:rFonts w:eastAsia="Calibri" w:cs="Trebuchet MS"/>
          <w:bCs/>
          <w:color w:val="000000"/>
        </w:rPr>
        <w:t xml:space="preserve">.  </w:t>
      </w:r>
      <w:r w:rsidR="000E314E" w:rsidRPr="000E314E">
        <w:rPr>
          <w:rFonts w:eastAsia="Calibri" w:cs="Trebuchet MS"/>
          <w:bCs/>
          <w:color w:val="000000"/>
        </w:rPr>
        <w:t xml:space="preserve">  </w:t>
      </w:r>
    </w:p>
    <w:p w14:paraId="58C078B2" w14:textId="77777777" w:rsidR="000E314E" w:rsidRPr="000E314E" w:rsidRDefault="000E314E" w:rsidP="000E314E">
      <w:pPr>
        <w:autoSpaceDE w:val="0"/>
        <w:autoSpaceDN w:val="0"/>
        <w:adjustRightInd w:val="0"/>
        <w:spacing w:after="0"/>
        <w:jc w:val="left"/>
        <w:rPr>
          <w:rFonts w:eastAsia="Calibri" w:cs="Trebuchet MS"/>
          <w:color w:val="000000"/>
          <w:sz w:val="24"/>
          <w:szCs w:val="24"/>
        </w:rPr>
      </w:pPr>
    </w:p>
    <w:p w14:paraId="27329FBC" w14:textId="379904D0" w:rsidR="000E314E" w:rsidRPr="007D6510" w:rsidRDefault="00C24E6E" w:rsidP="00C24E6E">
      <w:pPr>
        <w:autoSpaceDE w:val="0"/>
        <w:autoSpaceDN w:val="0"/>
        <w:adjustRightInd w:val="0"/>
        <w:spacing w:after="0"/>
        <w:jc w:val="left"/>
        <w:rPr>
          <w:rFonts w:cs="Trebuchet MS"/>
          <w:bCs/>
          <w:color w:val="00B0F0"/>
          <w:sz w:val="20"/>
          <w:szCs w:val="20"/>
        </w:rPr>
      </w:pPr>
      <w:bookmarkStart w:id="185" w:name="_Toc73435816"/>
      <w:r w:rsidRPr="00C24E6E">
        <w:rPr>
          <w:sz w:val="20"/>
          <w:szCs w:val="20"/>
        </w:rPr>
        <w:t xml:space="preserve">Διάγραμμα </w:t>
      </w:r>
      <w:r w:rsidRPr="00C24E6E">
        <w:rPr>
          <w:i/>
          <w:sz w:val="20"/>
          <w:szCs w:val="20"/>
        </w:rPr>
        <w:fldChar w:fldCharType="begin"/>
      </w:r>
      <w:r w:rsidRPr="00C24E6E">
        <w:rPr>
          <w:sz w:val="20"/>
          <w:szCs w:val="20"/>
        </w:rPr>
        <w:instrText xml:space="preserve"> SEQ Διάγραμμα \* ARABIC </w:instrText>
      </w:r>
      <w:r w:rsidRPr="00C24E6E">
        <w:rPr>
          <w:i/>
          <w:sz w:val="20"/>
          <w:szCs w:val="20"/>
        </w:rPr>
        <w:fldChar w:fldCharType="separate"/>
      </w:r>
      <w:r w:rsidR="00CC05A7">
        <w:rPr>
          <w:noProof/>
          <w:sz w:val="20"/>
          <w:szCs w:val="20"/>
        </w:rPr>
        <w:t>30</w:t>
      </w:r>
      <w:r w:rsidRPr="00C24E6E">
        <w:rPr>
          <w:i/>
          <w:sz w:val="20"/>
          <w:szCs w:val="20"/>
        </w:rPr>
        <w:fldChar w:fldCharType="end"/>
      </w:r>
      <w:r w:rsidRPr="007D6510">
        <w:rPr>
          <w:sz w:val="20"/>
          <w:szCs w:val="20"/>
        </w:rPr>
        <w:t xml:space="preserve">: </w:t>
      </w:r>
      <w:r w:rsidR="000E314E" w:rsidRPr="007D6510">
        <w:rPr>
          <w:rFonts w:cs="Trebuchet MS"/>
          <w:bCs/>
          <w:color w:val="00B0F0"/>
          <w:sz w:val="20"/>
          <w:szCs w:val="20"/>
        </w:rPr>
        <w:t>Εξέλιξη χρέους της ΓΚ ως ποσοστό στο ΑΕΠ 2010-2024</w:t>
      </w:r>
      <w:bookmarkEnd w:id="185"/>
    </w:p>
    <w:p w14:paraId="5C26B068" w14:textId="77777777" w:rsidR="000E314E" w:rsidRPr="000E314E" w:rsidRDefault="000E314E" w:rsidP="000E314E">
      <w:pPr>
        <w:autoSpaceDE w:val="0"/>
        <w:autoSpaceDN w:val="0"/>
        <w:adjustRightInd w:val="0"/>
        <w:spacing w:after="0"/>
        <w:jc w:val="center"/>
        <w:rPr>
          <w:rFonts w:cs="Trebuchet MS"/>
          <w:b/>
          <w:bCs/>
          <w:color w:val="00B0F0"/>
          <w:sz w:val="20"/>
          <w:szCs w:val="20"/>
        </w:rPr>
      </w:pPr>
      <w:r w:rsidRPr="000E314E">
        <w:rPr>
          <w:rFonts w:eastAsia="Calibri" w:cs="Trebuchet MS"/>
          <w:noProof/>
          <w:color w:val="000000"/>
          <w:sz w:val="24"/>
          <w:szCs w:val="24"/>
          <w:lang w:eastAsia="el-GR"/>
        </w:rPr>
        <w:drawing>
          <wp:inline distT="0" distB="0" distL="0" distR="0" wp14:anchorId="438E8170" wp14:editId="3F567AE8">
            <wp:extent cx="5707720" cy="3203312"/>
            <wp:effectExtent l="0" t="0" r="7620" b="16510"/>
            <wp:docPr id="38" name="Γράφημα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C1FD06F" w14:textId="40D64F5D" w:rsidR="000E314E" w:rsidRPr="000E314E" w:rsidRDefault="000E314E" w:rsidP="000E314E">
      <w:pPr>
        <w:autoSpaceDE w:val="0"/>
        <w:autoSpaceDN w:val="0"/>
        <w:adjustRightInd w:val="0"/>
        <w:spacing w:after="0"/>
        <w:rPr>
          <w:rFonts w:eastAsia="Calibri" w:cstheme="minorHAnsi"/>
          <w:b/>
          <w:bCs/>
          <w:color w:val="auto"/>
          <w:sz w:val="16"/>
          <w:szCs w:val="16"/>
        </w:rPr>
      </w:pPr>
      <w:r w:rsidRPr="00C24E6E">
        <w:rPr>
          <w:rFonts w:eastAsia="Calibri" w:cstheme="minorHAnsi"/>
          <w:b/>
          <w:bCs/>
          <w:color w:val="auto"/>
          <w:sz w:val="16"/>
          <w:szCs w:val="16"/>
        </w:rPr>
        <w:t>Πηγές:</w:t>
      </w:r>
      <w:r w:rsidRPr="00C24E6E">
        <w:rPr>
          <w:rFonts w:eastAsia="Calibri" w:cstheme="minorHAnsi"/>
          <w:bCs/>
          <w:color w:val="auto"/>
          <w:sz w:val="16"/>
          <w:szCs w:val="16"/>
        </w:rPr>
        <w:t xml:space="preserve"> </w:t>
      </w:r>
      <w:r w:rsidR="00C24E6E" w:rsidRPr="00C24E6E">
        <w:rPr>
          <w:rFonts w:eastAsia="Calibri" w:cstheme="minorHAnsi"/>
          <w:bCs/>
          <w:color w:val="auto"/>
          <w:sz w:val="16"/>
          <w:szCs w:val="16"/>
        </w:rPr>
        <w:t xml:space="preserve">1) </w:t>
      </w:r>
      <w:r w:rsidRPr="000E314E">
        <w:rPr>
          <w:rFonts w:eastAsia="Calibri" w:cs="Calibri"/>
          <w:color w:val="00B0F0"/>
          <w:sz w:val="16"/>
          <w:szCs w:val="16"/>
          <w:lang w:val="en-US"/>
        </w:rPr>
        <w:t>AMECO</w:t>
      </w:r>
      <w:r w:rsidR="00C24E6E" w:rsidRPr="00C24E6E">
        <w:rPr>
          <w:rFonts w:eastAsia="Calibri" w:cs="Calibri"/>
          <w:color w:val="00B0F0"/>
          <w:sz w:val="16"/>
          <w:szCs w:val="16"/>
        </w:rPr>
        <w:t xml:space="preserve"> (2010-2020) 2</w:t>
      </w:r>
      <w:r w:rsidRPr="00C24E6E">
        <w:rPr>
          <w:rFonts w:eastAsia="Calibri" w:cstheme="minorHAnsi"/>
          <w:b/>
          <w:bCs/>
          <w:color w:val="00B0F0"/>
          <w:sz w:val="16"/>
          <w:szCs w:val="16"/>
        </w:rPr>
        <w:t>)</w:t>
      </w:r>
      <w:r w:rsidR="00C24E6E">
        <w:rPr>
          <w:rFonts w:eastAsia="Calibri" w:cstheme="minorHAnsi"/>
          <w:b/>
          <w:bCs/>
          <w:color w:val="00B0F0"/>
          <w:sz w:val="16"/>
          <w:szCs w:val="16"/>
        </w:rPr>
        <w:t xml:space="preserve"> Προβλέψεις </w:t>
      </w:r>
      <w:r w:rsidR="00C24E6E" w:rsidRPr="00C24E6E">
        <w:rPr>
          <w:rFonts w:eastAsia="Calibri" w:cstheme="minorHAnsi"/>
          <w:bCs/>
          <w:color w:val="00B0F0"/>
          <w:sz w:val="16"/>
          <w:szCs w:val="16"/>
        </w:rPr>
        <w:t>Προγράμμα</w:t>
      </w:r>
      <w:r w:rsidR="00C24E6E">
        <w:rPr>
          <w:rFonts w:eastAsia="Calibri" w:cstheme="minorHAnsi"/>
          <w:bCs/>
          <w:color w:val="00B0F0"/>
          <w:sz w:val="16"/>
          <w:szCs w:val="16"/>
        </w:rPr>
        <w:t>τος</w:t>
      </w:r>
      <w:r w:rsidRPr="00C24E6E">
        <w:rPr>
          <w:rFonts w:eastAsia="Calibri" w:cstheme="minorHAnsi"/>
          <w:bCs/>
          <w:color w:val="00B0F0"/>
          <w:sz w:val="16"/>
          <w:szCs w:val="16"/>
        </w:rPr>
        <w:t xml:space="preserve"> Σταθερότητας 2022-2024</w:t>
      </w:r>
      <w:r w:rsidR="00C24E6E" w:rsidRPr="00C24E6E">
        <w:rPr>
          <w:rFonts w:eastAsia="Calibri" w:cstheme="minorHAnsi"/>
          <w:bCs/>
          <w:color w:val="00B0F0"/>
          <w:sz w:val="16"/>
          <w:szCs w:val="16"/>
        </w:rPr>
        <w:t xml:space="preserve"> (για τα έτη 2021-2024)</w:t>
      </w:r>
    </w:p>
    <w:p w14:paraId="1B8C1E60" w14:textId="1154CE1E" w:rsidR="000E314E" w:rsidRPr="000E314E" w:rsidRDefault="000E314E" w:rsidP="000E314E">
      <w:pPr>
        <w:autoSpaceDE w:val="0"/>
        <w:autoSpaceDN w:val="0"/>
        <w:adjustRightInd w:val="0"/>
        <w:spacing w:after="0"/>
        <w:rPr>
          <w:rFonts w:eastAsia="Calibri" w:cstheme="minorHAnsi"/>
          <w:b/>
          <w:bCs/>
          <w:color w:val="auto"/>
          <w:sz w:val="16"/>
          <w:szCs w:val="16"/>
        </w:rPr>
      </w:pPr>
      <w:r w:rsidRPr="000E314E">
        <w:rPr>
          <w:rFonts w:eastAsia="Calibri" w:cstheme="minorHAnsi"/>
          <w:b/>
          <w:bCs/>
          <w:color w:val="auto"/>
          <w:sz w:val="16"/>
          <w:szCs w:val="16"/>
        </w:rPr>
        <w:t>*</w:t>
      </w:r>
      <w:r w:rsidR="00C24E6E">
        <w:rPr>
          <w:rFonts w:eastAsia="Calibri" w:cstheme="minorHAnsi"/>
          <w:b/>
          <w:bCs/>
          <w:color w:val="auto"/>
          <w:sz w:val="16"/>
          <w:szCs w:val="16"/>
        </w:rPr>
        <w:t xml:space="preserve"> </w:t>
      </w:r>
      <w:r w:rsidRPr="000E314E">
        <w:rPr>
          <w:rFonts w:eastAsia="Calibri" w:cstheme="minorHAnsi"/>
          <w:b/>
          <w:bCs/>
          <w:color w:val="auto"/>
          <w:sz w:val="16"/>
          <w:szCs w:val="16"/>
        </w:rPr>
        <w:t>αφορούν προβλέψεις</w:t>
      </w:r>
    </w:p>
    <w:p w14:paraId="6975F9A7" w14:textId="77777777" w:rsidR="000E314E" w:rsidRPr="000E314E" w:rsidRDefault="000E314E" w:rsidP="000E314E">
      <w:pPr>
        <w:autoSpaceDE w:val="0"/>
        <w:autoSpaceDN w:val="0"/>
        <w:adjustRightInd w:val="0"/>
        <w:spacing w:after="0"/>
        <w:rPr>
          <w:rFonts w:eastAsia="Calibri" w:cs="Trebuchet MS"/>
          <w:color w:val="000000"/>
          <w:sz w:val="24"/>
          <w:szCs w:val="24"/>
        </w:rPr>
      </w:pPr>
    </w:p>
    <w:p w14:paraId="6DF75F05" w14:textId="14B5F85C" w:rsidR="000E314E" w:rsidRPr="000E314E" w:rsidRDefault="00992120" w:rsidP="00864462">
      <w:pPr>
        <w:autoSpaceDE w:val="0"/>
        <w:autoSpaceDN w:val="0"/>
        <w:adjustRightInd w:val="0"/>
        <w:spacing w:after="0"/>
        <w:rPr>
          <w:rFonts w:eastAsia="Calibri" w:cs="Trebuchet MS"/>
          <w:bCs/>
          <w:color w:val="000000"/>
        </w:rPr>
      </w:pPr>
      <w:r>
        <w:rPr>
          <w:rFonts w:eastAsia="Calibri" w:cs="Trebuchet MS"/>
          <w:bCs/>
          <w:color w:val="000000"/>
        </w:rPr>
        <w:t>Παρά τη</w:t>
      </w:r>
      <w:r w:rsidR="000E314E" w:rsidRPr="000E314E">
        <w:rPr>
          <w:rFonts w:eastAsia="Calibri" w:cs="Trebuchet MS"/>
          <w:bCs/>
          <w:color w:val="000000"/>
        </w:rPr>
        <w:t xml:space="preserve"> βαθιά ύφεση, που έπληξε σχεδόν το σύνολο των Ευρωπαϊκών οικονομιών το 2020, τη σημαντική αύξηση του δημοσιονομικού ελλείμματος λόγω </w:t>
      </w:r>
      <w:r w:rsidR="00850AD9">
        <w:rPr>
          <w:rFonts w:eastAsia="Calibri" w:cs="Trebuchet MS"/>
          <w:bCs/>
          <w:color w:val="000000"/>
        </w:rPr>
        <w:t xml:space="preserve">των </w:t>
      </w:r>
      <w:r>
        <w:rPr>
          <w:rFonts w:eastAsia="Calibri" w:cs="Trebuchet MS"/>
          <w:bCs/>
          <w:color w:val="000000"/>
        </w:rPr>
        <w:t>έκτακτων μέτρων</w:t>
      </w:r>
      <w:r w:rsidR="000E314E" w:rsidRPr="000E314E">
        <w:rPr>
          <w:rFonts w:eastAsia="Calibri" w:cs="Trebuchet MS"/>
          <w:bCs/>
          <w:color w:val="000000"/>
        </w:rPr>
        <w:t xml:space="preserve"> </w:t>
      </w:r>
      <w:r w:rsidR="00850AD9">
        <w:rPr>
          <w:rFonts w:eastAsia="Calibri" w:cs="Trebuchet MS"/>
          <w:bCs/>
          <w:color w:val="000000"/>
        </w:rPr>
        <w:t xml:space="preserve">στήριξης </w:t>
      </w:r>
      <w:r w:rsidR="000E314E" w:rsidRPr="000E314E">
        <w:rPr>
          <w:rFonts w:eastAsia="Calibri" w:cs="Trebuchet MS"/>
          <w:bCs/>
          <w:color w:val="000000"/>
        </w:rPr>
        <w:t>και τη</w:t>
      </w:r>
      <w:r w:rsidR="00850AD9">
        <w:rPr>
          <w:rFonts w:eastAsia="Calibri" w:cs="Trebuchet MS"/>
          <w:bCs/>
          <w:color w:val="000000"/>
        </w:rPr>
        <w:t>ν παρεπόμενη</w:t>
      </w:r>
      <w:r w:rsidR="000E314E" w:rsidRPr="000E314E">
        <w:rPr>
          <w:rFonts w:eastAsia="Calibri" w:cs="Trebuchet MS"/>
          <w:bCs/>
          <w:color w:val="000000"/>
        </w:rPr>
        <w:t xml:space="preserve"> αύξηση του δείκτη δημοσίου χρέους προ ΑΕΠ, το κόστος δανεισμού του ελληνικού Δημοσίου διαμορφώθηκε σε ιστορικά χαμηλά επίπεδα.</w:t>
      </w:r>
      <w:r w:rsidR="000E314E" w:rsidRPr="000E314E">
        <w:rPr>
          <w:rFonts w:eastAsia="Calibri" w:cs="Trebuchet MS"/>
          <w:color w:val="000000"/>
          <w:sz w:val="24"/>
          <w:szCs w:val="24"/>
        </w:rPr>
        <w:t xml:space="preserve"> </w:t>
      </w:r>
      <w:r w:rsidR="000E314E" w:rsidRPr="000E314E">
        <w:rPr>
          <w:rFonts w:eastAsia="Calibri" w:cs="Trebuchet MS"/>
          <w:bCs/>
          <w:color w:val="000000"/>
        </w:rPr>
        <w:t>Η ένταξη των ομολόγων του ελληνικού δημοσίου στο πρόγραμμα PEPP (Pandemic emergen</w:t>
      </w:r>
      <w:r w:rsidR="002E30A9">
        <w:rPr>
          <w:rFonts w:eastAsia="Calibri" w:cs="Trebuchet MS"/>
          <w:bCs/>
          <w:color w:val="000000"/>
        </w:rPr>
        <w:t xml:space="preserve">cy purchase programme) της ΕΚΤ </w:t>
      </w:r>
      <w:r w:rsidR="000E314E" w:rsidRPr="000E314E">
        <w:rPr>
          <w:rFonts w:eastAsia="Calibri" w:cs="Trebuchet MS"/>
          <w:bCs/>
          <w:color w:val="000000"/>
        </w:rPr>
        <w:t xml:space="preserve">για την αντιμετώπιση των οικονομικών συνεπειών της πανδημίας, βοήθησε σημαντικά στη </w:t>
      </w:r>
      <w:r w:rsidR="00850AD9">
        <w:rPr>
          <w:rFonts w:eastAsia="Calibri" w:cs="Trebuchet MS"/>
          <w:bCs/>
          <w:color w:val="000000"/>
        </w:rPr>
        <w:t>συγκράτηση</w:t>
      </w:r>
      <w:r w:rsidR="000E314E" w:rsidRPr="000E314E">
        <w:rPr>
          <w:rFonts w:eastAsia="Calibri" w:cs="Trebuchet MS"/>
          <w:bCs/>
          <w:color w:val="000000"/>
        </w:rPr>
        <w:t xml:space="preserve"> των αποδόσεων σε αυτά τα ιστορικά χαμηλά επίπεδα.</w:t>
      </w:r>
      <w:r w:rsidR="00850AD9">
        <w:rPr>
          <w:rFonts w:eastAsia="Calibri" w:cs="Trebuchet MS"/>
          <w:bCs/>
          <w:color w:val="000000"/>
        </w:rPr>
        <w:t xml:space="preserve"> </w:t>
      </w:r>
      <w:r w:rsidR="000E314E" w:rsidRPr="000E314E">
        <w:rPr>
          <w:rFonts w:eastAsia="Calibri" w:cs="Trebuchet MS"/>
          <w:bCs/>
          <w:color w:val="000000"/>
        </w:rPr>
        <w:t>Παράλληλα</w:t>
      </w:r>
      <w:r w:rsidR="006E4035">
        <w:rPr>
          <w:rFonts w:eastAsia="Calibri" w:cs="Trebuchet MS"/>
          <w:bCs/>
          <w:color w:val="000000"/>
        </w:rPr>
        <w:t>,</w:t>
      </w:r>
      <w:r w:rsidR="002E30A9">
        <w:rPr>
          <w:rFonts w:eastAsia="Calibri" w:cs="Trebuchet MS"/>
          <w:bCs/>
          <w:color w:val="000000"/>
        </w:rPr>
        <w:t xml:space="preserve"> </w:t>
      </w:r>
      <w:r w:rsidR="000E314E" w:rsidRPr="000E314E">
        <w:rPr>
          <w:rFonts w:eastAsia="Calibri" w:cs="Trebuchet MS"/>
          <w:bCs/>
          <w:color w:val="000000"/>
        </w:rPr>
        <w:t>τα ελληνικά χρεόγραφα έγιναν αποδεκτά από την ΕΚΤ ως ενέχυρα για την παροχή ρευστότητας στις ελληνικές τράπεζες.</w:t>
      </w:r>
      <w:r w:rsidR="00850AD9">
        <w:rPr>
          <w:rFonts w:eastAsia="Calibri" w:cs="Trebuchet MS"/>
          <w:bCs/>
          <w:color w:val="000000"/>
        </w:rPr>
        <w:t xml:space="preserve"> Π</w:t>
      </w:r>
      <w:r w:rsidR="000E314E" w:rsidRPr="000E314E">
        <w:rPr>
          <w:rFonts w:eastAsia="Calibri" w:cs="Trebuchet MS"/>
          <w:bCs/>
          <w:color w:val="000000"/>
        </w:rPr>
        <w:t>ρόσφατα</w:t>
      </w:r>
      <w:r w:rsidR="00850AD9">
        <w:rPr>
          <w:rFonts w:eastAsia="Calibri" w:cs="Trebuchet MS"/>
          <w:bCs/>
          <w:color w:val="000000"/>
        </w:rPr>
        <w:t xml:space="preserve"> εξάλλου,</w:t>
      </w:r>
      <w:r w:rsidR="000E314E" w:rsidRPr="000E314E">
        <w:rPr>
          <w:rFonts w:eastAsia="Calibri" w:cs="Trebuchet MS"/>
          <w:bCs/>
          <w:color w:val="000000"/>
        </w:rPr>
        <w:t xml:space="preserve"> ο οίκος αξιολόγησης </w:t>
      </w:r>
      <w:r w:rsidR="000E314E" w:rsidRPr="000E314E">
        <w:rPr>
          <w:rFonts w:eastAsia="Calibri" w:cs="Trebuchet MS"/>
          <w:bCs/>
          <w:color w:val="000000"/>
          <w:lang w:val="en-US"/>
        </w:rPr>
        <w:t>Standard</w:t>
      </w:r>
      <w:r w:rsidR="000E314E" w:rsidRPr="000E314E">
        <w:rPr>
          <w:rFonts w:eastAsia="Calibri" w:cs="Trebuchet MS"/>
          <w:bCs/>
          <w:color w:val="000000"/>
        </w:rPr>
        <w:t xml:space="preserve"> </w:t>
      </w:r>
      <w:r w:rsidR="000E314E" w:rsidRPr="000E314E">
        <w:rPr>
          <w:rFonts w:eastAsia="Calibri" w:cs="Trebuchet MS"/>
          <w:bCs/>
          <w:color w:val="000000"/>
          <w:lang w:val="en-US"/>
        </w:rPr>
        <w:t>and</w:t>
      </w:r>
      <w:r w:rsidR="000E314E" w:rsidRPr="000E314E">
        <w:rPr>
          <w:rFonts w:eastAsia="Calibri" w:cs="Trebuchet MS"/>
          <w:bCs/>
          <w:color w:val="000000"/>
        </w:rPr>
        <w:t xml:space="preserve"> </w:t>
      </w:r>
      <w:r w:rsidR="000E314E" w:rsidRPr="000E314E">
        <w:rPr>
          <w:rFonts w:eastAsia="Calibri" w:cs="Trebuchet MS"/>
          <w:bCs/>
          <w:color w:val="000000"/>
          <w:lang w:val="en-US"/>
        </w:rPr>
        <w:t>Poor</w:t>
      </w:r>
      <w:r w:rsidR="000E314E" w:rsidRPr="000E314E">
        <w:rPr>
          <w:rFonts w:eastAsia="Calibri" w:cs="Trebuchet MS"/>
          <w:bCs/>
          <w:color w:val="000000"/>
        </w:rPr>
        <w:t>’</w:t>
      </w:r>
      <w:r w:rsidR="000E314E" w:rsidRPr="000E314E">
        <w:rPr>
          <w:rFonts w:eastAsia="Calibri" w:cs="Trebuchet MS"/>
          <w:bCs/>
          <w:color w:val="000000"/>
          <w:lang w:val="en-US"/>
        </w:rPr>
        <w:t>s</w:t>
      </w:r>
      <w:r w:rsidR="000E314E" w:rsidRPr="000E314E">
        <w:rPr>
          <w:rFonts w:eastAsia="Calibri" w:cs="Trebuchet MS"/>
          <w:bCs/>
          <w:color w:val="000000"/>
        </w:rPr>
        <w:t xml:space="preserve">, αναβάθμισε κατά μία βαθμίδα την πιστοληπτική διαβάθμιση της Ελλάδας από </w:t>
      </w:r>
      <w:r w:rsidR="000E314E" w:rsidRPr="000E314E">
        <w:rPr>
          <w:rFonts w:eastAsia="Calibri" w:cs="Trebuchet MS"/>
          <w:bCs/>
          <w:color w:val="000000"/>
          <w:lang w:val="en-US"/>
        </w:rPr>
        <w:t>BB</w:t>
      </w:r>
      <w:r w:rsidR="000E314E" w:rsidRPr="000E314E">
        <w:rPr>
          <w:rFonts w:eastAsia="Calibri" w:cs="Trebuchet MS"/>
          <w:bCs/>
          <w:color w:val="000000"/>
        </w:rPr>
        <w:t xml:space="preserve">- σε </w:t>
      </w:r>
      <w:r w:rsidR="000E314E" w:rsidRPr="000E314E">
        <w:rPr>
          <w:rFonts w:eastAsia="Calibri" w:cs="Trebuchet MS"/>
          <w:bCs/>
          <w:color w:val="000000"/>
          <w:lang w:val="en-US"/>
        </w:rPr>
        <w:t>BB</w:t>
      </w:r>
      <w:r w:rsidR="000E314E" w:rsidRPr="000E314E">
        <w:rPr>
          <w:rFonts w:eastAsia="Calibri" w:cs="Trebuchet MS"/>
          <w:bCs/>
          <w:color w:val="000000"/>
        </w:rPr>
        <w:t xml:space="preserve">, ακολουθώντας την επίσης πρόσφατη αναβάθμιση από τον οίκο </w:t>
      </w:r>
      <w:r w:rsidR="000E314E" w:rsidRPr="000E314E">
        <w:rPr>
          <w:rFonts w:eastAsia="Calibri" w:cs="Trebuchet MS"/>
          <w:bCs/>
          <w:color w:val="000000"/>
          <w:lang w:val="en-US"/>
        </w:rPr>
        <w:t>Moody</w:t>
      </w:r>
      <w:r w:rsidR="000E314E" w:rsidRPr="000E314E">
        <w:rPr>
          <w:rFonts w:eastAsia="Calibri" w:cs="Trebuchet MS"/>
          <w:bCs/>
          <w:color w:val="000000"/>
        </w:rPr>
        <w:t>’</w:t>
      </w:r>
      <w:r w:rsidR="000E314E" w:rsidRPr="000E314E">
        <w:rPr>
          <w:rFonts w:eastAsia="Calibri" w:cs="Trebuchet MS"/>
          <w:bCs/>
          <w:color w:val="000000"/>
          <w:lang w:val="en-US"/>
        </w:rPr>
        <w:t>s</w:t>
      </w:r>
      <w:r w:rsidR="000E314E" w:rsidRPr="000E314E">
        <w:rPr>
          <w:rFonts w:eastAsia="Calibri" w:cs="Trebuchet MS"/>
          <w:bCs/>
          <w:color w:val="000000"/>
        </w:rPr>
        <w:t xml:space="preserve">. </w:t>
      </w:r>
    </w:p>
    <w:p w14:paraId="46053D79" w14:textId="77777777" w:rsidR="000E314E" w:rsidRPr="000E314E" w:rsidRDefault="000E314E" w:rsidP="000E314E">
      <w:pPr>
        <w:autoSpaceDE w:val="0"/>
        <w:autoSpaceDN w:val="0"/>
        <w:adjustRightInd w:val="0"/>
        <w:spacing w:after="0"/>
        <w:rPr>
          <w:rFonts w:eastAsia="Calibri" w:cs="Trebuchet MS"/>
          <w:bCs/>
          <w:color w:val="000000"/>
          <w:sz w:val="24"/>
          <w:szCs w:val="24"/>
        </w:rPr>
      </w:pPr>
    </w:p>
    <w:p w14:paraId="6BD420C2" w14:textId="5F4AD1BA" w:rsidR="000E314E" w:rsidRPr="000E314E" w:rsidRDefault="00C24E6E" w:rsidP="000E314E">
      <w:pPr>
        <w:spacing w:after="0" w:line="240" w:lineRule="auto"/>
        <w:rPr>
          <w:color w:val="00A3E0"/>
          <w:sz w:val="20"/>
          <w:szCs w:val="20"/>
        </w:rPr>
      </w:pPr>
      <w:bookmarkStart w:id="186" w:name="_Toc73435817"/>
      <w:r w:rsidRPr="00C24E6E">
        <w:rPr>
          <w:sz w:val="20"/>
          <w:szCs w:val="20"/>
        </w:rPr>
        <w:t xml:space="preserve">Διάγραμμα </w:t>
      </w:r>
      <w:r w:rsidRPr="00C24E6E">
        <w:rPr>
          <w:i/>
          <w:sz w:val="20"/>
          <w:szCs w:val="20"/>
        </w:rPr>
        <w:fldChar w:fldCharType="begin"/>
      </w:r>
      <w:r w:rsidRPr="00C24E6E">
        <w:rPr>
          <w:sz w:val="20"/>
          <w:szCs w:val="20"/>
        </w:rPr>
        <w:instrText xml:space="preserve"> SEQ Διάγραμμα \* ARABIC </w:instrText>
      </w:r>
      <w:r w:rsidRPr="00C24E6E">
        <w:rPr>
          <w:i/>
          <w:sz w:val="20"/>
          <w:szCs w:val="20"/>
        </w:rPr>
        <w:fldChar w:fldCharType="separate"/>
      </w:r>
      <w:r w:rsidR="00CC05A7">
        <w:rPr>
          <w:noProof/>
          <w:sz w:val="20"/>
          <w:szCs w:val="20"/>
        </w:rPr>
        <w:t>31</w:t>
      </w:r>
      <w:r w:rsidRPr="00C24E6E">
        <w:rPr>
          <w:i/>
          <w:sz w:val="20"/>
          <w:szCs w:val="20"/>
        </w:rPr>
        <w:fldChar w:fldCharType="end"/>
      </w:r>
      <w:r w:rsidRPr="00C24E6E">
        <w:rPr>
          <w:sz w:val="20"/>
          <w:szCs w:val="20"/>
        </w:rPr>
        <w:t xml:space="preserve">: </w:t>
      </w:r>
      <w:r w:rsidR="000E314E" w:rsidRPr="000E314E">
        <w:rPr>
          <w:color w:val="00A3E0"/>
          <w:sz w:val="20"/>
          <w:szCs w:val="20"/>
        </w:rPr>
        <w:t>Απόδοση δεκαετούς ελληνικού ομολόγου Σεπτέμβριος 2018- Μάρτιος 2021</w:t>
      </w:r>
      <w:bookmarkEnd w:id="186"/>
    </w:p>
    <w:p w14:paraId="43F9AD95" w14:textId="77777777" w:rsidR="000E314E" w:rsidRPr="000E314E" w:rsidRDefault="000E314E" w:rsidP="000E314E">
      <w:pPr>
        <w:autoSpaceDE w:val="0"/>
        <w:autoSpaceDN w:val="0"/>
        <w:adjustRightInd w:val="0"/>
        <w:spacing w:after="0"/>
        <w:rPr>
          <w:rFonts w:eastAsia="Calibri" w:cs="Trebuchet MS"/>
          <w:bCs/>
          <w:color w:val="000000"/>
          <w:sz w:val="24"/>
          <w:szCs w:val="24"/>
        </w:rPr>
      </w:pPr>
      <w:r w:rsidRPr="000E314E">
        <w:rPr>
          <w:rFonts w:eastAsia="Calibri" w:cs="Trebuchet MS"/>
          <w:noProof/>
          <w:color w:val="000000"/>
          <w:sz w:val="24"/>
          <w:szCs w:val="24"/>
          <w:lang w:eastAsia="el-GR"/>
        </w:rPr>
        <w:drawing>
          <wp:inline distT="0" distB="0" distL="0" distR="0" wp14:anchorId="5C0B18F4" wp14:editId="552933C7">
            <wp:extent cx="5579587" cy="3077210"/>
            <wp:effectExtent l="0" t="0" r="2540" b="8890"/>
            <wp:docPr id="39" name="Γράφημα 39">
              <a:extLst xmlns:a="http://schemas.openxmlformats.org/drawingml/2006/main">
                <a:ext uri="{FF2B5EF4-FFF2-40B4-BE49-F238E27FC236}">
                  <a16:creationId xmlns:a16="http://schemas.microsoft.com/office/drawing/2014/main" id="{A24B55BB-2CCA-4498-A31A-05C2723CB0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C8517C0" w14:textId="77777777" w:rsidR="000E314E" w:rsidRPr="000E314E" w:rsidRDefault="000E314E" w:rsidP="000E314E">
      <w:pPr>
        <w:autoSpaceDE w:val="0"/>
        <w:autoSpaceDN w:val="0"/>
        <w:adjustRightInd w:val="0"/>
        <w:spacing w:after="0"/>
        <w:rPr>
          <w:rFonts w:eastAsia="Calibri" w:cstheme="minorHAnsi"/>
          <w:bCs/>
          <w:color w:val="111111"/>
          <w:sz w:val="16"/>
          <w:szCs w:val="16"/>
        </w:rPr>
      </w:pPr>
      <w:r w:rsidRPr="000E314E">
        <w:rPr>
          <w:rFonts w:eastAsia="Calibri" w:cstheme="minorHAnsi"/>
          <w:b/>
          <w:bCs/>
          <w:color w:val="auto"/>
          <w:sz w:val="16"/>
          <w:szCs w:val="16"/>
        </w:rPr>
        <w:t>Πηγή :</w:t>
      </w:r>
      <w:r w:rsidRPr="000E314E">
        <w:rPr>
          <w:rFonts w:eastAsia="Calibri" w:cstheme="minorHAnsi"/>
          <w:bCs/>
          <w:color w:val="auto"/>
          <w:sz w:val="16"/>
          <w:szCs w:val="16"/>
        </w:rPr>
        <w:t xml:space="preserve"> </w:t>
      </w:r>
      <w:r w:rsidRPr="000E314E">
        <w:rPr>
          <w:rFonts w:eastAsia="Calibri" w:cstheme="minorHAnsi"/>
          <w:bCs/>
          <w:color w:val="00B0F0"/>
          <w:sz w:val="16"/>
          <w:szCs w:val="16"/>
          <w:lang w:val="en-US"/>
        </w:rPr>
        <w:t>Bloomberg</w:t>
      </w:r>
      <w:r w:rsidRPr="000E314E">
        <w:rPr>
          <w:rFonts w:eastAsia="Calibri" w:cstheme="minorHAnsi"/>
          <w:bCs/>
          <w:color w:val="00B0F0"/>
          <w:sz w:val="16"/>
          <w:szCs w:val="16"/>
        </w:rPr>
        <w:t xml:space="preserve">, </w:t>
      </w:r>
      <w:r w:rsidRPr="000E314E">
        <w:rPr>
          <w:rFonts w:eastAsia="Calibri" w:cstheme="minorHAnsi"/>
          <w:bCs/>
          <w:color w:val="00B0F0"/>
          <w:sz w:val="16"/>
          <w:szCs w:val="16"/>
          <w:lang w:val="en-US"/>
        </w:rPr>
        <w:t>Datastream</w:t>
      </w:r>
      <w:r w:rsidRPr="000E314E">
        <w:rPr>
          <w:rFonts w:eastAsia="Calibri" w:cstheme="minorHAnsi"/>
          <w:bCs/>
          <w:color w:val="00B0F0"/>
          <w:sz w:val="16"/>
          <w:szCs w:val="16"/>
        </w:rPr>
        <w:t>, βάση δεδομένων ΕΔΣ</w:t>
      </w:r>
    </w:p>
    <w:p w14:paraId="78ED0CCB" w14:textId="77777777" w:rsidR="000E314E" w:rsidRPr="000E314E" w:rsidRDefault="000E314E" w:rsidP="000E314E">
      <w:pPr>
        <w:autoSpaceDE w:val="0"/>
        <w:autoSpaceDN w:val="0"/>
        <w:adjustRightInd w:val="0"/>
        <w:spacing w:after="0"/>
        <w:rPr>
          <w:rFonts w:eastAsia="Calibri" w:cs="Trebuchet MS"/>
          <w:bCs/>
          <w:color w:val="000000"/>
          <w:sz w:val="24"/>
          <w:szCs w:val="24"/>
        </w:rPr>
      </w:pPr>
    </w:p>
    <w:p w14:paraId="3910C51A" w14:textId="77777777" w:rsidR="000E314E" w:rsidRPr="000E314E" w:rsidRDefault="000E314E" w:rsidP="000E314E">
      <w:pPr>
        <w:autoSpaceDE w:val="0"/>
        <w:autoSpaceDN w:val="0"/>
        <w:adjustRightInd w:val="0"/>
        <w:spacing w:after="0"/>
        <w:rPr>
          <w:rFonts w:eastAsia="Calibri" w:cs="Trebuchet MS"/>
          <w:bCs/>
          <w:color w:val="000000"/>
          <w:sz w:val="24"/>
          <w:szCs w:val="24"/>
        </w:rPr>
      </w:pPr>
    </w:p>
    <w:p w14:paraId="53664BF0" w14:textId="0CFA1C89" w:rsidR="000E314E" w:rsidRPr="000E314E" w:rsidRDefault="00620234" w:rsidP="00864462">
      <w:pPr>
        <w:autoSpaceDE w:val="0"/>
        <w:autoSpaceDN w:val="0"/>
        <w:adjustRightInd w:val="0"/>
        <w:spacing w:after="0"/>
        <w:rPr>
          <w:rFonts w:eastAsia="Calibri" w:cs="Trebuchet MS"/>
          <w:bCs/>
          <w:color w:val="000000"/>
        </w:rPr>
      </w:pPr>
      <w:r>
        <w:rPr>
          <w:rFonts w:eastAsia="Calibri" w:cs="Trebuchet MS"/>
          <w:color w:val="000000"/>
        </w:rPr>
        <w:t xml:space="preserve">Το 2021 συνεχίστηκε η </w:t>
      </w:r>
      <w:r w:rsidR="000E314E" w:rsidRPr="000E314E">
        <w:rPr>
          <w:rFonts w:eastAsia="Calibri" w:cs="Trebuchet MS"/>
          <w:color w:val="000000"/>
        </w:rPr>
        <w:t>εκδοτική δραστηριότητα μακροχρόνιου και βραχυχρόνιου</w:t>
      </w:r>
      <w:r w:rsidR="000E314E" w:rsidRPr="000E314E">
        <w:rPr>
          <w:rFonts w:eastAsia="Calibri" w:cs="Trebuchet MS"/>
          <w:color w:val="000000"/>
          <w:vertAlign w:val="superscript"/>
        </w:rPr>
        <w:footnoteReference w:id="32"/>
      </w:r>
      <w:r w:rsidR="000E314E" w:rsidRPr="000E314E">
        <w:rPr>
          <w:rFonts w:eastAsia="Calibri" w:cs="Trebuchet MS"/>
          <w:color w:val="000000"/>
        </w:rPr>
        <w:t xml:space="preserve"> δανεισμού, η οποία  συμβάλ</w:t>
      </w:r>
      <w:r>
        <w:rPr>
          <w:rFonts w:eastAsia="Calibri" w:cs="Trebuchet MS"/>
          <w:color w:val="000000"/>
        </w:rPr>
        <w:t>λ</w:t>
      </w:r>
      <w:r w:rsidR="000E314E" w:rsidRPr="000E314E">
        <w:rPr>
          <w:rFonts w:eastAsia="Calibri" w:cs="Trebuchet MS"/>
          <w:color w:val="000000"/>
        </w:rPr>
        <w:t>ει στην ομαλοποίηση των λήξεων των ελληνικών ομολόγων και εμπλουτίζει περαιτέρω την καμπύλη αποδόσεων. Παράλληλα, η άντληση κεφαλαίων από τις κεφαλαιαγορές, εκτός από τις ανάγκες αναχρηματοδότησης του υφιστάμενου δανεισμού</w:t>
      </w:r>
      <w:r w:rsidR="00D66C6A">
        <w:rPr>
          <w:rFonts w:eastAsia="Calibri" w:cs="Trebuchet MS"/>
          <w:color w:val="000000"/>
        </w:rPr>
        <w:t>,</w:t>
      </w:r>
      <w:r w:rsidR="000E314E" w:rsidRPr="000E314E">
        <w:rPr>
          <w:rFonts w:eastAsia="Calibri" w:cs="Trebuchet MS"/>
          <w:color w:val="000000"/>
        </w:rPr>
        <w:t xml:space="preserve"> εξυπηρέτησε και τις αυξημένες ταμειακές ανάγκες, </w:t>
      </w:r>
      <w:r w:rsidR="00850AD9">
        <w:rPr>
          <w:rFonts w:eastAsia="Calibri" w:cs="Trebuchet MS"/>
          <w:color w:val="000000"/>
        </w:rPr>
        <w:t xml:space="preserve">τις οποίες </w:t>
      </w:r>
      <w:r w:rsidR="000E314E" w:rsidRPr="000E314E">
        <w:rPr>
          <w:rFonts w:eastAsia="Calibri" w:cs="Trebuchet MS"/>
          <w:color w:val="000000"/>
        </w:rPr>
        <w:t>προκάλεσε το μεγάλο έλλειμμα του προϋπολογισμού. Από τις αρχές του έτους μέχρι το</w:t>
      </w:r>
      <w:r w:rsidR="00850AD9">
        <w:rPr>
          <w:rFonts w:eastAsia="Calibri" w:cs="Trebuchet MS"/>
          <w:color w:val="000000"/>
        </w:rPr>
        <w:t>ν</w:t>
      </w:r>
      <w:r w:rsidR="000E314E" w:rsidRPr="000E314E">
        <w:rPr>
          <w:rFonts w:eastAsia="Calibri" w:cs="Trebuchet MS"/>
          <w:color w:val="000000"/>
        </w:rPr>
        <w:t xml:space="preserve"> Μάιο του 2021</w:t>
      </w:r>
      <w:r w:rsidR="00D66C6A">
        <w:rPr>
          <w:rFonts w:eastAsia="Calibri" w:cs="Trebuchet MS"/>
          <w:color w:val="000000"/>
        </w:rPr>
        <w:t>,</w:t>
      </w:r>
      <w:r w:rsidR="000E314E" w:rsidRPr="000E314E">
        <w:rPr>
          <w:rFonts w:eastAsia="Calibri" w:cs="Trebuchet MS"/>
          <w:color w:val="000000"/>
        </w:rPr>
        <w:t xml:space="preserve"> έχουν πραγματοποιηθεί τρείς εκδόσεις με τις οποίες αντλήθηκαν συνολικά  9 δισ. ευρώ</w:t>
      </w:r>
      <w:r w:rsidR="00450BC1">
        <w:rPr>
          <w:rFonts w:eastAsia="Calibri" w:cs="Trebuchet MS"/>
          <w:color w:val="000000"/>
        </w:rPr>
        <w:t xml:space="preserve"> </w:t>
      </w:r>
      <w:r w:rsidR="00450BC1" w:rsidRPr="00450BC1">
        <w:rPr>
          <w:rFonts w:eastAsia="Calibri" w:cs="Trebuchet MS"/>
          <w:i/>
          <w:color w:val="auto"/>
        </w:rPr>
        <w:t>(</w:t>
      </w:r>
      <w:r w:rsidR="00450BC1" w:rsidRPr="00450BC1">
        <w:rPr>
          <w:rFonts w:eastAsia="Calibri" w:cs="Trebuchet MS"/>
          <w:i/>
          <w:color w:val="auto"/>
        </w:rPr>
        <w:fldChar w:fldCharType="begin"/>
      </w:r>
      <w:r w:rsidR="00450BC1" w:rsidRPr="00450BC1">
        <w:rPr>
          <w:rFonts w:eastAsia="Calibri" w:cs="Trebuchet MS"/>
          <w:i/>
          <w:color w:val="auto"/>
        </w:rPr>
        <w:instrText xml:space="preserve"> REF _Ref72498983 \h  \* MERGEFORMAT </w:instrText>
      </w:r>
      <w:r w:rsidR="00450BC1" w:rsidRPr="00450BC1">
        <w:rPr>
          <w:rFonts w:eastAsia="Calibri" w:cs="Trebuchet MS"/>
          <w:i/>
          <w:color w:val="auto"/>
        </w:rPr>
      </w:r>
      <w:r w:rsidR="00450BC1" w:rsidRPr="00450BC1">
        <w:rPr>
          <w:rFonts w:eastAsia="Calibri" w:cs="Trebuchet MS"/>
          <w:i/>
          <w:color w:val="auto"/>
        </w:rPr>
        <w:fldChar w:fldCharType="separate"/>
      </w:r>
      <w:r w:rsidR="00CC05A7" w:rsidRPr="00CC05A7">
        <w:rPr>
          <w:i/>
          <w:color w:val="auto"/>
        </w:rPr>
        <w:t xml:space="preserve">Πίνακας </w:t>
      </w:r>
      <w:r w:rsidR="00CC05A7" w:rsidRPr="00CC05A7">
        <w:rPr>
          <w:i/>
          <w:noProof/>
          <w:color w:val="auto"/>
        </w:rPr>
        <w:t>22</w:t>
      </w:r>
      <w:r w:rsidR="00450BC1" w:rsidRPr="00450BC1">
        <w:rPr>
          <w:rFonts w:eastAsia="Calibri" w:cs="Trebuchet MS"/>
          <w:i/>
          <w:color w:val="auto"/>
        </w:rPr>
        <w:fldChar w:fldCharType="end"/>
      </w:r>
      <w:r w:rsidR="00450BC1">
        <w:rPr>
          <w:rFonts w:eastAsia="Calibri" w:cs="Trebuchet MS"/>
          <w:color w:val="000000"/>
        </w:rPr>
        <w:t>)</w:t>
      </w:r>
      <w:r w:rsidR="00450BC1">
        <w:rPr>
          <w:rFonts w:eastAsia="Calibri" w:cstheme="minorHAnsi"/>
          <w:bCs/>
          <w:color w:val="767171" w:themeColor="background2" w:themeShade="80"/>
          <w:sz w:val="20"/>
          <w:szCs w:val="20"/>
        </w:rPr>
        <w:t xml:space="preserve">. </w:t>
      </w:r>
      <w:r w:rsidR="000E314E" w:rsidRPr="000E314E">
        <w:rPr>
          <w:rFonts w:eastAsia="Calibri" w:cs="Trebuchet MS"/>
          <w:color w:val="000000"/>
        </w:rPr>
        <w:t xml:space="preserve">Αξίζει να σημειωθεί ότι η έκδοση του Μαρτίου 2021 αφορούσε ομόλογα 30ετούς λήξης με επιτόκιο σχετικά χαμηλό (1,95%) </w:t>
      </w:r>
      <w:r w:rsidR="00D66C6A">
        <w:rPr>
          <w:rFonts w:eastAsia="Calibri" w:cs="Trebuchet MS"/>
          <w:color w:val="000000"/>
        </w:rPr>
        <w:t>σε σχέση με τη μεγάλη διάρκεια</w:t>
      </w:r>
      <w:r w:rsidR="000E314E" w:rsidRPr="000E314E">
        <w:rPr>
          <w:rFonts w:eastAsia="Calibri" w:cs="Trebuchet MS"/>
          <w:color w:val="000000"/>
        </w:rPr>
        <w:t xml:space="preserve"> «ωρίμανσης» των συγκεκριμένων ομολόγων</w:t>
      </w:r>
      <w:r w:rsidR="000E314E" w:rsidRPr="000E314E">
        <w:rPr>
          <w:rFonts w:eastAsia="Calibri" w:cs="Trebuchet MS"/>
          <w:bCs/>
          <w:color w:val="000000"/>
        </w:rPr>
        <w:t xml:space="preserve">.  </w:t>
      </w:r>
    </w:p>
    <w:p w14:paraId="3EC6A944" w14:textId="3CCE43C4" w:rsidR="000E314E" w:rsidRDefault="000E314E" w:rsidP="000E314E">
      <w:pPr>
        <w:autoSpaceDE w:val="0"/>
        <w:autoSpaceDN w:val="0"/>
        <w:adjustRightInd w:val="0"/>
        <w:spacing w:after="0"/>
        <w:rPr>
          <w:rFonts w:eastAsia="Calibri" w:cs="Trebuchet MS"/>
          <w:color w:val="000000"/>
          <w:sz w:val="24"/>
          <w:szCs w:val="24"/>
        </w:rPr>
      </w:pPr>
    </w:p>
    <w:p w14:paraId="500A94B0" w14:textId="115E94AE" w:rsidR="00EF4140" w:rsidRDefault="00EF4140" w:rsidP="000E314E">
      <w:pPr>
        <w:autoSpaceDE w:val="0"/>
        <w:autoSpaceDN w:val="0"/>
        <w:adjustRightInd w:val="0"/>
        <w:spacing w:after="0"/>
        <w:rPr>
          <w:rFonts w:eastAsia="Calibri" w:cs="Trebuchet MS"/>
          <w:color w:val="000000"/>
          <w:sz w:val="24"/>
          <w:szCs w:val="24"/>
        </w:rPr>
      </w:pPr>
    </w:p>
    <w:p w14:paraId="747A9F10" w14:textId="6121E2E4" w:rsidR="00EF4140" w:rsidRDefault="00EF4140" w:rsidP="000E314E">
      <w:pPr>
        <w:autoSpaceDE w:val="0"/>
        <w:autoSpaceDN w:val="0"/>
        <w:adjustRightInd w:val="0"/>
        <w:spacing w:after="0"/>
        <w:rPr>
          <w:rFonts w:eastAsia="Calibri" w:cs="Trebuchet MS"/>
          <w:color w:val="000000"/>
          <w:sz w:val="24"/>
          <w:szCs w:val="24"/>
        </w:rPr>
      </w:pPr>
    </w:p>
    <w:p w14:paraId="6C0A2230" w14:textId="77777777" w:rsidR="00EF4140" w:rsidRPr="000E314E" w:rsidRDefault="00EF4140" w:rsidP="000E314E">
      <w:pPr>
        <w:autoSpaceDE w:val="0"/>
        <w:autoSpaceDN w:val="0"/>
        <w:adjustRightInd w:val="0"/>
        <w:spacing w:after="0"/>
        <w:rPr>
          <w:rFonts w:eastAsia="Calibri" w:cs="Trebuchet MS"/>
          <w:color w:val="000000"/>
          <w:sz w:val="24"/>
          <w:szCs w:val="24"/>
        </w:rPr>
      </w:pPr>
    </w:p>
    <w:p w14:paraId="66586DE4" w14:textId="7FBAC476" w:rsidR="000E314E" w:rsidRPr="007D6510" w:rsidRDefault="00864462" w:rsidP="000E314E">
      <w:pPr>
        <w:autoSpaceDE w:val="0"/>
        <w:autoSpaceDN w:val="0"/>
        <w:adjustRightInd w:val="0"/>
        <w:spacing w:after="0"/>
        <w:rPr>
          <w:rFonts w:eastAsia="Calibri" w:cs="Trebuchet MS"/>
          <w:bCs/>
          <w:color w:val="000000"/>
          <w:sz w:val="20"/>
          <w:szCs w:val="20"/>
        </w:rPr>
      </w:pPr>
      <w:bookmarkStart w:id="187" w:name="_Ref72498983"/>
      <w:bookmarkStart w:id="188" w:name="_Ref72498974"/>
      <w:bookmarkStart w:id="189" w:name="_Toc73435783"/>
      <w:r w:rsidRPr="007D6510">
        <w:rPr>
          <w:sz w:val="20"/>
          <w:szCs w:val="20"/>
        </w:rPr>
        <w:t xml:space="preserve">Πίνακας </w:t>
      </w:r>
      <w:r w:rsidRPr="007D6510">
        <w:rPr>
          <w:i/>
          <w:sz w:val="20"/>
          <w:szCs w:val="20"/>
        </w:rPr>
        <w:fldChar w:fldCharType="begin"/>
      </w:r>
      <w:r w:rsidRPr="007D6510">
        <w:rPr>
          <w:sz w:val="20"/>
          <w:szCs w:val="20"/>
        </w:rPr>
        <w:instrText xml:space="preserve"> SEQ Πίνακας \* ARABIC </w:instrText>
      </w:r>
      <w:r w:rsidRPr="007D6510">
        <w:rPr>
          <w:i/>
          <w:sz w:val="20"/>
          <w:szCs w:val="20"/>
        </w:rPr>
        <w:fldChar w:fldCharType="separate"/>
      </w:r>
      <w:r w:rsidR="00CC05A7">
        <w:rPr>
          <w:noProof/>
          <w:sz w:val="20"/>
          <w:szCs w:val="20"/>
        </w:rPr>
        <w:t>22</w:t>
      </w:r>
      <w:r w:rsidRPr="007D6510">
        <w:rPr>
          <w:i/>
          <w:sz w:val="20"/>
          <w:szCs w:val="20"/>
        </w:rPr>
        <w:fldChar w:fldCharType="end"/>
      </w:r>
      <w:bookmarkEnd w:id="187"/>
      <w:r w:rsidRPr="007D6510">
        <w:rPr>
          <w:color w:val="00B0F0"/>
          <w:sz w:val="20"/>
          <w:szCs w:val="20"/>
        </w:rPr>
        <w:t xml:space="preserve">: </w:t>
      </w:r>
      <w:r w:rsidR="000E314E" w:rsidRPr="007D6510">
        <w:rPr>
          <w:rFonts w:eastAsia="Calibri" w:cstheme="minorHAnsi"/>
          <w:bCs/>
          <w:color w:val="00B0F0"/>
          <w:sz w:val="20"/>
          <w:szCs w:val="20"/>
        </w:rPr>
        <w:t>Εκδόσεις ομολόγων ελληνικού Δημοσίου  (Απρίλιος 2020- Μάιος 2021)</w:t>
      </w:r>
      <w:bookmarkEnd w:id="188"/>
      <w:bookmarkEnd w:id="189"/>
    </w:p>
    <w:tbl>
      <w:tblPr>
        <w:tblW w:w="8400"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0"/>
        <w:gridCol w:w="1780"/>
        <w:gridCol w:w="2100"/>
        <w:gridCol w:w="1720"/>
      </w:tblGrid>
      <w:tr w:rsidR="00450BC1" w:rsidRPr="000E314E" w14:paraId="5F2ADB1E" w14:textId="77777777" w:rsidTr="00450BC1">
        <w:trPr>
          <w:trHeight w:val="300"/>
        </w:trPr>
        <w:tc>
          <w:tcPr>
            <w:tcW w:w="2800" w:type="dxa"/>
            <w:tcBorders>
              <w:top w:val="single" w:sz="12" w:space="0" w:color="auto"/>
              <w:bottom w:val="single" w:sz="12" w:space="0" w:color="auto"/>
            </w:tcBorders>
            <w:shd w:val="clear" w:color="auto" w:fill="BDD6EE" w:themeFill="accent1" w:themeFillTint="66"/>
            <w:noWrap/>
            <w:vAlign w:val="bottom"/>
          </w:tcPr>
          <w:p w14:paraId="77B985E2" w14:textId="204BCB89" w:rsidR="00450BC1" w:rsidRPr="000E314E" w:rsidRDefault="00450BC1" w:rsidP="000E314E">
            <w:pPr>
              <w:spacing w:after="0" w:line="240" w:lineRule="auto"/>
              <w:jc w:val="center"/>
              <w:rPr>
                <w:rFonts w:eastAsia="Times New Roman" w:cs="Times New Roman"/>
                <w:b/>
                <w:color w:val="000000"/>
                <w:sz w:val="20"/>
                <w:szCs w:val="20"/>
              </w:rPr>
            </w:pPr>
            <w:r w:rsidRPr="000E314E">
              <w:rPr>
                <w:rFonts w:eastAsia="Times New Roman" w:cs="Times New Roman"/>
                <w:b/>
                <w:bCs/>
                <w:color w:val="000000"/>
                <w:sz w:val="20"/>
                <w:szCs w:val="20"/>
                <w:lang w:val="en-US"/>
              </w:rPr>
              <w:t>Ημερομηνία Έκδοσης</w:t>
            </w:r>
          </w:p>
        </w:tc>
        <w:tc>
          <w:tcPr>
            <w:tcW w:w="1780" w:type="dxa"/>
            <w:tcBorders>
              <w:top w:val="single" w:sz="12" w:space="0" w:color="auto"/>
              <w:bottom w:val="single" w:sz="12" w:space="0" w:color="auto"/>
            </w:tcBorders>
            <w:shd w:val="clear" w:color="auto" w:fill="BDD6EE" w:themeFill="accent1" w:themeFillTint="66"/>
            <w:noWrap/>
            <w:vAlign w:val="bottom"/>
          </w:tcPr>
          <w:p w14:paraId="23522CC2" w14:textId="222A558A" w:rsidR="00450BC1" w:rsidRPr="000E314E" w:rsidRDefault="00450BC1" w:rsidP="000E314E">
            <w:pPr>
              <w:spacing w:after="0" w:line="240" w:lineRule="auto"/>
              <w:jc w:val="center"/>
              <w:rPr>
                <w:rFonts w:eastAsia="Times New Roman" w:cs="Times New Roman"/>
                <w:color w:val="000000"/>
                <w:sz w:val="20"/>
                <w:szCs w:val="20"/>
                <w:lang w:val="en-US"/>
              </w:rPr>
            </w:pPr>
            <w:r w:rsidRPr="000E314E">
              <w:rPr>
                <w:rFonts w:eastAsia="Times New Roman" w:cs="Times New Roman"/>
                <w:b/>
                <w:bCs/>
                <w:color w:val="000000"/>
                <w:sz w:val="20"/>
                <w:szCs w:val="20"/>
                <w:lang w:val="en-US"/>
              </w:rPr>
              <w:t>Διάρκεια Τίτλου</w:t>
            </w:r>
          </w:p>
        </w:tc>
        <w:tc>
          <w:tcPr>
            <w:tcW w:w="2100" w:type="dxa"/>
            <w:tcBorders>
              <w:top w:val="single" w:sz="12" w:space="0" w:color="auto"/>
              <w:bottom w:val="single" w:sz="12" w:space="0" w:color="auto"/>
            </w:tcBorders>
            <w:shd w:val="clear" w:color="auto" w:fill="BDD6EE" w:themeFill="accent1" w:themeFillTint="66"/>
            <w:noWrap/>
            <w:vAlign w:val="bottom"/>
          </w:tcPr>
          <w:p w14:paraId="228BD97B" w14:textId="03B7E7C1" w:rsidR="00450BC1" w:rsidRPr="000E314E" w:rsidRDefault="00450BC1" w:rsidP="000E314E">
            <w:pPr>
              <w:spacing w:after="0" w:line="240" w:lineRule="auto"/>
              <w:jc w:val="center"/>
              <w:rPr>
                <w:rFonts w:eastAsia="Times New Roman" w:cs="Times New Roman"/>
                <w:color w:val="000000"/>
                <w:sz w:val="20"/>
                <w:szCs w:val="20"/>
                <w:lang w:val="en-US"/>
              </w:rPr>
            </w:pPr>
            <w:r w:rsidRPr="000E314E">
              <w:rPr>
                <w:rFonts w:eastAsia="Times New Roman" w:cs="Times New Roman"/>
                <w:b/>
                <w:bCs/>
                <w:color w:val="000000"/>
                <w:sz w:val="20"/>
                <w:szCs w:val="20"/>
                <w:lang w:val="en-US"/>
              </w:rPr>
              <w:t>Επιτόκιο Έκδοσης</w:t>
            </w:r>
          </w:p>
        </w:tc>
        <w:tc>
          <w:tcPr>
            <w:tcW w:w="1720" w:type="dxa"/>
            <w:tcBorders>
              <w:top w:val="single" w:sz="12" w:space="0" w:color="auto"/>
              <w:bottom w:val="single" w:sz="12" w:space="0" w:color="auto"/>
            </w:tcBorders>
            <w:shd w:val="clear" w:color="auto" w:fill="BDD6EE" w:themeFill="accent1" w:themeFillTint="66"/>
            <w:noWrap/>
            <w:vAlign w:val="bottom"/>
          </w:tcPr>
          <w:p w14:paraId="0BEF6B7C" w14:textId="77777777" w:rsidR="00450BC1" w:rsidRDefault="00450BC1" w:rsidP="00450BC1">
            <w:pPr>
              <w:spacing w:after="0" w:line="240" w:lineRule="auto"/>
              <w:ind w:right="-218"/>
              <w:jc w:val="left"/>
              <w:rPr>
                <w:rFonts w:eastAsia="Times New Roman" w:cs="Times New Roman"/>
                <w:b/>
                <w:bCs/>
                <w:color w:val="000000"/>
                <w:sz w:val="20"/>
                <w:szCs w:val="20"/>
                <w:lang w:val="en-US"/>
              </w:rPr>
            </w:pPr>
            <w:r w:rsidRPr="000E314E">
              <w:rPr>
                <w:rFonts w:eastAsia="Times New Roman" w:cs="Times New Roman"/>
                <w:b/>
                <w:bCs/>
                <w:color w:val="000000"/>
                <w:sz w:val="20"/>
                <w:szCs w:val="20"/>
                <w:lang w:val="en-US"/>
              </w:rPr>
              <w:t>Ύψος Έκδοσης</w:t>
            </w:r>
          </w:p>
          <w:p w14:paraId="6A2316B4" w14:textId="7AFB1ADB" w:rsidR="00450BC1" w:rsidRPr="000E314E" w:rsidRDefault="00450BC1" w:rsidP="00450BC1">
            <w:pPr>
              <w:spacing w:after="0" w:line="240" w:lineRule="auto"/>
              <w:jc w:val="center"/>
              <w:rPr>
                <w:rFonts w:eastAsia="Times New Roman" w:cs="Times New Roman"/>
                <w:color w:val="000000"/>
                <w:sz w:val="20"/>
                <w:szCs w:val="20"/>
                <w:lang w:val="en-US"/>
              </w:rPr>
            </w:pPr>
            <w:r w:rsidRPr="000E314E">
              <w:rPr>
                <w:rFonts w:eastAsia="Times New Roman" w:cs="Times New Roman"/>
                <w:b/>
                <w:bCs/>
                <w:color w:val="000000"/>
                <w:sz w:val="20"/>
                <w:szCs w:val="20"/>
                <w:lang w:val="en-US"/>
              </w:rPr>
              <w:t xml:space="preserve"> (</w:t>
            </w:r>
            <w:r w:rsidRPr="000E314E">
              <w:rPr>
                <w:rFonts w:eastAsia="Times New Roman" w:cs="Times New Roman"/>
                <w:b/>
                <w:bCs/>
                <w:color w:val="000000"/>
                <w:sz w:val="20"/>
                <w:szCs w:val="20"/>
              </w:rPr>
              <w:t>δ</w:t>
            </w:r>
            <w:r w:rsidRPr="000E314E">
              <w:rPr>
                <w:rFonts w:eastAsia="Times New Roman" w:cs="Times New Roman"/>
                <w:b/>
                <w:bCs/>
                <w:color w:val="000000"/>
                <w:sz w:val="20"/>
                <w:szCs w:val="20"/>
                <w:lang w:val="en-US"/>
              </w:rPr>
              <w:t>ισ. ευρώ)</w:t>
            </w:r>
          </w:p>
        </w:tc>
      </w:tr>
      <w:tr w:rsidR="000E314E" w:rsidRPr="000E314E" w14:paraId="089FD4F7" w14:textId="77777777" w:rsidTr="00450BC1">
        <w:trPr>
          <w:trHeight w:val="300"/>
        </w:trPr>
        <w:tc>
          <w:tcPr>
            <w:tcW w:w="2800" w:type="dxa"/>
            <w:tcBorders>
              <w:top w:val="single" w:sz="12" w:space="0" w:color="auto"/>
            </w:tcBorders>
            <w:shd w:val="clear" w:color="000000" w:fill="FFFFFF"/>
            <w:noWrap/>
            <w:vAlign w:val="bottom"/>
          </w:tcPr>
          <w:p w14:paraId="05122D5B" w14:textId="77777777" w:rsidR="000E314E" w:rsidRPr="000E314E" w:rsidRDefault="000E314E" w:rsidP="000E314E">
            <w:pPr>
              <w:spacing w:after="0" w:line="240" w:lineRule="auto"/>
              <w:jc w:val="center"/>
              <w:rPr>
                <w:rFonts w:eastAsia="Times New Roman" w:cs="Times New Roman"/>
                <w:b/>
                <w:color w:val="000000"/>
                <w:sz w:val="20"/>
                <w:szCs w:val="20"/>
              </w:rPr>
            </w:pPr>
            <w:r w:rsidRPr="000E314E">
              <w:rPr>
                <w:rFonts w:eastAsia="Times New Roman" w:cs="Times New Roman"/>
                <w:b/>
                <w:color w:val="000000"/>
                <w:sz w:val="20"/>
                <w:szCs w:val="20"/>
              </w:rPr>
              <w:t>2020</w:t>
            </w:r>
          </w:p>
        </w:tc>
        <w:tc>
          <w:tcPr>
            <w:tcW w:w="1780" w:type="dxa"/>
            <w:tcBorders>
              <w:top w:val="single" w:sz="12" w:space="0" w:color="auto"/>
            </w:tcBorders>
            <w:shd w:val="clear" w:color="000000" w:fill="FFFFFF"/>
            <w:noWrap/>
            <w:vAlign w:val="bottom"/>
          </w:tcPr>
          <w:p w14:paraId="2562BCB9" w14:textId="77777777" w:rsidR="000E314E" w:rsidRPr="000E314E" w:rsidRDefault="000E314E" w:rsidP="000E314E">
            <w:pPr>
              <w:spacing w:after="0" w:line="240" w:lineRule="auto"/>
              <w:jc w:val="center"/>
              <w:rPr>
                <w:rFonts w:eastAsia="Times New Roman" w:cs="Times New Roman"/>
                <w:color w:val="000000"/>
                <w:sz w:val="20"/>
                <w:szCs w:val="20"/>
                <w:lang w:val="en-US"/>
              </w:rPr>
            </w:pPr>
          </w:p>
        </w:tc>
        <w:tc>
          <w:tcPr>
            <w:tcW w:w="2100" w:type="dxa"/>
            <w:tcBorders>
              <w:top w:val="single" w:sz="12" w:space="0" w:color="auto"/>
            </w:tcBorders>
            <w:shd w:val="clear" w:color="000000" w:fill="FFFFFF"/>
            <w:noWrap/>
            <w:vAlign w:val="bottom"/>
          </w:tcPr>
          <w:p w14:paraId="57EED5AE" w14:textId="77777777" w:rsidR="000E314E" w:rsidRPr="000E314E" w:rsidRDefault="000E314E" w:rsidP="000E314E">
            <w:pPr>
              <w:spacing w:after="0" w:line="240" w:lineRule="auto"/>
              <w:jc w:val="center"/>
              <w:rPr>
                <w:rFonts w:eastAsia="Times New Roman" w:cs="Times New Roman"/>
                <w:color w:val="000000"/>
                <w:sz w:val="20"/>
                <w:szCs w:val="20"/>
                <w:lang w:val="en-US"/>
              </w:rPr>
            </w:pPr>
          </w:p>
        </w:tc>
        <w:tc>
          <w:tcPr>
            <w:tcW w:w="1720" w:type="dxa"/>
            <w:tcBorders>
              <w:top w:val="single" w:sz="12" w:space="0" w:color="auto"/>
            </w:tcBorders>
            <w:shd w:val="clear" w:color="000000" w:fill="FFFFFF"/>
            <w:noWrap/>
            <w:vAlign w:val="bottom"/>
          </w:tcPr>
          <w:p w14:paraId="00885133" w14:textId="77777777" w:rsidR="000E314E" w:rsidRPr="000E314E" w:rsidRDefault="000E314E" w:rsidP="000E314E">
            <w:pPr>
              <w:spacing w:after="0" w:line="240" w:lineRule="auto"/>
              <w:jc w:val="center"/>
              <w:rPr>
                <w:rFonts w:eastAsia="Times New Roman" w:cs="Times New Roman"/>
                <w:color w:val="000000"/>
                <w:sz w:val="20"/>
                <w:szCs w:val="20"/>
                <w:lang w:val="en-US"/>
              </w:rPr>
            </w:pPr>
          </w:p>
        </w:tc>
      </w:tr>
      <w:tr w:rsidR="000E314E" w:rsidRPr="000E314E" w14:paraId="041B0A14" w14:textId="77777777" w:rsidTr="00450BC1">
        <w:trPr>
          <w:trHeight w:val="300"/>
        </w:trPr>
        <w:tc>
          <w:tcPr>
            <w:tcW w:w="2800" w:type="dxa"/>
            <w:shd w:val="clear" w:color="000000" w:fill="FFFFFF"/>
            <w:noWrap/>
            <w:vAlign w:val="bottom"/>
            <w:hideMark/>
          </w:tcPr>
          <w:p w14:paraId="76B9CD7D" w14:textId="043812C9" w:rsidR="000E314E" w:rsidRPr="000E314E" w:rsidRDefault="000E314E" w:rsidP="00864462">
            <w:pPr>
              <w:spacing w:after="0" w:line="240" w:lineRule="auto"/>
              <w:jc w:val="center"/>
              <w:rPr>
                <w:rFonts w:eastAsia="Times New Roman" w:cs="Times New Roman"/>
                <w:color w:val="000000"/>
                <w:sz w:val="20"/>
                <w:szCs w:val="20"/>
                <w:lang w:val="en-US"/>
              </w:rPr>
            </w:pPr>
            <w:r w:rsidRPr="000E314E">
              <w:rPr>
                <w:rFonts w:eastAsia="Times New Roman" w:cs="Times New Roman"/>
                <w:color w:val="000000"/>
                <w:sz w:val="20"/>
                <w:szCs w:val="20"/>
                <w:lang w:val="en-US"/>
              </w:rPr>
              <w:t xml:space="preserve">Απρίλιος </w:t>
            </w:r>
          </w:p>
        </w:tc>
        <w:tc>
          <w:tcPr>
            <w:tcW w:w="1780" w:type="dxa"/>
            <w:shd w:val="clear" w:color="000000" w:fill="FFFFFF"/>
            <w:noWrap/>
            <w:vAlign w:val="bottom"/>
            <w:hideMark/>
          </w:tcPr>
          <w:p w14:paraId="510D1DDF" w14:textId="77777777" w:rsidR="000E314E" w:rsidRPr="000E314E" w:rsidRDefault="000E314E" w:rsidP="000E314E">
            <w:pPr>
              <w:spacing w:after="0" w:line="240" w:lineRule="auto"/>
              <w:jc w:val="center"/>
              <w:rPr>
                <w:rFonts w:eastAsia="Times New Roman" w:cs="Times New Roman"/>
                <w:color w:val="000000"/>
                <w:sz w:val="20"/>
                <w:szCs w:val="20"/>
                <w:lang w:val="en-US"/>
              </w:rPr>
            </w:pPr>
            <w:r w:rsidRPr="000E314E">
              <w:rPr>
                <w:rFonts w:eastAsia="Times New Roman" w:cs="Times New Roman"/>
                <w:color w:val="000000"/>
                <w:sz w:val="20"/>
                <w:szCs w:val="20"/>
                <w:lang w:val="en-US"/>
              </w:rPr>
              <w:t>7ετές</w:t>
            </w:r>
          </w:p>
        </w:tc>
        <w:tc>
          <w:tcPr>
            <w:tcW w:w="2100" w:type="dxa"/>
            <w:shd w:val="clear" w:color="000000" w:fill="FFFFFF"/>
            <w:noWrap/>
            <w:vAlign w:val="bottom"/>
            <w:hideMark/>
          </w:tcPr>
          <w:p w14:paraId="7F3FD3FE" w14:textId="77777777" w:rsidR="000E314E" w:rsidRPr="000E314E" w:rsidRDefault="000E314E" w:rsidP="000E314E">
            <w:pPr>
              <w:spacing w:after="0" w:line="240" w:lineRule="auto"/>
              <w:jc w:val="left"/>
              <w:rPr>
                <w:rFonts w:eastAsia="Times New Roman" w:cs="Times New Roman"/>
                <w:color w:val="000000"/>
                <w:sz w:val="20"/>
                <w:szCs w:val="20"/>
                <w:lang w:val="en-US"/>
              </w:rPr>
            </w:pPr>
            <w:r w:rsidRPr="000E314E">
              <w:rPr>
                <w:rFonts w:eastAsia="Times New Roman" w:cs="Times New Roman"/>
                <w:color w:val="000000"/>
                <w:sz w:val="20"/>
                <w:szCs w:val="20"/>
              </w:rPr>
              <w:t xml:space="preserve">            </w:t>
            </w:r>
            <w:r w:rsidRPr="000E314E">
              <w:rPr>
                <w:rFonts w:eastAsia="Times New Roman" w:cs="Times New Roman"/>
                <w:color w:val="000000"/>
                <w:sz w:val="20"/>
                <w:szCs w:val="20"/>
                <w:lang w:val="en-US"/>
              </w:rPr>
              <w:t>2%</w:t>
            </w:r>
          </w:p>
        </w:tc>
        <w:tc>
          <w:tcPr>
            <w:tcW w:w="1720" w:type="dxa"/>
            <w:shd w:val="clear" w:color="000000" w:fill="FFFFFF"/>
            <w:noWrap/>
            <w:vAlign w:val="bottom"/>
            <w:hideMark/>
          </w:tcPr>
          <w:p w14:paraId="4EB4AB43" w14:textId="77777777" w:rsidR="000E314E" w:rsidRPr="000E314E" w:rsidRDefault="000E314E" w:rsidP="000E314E">
            <w:pPr>
              <w:spacing w:after="0" w:line="240" w:lineRule="auto"/>
              <w:jc w:val="center"/>
              <w:rPr>
                <w:rFonts w:eastAsia="Times New Roman" w:cs="Times New Roman"/>
                <w:color w:val="000000"/>
                <w:sz w:val="20"/>
                <w:szCs w:val="20"/>
                <w:lang w:val="en-US"/>
              </w:rPr>
            </w:pPr>
            <w:r w:rsidRPr="000E314E">
              <w:rPr>
                <w:rFonts w:eastAsia="Times New Roman" w:cs="Times New Roman"/>
                <w:color w:val="000000"/>
                <w:sz w:val="20"/>
                <w:szCs w:val="20"/>
                <w:lang w:val="en-US"/>
              </w:rPr>
              <w:t>2</w:t>
            </w:r>
          </w:p>
        </w:tc>
      </w:tr>
      <w:tr w:rsidR="000E314E" w:rsidRPr="000E314E" w14:paraId="5CB7BA0E" w14:textId="77777777" w:rsidTr="00450BC1">
        <w:trPr>
          <w:trHeight w:val="300"/>
        </w:trPr>
        <w:tc>
          <w:tcPr>
            <w:tcW w:w="2800" w:type="dxa"/>
            <w:shd w:val="clear" w:color="000000" w:fill="FFFFFF"/>
            <w:noWrap/>
            <w:vAlign w:val="bottom"/>
            <w:hideMark/>
          </w:tcPr>
          <w:p w14:paraId="1C5E417D" w14:textId="2F47C5E6" w:rsidR="000E314E" w:rsidRPr="000E314E" w:rsidRDefault="000E314E" w:rsidP="00864462">
            <w:pPr>
              <w:spacing w:after="0" w:line="240" w:lineRule="auto"/>
              <w:jc w:val="center"/>
              <w:rPr>
                <w:rFonts w:eastAsia="Times New Roman" w:cs="Times New Roman"/>
                <w:color w:val="000000"/>
                <w:sz w:val="20"/>
                <w:szCs w:val="20"/>
                <w:lang w:val="en-US"/>
              </w:rPr>
            </w:pPr>
            <w:r w:rsidRPr="000E314E">
              <w:rPr>
                <w:rFonts w:eastAsia="Times New Roman" w:cs="Times New Roman"/>
                <w:color w:val="000000"/>
                <w:sz w:val="20"/>
                <w:szCs w:val="20"/>
                <w:lang w:val="en-US"/>
              </w:rPr>
              <w:t xml:space="preserve">Ιούνιος </w:t>
            </w:r>
          </w:p>
        </w:tc>
        <w:tc>
          <w:tcPr>
            <w:tcW w:w="1780" w:type="dxa"/>
            <w:shd w:val="clear" w:color="000000" w:fill="FFFFFF"/>
            <w:noWrap/>
            <w:vAlign w:val="bottom"/>
            <w:hideMark/>
          </w:tcPr>
          <w:p w14:paraId="67030FEE" w14:textId="77777777" w:rsidR="000E314E" w:rsidRPr="000E314E" w:rsidRDefault="000E314E" w:rsidP="000E314E">
            <w:pPr>
              <w:spacing w:after="0" w:line="240" w:lineRule="auto"/>
              <w:jc w:val="center"/>
              <w:rPr>
                <w:rFonts w:eastAsia="Times New Roman" w:cs="Times New Roman"/>
                <w:color w:val="000000"/>
                <w:sz w:val="20"/>
                <w:szCs w:val="20"/>
                <w:lang w:val="en-US"/>
              </w:rPr>
            </w:pPr>
            <w:r w:rsidRPr="000E314E">
              <w:rPr>
                <w:rFonts w:eastAsia="Times New Roman" w:cs="Times New Roman"/>
                <w:color w:val="000000"/>
                <w:sz w:val="20"/>
                <w:szCs w:val="20"/>
                <w:lang w:val="en-US"/>
              </w:rPr>
              <w:t>10ετές</w:t>
            </w:r>
          </w:p>
        </w:tc>
        <w:tc>
          <w:tcPr>
            <w:tcW w:w="2100" w:type="dxa"/>
            <w:shd w:val="clear" w:color="000000" w:fill="FFFFFF"/>
            <w:noWrap/>
            <w:vAlign w:val="bottom"/>
            <w:hideMark/>
          </w:tcPr>
          <w:p w14:paraId="7B870E26" w14:textId="77777777" w:rsidR="000E314E" w:rsidRPr="000E314E" w:rsidRDefault="000E314E" w:rsidP="000E314E">
            <w:pPr>
              <w:spacing w:after="0" w:line="240" w:lineRule="auto"/>
              <w:jc w:val="center"/>
              <w:rPr>
                <w:rFonts w:eastAsia="Times New Roman" w:cs="Times New Roman"/>
                <w:color w:val="000000"/>
                <w:sz w:val="20"/>
                <w:szCs w:val="20"/>
                <w:lang w:val="en-US"/>
              </w:rPr>
            </w:pPr>
            <w:r w:rsidRPr="000E314E">
              <w:rPr>
                <w:rFonts w:eastAsia="Times New Roman" w:cs="Times New Roman"/>
                <w:color w:val="000000"/>
                <w:sz w:val="20"/>
                <w:szCs w:val="20"/>
                <w:lang w:val="en-US"/>
              </w:rPr>
              <w:t>1,56%</w:t>
            </w:r>
          </w:p>
        </w:tc>
        <w:tc>
          <w:tcPr>
            <w:tcW w:w="1720" w:type="dxa"/>
            <w:shd w:val="clear" w:color="000000" w:fill="FFFFFF"/>
            <w:noWrap/>
            <w:vAlign w:val="bottom"/>
            <w:hideMark/>
          </w:tcPr>
          <w:p w14:paraId="0736CF34" w14:textId="77777777" w:rsidR="000E314E" w:rsidRPr="000E314E" w:rsidRDefault="000E314E" w:rsidP="000E314E">
            <w:pPr>
              <w:spacing w:after="0" w:line="240" w:lineRule="auto"/>
              <w:jc w:val="center"/>
              <w:rPr>
                <w:rFonts w:eastAsia="Times New Roman" w:cs="Times New Roman"/>
                <w:color w:val="000000"/>
                <w:sz w:val="20"/>
                <w:szCs w:val="20"/>
                <w:lang w:val="en-US"/>
              </w:rPr>
            </w:pPr>
            <w:r w:rsidRPr="000E314E">
              <w:rPr>
                <w:rFonts w:eastAsia="Times New Roman" w:cs="Times New Roman"/>
                <w:color w:val="000000"/>
                <w:sz w:val="20"/>
                <w:szCs w:val="20"/>
                <w:lang w:val="en-US"/>
              </w:rPr>
              <w:t>3</w:t>
            </w:r>
          </w:p>
        </w:tc>
      </w:tr>
      <w:tr w:rsidR="000E314E" w:rsidRPr="000E314E" w14:paraId="53E6822D" w14:textId="77777777" w:rsidTr="00450BC1">
        <w:trPr>
          <w:trHeight w:val="300"/>
        </w:trPr>
        <w:tc>
          <w:tcPr>
            <w:tcW w:w="2800" w:type="dxa"/>
            <w:shd w:val="clear" w:color="000000" w:fill="FFFFFF"/>
            <w:noWrap/>
            <w:vAlign w:val="bottom"/>
            <w:hideMark/>
          </w:tcPr>
          <w:p w14:paraId="0F69A5D2" w14:textId="5F4CBF9E" w:rsidR="000E314E" w:rsidRPr="000E314E" w:rsidRDefault="00864462" w:rsidP="00864462">
            <w:pPr>
              <w:spacing w:after="0" w:line="240" w:lineRule="auto"/>
              <w:jc w:val="center"/>
              <w:rPr>
                <w:rFonts w:eastAsia="Times New Roman" w:cs="Times New Roman"/>
                <w:color w:val="000000"/>
                <w:sz w:val="20"/>
                <w:szCs w:val="20"/>
              </w:rPr>
            </w:pPr>
            <w:r>
              <w:rPr>
                <w:rFonts w:eastAsia="Times New Roman" w:cs="Times New Roman"/>
                <w:color w:val="000000"/>
                <w:sz w:val="20"/>
                <w:szCs w:val="20"/>
                <w:lang w:val="en-US"/>
              </w:rPr>
              <w:t>Σεπτέμβριος</w:t>
            </w:r>
            <w:r w:rsidR="000E314E" w:rsidRPr="000E314E">
              <w:rPr>
                <w:rFonts w:eastAsia="Times New Roman" w:cs="Times New Roman"/>
                <w:color w:val="000000"/>
                <w:sz w:val="20"/>
                <w:szCs w:val="20"/>
              </w:rPr>
              <w:t>*</w:t>
            </w:r>
          </w:p>
        </w:tc>
        <w:tc>
          <w:tcPr>
            <w:tcW w:w="1780" w:type="dxa"/>
            <w:shd w:val="clear" w:color="000000" w:fill="FFFFFF"/>
            <w:noWrap/>
            <w:vAlign w:val="bottom"/>
            <w:hideMark/>
          </w:tcPr>
          <w:p w14:paraId="630B30FE" w14:textId="77777777" w:rsidR="000E314E" w:rsidRPr="000E314E" w:rsidRDefault="000E314E" w:rsidP="000E314E">
            <w:pPr>
              <w:spacing w:after="0" w:line="240" w:lineRule="auto"/>
              <w:jc w:val="center"/>
              <w:rPr>
                <w:rFonts w:eastAsia="Times New Roman" w:cs="Times New Roman"/>
                <w:color w:val="000000"/>
                <w:sz w:val="20"/>
                <w:szCs w:val="20"/>
                <w:lang w:val="en-US"/>
              </w:rPr>
            </w:pPr>
            <w:r w:rsidRPr="000E314E">
              <w:rPr>
                <w:rFonts w:eastAsia="Times New Roman" w:cs="Times New Roman"/>
                <w:color w:val="000000"/>
                <w:sz w:val="20"/>
                <w:szCs w:val="20"/>
                <w:lang w:val="en-US"/>
              </w:rPr>
              <w:t>10ετές</w:t>
            </w:r>
          </w:p>
        </w:tc>
        <w:tc>
          <w:tcPr>
            <w:tcW w:w="2100" w:type="dxa"/>
            <w:shd w:val="clear" w:color="000000" w:fill="FFFFFF"/>
            <w:noWrap/>
            <w:vAlign w:val="bottom"/>
            <w:hideMark/>
          </w:tcPr>
          <w:p w14:paraId="3F6379F5" w14:textId="77777777" w:rsidR="000E314E" w:rsidRPr="000E314E" w:rsidRDefault="000E314E" w:rsidP="000E314E">
            <w:pPr>
              <w:spacing w:after="0" w:line="240" w:lineRule="auto"/>
              <w:jc w:val="center"/>
              <w:rPr>
                <w:rFonts w:eastAsia="Times New Roman" w:cs="Times New Roman"/>
                <w:color w:val="000000"/>
                <w:sz w:val="20"/>
                <w:szCs w:val="20"/>
                <w:lang w:val="en-US"/>
              </w:rPr>
            </w:pPr>
            <w:r w:rsidRPr="000E314E">
              <w:rPr>
                <w:rFonts w:eastAsia="Times New Roman" w:cs="Times New Roman"/>
                <w:color w:val="000000"/>
                <w:sz w:val="20"/>
                <w:szCs w:val="20"/>
              </w:rPr>
              <w:t xml:space="preserve"> </w:t>
            </w:r>
            <w:r w:rsidRPr="000E314E">
              <w:rPr>
                <w:rFonts w:eastAsia="Times New Roman" w:cs="Times New Roman"/>
                <w:color w:val="000000"/>
                <w:sz w:val="20"/>
                <w:szCs w:val="20"/>
                <w:lang w:val="en-US"/>
              </w:rPr>
              <w:t>1</w:t>
            </w:r>
            <w:r w:rsidRPr="000E314E">
              <w:rPr>
                <w:rFonts w:eastAsia="Times New Roman" w:cs="Times New Roman"/>
                <w:color w:val="000000"/>
                <w:sz w:val="20"/>
                <w:szCs w:val="20"/>
              </w:rPr>
              <w:t>,</w:t>
            </w:r>
            <w:r w:rsidRPr="000E314E">
              <w:rPr>
                <w:rFonts w:eastAsia="Times New Roman" w:cs="Times New Roman"/>
                <w:color w:val="000000"/>
                <w:sz w:val="20"/>
                <w:szCs w:val="20"/>
                <w:lang w:val="en-US"/>
              </w:rPr>
              <w:t>187%</w:t>
            </w:r>
          </w:p>
        </w:tc>
        <w:tc>
          <w:tcPr>
            <w:tcW w:w="1720" w:type="dxa"/>
            <w:shd w:val="clear" w:color="000000" w:fill="FFFFFF"/>
            <w:noWrap/>
            <w:vAlign w:val="bottom"/>
            <w:hideMark/>
          </w:tcPr>
          <w:p w14:paraId="664A853E" w14:textId="77777777" w:rsidR="000E314E" w:rsidRPr="000E314E" w:rsidRDefault="000E314E" w:rsidP="000E314E">
            <w:pPr>
              <w:spacing w:after="0" w:line="240" w:lineRule="auto"/>
              <w:jc w:val="center"/>
              <w:rPr>
                <w:rFonts w:eastAsia="Times New Roman" w:cs="Times New Roman"/>
                <w:color w:val="000000"/>
                <w:sz w:val="20"/>
                <w:szCs w:val="20"/>
                <w:lang w:val="en-US"/>
              </w:rPr>
            </w:pPr>
            <w:r w:rsidRPr="000E314E">
              <w:rPr>
                <w:rFonts w:eastAsia="Times New Roman" w:cs="Times New Roman"/>
                <w:color w:val="000000"/>
                <w:sz w:val="20"/>
                <w:szCs w:val="20"/>
                <w:lang w:val="en-US"/>
              </w:rPr>
              <w:t>2,5</w:t>
            </w:r>
          </w:p>
        </w:tc>
      </w:tr>
      <w:tr w:rsidR="000E314E" w:rsidRPr="000E314E" w14:paraId="066B991C" w14:textId="77777777" w:rsidTr="00450BC1">
        <w:trPr>
          <w:trHeight w:val="300"/>
        </w:trPr>
        <w:tc>
          <w:tcPr>
            <w:tcW w:w="2800" w:type="dxa"/>
            <w:shd w:val="clear" w:color="000000" w:fill="FFFFFF"/>
            <w:noWrap/>
            <w:vAlign w:val="bottom"/>
            <w:hideMark/>
          </w:tcPr>
          <w:p w14:paraId="4D1CCC58" w14:textId="354622B3" w:rsidR="000E314E" w:rsidRPr="000E314E" w:rsidRDefault="00864462" w:rsidP="00864462">
            <w:pPr>
              <w:spacing w:after="0" w:line="240" w:lineRule="auto"/>
              <w:jc w:val="center"/>
              <w:rPr>
                <w:rFonts w:eastAsia="Times New Roman" w:cs="Times New Roman"/>
                <w:color w:val="000000"/>
                <w:sz w:val="20"/>
                <w:szCs w:val="20"/>
              </w:rPr>
            </w:pPr>
            <w:r>
              <w:rPr>
                <w:rFonts w:eastAsia="Times New Roman" w:cs="Times New Roman"/>
                <w:color w:val="000000"/>
                <w:sz w:val="20"/>
                <w:szCs w:val="20"/>
                <w:lang w:val="en-US"/>
              </w:rPr>
              <w:t>Οκτώβριος</w:t>
            </w:r>
            <w:r w:rsidR="000E314E" w:rsidRPr="000E314E">
              <w:rPr>
                <w:rFonts w:eastAsia="Times New Roman" w:cs="Times New Roman"/>
                <w:color w:val="000000"/>
                <w:sz w:val="20"/>
                <w:szCs w:val="20"/>
              </w:rPr>
              <w:t>**</w:t>
            </w:r>
          </w:p>
        </w:tc>
        <w:tc>
          <w:tcPr>
            <w:tcW w:w="1780" w:type="dxa"/>
            <w:shd w:val="clear" w:color="000000" w:fill="FFFFFF"/>
            <w:noWrap/>
            <w:vAlign w:val="bottom"/>
            <w:hideMark/>
          </w:tcPr>
          <w:p w14:paraId="64D81732" w14:textId="77777777" w:rsidR="000E314E" w:rsidRPr="000E314E" w:rsidRDefault="000E314E" w:rsidP="000E314E">
            <w:pPr>
              <w:spacing w:after="0" w:line="240" w:lineRule="auto"/>
              <w:jc w:val="center"/>
              <w:rPr>
                <w:rFonts w:eastAsia="Times New Roman" w:cs="Times New Roman"/>
                <w:color w:val="000000"/>
                <w:sz w:val="20"/>
                <w:szCs w:val="20"/>
                <w:lang w:val="en-US"/>
              </w:rPr>
            </w:pPr>
            <w:r w:rsidRPr="000E314E">
              <w:rPr>
                <w:rFonts w:eastAsia="Times New Roman" w:cs="Times New Roman"/>
                <w:color w:val="000000"/>
                <w:sz w:val="20"/>
                <w:szCs w:val="20"/>
                <w:lang w:val="en-US"/>
              </w:rPr>
              <w:t>15ετές</w:t>
            </w:r>
          </w:p>
        </w:tc>
        <w:tc>
          <w:tcPr>
            <w:tcW w:w="2100" w:type="dxa"/>
            <w:shd w:val="clear" w:color="000000" w:fill="FFFFFF"/>
            <w:noWrap/>
            <w:vAlign w:val="bottom"/>
            <w:hideMark/>
          </w:tcPr>
          <w:p w14:paraId="50FEC117" w14:textId="77777777" w:rsidR="000E314E" w:rsidRPr="000E314E" w:rsidRDefault="000E314E" w:rsidP="000E314E">
            <w:pPr>
              <w:spacing w:after="0" w:line="240" w:lineRule="auto"/>
              <w:jc w:val="center"/>
              <w:rPr>
                <w:rFonts w:eastAsia="Times New Roman" w:cs="Times New Roman"/>
                <w:color w:val="000000"/>
                <w:sz w:val="20"/>
                <w:szCs w:val="20"/>
              </w:rPr>
            </w:pPr>
            <w:r w:rsidRPr="000E314E">
              <w:rPr>
                <w:rFonts w:eastAsia="Times New Roman" w:cs="Times New Roman"/>
                <w:color w:val="000000"/>
                <w:sz w:val="20"/>
                <w:szCs w:val="20"/>
              </w:rPr>
              <w:t xml:space="preserve"> </w:t>
            </w:r>
            <w:r w:rsidRPr="000E314E">
              <w:rPr>
                <w:rFonts w:eastAsia="Times New Roman" w:cs="Times New Roman"/>
                <w:color w:val="000000"/>
                <w:sz w:val="20"/>
                <w:szCs w:val="20"/>
                <w:lang w:val="en-US"/>
              </w:rPr>
              <w:t>1</w:t>
            </w:r>
            <w:r w:rsidRPr="000E314E">
              <w:rPr>
                <w:rFonts w:eastAsia="Times New Roman" w:cs="Times New Roman"/>
                <w:color w:val="000000"/>
                <w:sz w:val="20"/>
                <w:szCs w:val="20"/>
              </w:rPr>
              <w:t>,</w:t>
            </w:r>
            <w:r w:rsidRPr="000E314E">
              <w:rPr>
                <w:rFonts w:eastAsia="Times New Roman" w:cs="Times New Roman"/>
                <w:color w:val="000000"/>
                <w:sz w:val="20"/>
                <w:szCs w:val="20"/>
                <w:lang w:val="en-US"/>
              </w:rPr>
              <w:t>152%</w:t>
            </w:r>
          </w:p>
        </w:tc>
        <w:tc>
          <w:tcPr>
            <w:tcW w:w="1720" w:type="dxa"/>
            <w:shd w:val="clear" w:color="000000" w:fill="FFFFFF"/>
            <w:noWrap/>
            <w:vAlign w:val="bottom"/>
            <w:hideMark/>
          </w:tcPr>
          <w:p w14:paraId="584266B8" w14:textId="77777777" w:rsidR="000E314E" w:rsidRPr="000E314E" w:rsidRDefault="000E314E" w:rsidP="000E314E">
            <w:pPr>
              <w:spacing w:after="0" w:line="240" w:lineRule="auto"/>
              <w:jc w:val="center"/>
              <w:rPr>
                <w:rFonts w:eastAsia="Times New Roman" w:cs="Times New Roman"/>
                <w:color w:val="000000"/>
                <w:sz w:val="20"/>
                <w:szCs w:val="20"/>
              </w:rPr>
            </w:pPr>
            <w:r w:rsidRPr="000E314E">
              <w:rPr>
                <w:rFonts w:eastAsia="Times New Roman" w:cs="Times New Roman"/>
                <w:color w:val="000000"/>
                <w:sz w:val="20"/>
                <w:szCs w:val="20"/>
                <w:lang w:val="en-US"/>
              </w:rPr>
              <w:t>2</w:t>
            </w:r>
          </w:p>
        </w:tc>
      </w:tr>
      <w:tr w:rsidR="00864462" w:rsidRPr="000E314E" w14:paraId="2F3D7058" w14:textId="77777777" w:rsidTr="00450BC1">
        <w:trPr>
          <w:trHeight w:val="300"/>
        </w:trPr>
        <w:tc>
          <w:tcPr>
            <w:tcW w:w="2800" w:type="dxa"/>
            <w:shd w:val="clear" w:color="000000" w:fill="FFFFFF"/>
            <w:noWrap/>
            <w:vAlign w:val="bottom"/>
          </w:tcPr>
          <w:p w14:paraId="1BC63F55" w14:textId="519879B1" w:rsidR="00864462" w:rsidRPr="000E314E" w:rsidRDefault="00864462" w:rsidP="000E314E">
            <w:pPr>
              <w:spacing w:after="0" w:line="240" w:lineRule="auto"/>
              <w:jc w:val="center"/>
              <w:rPr>
                <w:rFonts w:eastAsia="Times New Roman" w:cs="Times New Roman"/>
                <w:color w:val="000000"/>
                <w:sz w:val="20"/>
                <w:szCs w:val="20"/>
                <w:lang w:val="en-US"/>
              </w:rPr>
            </w:pPr>
            <w:r w:rsidRPr="000E314E">
              <w:rPr>
                <w:rFonts w:eastAsia="Calibri" w:cs="Trebuchet MS"/>
                <w:b/>
                <w:color w:val="000000"/>
                <w:sz w:val="20"/>
                <w:szCs w:val="20"/>
              </w:rPr>
              <w:t xml:space="preserve">2021                             </w:t>
            </w:r>
          </w:p>
        </w:tc>
        <w:tc>
          <w:tcPr>
            <w:tcW w:w="1780" w:type="dxa"/>
            <w:shd w:val="clear" w:color="000000" w:fill="FFFFFF"/>
            <w:noWrap/>
            <w:vAlign w:val="bottom"/>
          </w:tcPr>
          <w:p w14:paraId="1F7857C7" w14:textId="77777777" w:rsidR="00864462" w:rsidRPr="000E314E" w:rsidRDefault="00864462" w:rsidP="000E314E">
            <w:pPr>
              <w:spacing w:after="0" w:line="240" w:lineRule="auto"/>
              <w:jc w:val="center"/>
              <w:rPr>
                <w:rFonts w:eastAsia="Times New Roman" w:cs="Times New Roman"/>
                <w:color w:val="000000"/>
                <w:sz w:val="20"/>
                <w:szCs w:val="20"/>
                <w:lang w:val="en-US"/>
              </w:rPr>
            </w:pPr>
          </w:p>
        </w:tc>
        <w:tc>
          <w:tcPr>
            <w:tcW w:w="2100" w:type="dxa"/>
            <w:shd w:val="clear" w:color="000000" w:fill="FFFFFF"/>
            <w:noWrap/>
            <w:vAlign w:val="bottom"/>
          </w:tcPr>
          <w:p w14:paraId="66CC3419" w14:textId="77777777" w:rsidR="00864462" w:rsidRPr="000E314E" w:rsidRDefault="00864462" w:rsidP="000E314E">
            <w:pPr>
              <w:spacing w:after="0" w:line="240" w:lineRule="auto"/>
              <w:jc w:val="center"/>
              <w:rPr>
                <w:rFonts w:eastAsia="Times New Roman" w:cs="Times New Roman"/>
                <w:color w:val="000000"/>
                <w:sz w:val="20"/>
                <w:szCs w:val="20"/>
              </w:rPr>
            </w:pPr>
          </w:p>
        </w:tc>
        <w:tc>
          <w:tcPr>
            <w:tcW w:w="1720" w:type="dxa"/>
            <w:shd w:val="clear" w:color="000000" w:fill="FFFFFF"/>
            <w:noWrap/>
            <w:vAlign w:val="bottom"/>
          </w:tcPr>
          <w:p w14:paraId="42F795DF" w14:textId="77777777" w:rsidR="00864462" w:rsidRPr="000E314E" w:rsidRDefault="00864462" w:rsidP="000E314E">
            <w:pPr>
              <w:spacing w:after="0" w:line="240" w:lineRule="auto"/>
              <w:jc w:val="center"/>
              <w:rPr>
                <w:rFonts w:eastAsia="Times New Roman" w:cs="Times New Roman"/>
                <w:color w:val="000000"/>
                <w:sz w:val="20"/>
                <w:szCs w:val="20"/>
                <w:lang w:val="en-US"/>
              </w:rPr>
            </w:pPr>
          </w:p>
        </w:tc>
      </w:tr>
      <w:tr w:rsidR="00864462" w:rsidRPr="000E314E" w14:paraId="719892DE" w14:textId="77777777" w:rsidTr="00450BC1">
        <w:trPr>
          <w:trHeight w:val="300"/>
        </w:trPr>
        <w:tc>
          <w:tcPr>
            <w:tcW w:w="2800" w:type="dxa"/>
            <w:shd w:val="clear" w:color="000000" w:fill="FFFFFF"/>
            <w:noWrap/>
            <w:vAlign w:val="bottom"/>
          </w:tcPr>
          <w:p w14:paraId="261CD740" w14:textId="62214C95" w:rsidR="00864462" w:rsidRPr="000E314E" w:rsidRDefault="00864462" w:rsidP="000E314E">
            <w:pPr>
              <w:spacing w:after="0" w:line="240" w:lineRule="auto"/>
              <w:jc w:val="center"/>
              <w:rPr>
                <w:rFonts w:eastAsia="Times New Roman" w:cs="Times New Roman"/>
                <w:color w:val="000000"/>
                <w:sz w:val="20"/>
                <w:szCs w:val="20"/>
                <w:lang w:val="en-US"/>
              </w:rPr>
            </w:pPr>
            <w:r w:rsidRPr="000E314E">
              <w:rPr>
                <w:rFonts w:eastAsia="Calibri" w:cs="Trebuchet MS"/>
                <w:i/>
                <w:color w:val="000000"/>
                <w:sz w:val="20"/>
                <w:szCs w:val="20"/>
              </w:rPr>
              <w:t xml:space="preserve">Φεβρουάριος  </w:t>
            </w:r>
          </w:p>
        </w:tc>
        <w:tc>
          <w:tcPr>
            <w:tcW w:w="1780" w:type="dxa"/>
            <w:shd w:val="clear" w:color="000000" w:fill="FFFFFF"/>
            <w:noWrap/>
            <w:vAlign w:val="bottom"/>
          </w:tcPr>
          <w:p w14:paraId="3B7A8738" w14:textId="3ECEFCC4" w:rsidR="00864462" w:rsidRPr="000E314E" w:rsidRDefault="00864462" w:rsidP="000E314E">
            <w:pPr>
              <w:spacing w:after="0" w:line="240" w:lineRule="auto"/>
              <w:jc w:val="center"/>
              <w:rPr>
                <w:rFonts w:eastAsia="Times New Roman" w:cs="Times New Roman"/>
                <w:color w:val="000000"/>
                <w:sz w:val="20"/>
                <w:szCs w:val="20"/>
                <w:lang w:val="en-US"/>
              </w:rPr>
            </w:pPr>
            <w:r w:rsidRPr="000E314E">
              <w:rPr>
                <w:rFonts w:eastAsia="Calibri" w:cs="Trebuchet MS"/>
                <w:i/>
                <w:color w:val="000000"/>
                <w:sz w:val="20"/>
                <w:szCs w:val="20"/>
              </w:rPr>
              <w:t>10ετές</w:t>
            </w:r>
          </w:p>
        </w:tc>
        <w:tc>
          <w:tcPr>
            <w:tcW w:w="2100" w:type="dxa"/>
            <w:shd w:val="clear" w:color="000000" w:fill="FFFFFF"/>
            <w:noWrap/>
            <w:vAlign w:val="bottom"/>
          </w:tcPr>
          <w:p w14:paraId="66A2486E" w14:textId="68E3BF90" w:rsidR="00864462" w:rsidRPr="000E314E" w:rsidRDefault="00450BC1" w:rsidP="000E314E">
            <w:pPr>
              <w:spacing w:after="0" w:line="240" w:lineRule="auto"/>
              <w:jc w:val="center"/>
              <w:rPr>
                <w:rFonts w:eastAsia="Times New Roman" w:cs="Times New Roman"/>
                <w:color w:val="000000"/>
                <w:sz w:val="20"/>
                <w:szCs w:val="20"/>
              </w:rPr>
            </w:pPr>
            <w:r w:rsidRPr="000E314E">
              <w:rPr>
                <w:rFonts w:eastAsia="Calibri" w:cs="Trebuchet MS"/>
                <w:i/>
                <w:color w:val="000000"/>
                <w:sz w:val="20"/>
                <w:szCs w:val="20"/>
              </w:rPr>
              <w:t>0,8%</w:t>
            </w:r>
          </w:p>
        </w:tc>
        <w:tc>
          <w:tcPr>
            <w:tcW w:w="1720" w:type="dxa"/>
            <w:shd w:val="clear" w:color="000000" w:fill="FFFFFF"/>
            <w:noWrap/>
            <w:vAlign w:val="bottom"/>
          </w:tcPr>
          <w:p w14:paraId="7AC1A309" w14:textId="55F1EA2D" w:rsidR="00864462" w:rsidRPr="000E314E" w:rsidRDefault="00450BC1" w:rsidP="000E314E">
            <w:pPr>
              <w:spacing w:after="0" w:line="240" w:lineRule="auto"/>
              <w:jc w:val="center"/>
              <w:rPr>
                <w:rFonts w:eastAsia="Times New Roman" w:cs="Times New Roman"/>
                <w:color w:val="000000"/>
                <w:sz w:val="20"/>
                <w:szCs w:val="20"/>
                <w:lang w:val="en-US"/>
              </w:rPr>
            </w:pPr>
            <w:r w:rsidRPr="000E314E">
              <w:rPr>
                <w:rFonts w:eastAsia="Calibri" w:cs="Trebuchet MS"/>
                <w:i/>
                <w:color w:val="000000"/>
                <w:sz w:val="20"/>
                <w:szCs w:val="20"/>
              </w:rPr>
              <w:t>3,5</w:t>
            </w:r>
          </w:p>
        </w:tc>
      </w:tr>
      <w:tr w:rsidR="00864462" w:rsidRPr="000E314E" w14:paraId="0A783BDB" w14:textId="77777777" w:rsidTr="00450BC1">
        <w:trPr>
          <w:trHeight w:val="300"/>
        </w:trPr>
        <w:tc>
          <w:tcPr>
            <w:tcW w:w="2800" w:type="dxa"/>
            <w:tcBorders>
              <w:bottom w:val="single" w:sz="4" w:space="0" w:color="auto"/>
            </w:tcBorders>
            <w:shd w:val="clear" w:color="000000" w:fill="FFFFFF"/>
            <w:noWrap/>
            <w:vAlign w:val="bottom"/>
          </w:tcPr>
          <w:p w14:paraId="06BE16E6" w14:textId="66F1A588" w:rsidR="00864462" w:rsidRPr="000E314E" w:rsidRDefault="00864462" w:rsidP="000E314E">
            <w:pPr>
              <w:spacing w:after="0" w:line="240" w:lineRule="auto"/>
              <w:jc w:val="center"/>
              <w:rPr>
                <w:rFonts w:eastAsia="Times New Roman" w:cs="Times New Roman"/>
                <w:color w:val="000000"/>
                <w:sz w:val="20"/>
                <w:szCs w:val="20"/>
                <w:lang w:val="en-US"/>
              </w:rPr>
            </w:pPr>
            <w:r w:rsidRPr="000E314E">
              <w:rPr>
                <w:rFonts w:eastAsia="Calibri" w:cs="Trebuchet MS"/>
                <w:i/>
                <w:color w:val="000000"/>
                <w:sz w:val="20"/>
                <w:szCs w:val="20"/>
              </w:rPr>
              <w:t>Μάρτιος</w:t>
            </w:r>
          </w:p>
        </w:tc>
        <w:tc>
          <w:tcPr>
            <w:tcW w:w="1780" w:type="dxa"/>
            <w:tcBorders>
              <w:bottom w:val="single" w:sz="4" w:space="0" w:color="auto"/>
            </w:tcBorders>
            <w:shd w:val="clear" w:color="000000" w:fill="FFFFFF"/>
            <w:noWrap/>
            <w:vAlign w:val="bottom"/>
          </w:tcPr>
          <w:p w14:paraId="45813BEA" w14:textId="064218BA" w:rsidR="00864462" w:rsidRPr="000E314E" w:rsidRDefault="00864462" w:rsidP="000E314E">
            <w:pPr>
              <w:spacing w:after="0" w:line="240" w:lineRule="auto"/>
              <w:jc w:val="center"/>
              <w:rPr>
                <w:rFonts w:eastAsia="Times New Roman" w:cs="Times New Roman"/>
                <w:color w:val="000000"/>
                <w:sz w:val="20"/>
                <w:szCs w:val="20"/>
                <w:lang w:val="en-US"/>
              </w:rPr>
            </w:pPr>
            <w:r w:rsidRPr="000E314E">
              <w:rPr>
                <w:rFonts w:eastAsia="Calibri" w:cs="Trebuchet MS"/>
                <w:i/>
                <w:color w:val="000000"/>
                <w:sz w:val="20"/>
                <w:szCs w:val="20"/>
              </w:rPr>
              <w:t xml:space="preserve">30ετές                         </w:t>
            </w:r>
          </w:p>
        </w:tc>
        <w:tc>
          <w:tcPr>
            <w:tcW w:w="2100" w:type="dxa"/>
            <w:tcBorders>
              <w:bottom w:val="single" w:sz="4" w:space="0" w:color="auto"/>
            </w:tcBorders>
            <w:shd w:val="clear" w:color="000000" w:fill="FFFFFF"/>
            <w:noWrap/>
            <w:vAlign w:val="bottom"/>
          </w:tcPr>
          <w:p w14:paraId="09E448FE" w14:textId="381C2870" w:rsidR="00864462" w:rsidRPr="000E314E" w:rsidRDefault="00450BC1" w:rsidP="000E314E">
            <w:pPr>
              <w:spacing w:after="0" w:line="240" w:lineRule="auto"/>
              <w:jc w:val="center"/>
              <w:rPr>
                <w:rFonts w:eastAsia="Times New Roman" w:cs="Times New Roman"/>
                <w:color w:val="000000"/>
                <w:sz w:val="20"/>
                <w:szCs w:val="20"/>
              </w:rPr>
            </w:pPr>
            <w:r w:rsidRPr="000E314E">
              <w:rPr>
                <w:rFonts w:eastAsia="Calibri" w:cs="Trebuchet MS"/>
                <w:i/>
                <w:color w:val="000000"/>
                <w:sz w:val="20"/>
                <w:szCs w:val="20"/>
              </w:rPr>
              <w:t>1,95%</w:t>
            </w:r>
          </w:p>
        </w:tc>
        <w:tc>
          <w:tcPr>
            <w:tcW w:w="1720" w:type="dxa"/>
            <w:tcBorders>
              <w:bottom w:val="single" w:sz="4" w:space="0" w:color="auto"/>
            </w:tcBorders>
            <w:shd w:val="clear" w:color="000000" w:fill="FFFFFF"/>
            <w:noWrap/>
            <w:vAlign w:val="bottom"/>
          </w:tcPr>
          <w:p w14:paraId="15D0E89B" w14:textId="7D192F1F" w:rsidR="00864462" w:rsidRPr="000E314E" w:rsidRDefault="00450BC1" w:rsidP="000E314E">
            <w:pPr>
              <w:spacing w:after="0" w:line="240" w:lineRule="auto"/>
              <w:jc w:val="center"/>
              <w:rPr>
                <w:rFonts w:eastAsia="Times New Roman" w:cs="Times New Roman"/>
                <w:color w:val="000000"/>
                <w:sz w:val="20"/>
                <w:szCs w:val="20"/>
                <w:lang w:val="en-US"/>
              </w:rPr>
            </w:pPr>
            <w:r w:rsidRPr="000E314E">
              <w:rPr>
                <w:rFonts w:eastAsia="Calibri" w:cs="Trebuchet MS"/>
                <w:i/>
                <w:color w:val="000000"/>
                <w:sz w:val="20"/>
                <w:szCs w:val="20"/>
              </w:rPr>
              <w:t>2,5</w:t>
            </w:r>
          </w:p>
        </w:tc>
      </w:tr>
      <w:tr w:rsidR="00864462" w:rsidRPr="000E314E" w14:paraId="512EA87F" w14:textId="77777777" w:rsidTr="00450BC1">
        <w:trPr>
          <w:trHeight w:val="238"/>
        </w:trPr>
        <w:tc>
          <w:tcPr>
            <w:tcW w:w="2800" w:type="dxa"/>
            <w:tcBorders>
              <w:bottom w:val="single" w:sz="12" w:space="0" w:color="auto"/>
            </w:tcBorders>
            <w:shd w:val="clear" w:color="000000" w:fill="FFFFFF"/>
            <w:noWrap/>
            <w:vAlign w:val="bottom"/>
          </w:tcPr>
          <w:p w14:paraId="64116A68" w14:textId="5CA51E99" w:rsidR="00864462" w:rsidRPr="000E314E" w:rsidRDefault="00864462" w:rsidP="000E314E">
            <w:pPr>
              <w:spacing w:after="0" w:line="240" w:lineRule="auto"/>
              <w:jc w:val="center"/>
              <w:rPr>
                <w:rFonts w:eastAsia="Times New Roman" w:cs="Times New Roman"/>
                <w:color w:val="000000"/>
                <w:sz w:val="20"/>
                <w:szCs w:val="20"/>
                <w:lang w:val="en-US"/>
              </w:rPr>
            </w:pPr>
            <w:r w:rsidRPr="000E314E">
              <w:rPr>
                <w:rFonts w:eastAsia="Calibri" w:cs="Trebuchet MS"/>
                <w:i/>
                <w:color w:val="000000"/>
                <w:sz w:val="20"/>
                <w:szCs w:val="20"/>
              </w:rPr>
              <w:t>Μάϊος</w:t>
            </w:r>
          </w:p>
        </w:tc>
        <w:tc>
          <w:tcPr>
            <w:tcW w:w="1780" w:type="dxa"/>
            <w:tcBorders>
              <w:bottom w:val="single" w:sz="12" w:space="0" w:color="auto"/>
            </w:tcBorders>
            <w:shd w:val="clear" w:color="000000" w:fill="FFFFFF"/>
            <w:noWrap/>
            <w:vAlign w:val="bottom"/>
          </w:tcPr>
          <w:p w14:paraId="0B2BFC43" w14:textId="4A49B00E" w:rsidR="00864462" w:rsidRPr="000E314E" w:rsidRDefault="00864462" w:rsidP="000E314E">
            <w:pPr>
              <w:spacing w:after="0" w:line="240" w:lineRule="auto"/>
              <w:jc w:val="center"/>
              <w:rPr>
                <w:rFonts w:eastAsia="Times New Roman" w:cs="Times New Roman"/>
                <w:color w:val="000000"/>
                <w:sz w:val="20"/>
                <w:szCs w:val="20"/>
                <w:lang w:val="en-US"/>
              </w:rPr>
            </w:pPr>
            <w:r w:rsidRPr="000E314E">
              <w:rPr>
                <w:rFonts w:eastAsia="Calibri" w:cs="Trebuchet MS"/>
                <w:i/>
                <w:color w:val="000000"/>
                <w:sz w:val="20"/>
                <w:szCs w:val="20"/>
              </w:rPr>
              <w:t>5ετές</w:t>
            </w:r>
          </w:p>
        </w:tc>
        <w:tc>
          <w:tcPr>
            <w:tcW w:w="2100" w:type="dxa"/>
            <w:tcBorders>
              <w:bottom w:val="single" w:sz="12" w:space="0" w:color="auto"/>
            </w:tcBorders>
            <w:shd w:val="clear" w:color="000000" w:fill="FFFFFF"/>
            <w:noWrap/>
            <w:vAlign w:val="bottom"/>
          </w:tcPr>
          <w:p w14:paraId="31796012" w14:textId="7D4DCB20" w:rsidR="00864462" w:rsidRPr="000E314E" w:rsidRDefault="00450BC1" w:rsidP="000E314E">
            <w:pPr>
              <w:spacing w:after="0" w:line="240" w:lineRule="auto"/>
              <w:jc w:val="center"/>
              <w:rPr>
                <w:rFonts w:eastAsia="Times New Roman" w:cs="Times New Roman"/>
                <w:color w:val="000000"/>
                <w:sz w:val="20"/>
                <w:szCs w:val="20"/>
              </w:rPr>
            </w:pPr>
            <w:r w:rsidRPr="000E314E">
              <w:rPr>
                <w:rFonts w:eastAsia="Calibri" w:cs="Trebuchet MS"/>
                <w:i/>
                <w:color w:val="000000"/>
                <w:sz w:val="20"/>
                <w:szCs w:val="20"/>
              </w:rPr>
              <w:t>0,2%</w:t>
            </w:r>
          </w:p>
        </w:tc>
        <w:tc>
          <w:tcPr>
            <w:tcW w:w="1720" w:type="dxa"/>
            <w:tcBorders>
              <w:bottom w:val="single" w:sz="12" w:space="0" w:color="auto"/>
            </w:tcBorders>
            <w:shd w:val="clear" w:color="000000" w:fill="FFFFFF"/>
            <w:noWrap/>
            <w:vAlign w:val="bottom"/>
          </w:tcPr>
          <w:p w14:paraId="18676231" w14:textId="1312BB12" w:rsidR="00864462" w:rsidRPr="000E314E" w:rsidRDefault="00450BC1" w:rsidP="000E314E">
            <w:pPr>
              <w:spacing w:after="0" w:line="240" w:lineRule="auto"/>
              <w:jc w:val="center"/>
              <w:rPr>
                <w:rFonts w:eastAsia="Times New Roman" w:cs="Times New Roman"/>
                <w:color w:val="000000"/>
                <w:sz w:val="20"/>
                <w:szCs w:val="20"/>
                <w:lang w:val="en-US"/>
              </w:rPr>
            </w:pPr>
            <w:r w:rsidRPr="000E314E">
              <w:rPr>
                <w:rFonts w:eastAsia="Calibri" w:cs="Trebuchet MS"/>
                <w:i/>
                <w:color w:val="000000"/>
                <w:sz w:val="20"/>
                <w:szCs w:val="20"/>
              </w:rPr>
              <w:t xml:space="preserve">    3</w:t>
            </w:r>
          </w:p>
        </w:tc>
      </w:tr>
    </w:tbl>
    <w:p w14:paraId="44BE8FEA" w14:textId="77777777" w:rsidR="00450BC1" w:rsidRPr="000E314E" w:rsidRDefault="00450BC1" w:rsidP="00450BC1">
      <w:pPr>
        <w:autoSpaceDE w:val="0"/>
        <w:autoSpaceDN w:val="0"/>
        <w:adjustRightInd w:val="0"/>
        <w:spacing w:after="0"/>
        <w:rPr>
          <w:rFonts w:eastAsia="Calibri" w:cstheme="minorHAnsi"/>
          <w:bCs/>
          <w:color w:val="111111"/>
          <w:sz w:val="16"/>
          <w:szCs w:val="16"/>
        </w:rPr>
      </w:pPr>
      <w:r w:rsidRPr="000E314E">
        <w:rPr>
          <w:rFonts w:eastAsia="Calibri" w:cstheme="minorHAnsi"/>
          <w:bCs/>
          <w:color w:val="767171" w:themeColor="background2" w:themeShade="80"/>
          <w:sz w:val="16"/>
          <w:szCs w:val="16"/>
        </w:rPr>
        <w:t>Πηγή :</w:t>
      </w:r>
      <w:r w:rsidRPr="000E314E">
        <w:rPr>
          <w:rFonts w:eastAsia="Calibri" w:cstheme="minorHAnsi"/>
          <w:bCs/>
          <w:color w:val="111111"/>
          <w:sz w:val="16"/>
          <w:szCs w:val="16"/>
        </w:rPr>
        <w:t xml:space="preserve"> </w:t>
      </w:r>
      <w:r w:rsidRPr="000E314E">
        <w:rPr>
          <w:rFonts w:eastAsia="Calibri" w:cstheme="minorHAnsi"/>
          <w:bCs/>
          <w:color w:val="00B0F0"/>
          <w:sz w:val="16"/>
          <w:szCs w:val="16"/>
        </w:rPr>
        <w:t>ΟΔΔΗΧ</w:t>
      </w:r>
    </w:p>
    <w:p w14:paraId="5DA3D66D" w14:textId="77777777" w:rsidR="00450BC1" w:rsidRPr="000E314E" w:rsidRDefault="00450BC1" w:rsidP="00450BC1">
      <w:pPr>
        <w:autoSpaceDE w:val="0"/>
        <w:autoSpaceDN w:val="0"/>
        <w:adjustRightInd w:val="0"/>
        <w:spacing w:after="0"/>
        <w:rPr>
          <w:rFonts w:eastAsia="Calibri" w:cs="Trebuchet MS"/>
          <w:bCs/>
          <w:color w:val="000000"/>
          <w:sz w:val="16"/>
          <w:szCs w:val="16"/>
        </w:rPr>
      </w:pPr>
      <w:r w:rsidRPr="000E314E">
        <w:rPr>
          <w:rFonts w:eastAsia="Calibri" w:cs="Trebuchet MS"/>
          <w:bCs/>
          <w:color w:val="000000"/>
          <w:sz w:val="16"/>
          <w:szCs w:val="16"/>
        </w:rPr>
        <w:t>*αφορά την επανέκδοση του 10ετούς του Ιουνίου</w:t>
      </w:r>
    </w:p>
    <w:p w14:paraId="71660C4E" w14:textId="77777777" w:rsidR="00450BC1" w:rsidRPr="000E314E" w:rsidRDefault="00450BC1" w:rsidP="00450BC1">
      <w:pPr>
        <w:autoSpaceDE w:val="0"/>
        <w:autoSpaceDN w:val="0"/>
        <w:adjustRightInd w:val="0"/>
        <w:spacing w:after="0"/>
        <w:rPr>
          <w:rFonts w:eastAsia="Calibri" w:cs="Trebuchet MS"/>
          <w:bCs/>
          <w:color w:val="000000"/>
          <w:sz w:val="16"/>
          <w:szCs w:val="16"/>
        </w:rPr>
      </w:pPr>
      <w:r w:rsidRPr="000E314E">
        <w:rPr>
          <w:rFonts w:eastAsia="Calibri" w:cs="Trebuchet MS"/>
          <w:bCs/>
          <w:color w:val="000000"/>
          <w:sz w:val="16"/>
          <w:szCs w:val="16"/>
        </w:rPr>
        <w:t>**αφορά την επανέκδοση του 15ετούς του Φεβρουαρίου</w:t>
      </w:r>
    </w:p>
    <w:p w14:paraId="799AD29B" w14:textId="77777777" w:rsidR="000E314E" w:rsidRPr="000E314E" w:rsidRDefault="000E314E" w:rsidP="000E314E">
      <w:pPr>
        <w:autoSpaceDE w:val="0"/>
        <w:autoSpaceDN w:val="0"/>
        <w:adjustRightInd w:val="0"/>
        <w:spacing w:after="0" w:line="360" w:lineRule="auto"/>
        <w:rPr>
          <w:rFonts w:eastAsia="Calibri" w:cs="Trebuchet MS"/>
          <w:b/>
          <w:bCs/>
          <w:color w:val="000000"/>
        </w:rPr>
      </w:pPr>
    </w:p>
    <w:tbl>
      <w:tblPr>
        <w:tblStyle w:val="100"/>
        <w:tblW w:w="0" w:type="auto"/>
        <w:tblInd w:w="-142" w:type="dxa"/>
        <w:shd w:val="clear" w:color="auto" w:fill="BDEEFF"/>
        <w:tblLook w:val="04A0" w:firstRow="1" w:lastRow="0" w:firstColumn="1" w:lastColumn="0" w:noHBand="0" w:noVBand="1"/>
      </w:tblPr>
      <w:tblGrid>
        <w:gridCol w:w="8444"/>
      </w:tblGrid>
      <w:tr w:rsidR="003E2548" w:rsidRPr="006E4035" w14:paraId="4113C133" w14:textId="77777777" w:rsidTr="00C24E6E">
        <w:tc>
          <w:tcPr>
            <w:tcW w:w="8444" w:type="dxa"/>
            <w:shd w:val="clear" w:color="auto" w:fill="E1F7FF"/>
          </w:tcPr>
          <w:p w14:paraId="683558E0" w14:textId="5E14D000" w:rsidR="003E2548" w:rsidRPr="006E4035" w:rsidRDefault="003E2548" w:rsidP="004426D8">
            <w:pPr>
              <w:outlineLvl w:val="0"/>
              <w:rPr>
                <w:b/>
                <w:i/>
                <w:color w:val="auto"/>
                <w:spacing w:val="20"/>
                <w:lang w:eastAsia="el-GR"/>
              </w:rPr>
            </w:pPr>
            <w:bookmarkStart w:id="190" w:name="_Toc73435758"/>
            <w:r w:rsidRPr="006E4035">
              <w:rPr>
                <w:b/>
                <w:i/>
                <w:color w:val="auto"/>
                <w:spacing w:val="20"/>
                <w:lang w:eastAsia="el-GR"/>
              </w:rPr>
              <w:t>Ένθετο Ι</w:t>
            </w:r>
            <w:r w:rsidRPr="006E4035">
              <w:rPr>
                <w:b/>
                <w:i/>
                <w:color w:val="auto"/>
                <w:spacing w:val="20"/>
                <w:lang w:val="en-US" w:eastAsia="el-GR"/>
              </w:rPr>
              <w:t>I</w:t>
            </w:r>
            <w:r w:rsidRPr="006E4035">
              <w:rPr>
                <w:b/>
                <w:i/>
                <w:color w:val="auto"/>
                <w:spacing w:val="20"/>
                <w:lang w:eastAsia="el-GR"/>
              </w:rPr>
              <w:t>: Η διαχειρισιμότητα του ελληνικού δημοσίου χρέους.</w:t>
            </w:r>
            <w:bookmarkEnd w:id="190"/>
          </w:p>
          <w:p w14:paraId="72F93663" w14:textId="51F184B9" w:rsidR="000E314E" w:rsidRPr="006E4035" w:rsidRDefault="000E314E" w:rsidP="000E314E">
            <w:pPr>
              <w:autoSpaceDE w:val="0"/>
              <w:autoSpaceDN w:val="0"/>
              <w:adjustRightInd w:val="0"/>
              <w:spacing w:after="160"/>
              <w:rPr>
                <w:rFonts w:eastAsia="Calibri" w:cs="Trebuchet MS"/>
                <w:bCs/>
                <w:color w:val="auto"/>
              </w:rPr>
            </w:pPr>
            <w:r w:rsidRPr="006E4035">
              <w:rPr>
                <w:rFonts w:eastAsia="Calibri" w:cs="Trebuchet MS"/>
                <w:bCs/>
                <w:color w:val="auto"/>
              </w:rPr>
              <w:t>Παρά την μεγάλη αύξηση του λόγου δημοσίου χρέους/ΑΕΠ υπάρχουν σημαντικοί παράγοντες που καθιστούν το ελληνικό δημόσιο χρέος διαχειρίσιμο σε μεσο-μακροπρόθεσμο ορίζοντα. Πριν το ξέσπασμα της υγειονομικής κρίσης, οι θετικές μακροοικονομικές και δημοσιονομικές επιδόσεις που κατέγραψε η ελληνική οικονομία σε συνδυασμό με την ολοκλήρωση της εφαρμογής των βραχυπρόθεσμων και μεσοπρόθεσμων μέτρων ελάφρυνσης του ελληνικού χρέους</w:t>
            </w:r>
            <w:r w:rsidR="00850AD9">
              <w:rPr>
                <w:rFonts w:eastAsia="Calibri" w:cs="Trebuchet MS"/>
                <w:bCs/>
                <w:color w:val="auto"/>
              </w:rPr>
              <w:t>,</w:t>
            </w:r>
            <w:r w:rsidRPr="006E4035">
              <w:rPr>
                <w:rFonts w:eastAsia="Calibri" w:cs="Trebuchet MS"/>
                <w:bCs/>
                <w:color w:val="auto"/>
                <w:vertAlign w:val="superscript"/>
              </w:rPr>
              <w:footnoteReference w:id="33"/>
            </w:r>
            <w:r w:rsidRPr="006E4035">
              <w:rPr>
                <w:rFonts w:eastAsia="Calibri" w:cs="Trebuchet MS"/>
                <w:bCs/>
                <w:color w:val="auto"/>
              </w:rPr>
              <w:t xml:space="preserve"> δημιούργη</w:t>
            </w:r>
            <w:r w:rsidR="00D66C6A">
              <w:rPr>
                <w:rFonts w:eastAsia="Calibri" w:cs="Trebuchet MS"/>
                <w:bCs/>
                <w:color w:val="auto"/>
              </w:rPr>
              <w:t>σαν ευνοϊκές συνθήκες διαχείρισή</w:t>
            </w:r>
            <w:r w:rsidRPr="006E4035">
              <w:rPr>
                <w:rFonts w:eastAsia="Calibri" w:cs="Trebuchet MS"/>
                <w:bCs/>
                <w:color w:val="auto"/>
              </w:rPr>
              <w:t>ς του. Παράλληλα</w:t>
            </w:r>
            <w:r w:rsidR="00850AD9">
              <w:rPr>
                <w:rFonts w:eastAsia="Calibri" w:cs="Trebuchet MS"/>
                <w:bCs/>
                <w:color w:val="auto"/>
              </w:rPr>
              <w:t>,</w:t>
            </w:r>
            <w:r w:rsidRPr="006E4035">
              <w:rPr>
                <w:rFonts w:eastAsia="Calibri" w:cs="Trebuchet MS"/>
                <w:bCs/>
                <w:color w:val="auto"/>
              </w:rPr>
              <w:t xml:space="preserve"> υλοποιήθηκε μ</w:t>
            </w:r>
            <w:r w:rsidR="00850AD9">
              <w:rPr>
                <w:rFonts w:eastAsia="Calibri" w:cs="Trebuchet MS"/>
                <w:bCs/>
                <w:color w:val="auto"/>
              </w:rPr>
              <w:t>ε επιτυχία στρατηγική διαχείριση</w:t>
            </w:r>
            <w:r w:rsidRPr="006E4035">
              <w:rPr>
                <w:rFonts w:eastAsia="Calibri" w:cs="Trebuchet MS"/>
                <w:bCs/>
                <w:color w:val="auto"/>
              </w:rPr>
              <w:t>ς του δημοσίου χρέους που περιλάμβανε, μεταξύ άλλων, την ομαλοποίηση του προφίλ λήξεως των ομολόγων του ελληνικού δημοσίου και τη δημιουργία σημαντικού ταμειακού διαθεσίμου ασφαλείας (έφτασε τα 38,6 δισ. ευρώ), το οποίο εδραίωσε την εμπιστοσύνη των παραγόντων των διεθνών κεφαλαιαγορών.</w:t>
            </w:r>
          </w:p>
          <w:p w14:paraId="5DA877E9" w14:textId="6EA0AAB9" w:rsidR="000E314E" w:rsidRPr="006E4035" w:rsidRDefault="000E314E" w:rsidP="009D302C">
            <w:pPr>
              <w:autoSpaceDE w:val="0"/>
              <w:autoSpaceDN w:val="0"/>
              <w:adjustRightInd w:val="0"/>
              <w:spacing w:after="120"/>
              <w:rPr>
                <w:rFonts w:eastAsia="Calibri" w:cs="Trebuchet MS"/>
                <w:bCs/>
                <w:color w:val="auto"/>
              </w:rPr>
            </w:pPr>
            <w:r w:rsidRPr="006E4035">
              <w:rPr>
                <w:rFonts w:eastAsia="Calibri" w:cs="Trebuchet MS"/>
                <w:bCs/>
                <w:color w:val="auto"/>
              </w:rPr>
              <w:t>Τα επόμενα έτη, καθοριστική αναμένεται να είναι η αναπτυξιακή επίδραση των πόρων που θα διοχετευτούν στην ελληνική οικονομία, κυρίως μέσω του πολυετούς δημοσιονομικού πλαισίου περιόδου 2021-2027</w:t>
            </w:r>
            <w:r w:rsidRPr="006E4035">
              <w:rPr>
                <w:rFonts w:eastAsia="Calibri" w:cs="Trebuchet MS"/>
                <w:bCs/>
                <w:color w:val="auto"/>
                <w:vertAlign w:val="superscript"/>
              </w:rPr>
              <w:footnoteReference w:id="34"/>
            </w:r>
            <w:r w:rsidRPr="006E4035">
              <w:rPr>
                <w:rFonts w:eastAsia="Calibri" w:cs="Trebuchet MS"/>
                <w:bCs/>
                <w:color w:val="auto"/>
              </w:rPr>
              <w:t>, καθώς και του Μηχανισμού Ανάκαμψης και Ανθεκτικότητας της ΕΕ</w:t>
            </w:r>
            <w:r w:rsidRPr="006E4035">
              <w:rPr>
                <w:rFonts w:eastAsia="Calibri" w:cs="Trebuchet MS"/>
                <w:bCs/>
                <w:color w:val="auto"/>
                <w:vertAlign w:val="superscript"/>
              </w:rPr>
              <w:footnoteReference w:id="35"/>
            </w:r>
            <w:r w:rsidRPr="006E4035">
              <w:rPr>
                <w:rFonts w:eastAsia="Calibri" w:cs="Trebuchet MS"/>
                <w:bCs/>
                <w:color w:val="auto"/>
              </w:rPr>
              <w:t xml:space="preserve">, οι οποίοι αναμένεται να </w:t>
            </w:r>
            <w:r w:rsidR="00850AD9">
              <w:rPr>
                <w:rFonts w:eastAsia="Calibri" w:cs="Trebuchet MS"/>
                <w:bCs/>
                <w:color w:val="auto"/>
              </w:rPr>
              <w:t>συμβάλουν</w:t>
            </w:r>
            <w:r w:rsidRPr="006E4035">
              <w:rPr>
                <w:rFonts w:eastAsia="Calibri" w:cs="Trebuchet MS"/>
                <w:bCs/>
                <w:color w:val="auto"/>
              </w:rPr>
              <w:t xml:space="preserve"> </w:t>
            </w:r>
            <w:r w:rsidR="00850AD9">
              <w:rPr>
                <w:rFonts w:eastAsia="Calibri" w:cs="Trebuchet MS"/>
                <w:bCs/>
                <w:color w:val="auto"/>
              </w:rPr>
              <w:t xml:space="preserve">στην </w:t>
            </w:r>
            <w:r w:rsidRPr="006E4035">
              <w:rPr>
                <w:rFonts w:eastAsia="Calibri" w:cs="Trebuchet MS"/>
                <w:bCs/>
                <w:color w:val="auto"/>
              </w:rPr>
              <w:t xml:space="preserve">καθοδική πορεία του δημόσιου χρέους ως ποσοστό του ΑΕΠ μετά το 2021, </w:t>
            </w:r>
            <w:r w:rsidR="00850AD9">
              <w:rPr>
                <w:rFonts w:eastAsia="Calibri" w:cs="Trebuchet MS"/>
                <w:bCs/>
                <w:color w:val="auto"/>
              </w:rPr>
              <w:t>λόγω</w:t>
            </w:r>
            <w:r w:rsidRPr="006E4035">
              <w:rPr>
                <w:rFonts w:eastAsia="Calibri" w:cs="Trebuchet MS"/>
                <w:bCs/>
                <w:color w:val="auto"/>
              </w:rPr>
              <w:t xml:space="preserve"> των υψηλών ρυθμών μεγέθυνσης. Σε ένα τέτοιο περιβάλλον:</w:t>
            </w:r>
          </w:p>
          <w:p w14:paraId="230D20E7" w14:textId="77777777" w:rsidR="000E314E" w:rsidRPr="006E4035" w:rsidRDefault="000E314E" w:rsidP="000E314E">
            <w:pPr>
              <w:autoSpaceDE w:val="0"/>
              <w:autoSpaceDN w:val="0"/>
              <w:adjustRightInd w:val="0"/>
              <w:spacing w:after="120"/>
              <w:rPr>
                <w:rFonts w:eastAsia="Calibri" w:cs="Trebuchet MS"/>
                <w:bCs/>
                <w:color w:val="auto"/>
              </w:rPr>
            </w:pPr>
            <w:r w:rsidRPr="006E4035">
              <w:rPr>
                <w:rFonts w:eastAsia="Calibri" w:cs="Trebuchet MS"/>
                <w:bCs/>
                <w:color w:val="auto"/>
              </w:rPr>
              <w:t xml:space="preserve">α) η υφιστάμενη σύνθεση του ελληνικού χρέους, </w:t>
            </w:r>
          </w:p>
          <w:p w14:paraId="49B4100A" w14:textId="77777777" w:rsidR="000E314E" w:rsidRPr="006E4035" w:rsidRDefault="000E314E" w:rsidP="000E314E">
            <w:pPr>
              <w:autoSpaceDE w:val="0"/>
              <w:autoSpaceDN w:val="0"/>
              <w:adjustRightInd w:val="0"/>
              <w:spacing w:after="120"/>
              <w:rPr>
                <w:rFonts w:eastAsia="Calibri" w:cs="Trebuchet MS"/>
                <w:bCs/>
                <w:color w:val="auto"/>
              </w:rPr>
            </w:pPr>
            <w:r w:rsidRPr="006E4035">
              <w:rPr>
                <w:rFonts w:eastAsia="Calibri" w:cs="Trebuchet MS"/>
                <w:bCs/>
                <w:color w:val="auto"/>
              </w:rPr>
              <w:t>β) το ύψος των Ακαθάριστων Χρηματοδοτικών Αναγκών (</w:t>
            </w:r>
            <w:r w:rsidRPr="006E4035">
              <w:rPr>
                <w:rFonts w:eastAsia="Calibri" w:cs="Trebuchet MS"/>
                <w:bCs/>
                <w:color w:val="auto"/>
                <w:lang w:val="en-US"/>
              </w:rPr>
              <w:t>GFN</w:t>
            </w:r>
            <w:r w:rsidRPr="006E4035">
              <w:rPr>
                <w:rFonts w:eastAsia="Calibri" w:cs="Trebuchet MS"/>
                <w:bCs/>
                <w:color w:val="auto"/>
              </w:rPr>
              <w:t xml:space="preserve">) σε όρους ΑΕΠ και </w:t>
            </w:r>
          </w:p>
          <w:p w14:paraId="1BD82C79" w14:textId="77777777" w:rsidR="000E314E" w:rsidRPr="006E4035" w:rsidRDefault="000E314E" w:rsidP="000E314E">
            <w:pPr>
              <w:autoSpaceDE w:val="0"/>
              <w:autoSpaceDN w:val="0"/>
              <w:adjustRightInd w:val="0"/>
              <w:spacing w:after="120"/>
              <w:rPr>
                <w:rFonts w:eastAsia="Calibri" w:cs="Trebuchet MS"/>
                <w:bCs/>
                <w:color w:val="auto"/>
              </w:rPr>
            </w:pPr>
            <w:r w:rsidRPr="006E4035">
              <w:rPr>
                <w:rFonts w:eastAsia="Calibri" w:cs="Trebuchet MS"/>
                <w:bCs/>
                <w:color w:val="auto"/>
              </w:rPr>
              <w:t xml:space="preserve">γ) η διατήρηση χαλαρής νομισματικής πολιτικής εκ μέρους της ΕΚΤ, </w:t>
            </w:r>
          </w:p>
          <w:p w14:paraId="4F2ED375" w14:textId="4E6BC008" w:rsidR="000E314E" w:rsidRPr="006E4035" w:rsidRDefault="00850AD9" w:rsidP="000E314E">
            <w:pPr>
              <w:autoSpaceDE w:val="0"/>
              <w:autoSpaceDN w:val="0"/>
              <w:adjustRightInd w:val="0"/>
              <w:spacing w:after="0"/>
              <w:rPr>
                <w:rFonts w:eastAsia="Calibri" w:cs="Trebuchet MS"/>
                <w:bCs/>
                <w:color w:val="auto"/>
              </w:rPr>
            </w:pPr>
            <w:r>
              <w:rPr>
                <w:rFonts w:eastAsia="Calibri" w:cs="Trebuchet MS"/>
                <w:bCs/>
                <w:color w:val="auto"/>
              </w:rPr>
              <w:t>μπορούν να διασφαλίσ</w:t>
            </w:r>
            <w:r w:rsidR="000E314E" w:rsidRPr="006E4035">
              <w:rPr>
                <w:rFonts w:eastAsia="Calibri" w:cs="Trebuchet MS"/>
                <w:bCs/>
                <w:color w:val="auto"/>
              </w:rPr>
              <w:t xml:space="preserve">ουν σε μεγάλο βαθμό την ομαλή διαχείριση του ελληνικού χρέους και την τάση για ισχυρή αποκλιμάκωση του λόγου δημοσίου χρέους/ΑΕΠ μετά το 2021. </w:t>
            </w:r>
          </w:p>
          <w:p w14:paraId="5272FD81" w14:textId="77777777" w:rsidR="000E314E" w:rsidRPr="006E4035" w:rsidRDefault="000E314E" w:rsidP="000E314E">
            <w:pPr>
              <w:autoSpaceDE w:val="0"/>
              <w:autoSpaceDN w:val="0"/>
              <w:adjustRightInd w:val="0"/>
              <w:spacing w:after="0" w:line="360" w:lineRule="auto"/>
              <w:rPr>
                <w:rFonts w:eastAsia="Calibri" w:cs="Trebuchet MS"/>
                <w:b/>
                <w:bCs/>
                <w:i/>
                <w:color w:val="auto"/>
              </w:rPr>
            </w:pPr>
            <w:r w:rsidRPr="006E4035">
              <w:rPr>
                <w:rFonts w:eastAsia="Calibri" w:cs="Trebuchet MS"/>
                <w:bCs/>
                <w:color w:val="auto"/>
              </w:rPr>
              <w:t xml:space="preserve"> </w:t>
            </w:r>
          </w:p>
          <w:p w14:paraId="20741B14" w14:textId="77777777" w:rsidR="000E314E" w:rsidRPr="006E4035" w:rsidRDefault="000E314E" w:rsidP="000E314E">
            <w:pPr>
              <w:autoSpaceDE w:val="0"/>
              <w:autoSpaceDN w:val="0"/>
              <w:adjustRightInd w:val="0"/>
              <w:spacing w:after="0" w:line="360" w:lineRule="auto"/>
              <w:rPr>
                <w:rFonts w:eastAsia="Calibri" w:cs="Trebuchet MS"/>
                <w:b/>
                <w:bCs/>
                <w:i/>
                <w:color w:val="auto"/>
              </w:rPr>
            </w:pPr>
            <w:r w:rsidRPr="006E4035">
              <w:rPr>
                <w:rFonts w:eastAsia="Calibri" w:cs="Trebuchet MS"/>
                <w:b/>
                <w:bCs/>
                <w:i/>
                <w:color w:val="auto"/>
              </w:rPr>
              <w:t>α) Η σύνθεση του ελληνικού χρέους</w:t>
            </w:r>
          </w:p>
          <w:p w14:paraId="3D49F781" w14:textId="1E513F47" w:rsidR="00850AD9" w:rsidRPr="006E4035" w:rsidRDefault="00850AD9" w:rsidP="00850AD9">
            <w:pPr>
              <w:autoSpaceDE w:val="0"/>
              <w:autoSpaceDN w:val="0"/>
              <w:adjustRightInd w:val="0"/>
              <w:spacing w:after="160"/>
              <w:rPr>
                <w:rFonts w:eastAsia="Calibri" w:cs="Trebuchet MS"/>
                <w:bCs/>
                <w:color w:val="auto"/>
              </w:rPr>
            </w:pPr>
            <w:r w:rsidRPr="006E4035">
              <w:rPr>
                <w:rFonts w:eastAsia="Calibri" w:cs="Trebuchet MS"/>
                <w:bCs/>
                <w:color w:val="auto"/>
              </w:rPr>
              <w:t>Η σύνθεση του ελληνικού δημόσιου χρέους μετά την αναδιάρθρωσ</w:t>
            </w:r>
            <w:r>
              <w:rPr>
                <w:rFonts w:eastAsia="Calibri" w:cs="Trebuchet MS"/>
                <w:bCs/>
                <w:color w:val="auto"/>
              </w:rPr>
              <w:t>ή</w:t>
            </w:r>
            <w:r w:rsidRPr="006E4035">
              <w:rPr>
                <w:rFonts w:eastAsia="Calibri" w:cs="Trebuchet MS"/>
                <w:bCs/>
                <w:color w:val="auto"/>
              </w:rPr>
              <w:t xml:space="preserve"> του, περιλαμβάνει χαμηλότοκα δάνεια πολύ μακράς διάρκειας που έχουν χορηγηθεί μέσω του GLF, EFSF και του ESM</w:t>
            </w:r>
            <w:r w:rsidRPr="006E4035">
              <w:rPr>
                <w:rStyle w:val="FootnoteReference"/>
                <w:rFonts w:eastAsia="Calibri" w:cs="Trebuchet MS"/>
                <w:bCs/>
                <w:color w:val="auto"/>
              </w:rPr>
              <w:footnoteReference w:id="36"/>
            </w:r>
            <w:r w:rsidRPr="006E4035">
              <w:rPr>
                <w:rFonts w:eastAsia="Calibri" w:cs="Trebuchet MS"/>
                <w:bCs/>
                <w:color w:val="auto"/>
              </w:rPr>
              <w:t xml:space="preserve"> τα οποία αντιστοιχούν στο 72% του συνολικού δημοσίου χρέους. </w:t>
            </w:r>
            <w:r>
              <w:rPr>
                <w:rFonts w:eastAsia="Calibri" w:cs="Trebuchet MS"/>
                <w:bCs/>
                <w:color w:val="auto"/>
              </w:rPr>
              <w:t>Α</w:t>
            </w:r>
            <w:r w:rsidRPr="006E4035">
              <w:rPr>
                <w:rFonts w:eastAsia="Calibri" w:cs="Trebuchet MS"/>
                <w:bCs/>
                <w:color w:val="auto"/>
              </w:rPr>
              <w:t>ν προστεθούν</w:t>
            </w:r>
            <w:r>
              <w:rPr>
                <w:rFonts w:eastAsia="Calibri" w:cs="Trebuchet MS"/>
                <w:bCs/>
                <w:color w:val="auto"/>
              </w:rPr>
              <w:t xml:space="preserve"> σε αυτό </w:t>
            </w:r>
            <w:r w:rsidRPr="006E4035">
              <w:rPr>
                <w:rFonts w:eastAsia="Calibri" w:cs="Trebuchet MS"/>
                <w:bCs/>
                <w:color w:val="auto"/>
              </w:rPr>
              <w:t>τα δάνεια του Διεθνούς Νομισματικού Ταμείου (2%)</w:t>
            </w:r>
            <w:r w:rsidRPr="006E4035">
              <w:rPr>
                <w:rFonts w:eastAsia="Calibri" w:cs="Trebuchet MS"/>
                <w:bCs/>
                <w:color w:val="auto"/>
                <w:vertAlign w:val="superscript"/>
              </w:rPr>
              <w:footnoteReference w:id="37"/>
            </w:r>
            <w:r w:rsidRPr="006E4035">
              <w:rPr>
                <w:rFonts w:eastAsia="Calibri" w:cs="Trebuchet MS"/>
                <w:bCs/>
                <w:color w:val="auto"/>
              </w:rPr>
              <w:t xml:space="preserve">, τα ποσά των ANFA’s και SMP (2%), καθώς και αυτά που έχουν </w:t>
            </w:r>
            <w:r w:rsidRPr="00850AD9">
              <w:rPr>
                <w:rFonts w:eastAsia="Calibri" w:cs="Trebuchet MS"/>
                <w:bCs/>
                <w:color w:val="auto"/>
              </w:rPr>
              <w:t>ληφθεί από την Ευρωπαϊκή Τράπεζα Επενδύσεων και μέσω του προγράμματος SURE για την αντιμετώπιση της πανδημικής κρίσης (3%), τότε το συνολικό ποσοστό του ελληνικού δημοσίου χρέους που κατέχει ο επίσημος (</w:t>
            </w:r>
            <w:r w:rsidRPr="00850AD9">
              <w:rPr>
                <w:rFonts w:eastAsia="Calibri" w:cs="Trebuchet MS"/>
                <w:bCs/>
                <w:color w:val="auto"/>
                <w:lang w:val="en-US"/>
              </w:rPr>
              <w:t>official</w:t>
            </w:r>
            <w:r w:rsidRPr="00850AD9">
              <w:rPr>
                <w:rFonts w:eastAsia="Calibri" w:cs="Trebuchet MS"/>
                <w:bCs/>
                <w:color w:val="auto"/>
              </w:rPr>
              <w:t xml:space="preserve">) τομέας ανέρχεται στο 79% του </w:t>
            </w:r>
            <w:r w:rsidR="00D66C6A">
              <w:rPr>
                <w:rFonts w:eastAsia="Calibri" w:cs="Trebuchet MS"/>
                <w:bCs/>
                <w:color w:val="auto"/>
              </w:rPr>
              <w:t>συνόλου</w:t>
            </w:r>
            <w:r w:rsidRPr="00850AD9">
              <w:rPr>
                <w:rFonts w:eastAsia="Calibri" w:cs="Trebuchet MS"/>
                <w:bCs/>
                <w:color w:val="auto"/>
              </w:rPr>
              <w:t>.</w:t>
            </w:r>
          </w:p>
          <w:p w14:paraId="368810B6" w14:textId="4884A652" w:rsidR="000E314E" w:rsidRPr="009D302C" w:rsidRDefault="00450BC1" w:rsidP="000E314E">
            <w:pPr>
              <w:autoSpaceDE w:val="0"/>
              <w:autoSpaceDN w:val="0"/>
              <w:adjustRightInd w:val="0"/>
              <w:spacing w:after="0"/>
              <w:jc w:val="left"/>
              <w:rPr>
                <w:rFonts w:eastAsia="Calibri" w:cs="Trebuchet MS"/>
                <w:b/>
                <w:color w:val="0070C0"/>
                <w:sz w:val="24"/>
                <w:szCs w:val="24"/>
              </w:rPr>
            </w:pPr>
            <w:bookmarkStart w:id="191" w:name="_Toc73435818"/>
            <w:r w:rsidRPr="006E4035">
              <w:rPr>
                <w:color w:val="auto"/>
                <w:sz w:val="20"/>
                <w:szCs w:val="20"/>
              </w:rPr>
              <w:t xml:space="preserve">Διάγραμμα </w:t>
            </w:r>
            <w:r w:rsidRPr="006E4035">
              <w:rPr>
                <w:i/>
                <w:color w:val="auto"/>
                <w:sz w:val="20"/>
                <w:szCs w:val="20"/>
              </w:rPr>
              <w:fldChar w:fldCharType="begin"/>
            </w:r>
            <w:r w:rsidRPr="006E4035">
              <w:rPr>
                <w:color w:val="auto"/>
                <w:sz w:val="20"/>
                <w:szCs w:val="20"/>
              </w:rPr>
              <w:instrText xml:space="preserve"> SEQ Διάγραμμα \* ARABIC </w:instrText>
            </w:r>
            <w:r w:rsidRPr="006E4035">
              <w:rPr>
                <w:i/>
                <w:color w:val="auto"/>
                <w:sz w:val="20"/>
                <w:szCs w:val="20"/>
              </w:rPr>
              <w:fldChar w:fldCharType="separate"/>
            </w:r>
            <w:r w:rsidR="00CC05A7">
              <w:rPr>
                <w:noProof/>
                <w:color w:val="auto"/>
                <w:sz w:val="20"/>
                <w:szCs w:val="20"/>
              </w:rPr>
              <w:t>32</w:t>
            </w:r>
            <w:r w:rsidRPr="006E4035">
              <w:rPr>
                <w:i/>
                <w:color w:val="auto"/>
                <w:sz w:val="20"/>
                <w:szCs w:val="20"/>
              </w:rPr>
              <w:fldChar w:fldCharType="end"/>
            </w:r>
            <w:r w:rsidRPr="006E4035">
              <w:rPr>
                <w:color w:val="auto"/>
                <w:sz w:val="20"/>
                <w:szCs w:val="20"/>
              </w:rPr>
              <w:t xml:space="preserve">: </w:t>
            </w:r>
            <w:r w:rsidR="000E314E" w:rsidRPr="009D302C">
              <w:rPr>
                <w:rFonts w:eastAsia="Calibri" w:cs="Trebuchet MS"/>
                <w:color w:val="0070C0"/>
                <w:sz w:val="20"/>
                <w:szCs w:val="20"/>
              </w:rPr>
              <w:t>Σύνθεση Χρέους κεντρικής διοίκησης 31/12/2020</w:t>
            </w:r>
            <w:bookmarkEnd w:id="191"/>
          </w:p>
          <w:p w14:paraId="1CF5F188" w14:textId="77777777" w:rsidR="000E314E" w:rsidRPr="006E4035" w:rsidRDefault="000E314E" w:rsidP="00450BC1">
            <w:pPr>
              <w:autoSpaceDE w:val="0"/>
              <w:autoSpaceDN w:val="0"/>
              <w:adjustRightInd w:val="0"/>
              <w:spacing w:after="0" w:line="240" w:lineRule="auto"/>
              <w:rPr>
                <w:rFonts w:eastAsia="Times New Roman" w:cs="Arial"/>
                <w:color w:val="auto"/>
                <w:sz w:val="21"/>
                <w:szCs w:val="21"/>
                <w:lang w:eastAsia="el-GR"/>
              </w:rPr>
            </w:pPr>
            <w:r w:rsidRPr="006E4035">
              <w:rPr>
                <w:rFonts w:eastAsia="Calibri" w:cs="Trebuchet MS"/>
                <w:noProof/>
                <w:color w:val="auto"/>
                <w:sz w:val="24"/>
                <w:szCs w:val="24"/>
                <w:lang w:eastAsia="el-GR"/>
              </w:rPr>
              <w:drawing>
                <wp:inline distT="0" distB="0" distL="0" distR="0" wp14:anchorId="56C2BF3C" wp14:editId="585580C8">
                  <wp:extent cx="5114925" cy="2981325"/>
                  <wp:effectExtent l="0" t="0" r="9525" b="9525"/>
                  <wp:docPr id="40" name="Γράφημα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23FB8F6" w14:textId="77777777" w:rsidR="000E314E" w:rsidRPr="009D302C" w:rsidRDefault="000E314E" w:rsidP="00450BC1">
            <w:pPr>
              <w:autoSpaceDE w:val="0"/>
              <w:autoSpaceDN w:val="0"/>
              <w:adjustRightInd w:val="0"/>
              <w:spacing w:after="120" w:line="360" w:lineRule="auto"/>
              <w:rPr>
                <w:rFonts w:eastAsia="Times New Roman" w:cs="Arial"/>
                <w:color w:val="00B0F0"/>
                <w:sz w:val="16"/>
                <w:szCs w:val="16"/>
                <w:lang w:val="en-US" w:eastAsia="el-GR"/>
              </w:rPr>
            </w:pPr>
            <w:r w:rsidRPr="009D302C">
              <w:rPr>
                <w:rFonts w:eastAsia="Times New Roman" w:cs="Arial"/>
                <w:color w:val="00B0F0"/>
                <w:sz w:val="16"/>
                <w:szCs w:val="16"/>
                <w:lang w:eastAsia="el-GR"/>
              </w:rPr>
              <w:t>Πηγή</w:t>
            </w:r>
            <w:r w:rsidRPr="009D302C">
              <w:rPr>
                <w:rFonts w:eastAsia="Times New Roman" w:cs="Arial"/>
                <w:color w:val="00B0F0"/>
                <w:sz w:val="16"/>
                <w:szCs w:val="16"/>
                <w:lang w:val="en-US" w:eastAsia="el-GR"/>
              </w:rPr>
              <w:t xml:space="preserve">: </w:t>
            </w:r>
            <w:r w:rsidRPr="009D302C">
              <w:rPr>
                <w:rFonts w:eastAsia="Times New Roman" w:cs="Arial"/>
                <w:color w:val="00B0F0"/>
                <w:sz w:val="16"/>
                <w:szCs w:val="16"/>
                <w:lang w:eastAsia="el-GR"/>
              </w:rPr>
              <w:t>ΟΔΔΗΧ</w:t>
            </w:r>
            <w:r w:rsidRPr="009D302C">
              <w:rPr>
                <w:rFonts w:eastAsia="Times New Roman" w:cs="Arial"/>
                <w:color w:val="00B0F0"/>
                <w:sz w:val="16"/>
                <w:szCs w:val="16"/>
                <w:lang w:val="en-US" w:eastAsia="el-GR"/>
              </w:rPr>
              <w:t xml:space="preserve"> «Funding Strategy for 2021» </w:t>
            </w:r>
            <w:r w:rsidRPr="009D302C">
              <w:rPr>
                <w:rFonts w:eastAsia="Times New Roman" w:cs="Arial"/>
                <w:color w:val="00B0F0"/>
                <w:sz w:val="16"/>
                <w:szCs w:val="16"/>
                <w:lang w:eastAsia="el-GR"/>
              </w:rPr>
              <w:t>Δεκέμβριος</w:t>
            </w:r>
            <w:r w:rsidRPr="009D302C">
              <w:rPr>
                <w:rFonts w:eastAsia="Times New Roman" w:cs="Arial"/>
                <w:color w:val="00B0F0"/>
                <w:sz w:val="16"/>
                <w:szCs w:val="16"/>
                <w:lang w:val="en-US" w:eastAsia="el-GR"/>
              </w:rPr>
              <w:t xml:space="preserve"> 2020</w:t>
            </w:r>
          </w:p>
          <w:p w14:paraId="01A784F2" w14:textId="6BE8F621" w:rsidR="000E314E" w:rsidRPr="006E4035" w:rsidRDefault="00850AD9" w:rsidP="009D302C">
            <w:pPr>
              <w:autoSpaceDE w:val="0"/>
              <w:autoSpaceDN w:val="0"/>
              <w:adjustRightInd w:val="0"/>
              <w:spacing w:after="360"/>
              <w:rPr>
                <w:rFonts w:eastAsia="Calibri" w:cs="Trebuchet MS"/>
                <w:b/>
                <w:bCs/>
                <w:i/>
                <w:color w:val="auto"/>
              </w:rPr>
            </w:pPr>
            <w:r w:rsidRPr="006E4035">
              <w:rPr>
                <w:rFonts w:eastAsia="Calibri" w:cs="Trebuchet MS"/>
                <w:bCs/>
                <w:color w:val="auto"/>
              </w:rPr>
              <w:t xml:space="preserve">Συνεπώς, το ποσοστό των τίτλων του ελληνικού </w:t>
            </w:r>
            <w:r w:rsidR="00D66C6A">
              <w:rPr>
                <w:rFonts w:eastAsia="Calibri" w:cs="Trebuchet MS"/>
                <w:bCs/>
                <w:color w:val="auto"/>
              </w:rPr>
              <w:t>Δ</w:t>
            </w:r>
            <w:r w:rsidRPr="006E4035">
              <w:rPr>
                <w:rFonts w:eastAsia="Calibri" w:cs="Trebuchet MS"/>
                <w:bCs/>
                <w:color w:val="auto"/>
              </w:rPr>
              <w:t xml:space="preserve">ημοσίου που κατέχει ο ιδιωτικός τομέας δεν ξεπερνά το 21% (ομόλογα 18% και έντοκα γραμμάτια 3%) επί του συνολικού δημοσίου χρέους. Το γεγονός αυτό μεταφράζεται σε πολύ </w:t>
            </w:r>
            <w:r>
              <w:rPr>
                <w:rFonts w:eastAsia="Calibri" w:cs="Trebuchet MS"/>
                <w:bCs/>
                <w:color w:val="auto"/>
              </w:rPr>
              <w:t xml:space="preserve">χαμηλό κόστος εξυπηρέτησής του. Ο συνδυασμός </w:t>
            </w:r>
            <w:r w:rsidRPr="006E4035">
              <w:rPr>
                <w:rFonts w:eastAsia="Calibri" w:cs="Trebuchet MS"/>
                <w:bCs/>
                <w:color w:val="auto"/>
              </w:rPr>
              <w:t xml:space="preserve">χαμηλών επιτοκίων που επικρατούν στην Ευρωπαϊκή οικονομία </w:t>
            </w:r>
            <w:r>
              <w:rPr>
                <w:rFonts w:eastAsia="Calibri" w:cs="Trebuchet MS"/>
                <w:bCs/>
                <w:color w:val="auto"/>
              </w:rPr>
              <w:t xml:space="preserve">και </w:t>
            </w:r>
            <w:r w:rsidRPr="006E4035">
              <w:rPr>
                <w:rFonts w:eastAsia="Calibri" w:cs="Trebuchet MS"/>
                <w:bCs/>
                <w:color w:val="auto"/>
              </w:rPr>
              <w:t xml:space="preserve">του </w:t>
            </w:r>
            <w:r>
              <w:rPr>
                <w:rFonts w:eastAsia="Calibri" w:cs="Trebuchet MS"/>
                <w:bCs/>
                <w:color w:val="auto"/>
              </w:rPr>
              <w:t xml:space="preserve">σχετικά </w:t>
            </w:r>
            <w:r w:rsidRPr="006E4035">
              <w:rPr>
                <w:rFonts w:eastAsia="Calibri" w:cs="Trebuchet MS"/>
                <w:bCs/>
                <w:color w:val="auto"/>
              </w:rPr>
              <w:t xml:space="preserve">μικρού όγκου των διαπραγματεύσιμων τίτλων ελληνικού χρέους στις κεφαλαιαγορές (δεν ξεπερνά τα 65 δισ. ευρώ) </w:t>
            </w:r>
            <w:r>
              <w:rPr>
                <w:rFonts w:eastAsia="Calibri" w:cs="Trebuchet MS"/>
                <w:bCs/>
                <w:color w:val="auto"/>
              </w:rPr>
              <w:t xml:space="preserve">έχει ως αποτέλεσμα </w:t>
            </w:r>
            <w:r w:rsidRPr="006E4035">
              <w:rPr>
                <w:rFonts w:eastAsia="Calibri" w:cs="Trebuchet MS"/>
                <w:bCs/>
                <w:color w:val="auto"/>
              </w:rPr>
              <w:t>τα περιθώρια  αύξησης του κόστους εξυπηρέτησ</w:t>
            </w:r>
            <w:r>
              <w:rPr>
                <w:rFonts w:eastAsia="Calibri" w:cs="Trebuchet MS"/>
                <w:bCs/>
                <w:color w:val="auto"/>
              </w:rPr>
              <w:t>ης</w:t>
            </w:r>
            <w:r w:rsidRPr="006E4035">
              <w:rPr>
                <w:rFonts w:eastAsia="Calibri" w:cs="Trebuchet MS"/>
                <w:bCs/>
                <w:color w:val="auto"/>
              </w:rPr>
              <w:t xml:space="preserve"> του υφιστάμενου δανεισμού </w:t>
            </w:r>
            <w:r>
              <w:rPr>
                <w:rFonts w:eastAsia="Calibri" w:cs="Trebuchet MS"/>
                <w:bCs/>
                <w:color w:val="auto"/>
              </w:rPr>
              <w:t xml:space="preserve">να περιορίζονται σημαντικά </w:t>
            </w:r>
            <w:r w:rsidRPr="006E4035">
              <w:rPr>
                <w:rFonts w:eastAsia="Calibri" w:cs="Trebuchet MS"/>
                <w:bCs/>
                <w:color w:val="auto"/>
              </w:rPr>
              <w:t xml:space="preserve"> (το 97% του χρέους είναι με σταθερό επιτόκιο)</w:t>
            </w:r>
            <w:r w:rsidR="00450BC1" w:rsidRPr="006E4035">
              <w:rPr>
                <w:rFonts w:eastAsia="Calibri" w:cs="Trebuchet MS"/>
                <w:bCs/>
                <w:color w:val="auto"/>
              </w:rPr>
              <w:t xml:space="preserve">. </w:t>
            </w:r>
          </w:p>
          <w:p w14:paraId="12A3E7A5" w14:textId="77777777" w:rsidR="000E314E" w:rsidRPr="006E4035" w:rsidRDefault="000E314E" w:rsidP="00450BC1">
            <w:pPr>
              <w:autoSpaceDE w:val="0"/>
              <w:autoSpaceDN w:val="0"/>
              <w:adjustRightInd w:val="0"/>
              <w:spacing w:after="120"/>
              <w:rPr>
                <w:rFonts w:eastAsia="Calibri" w:cs="Trebuchet MS"/>
                <w:b/>
                <w:bCs/>
                <w:i/>
                <w:color w:val="auto"/>
              </w:rPr>
            </w:pPr>
            <w:r w:rsidRPr="006E4035">
              <w:rPr>
                <w:rFonts w:eastAsia="Calibri" w:cs="Trebuchet MS"/>
                <w:b/>
                <w:bCs/>
                <w:i/>
                <w:color w:val="auto"/>
              </w:rPr>
              <w:t>β) Οι Ακαθάριστες Χρηματοδοτικές Ανάγκες (</w:t>
            </w:r>
            <w:r w:rsidRPr="006E4035">
              <w:rPr>
                <w:rFonts w:eastAsia="Calibri" w:cs="Trebuchet MS"/>
                <w:b/>
                <w:bCs/>
                <w:i/>
                <w:color w:val="auto"/>
                <w:lang w:val="en-US"/>
              </w:rPr>
              <w:t>GFN</w:t>
            </w:r>
            <w:r w:rsidRPr="006E4035">
              <w:rPr>
                <w:rFonts w:eastAsia="Calibri" w:cs="Trebuchet MS"/>
                <w:b/>
                <w:bCs/>
                <w:i/>
                <w:color w:val="auto"/>
              </w:rPr>
              <w:t xml:space="preserve">) </w:t>
            </w:r>
          </w:p>
          <w:p w14:paraId="33957784" w14:textId="34ABF3DE" w:rsidR="00450BC1" w:rsidRDefault="000E314E" w:rsidP="00450BC1">
            <w:pPr>
              <w:autoSpaceDE w:val="0"/>
              <w:autoSpaceDN w:val="0"/>
              <w:adjustRightInd w:val="0"/>
              <w:spacing w:after="160"/>
              <w:rPr>
                <w:rFonts w:eastAsia="Calibri" w:cs="Trebuchet MS"/>
                <w:bCs/>
                <w:color w:val="auto"/>
              </w:rPr>
            </w:pPr>
            <w:r w:rsidRPr="006E4035">
              <w:rPr>
                <w:rFonts w:eastAsia="Calibri" w:cs="Trebuchet MS"/>
                <w:bCs/>
                <w:color w:val="auto"/>
              </w:rPr>
              <w:t>Η εφαρμογή των βραχυπρόθεσμων και μεσοπρόθεσμων μέτρων ελάφρυνσης του δημοσίου χρέους αλλά και η συνεχής εκδοτική παρουσία του ελληνικού Δημοσίου στις διεθνείς αγορές κεφαλαίων, ομαλοποίησαν το προφίλ λήξεως του δημοσίου χρέους. Πλέον, το χρονοδιάγραμμα λήξεως του χρέους της κεντρικής διοίκησης εκτείνεται έως το 2070 και η μέση υπολειπόμενη διάρκεια του χρέους διαμορφώνεται στα 20 περίπου έτη. Συνέπεια αυτού είναι οι ανάγκες εξυπηρέτησης του υφιστάμενου δημοσίου χρέους σε όρους χρεολυσίων να έχουν μειωθεί σημαντικά και να μην ξεπερνούν τα 11,5 δισ. ευρώ ετησίως, έως το 2070. Αν σε αυτό συνυπολογισθεί, το ευνοϊκό επιτοκιακό περιβάλλον, οι ακαθάριστες χρηματοδοτικές ανάγκες (</w:t>
            </w:r>
            <w:r w:rsidRPr="006E4035">
              <w:rPr>
                <w:rFonts w:eastAsia="Calibri" w:cs="Trebuchet MS"/>
                <w:bCs/>
                <w:color w:val="auto"/>
                <w:lang w:val="en-US"/>
              </w:rPr>
              <w:t>GFN</w:t>
            </w:r>
            <w:r w:rsidRPr="006E4035">
              <w:rPr>
                <w:rFonts w:eastAsia="Calibri" w:cs="Trebuchet MS"/>
                <w:bCs/>
                <w:color w:val="auto"/>
              </w:rPr>
              <w:t>)</w:t>
            </w:r>
            <w:r w:rsidRPr="006E4035">
              <w:rPr>
                <w:rFonts w:eastAsia="Calibri" w:cs="Trebuchet MS"/>
                <w:bCs/>
                <w:color w:val="auto"/>
                <w:vertAlign w:val="superscript"/>
              </w:rPr>
              <w:footnoteReference w:id="38"/>
            </w:r>
            <w:r w:rsidRPr="006E4035">
              <w:rPr>
                <w:rFonts w:eastAsia="Calibri" w:cs="Trebuchet MS"/>
                <w:bCs/>
                <w:color w:val="auto"/>
              </w:rPr>
              <w:t xml:space="preserve"> για την επόμενη δεκαετία προβλέπεται να παραμένουν κάτω από το 15%, </w:t>
            </w:r>
            <w:r w:rsidR="00D66C6A">
              <w:rPr>
                <w:rFonts w:eastAsia="Calibri" w:cs="Trebuchet MS"/>
                <w:bCs/>
                <w:color w:val="auto"/>
              </w:rPr>
              <w:t xml:space="preserve">του </w:t>
            </w:r>
            <w:r w:rsidRPr="006E4035">
              <w:rPr>
                <w:rFonts w:eastAsia="Calibri" w:cs="Trebuchet MS"/>
                <w:bCs/>
                <w:color w:val="auto"/>
              </w:rPr>
              <w:t xml:space="preserve">ΑΕΠ. </w:t>
            </w:r>
          </w:p>
          <w:p w14:paraId="176F505E" w14:textId="070358DF" w:rsidR="000E314E" w:rsidRPr="006E4035" w:rsidRDefault="00450BC1" w:rsidP="00450BC1">
            <w:pPr>
              <w:autoSpaceDE w:val="0"/>
              <w:autoSpaceDN w:val="0"/>
              <w:adjustRightInd w:val="0"/>
              <w:spacing w:after="0" w:line="240" w:lineRule="auto"/>
              <w:rPr>
                <w:rFonts w:eastAsia="Calibri" w:cs="Trebuchet MS"/>
                <w:bCs/>
                <w:color w:val="auto"/>
                <w:sz w:val="20"/>
                <w:szCs w:val="20"/>
              </w:rPr>
            </w:pPr>
            <w:bookmarkStart w:id="192" w:name="_Toc73435819"/>
            <w:r w:rsidRPr="006E4035">
              <w:rPr>
                <w:color w:val="auto"/>
                <w:sz w:val="20"/>
                <w:szCs w:val="20"/>
              </w:rPr>
              <w:t xml:space="preserve">Διάγραμμα </w:t>
            </w:r>
            <w:r w:rsidRPr="006E4035">
              <w:rPr>
                <w:i/>
                <w:color w:val="auto"/>
                <w:sz w:val="20"/>
                <w:szCs w:val="20"/>
              </w:rPr>
              <w:fldChar w:fldCharType="begin"/>
            </w:r>
            <w:r w:rsidRPr="006E4035">
              <w:rPr>
                <w:color w:val="auto"/>
                <w:sz w:val="20"/>
                <w:szCs w:val="20"/>
              </w:rPr>
              <w:instrText xml:space="preserve"> SEQ Διάγραμμα \* ARABIC </w:instrText>
            </w:r>
            <w:r w:rsidRPr="006E4035">
              <w:rPr>
                <w:i/>
                <w:color w:val="auto"/>
                <w:sz w:val="20"/>
                <w:szCs w:val="20"/>
              </w:rPr>
              <w:fldChar w:fldCharType="separate"/>
            </w:r>
            <w:r w:rsidR="00CC05A7">
              <w:rPr>
                <w:noProof/>
                <w:color w:val="auto"/>
                <w:sz w:val="20"/>
                <w:szCs w:val="20"/>
              </w:rPr>
              <w:t>33</w:t>
            </w:r>
            <w:r w:rsidRPr="006E4035">
              <w:rPr>
                <w:i/>
                <w:color w:val="auto"/>
                <w:sz w:val="20"/>
                <w:szCs w:val="20"/>
              </w:rPr>
              <w:fldChar w:fldCharType="end"/>
            </w:r>
            <w:r w:rsidRPr="006E4035">
              <w:rPr>
                <w:color w:val="auto"/>
                <w:sz w:val="20"/>
                <w:szCs w:val="20"/>
              </w:rPr>
              <w:t>:</w:t>
            </w:r>
            <w:r w:rsidR="000E314E" w:rsidRPr="009D302C">
              <w:rPr>
                <w:rFonts w:eastAsia="Calibri" w:cs="Trebuchet MS"/>
                <w:bCs/>
                <w:color w:val="0070C0"/>
                <w:sz w:val="20"/>
                <w:szCs w:val="20"/>
              </w:rPr>
              <w:t>Ακαθάριστες Χρηματοδοτικές Ανάγκες (</w:t>
            </w:r>
            <w:r w:rsidR="000E314E" w:rsidRPr="009D302C">
              <w:rPr>
                <w:rFonts w:eastAsia="Calibri" w:cs="Trebuchet MS"/>
                <w:bCs/>
                <w:color w:val="0070C0"/>
                <w:sz w:val="20"/>
                <w:szCs w:val="20"/>
                <w:lang w:val="en-US"/>
              </w:rPr>
              <w:t>GFN</w:t>
            </w:r>
            <w:r w:rsidR="000E314E" w:rsidRPr="009D302C">
              <w:rPr>
                <w:rFonts w:eastAsia="Calibri" w:cs="Trebuchet MS"/>
                <w:bCs/>
                <w:color w:val="0070C0"/>
                <w:sz w:val="20"/>
                <w:szCs w:val="20"/>
              </w:rPr>
              <w:t>)</w:t>
            </w:r>
            <w:r w:rsidR="000E314E" w:rsidRPr="009D302C">
              <w:rPr>
                <w:rFonts w:eastAsia="Calibri" w:cs="Trebuchet MS"/>
                <w:bCs/>
                <w:color w:val="0070C0"/>
                <w:sz w:val="20"/>
                <w:szCs w:val="20"/>
                <w:vertAlign w:val="superscript"/>
              </w:rPr>
              <w:footnoteReference w:id="39"/>
            </w:r>
            <w:r w:rsidR="000E314E" w:rsidRPr="009D302C">
              <w:rPr>
                <w:rFonts w:eastAsia="Calibri" w:cs="Trebuchet MS"/>
                <w:bCs/>
                <w:color w:val="0070C0"/>
                <w:sz w:val="20"/>
                <w:szCs w:val="20"/>
              </w:rPr>
              <w:t xml:space="preserve"> ελληνικού Δημοσίου 2021-2031</w:t>
            </w:r>
            <w:r w:rsidR="009D302C">
              <w:rPr>
                <w:rFonts w:eastAsia="Calibri" w:cs="Trebuchet MS"/>
                <w:bCs/>
                <w:color w:val="0070C0"/>
                <w:sz w:val="20"/>
                <w:szCs w:val="20"/>
              </w:rPr>
              <w:t xml:space="preserve"> ως ποσοστό του ΑΕΠ</w:t>
            </w:r>
            <w:bookmarkEnd w:id="192"/>
          </w:p>
          <w:p w14:paraId="246AE59D" w14:textId="77777777" w:rsidR="000E314E" w:rsidRPr="006E4035" w:rsidRDefault="000E314E" w:rsidP="00450BC1">
            <w:pPr>
              <w:autoSpaceDE w:val="0"/>
              <w:autoSpaceDN w:val="0"/>
              <w:adjustRightInd w:val="0"/>
              <w:spacing w:after="0" w:line="240" w:lineRule="auto"/>
              <w:rPr>
                <w:rFonts w:eastAsia="Calibri" w:cs="Trebuchet MS"/>
                <w:bCs/>
                <w:color w:val="auto"/>
                <w:lang w:val="en-US"/>
              </w:rPr>
            </w:pPr>
            <w:r w:rsidRPr="006E4035">
              <w:rPr>
                <w:rFonts w:eastAsia="Calibri" w:cs="Trebuchet MS"/>
                <w:noProof/>
                <w:color w:val="auto"/>
                <w:sz w:val="24"/>
                <w:szCs w:val="24"/>
                <w:lang w:eastAsia="el-GR"/>
              </w:rPr>
              <w:drawing>
                <wp:inline distT="0" distB="0" distL="0" distR="0" wp14:anchorId="17EEF096" wp14:editId="6C0447E0">
                  <wp:extent cx="5181600" cy="3209925"/>
                  <wp:effectExtent l="0" t="0" r="0" b="9525"/>
                  <wp:docPr id="41" name="Γράφημα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3F78C1B" w14:textId="0FCB7B57" w:rsidR="000E314E" w:rsidRPr="00C602EF" w:rsidRDefault="000E314E" w:rsidP="000E314E">
            <w:pPr>
              <w:autoSpaceDE w:val="0"/>
              <w:autoSpaceDN w:val="0"/>
              <w:adjustRightInd w:val="0"/>
              <w:spacing w:after="0" w:line="360" w:lineRule="auto"/>
              <w:rPr>
                <w:rFonts w:eastAsia="Times New Roman" w:cs="Arial"/>
                <w:color w:val="00B0F0"/>
                <w:sz w:val="16"/>
                <w:szCs w:val="16"/>
                <w:lang w:val="en-US" w:eastAsia="el-GR"/>
              </w:rPr>
            </w:pPr>
            <w:r w:rsidRPr="00EF4140">
              <w:rPr>
                <w:rFonts w:eastAsia="Times New Roman" w:cs="Arial"/>
                <w:color w:val="595959" w:themeColor="text1" w:themeTint="A6"/>
                <w:sz w:val="16"/>
                <w:szCs w:val="16"/>
                <w:lang w:eastAsia="el-GR"/>
              </w:rPr>
              <w:t>Πηγή</w:t>
            </w:r>
            <w:r w:rsidRPr="00EF4140">
              <w:rPr>
                <w:rFonts w:eastAsia="Times New Roman" w:cs="Arial"/>
                <w:color w:val="595959" w:themeColor="text1" w:themeTint="A6"/>
                <w:sz w:val="16"/>
                <w:szCs w:val="16"/>
                <w:lang w:val="en-US" w:eastAsia="el-GR"/>
              </w:rPr>
              <w:t xml:space="preserve">: </w:t>
            </w:r>
            <w:r w:rsidRPr="009D302C">
              <w:rPr>
                <w:rFonts w:eastAsia="Times New Roman" w:cs="Arial"/>
                <w:color w:val="00B0F0"/>
                <w:sz w:val="16"/>
                <w:szCs w:val="16"/>
                <w:lang w:val="en-US" w:eastAsia="el-GR"/>
              </w:rPr>
              <w:t xml:space="preserve">1) </w:t>
            </w:r>
            <w:r w:rsidRPr="009D302C">
              <w:rPr>
                <w:rFonts w:eastAsia="Times New Roman" w:cs="Arial"/>
                <w:color w:val="00B0F0"/>
                <w:sz w:val="16"/>
                <w:szCs w:val="16"/>
                <w:lang w:eastAsia="el-GR"/>
              </w:rPr>
              <w:t>Εισηγητική</w:t>
            </w:r>
            <w:r w:rsidRPr="009D302C">
              <w:rPr>
                <w:rFonts w:eastAsia="Times New Roman" w:cs="Arial"/>
                <w:color w:val="00B0F0"/>
                <w:sz w:val="16"/>
                <w:szCs w:val="16"/>
                <w:lang w:val="en-US" w:eastAsia="el-GR"/>
              </w:rPr>
              <w:t xml:space="preserve"> </w:t>
            </w:r>
            <w:r w:rsidRPr="009D302C">
              <w:rPr>
                <w:rFonts w:eastAsia="Times New Roman" w:cs="Arial"/>
                <w:color w:val="00B0F0"/>
                <w:sz w:val="16"/>
                <w:szCs w:val="16"/>
                <w:lang w:eastAsia="el-GR"/>
              </w:rPr>
              <w:t>Έκθεση</w:t>
            </w:r>
            <w:r w:rsidRPr="009D302C">
              <w:rPr>
                <w:rFonts w:eastAsia="Times New Roman" w:cs="Arial"/>
                <w:color w:val="00B0F0"/>
                <w:sz w:val="16"/>
                <w:szCs w:val="16"/>
                <w:lang w:val="en-US" w:eastAsia="el-GR"/>
              </w:rPr>
              <w:t xml:space="preserve"> </w:t>
            </w:r>
            <w:r w:rsidRPr="009D302C">
              <w:rPr>
                <w:rFonts w:eastAsia="Times New Roman" w:cs="Arial"/>
                <w:color w:val="00B0F0"/>
                <w:sz w:val="16"/>
                <w:szCs w:val="16"/>
                <w:lang w:eastAsia="el-GR"/>
              </w:rPr>
              <w:t>ΚΠ</w:t>
            </w:r>
            <w:r w:rsidRPr="009D302C">
              <w:rPr>
                <w:rFonts w:eastAsia="Times New Roman" w:cs="Arial"/>
                <w:color w:val="00B0F0"/>
                <w:sz w:val="16"/>
                <w:szCs w:val="16"/>
                <w:lang w:val="en-US" w:eastAsia="el-GR"/>
              </w:rPr>
              <w:t xml:space="preserve"> 2021, 2) Stability Programme</w:t>
            </w:r>
            <w:r w:rsidR="00450BC1" w:rsidRPr="009D302C">
              <w:rPr>
                <w:rFonts w:eastAsia="Times New Roman" w:cs="Arial"/>
                <w:color w:val="00B0F0"/>
                <w:sz w:val="16"/>
                <w:szCs w:val="16"/>
                <w:lang w:val="en-US" w:eastAsia="el-GR"/>
              </w:rPr>
              <w:t xml:space="preserve"> 2022-2024</w:t>
            </w:r>
            <w:r w:rsidRPr="009D302C">
              <w:rPr>
                <w:rFonts w:eastAsia="Times New Roman" w:cs="Arial"/>
                <w:color w:val="00B0F0"/>
                <w:sz w:val="16"/>
                <w:szCs w:val="16"/>
                <w:lang w:val="en-US" w:eastAsia="el-GR"/>
              </w:rPr>
              <w:t xml:space="preserve"> </w:t>
            </w:r>
            <w:r w:rsidR="00450BC1" w:rsidRPr="009D302C">
              <w:rPr>
                <w:rFonts w:eastAsia="Times New Roman" w:cs="Arial"/>
                <w:color w:val="00B0F0"/>
                <w:sz w:val="16"/>
                <w:szCs w:val="16"/>
                <w:lang w:val="en-US" w:eastAsia="el-GR"/>
              </w:rPr>
              <w:t>3</w:t>
            </w:r>
            <w:r w:rsidRPr="009D302C">
              <w:rPr>
                <w:rFonts w:eastAsia="Times New Roman" w:cs="Arial"/>
                <w:color w:val="00B0F0"/>
                <w:sz w:val="16"/>
                <w:szCs w:val="16"/>
                <w:lang w:val="en-US" w:eastAsia="el-GR"/>
              </w:rPr>
              <w:t>)</w:t>
            </w:r>
            <w:r w:rsidRPr="009D302C">
              <w:rPr>
                <w:rFonts w:eastAsia="Times New Roman" w:cs="Arial"/>
                <w:color w:val="00B0F0"/>
                <w:sz w:val="16"/>
                <w:szCs w:val="16"/>
                <w:lang w:eastAsia="el-GR"/>
              </w:rPr>
              <w:t>Υπολογισμοί</w:t>
            </w:r>
            <w:r w:rsidRPr="009D302C">
              <w:rPr>
                <w:rFonts w:eastAsia="Times New Roman" w:cs="Arial"/>
                <w:color w:val="00B0F0"/>
                <w:sz w:val="16"/>
                <w:szCs w:val="16"/>
                <w:lang w:val="en-US" w:eastAsia="el-GR"/>
              </w:rPr>
              <w:t xml:space="preserve"> </w:t>
            </w:r>
            <w:r w:rsidRPr="009D302C">
              <w:rPr>
                <w:rFonts w:eastAsia="Times New Roman" w:cs="Arial"/>
                <w:color w:val="00B0F0"/>
                <w:sz w:val="16"/>
                <w:szCs w:val="16"/>
                <w:lang w:eastAsia="el-GR"/>
              </w:rPr>
              <w:t>ΕΔΣ</w:t>
            </w:r>
          </w:p>
          <w:p w14:paraId="53A0726C" w14:textId="71B4FCDF" w:rsidR="00EF4140" w:rsidRDefault="00EF4140" w:rsidP="00EF4140">
            <w:pPr>
              <w:autoSpaceDE w:val="0"/>
              <w:autoSpaceDN w:val="0"/>
              <w:adjustRightInd w:val="0"/>
              <w:spacing w:after="160"/>
              <w:rPr>
                <w:rFonts w:eastAsia="Calibri" w:cs="Trebuchet MS"/>
                <w:bCs/>
                <w:color w:val="auto"/>
              </w:rPr>
            </w:pPr>
            <w:r w:rsidRPr="006E4035">
              <w:rPr>
                <w:rFonts w:eastAsia="Calibri" w:cs="Trebuchet MS"/>
                <w:bCs/>
                <w:color w:val="auto"/>
              </w:rPr>
              <w:t xml:space="preserve">Εξαίρεση </w:t>
            </w:r>
            <w:r>
              <w:rPr>
                <w:rFonts w:eastAsia="Calibri" w:cs="Trebuchet MS"/>
                <w:bCs/>
                <w:color w:val="auto"/>
              </w:rPr>
              <w:t>αποτελεί</w:t>
            </w:r>
            <w:r w:rsidRPr="006E4035">
              <w:rPr>
                <w:rFonts w:eastAsia="Calibri" w:cs="Trebuchet MS"/>
                <w:bCs/>
                <w:color w:val="auto"/>
              </w:rPr>
              <w:t xml:space="preserve"> το τρέχον έτος, όπου οι ακαθάριστες χρηματοδοτικές ανάγκες θα υπερβούν προσωρινά το 15%</w:t>
            </w:r>
            <w:r>
              <w:rPr>
                <w:rFonts w:eastAsia="Calibri" w:cs="Trebuchet MS"/>
                <w:bCs/>
                <w:color w:val="auto"/>
              </w:rPr>
              <w:t xml:space="preserve"> του ΑΕΠ</w:t>
            </w:r>
            <w:r w:rsidRPr="006E4035">
              <w:rPr>
                <w:rFonts w:eastAsia="Calibri" w:cs="Trebuchet MS"/>
                <w:bCs/>
                <w:color w:val="auto"/>
                <w:vertAlign w:val="superscript"/>
              </w:rPr>
              <w:footnoteReference w:id="40"/>
            </w:r>
            <w:r w:rsidRPr="006E4035">
              <w:rPr>
                <w:rFonts w:eastAsia="Calibri" w:cs="Trebuchet MS"/>
                <w:bCs/>
                <w:color w:val="auto"/>
              </w:rPr>
              <w:t xml:space="preserve">, δεδομένου των προβλέψεων για πρωτογενές έλλειμμα της τάξης του 7,2% </w:t>
            </w:r>
            <w:r>
              <w:rPr>
                <w:rFonts w:eastAsia="Calibri" w:cs="Trebuchet MS"/>
                <w:bCs/>
                <w:color w:val="auto"/>
              </w:rPr>
              <w:t>του</w:t>
            </w:r>
            <w:r w:rsidRPr="006E4035">
              <w:rPr>
                <w:rFonts w:eastAsia="Calibri" w:cs="Trebuchet MS"/>
                <w:bCs/>
                <w:color w:val="auto"/>
              </w:rPr>
              <w:t xml:space="preserve"> ΑΕΠ</w:t>
            </w:r>
            <w:r w:rsidRPr="006E4035">
              <w:rPr>
                <w:rFonts w:eastAsia="Calibri" w:cs="Trebuchet MS"/>
                <w:bCs/>
                <w:color w:val="auto"/>
                <w:vertAlign w:val="superscript"/>
              </w:rPr>
              <w:footnoteReference w:id="41"/>
            </w:r>
            <w:r w:rsidRPr="006E4035">
              <w:rPr>
                <w:rFonts w:eastAsia="Calibri" w:cs="Trebuchet MS"/>
                <w:bCs/>
                <w:color w:val="auto"/>
              </w:rPr>
              <w:t>.</w:t>
            </w:r>
            <w:r>
              <w:rPr>
                <w:rFonts w:eastAsia="Calibri" w:cs="Trebuchet MS"/>
                <w:bCs/>
                <w:color w:val="auto"/>
              </w:rPr>
              <w:t xml:space="preserve"> </w:t>
            </w:r>
            <w:r w:rsidRPr="006E4035">
              <w:rPr>
                <w:rFonts w:eastAsia="Calibri" w:cs="Trebuchet MS"/>
                <w:bCs/>
                <w:color w:val="auto"/>
              </w:rPr>
              <w:t xml:space="preserve">Το χαμηλό ποσοστό ακαθάριστων χρηματοδοτικών αναγκών ως προς το ΑΕΠ είναι ένας </w:t>
            </w:r>
            <w:r>
              <w:rPr>
                <w:rFonts w:eastAsia="Calibri" w:cs="Trebuchet MS"/>
                <w:bCs/>
                <w:color w:val="auto"/>
              </w:rPr>
              <w:t>επι</w:t>
            </w:r>
            <w:r w:rsidR="00651B9C">
              <w:rPr>
                <w:rFonts w:eastAsia="Calibri" w:cs="Trebuchet MS"/>
                <w:bCs/>
                <w:color w:val="auto"/>
              </w:rPr>
              <w:t>π</w:t>
            </w:r>
            <w:r>
              <w:rPr>
                <w:rFonts w:eastAsia="Calibri" w:cs="Trebuchet MS"/>
                <w:bCs/>
                <w:color w:val="auto"/>
              </w:rPr>
              <w:t>λέον</w:t>
            </w:r>
            <w:r w:rsidRPr="006E4035">
              <w:rPr>
                <w:rFonts w:eastAsia="Calibri" w:cs="Trebuchet MS"/>
                <w:bCs/>
                <w:color w:val="auto"/>
              </w:rPr>
              <w:t xml:space="preserve"> παράγοντας που θα συμβάλει σημαντικά στην ομαλή διαχείριση του ελληνικού δημοσίου χρέους τα επόμενα χρόνια.</w:t>
            </w:r>
          </w:p>
          <w:p w14:paraId="0C476F88" w14:textId="77777777" w:rsidR="009D302C" w:rsidRPr="00EF4140" w:rsidRDefault="009D302C" w:rsidP="000E314E">
            <w:pPr>
              <w:autoSpaceDE w:val="0"/>
              <w:autoSpaceDN w:val="0"/>
              <w:adjustRightInd w:val="0"/>
              <w:spacing w:after="0" w:line="360" w:lineRule="auto"/>
              <w:rPr>
                <w:rFonts w:eastAsia="Times New Roman" w:cs="Arial"/>
                <w:color w:val="auto"/>
                <w:sz w:val="16"/>
                <w:szCs w:val="16"/>
                <w:lang w:eastAsia="el-GR"/>
              </w:rPr>
            </w:pPr>
          </w:p>
          <w:p w14:paraId="365F4CFC" w14:textId="77777777" w:rsidR="000E314E" w:rsidRPr="006E4035" w:rsidRDefault="000E314E" w:rsidP="000E314E">
            <w:pPr>
              <w:autoSpaceDE w:val="0"/>
              <w:autoSpaceDN w:val="0"/>
              <w:adjustRightInd w:val="0"/>
              <w:spacing w:after="160" w:line="240" w:lineRule="auto"/>
              <w:rPr>
                <w:rFonts w:eastAsia="Times New Roman" w:cs="Arial"/>
                <w:b/>
                <w:color w:val="auto"/>
                <w:lang w:eastAsia="el-GR"/>
              </w:rPr>
            </w:pPr>
            <w:r w:rsidRPr="006E4035">
              <w:rPr>
                <w:rFonts w:eastAsia="Times New Roman" w:cs="Arial"/>
                <w:b/>
                <w:color w:val="auto"/>
                <w:lang w:eastAsia="el-GR"/>
              </w:rPr>
              <w:t>γ) Η Νομισματική Πολιτική της ΕΚΤ</w:t>
            </w:r>
          </w:p>
          <w:p w14:paraId="06608D27" w14:textId="03FA5622" w:rsidR="003E2548" w:rsidRPr="006E4035" w:rsidRDefault="00850AD9" w:rsidP="00D66C6A">
            <w:pPr>
              <w:autoSpaceDE w:val="0"/>
              <w:autoSpaceDN w:val="0"/>
              <w:adjustRightInd w:val="0"/>
              <w:spacing w:after="160"/>
              <w:rPr>
                <w:rFonts w:eastAsia="Times New Roman" w:cstheme="minorHAnsi"/>
                <w:b/>
                <w:color w:val="auto"/>
                <w:kern w:val="36"/>
                <w:lang w:eastAsia="el-GR"/>
              </w:rPr>
            </w:pPr>
            <w:r w:rsidRPr="006E4035">
              <w:rPr>
                <w:rFonts w:eastAsia="Times New Roman" w:cs="Arial"/>
                <w:color w:val="auto"/>
                <w:lang w:eastAsia="el-GR"/>
              </w:rPr>
              <w:t xml:space="preserve">Τα έκτακτα μέτρα που εφάρμοσε η ΕΚΤ στην περίοδο της κρίσης, συγκράτησαν τα επιτόκια των ομολόγων του ελληνικού </w:t>
            </w:r>
            <w:r w:rsidR="00D66C6A">
              <w:rPr>
                <w:rFonts w:eastAsia="Times New Roman" w:cs="Arial"/>
                <w:color w:val="auto"/>
                <w:lang w:eastAsia="el-GR"/>
              </w:rPr>
              <w:t>Δ</w:t>
            </w:r>
            <w:r w:rsidRPr="006E4035">
              <w:rPr>
                <w:rFonts w:eastAsia="Times New Roman" w:cs="Arial"/>
                <w:color w:val="auto"/>
                <w:lang w:eastAsia="el-GR"/>
              </w:rPr>
              <w:t xml:space="preserve">ημοσίου χαμηλά και μείωσαν σημαντικά τη μεταβλητότητά τους. Οι παρεμβάσεις της ΕΚΤ εν μέσω της πανδημικής κρίσης, κυρίως μέσω του </w:t>
            </w:r>
            <w:hyperlink r:id="rId49" w:history="1">
              <w:r w:rsidRPr="006E4035">
                <w:rPr>
                  <w:rFonts w:eastAsia="Times New Roman" w:cs="Arial"/>
                  <w:color w:val="auto"/>
                  <w:lang w:eastAsia="el-GR"/>
                </w:rPr>
                <w:t xml:space="preserve">Pandemic Emergency </w:t>
              </w:r>
              <w:r w:rsidRPr="006E4035">
                <w:rPr>
                  <w:rFonts w:eastAsia="Times New Roman" w:cs="Arial"/>
                  <w:color w:val="auto"/>
                  <w:lang w:val="en-US" w:eastAsia="el-GR"/>
                </w:rPr>
                <w:t>P</w:t>
              </w:r>
              <w:r w:rsidRPr="006E4035">
                <w:rPr>
                  <w:rFonts w:eastAsia="Times New Roman" w:cs="Arial"/>
                  <w:color w:val="auto"/>
                  <w:lang w:eastAsia="el-GR"/>
                </w:rPr>
                <w:t>urchase Programme (PEPP)</w:t>
              </w:r>
            </w:hyperlink>
            <w:r w:rsidRPr="006E4035">
              <w:rPr>
                <w:rFonts w:eastAsia="Times New Roman" w:cs="Arial"/>
                <w:color w:val="auto"/>
                <w:lang w:eastAsia="el-GR"/>
              </w:rPr>
              <w:t xml:space="preserve"> και η αποδοχή των ομολόγων του ελληνικού Δημοσίου στ</w:t>
            </w:r>
            <w:r>
              <w:rPr>
                <w:rFonts w:eastAsia="Times New Roman" w:cs="Arial"/>
                <w:color w:val="auto"/>
                <w:lang w:eastAsia="el-GR"/>
              </w:rPr>
              <w:t>ο πρόγραμμα αυτό, διαμόρφωσε εκ</w:t>
            </w:r>
            <w:r w:rsidRPr="006E4035">
              <w:rPr>
                <w:rFonts w:eastAsia="Times New Roman" w:cs="Arial"/>
                <w:color w:val="auto"/>
                <w:lang w:eastAsia="el-GR"/>
              </w:rPr>
              <w:t xml:space="preserve"> νέου ευνοϊκές χρηματοδοτικές συνθήκες. Τα περιθώρια των επιτοκίων μειώθηκαν σημαντικά, με θετικό αντίκτυπο στην ελληνική χρηματοπιστωτική αγορά και το τραπεζικό σύστημα. Το</w:t>
            </w:r>
            <w:r>
              <w:rPr>
                <w:rFonts w:eastAsia="Times New Roman" w:cs="Arial"/>
                <w:color w:val="auto"/>
                <w:lang w:eastAsia="el-GR"/>
              </w:rPr>
              <w:t>ν</w:t>
            </w:r>
            <w:r w:rsidRPr="006E4035">
              <w:rPr>
                <w:rFonts w:eastAsia="Times New Roman" w:cs="Arial"/>
                <w:color w:val="auto"/>
                <w:lang w:eastAsia="el-GR"/>
              </w:rPr>
              <w:t xml:space="preserve"> Δεκέμβριο του 2020, το πρόγραμμα αγοράς ομολόγων κατά της </w:t>
            </w:r>
            <w:hyperlink r:id="rId50" w:tgtFrame="_blank" w:history="1">
              <w:r w:rsidRPr="006E4035">
                <w:rPr>
                  <w:rFonts w:eastAsia="Times New Roman" w:cs="Arial"/>
                  <w:color w:val="auto"/>
                  <w:lang w:eastAsia="el-GR"/>
                </w:rPr>
                <w:t>πανδημίας </w:t>
              </w:r>
            </w:hyperlink>
            <w:r w:rsidRPr="006E4035">
              <w:rPr>
                <w:rFonts w:eastAsia="Times New Roman" w:cs="Arial"/>
                <w:color w:val="auto"/>
                <w:lang w:eastAsia="el-GR"/>
              </w:rPr>
              <w:t>της ΕΚΤ επεκτάθηκε στα 1,85 τρισ. ευρώ και η αξία των ελληνικών τίτλων που συμμετείχαν στο πρόγραμμα αντιστοιχούσε σε 20 δισ. ευρώ, διευκολύνοντας, μέσω της αποκλιμάκωσης των επιτοκίων δανεισμού που προ</w:t>
            </w:r>
            <w:r>
              <w:rPr>
                <w:rFonts w:eastAsia="Times New Roman" w:cs="Arial"/>
                <w:color w:val="auto"/>
                <w:lang w:eastAsia="el-GR"/>
              </w:rPr>
              <w:t>κλήθηκε</w:t>
            </w:r>
            <w:r w:rsidRPr="006E4035">
              <w:rPr>
                <w:rFonts w:eastAsia="Times New Roman" w:cs="Arial"/>
                <w:color w:val="auto"/>
                <w:lang w:eastAsia="el-GR"/>
              </w:rPr>
              <w:t>, την πρόσβαση της χώρας στις αγορές. Παράλληλα η ΕΚΤ, έκανε κατ΄ εξαίρεση</w:t>
            </w:r>
            <w:r w:rsidRPr="006E4035">
              <w:rPr>
                <w:rFonts w:eastAsia="Times New Roman" w:cs="Arial"/>
                <w:color w:val="auto"/>
                <w:vertAlign w:val="superscript"/>
                <w:lang w:eastAsia="el-GR"/>
              </w:rPr>
              <w:footnoteReference w:id="42"/>
            </w:r>
            <w:r>
              <w:rPr>
                <w:rFonts w:eastAsia="Times New Roman" w:cs="Arial"/>
                <w:color w:val="auto"/>
                <w:lang w:eastAsia="el-GR"/>
              </w:rPr>
              <w:t xml:space="preserve"> </w:t>
            </w:r>
            <w:r w:rsidRPr="006E4035">
              <w:rPr>
                <w:rFonts w:eastAsia="Times New Roman" w:cs="Arial"/>
                <w:color w:val="auto"/>
                <w:lang w:eastAsia="el-GR"/>
              </w:rPr>
              <w:t xml:space="preserve">δεκτά τα ελληνικά ομόλογα στις πράξεις νομισματικής πολιτικής, γεγονός που επέτρεψε </w:t>
            </w:r>
            <w:r w:rsidR="00D66C6A">
              <w:rPr>
                <w:rFonts w:eastAsia="Times New Roman" w:cs="Arial"/>
                <w:color w:val="auto"/>
                <w:lang w:eastAsia="el-GR"/>
              </w:rPr>
              <w:t>την</w:t>
            </w:r>
            <w:r w:rsidRPr="006E4035">
              <w:rPr>
                <w:rFonts w:eastAsia="Times New Roman" w:cs="Arial"/>
                <w:color w:val="auto"/>
                <w:lang w:eastAsia="el-GR"/>
              </w:rPr>
              <w:t xml:space="preserve"> αποδοχή τους ως ενέχυρο για τη χορήγηση δανείων στις εμπορικές τράπεζες, και επομένως την παροχή ρευστότητας στην ελληνική οικονομία. Τέλος, αξίζει να σημειωθεί ότι η ισχύς του </w:t>
            </w:r>
            <w:r w:rsidRPr="006E4035">
              <w:rPr>
                <w:rFonts w:eastAsia="Times New Roman" w:cs="Arial"/>
                <w:color w:val="auto"/>
                <w:lang w:val="en-US" w:eastAsia="el-GR"/>
              </w:rPr>
              <w:t>PEPP</w:t>
            </w:r>
            <w:r w:rsidRPr="006E4035">
              <w:rPr>
                <w:rFonts w:eastAsia="Times New Roman" w:cs="Arial"/>
                <w:color w:val="auto"/>
                <w:lang w:eastAsia="el-GR"/>
              </w:rPr>
              <w:t xml:space="preserve"> θα διαρκέσει τουλάχιστον έως το τέλος του 1</w:t>
            </w:r>
            <w:r w:rsidRPr="006E4035">
              <w:rPr>
                <w:rFonts w:eastAsia="Times New Roman" w:cs="Arial"/>
                <w:color w:val="auto"/>
                <w:vertAlign w:val="superscript"/>
                <w:lang w:eastAsia="el-GR"/>
              </w:rPr>
              <w:t>ου</w:t>
            </w:r>
            <w:r w:rsidRPr="006E4035">
              <w:rPr>
                <w:rFonts w:eastAsia="Times New Roman" w:cs="Arial"/>
                <w:color w:val="auto"/>
                <w:lang w:eastAsia="el-GR"/>
              </w:rPr>
              <w:t xml:space="preserve"> τριμήνου του 2022, </w:t>
            </w:r>
            <w:r>
              <w:rPr>
                <w:rFonts w:eastAsia="Times New Roman" w:cs="Arial"/>
                <w:color w:val="auto"/>
                <w:lang w:eastAsia="el-GR"/>
              </w:rPr>
              <w:t xml:space="preserve">εφόσον </w:t>
            </w:r>
            <w:r w:rsidRPr="006E4035">
              <w:rPr>
                <w:rFonts w:eastAsia="Times New Roman" w:cs="Arial"/>
                <w:color w:val="auto"/>
                <w:lang w:eastAsia="el-GR"/>
              </w:rPr>
              <w:t>εξομ</w:t>
            </w:r>
            <w:r>
              <w:rPr>
                <w:rFonts w:eastAsia="Times New Roman" w:cs="Arial"/>
                <w:color w:val="auto"/>
                <w:lang w:eastAsia="el-GR"/>
              </w:rPr>
              <w:t>α</w:t>
            </w:r>
            <w:r w:rsidRPr="006E4035">
              <w:rPr>
                <w:rFonts w:eastAsia="Times New Roman" w:cs="Arial"/>
                <w:color w:val="auto"/>
                <w:lang w:eastAsia="el-GR"/>
              </w:rPr>
              <w:t>λυν</w:t>
            </w:r>
            <w:r>
              <w:rPr>
                <w:rFonts w:eastAsia="Times New Roman" w:cs="Arial"/>
                <w:color w:val="auto"/>
                <w:lang w:eastAsia="el-GR"/>
              </w:rPr>
              <w:t>θούν</w:t>
            </w:r>
            <w:r w:rsidRPr="006E4035">
              <w:rPr>
                <w:rFonts w:eastAsia="Times New Roman" w:cs="Arial"/>
                <w:color w:val="auto"/>
                <w:lang w:eastAsia="el-GR"/>
              </w:rPr>
              <w:t xml:space="preserve"> </w:t>
            </w:r>
            <w:r>
              <w:rPr>
                <w:rFonts w:eastAsia="Times New Roman" w:cs="Arial"/>
                <w:color w:val="auto"/>
                <w:lang w:eastAsia="el-GR"/>
              </w:rPr>
              <w:t>οι</w:t>
            </w:r>
            <w:r w:rsidRPr="006E4035">
              <w:rPr>
                <w:rFonts w:eastAsia="Times New Roman" w:cs="Arial"/>
                <w:color w:val="auto"/>
                <w:lang w:eastAsia="el-GR"/>
              </w:rPr>
              <w:t xml:space="preserve"> συνθ</w:t>
            </w:r>
            <w:r>
              <w:rPr>
                <w:rFonts w:eastAsia="Times New Roman" w:cs="Arial"/>
                <w:color w:val="auto"/>
                <w:lang w:eastAsia="el-GR"/>
              </w:rPr>
              <w:t>ή</w:t>
            </w:r>
            <w:r w:rsidRPr="006E4035">
              <w:rPr>
                <w:rFonts w:eastAsia="Times New Roman" w:cs="Arial"/>
                <w:color w:val="auto"/>
                <w:lang w:eastAsia="el-GR"/>
              </w:rPr>
              <w:t>κ</w:t>
            </w:r>
            <w:r>
              <w:rPr>
                <w:rFonts w:eastAsia="Times New Roman" w:cs="Arial"/>
                <w:color w:val="auto"/>
                <w:lang w:eastAsia="el-GR"/>
              </w:rPr>
              <w:t>ες</w:t>
            </w:r>
            <w:r w:rsidRPr="006E4035">
              <w:rPr>
                <w:rFonts w:eastAsia="Times New Roman" w:cs="Arial"/>
                <w:color w:val="auto"/>
                <w:lang w:eastAsia="el-GR"/>
              </w:rPr>
              <w:t xml:space="preserve"> στην οικονομία της Ευρωζώνης </w:t>
            </w:r>
            <w:r>
              <w:rPr>
                <w:rFonts w:eastAsia="Times New Roman" w:cs="Arial"/>
                <w:color w:val="auto"/>
                <w:lang w:eastAsia="el-GR"/>
              </w:rPr>
              <w:t xml:space="preserve">και ξεπεραστεί η </w:t>
            </w:r>
            <w:r w:rsidRPr="006E4035">
              <w:rPr>
                <w:rFonts w:eastAsia="Times New Roman" w:cs="Arial"/>
                <w:color w:val="auto"/>
                <w:lang w:eastAsia="el-GR"/>
              </w:rPr>
              <w:t xml:space="preserve">πανδημική κρίση. Έως τότε, θεωρείται εφικτή η κατάταξη των ελληνικών τίτλων σε επενδυτική βαθμίδα από τους οίκους πιστοληπτικής αξιολόγησης, γεγονός που θα </w:t>
            </w:r>
            <w:r w:rsidR="00D66C6A">
              <w:rPr>
                <w:rFonts w:eastAsia="Times New Roman" w:cs="Arial"/>
                <w:color w:val="auto"/>
                <w:lang w:eastAsia="el-GR"/>
              </w:rPr>
              <w:t>επιτρέψει</w:t>
            </w:r>
            <w:r w:rsidRPr="006E4035">
              <w:rPr>
                <w:rFonts w:eastAsia="Times New Roman" w:cs="Arial"/>
                <w:color w:val="auto"/>
                <w:lang w:eastAsia="el-GR"/>
              </w:rPr>
              <w:t xml:space="preserve"> την </w:t>
            </w:r>
            <w:r>
              <w:rPr>
                <w:rFonts w:eastAsia="Times New Roman" w:cs="Arial"/>
                <w:color w:val="auto"/>
                <w:lang w:eastAsia="el-GR"/>
              </w:rPr>
              <w:t xml:space="preserve">ελληνική </w:t>
            </w:r>
            <w:r w:rsidRPr="006E4035">
              <w:rPr>
                <w:rFonts w:eastAsia="Times New Roman" w:cs="Arial"/>
                <w:color w:val="auto"/>
                <w:lang w:eastAsia="el-GR"/>
              </w:rPr>
              <w:t>συμμετοχή στο τακτικό πρόγραμμα ποσοτικής χαλάρωσης της ΕΚΤ (</w:t>
            </w:r>
            <w:r w:rsidRPr="006E4035">
              <w:rPr>
                <w:rFonts w:eastAsia="Times New Roman" w:cs="Arial"/>
                <w:color w:val="auto"/>
                <w:lang w:val="en-US" w:eastAsia="el-GR"/>
              </w:rPr>
              <w:t>APP</w:t>
            </w:r>
            <w:r w:rsidRPr="006E4035">
              <w:rPr>
                <w:rFonts w:eastAsia="Times New Roman" w:cs="Arial"/>
                <w:color w:val="auto"/>
                <w:lang w:eastAsia="el-GR"/>
              </w:rPr>
              <w:t>)</w:t>
            </w:r>
            <w:r w:rsidR="000E314E" w:rsidRPr="006E4035">
              <w:rPr>
                <w:rFonts w:eastAsia="Times New Roman" w:cs="Arial"/>
                <w:color w:val="auto"/>
                <w:lang w:eastAsia="el-GR"/>
              </w:rPr>
              <w:t>.</w:t>
            </w:r>
          </w:p>
        </w:tc>
      </w:tr>
    </w:tbl>
    <w:p w14:paraId="20BFC942" w14:textId="77777777" w:rsidR="003E2548" w:rsidRPr="001657CF" w:rsidRDefault="003E2548" w:rsidP="00817AF3">
      <w:pPr>
        <w:autoSpaceDE w:val="0"/>
        <w:autoSpaceDN w:val="0"/>
        <w:adjustRightInd w:val="0"/>
        <w:spacing w:after="160"/>
        <w:rPr>
          <w:rFonts w:eastAsia="Calibri" w:cs="Times New Roman"/>
          <w:bCs/>
          <w:color w:val="auto"/>
        </w:rPr>
      </w:pPr>
    </w:p>
    <w:p w14:paraId="178BB143" w14:textId="5E19C402" w:rsidR="00817AF3" w:rsidRDefault="00817AF3">
      <w:pPr>
        <w:spacing w:after="160" w:line="0" w:lineRule="auto"/>
        <w:jc w:val="left"/>
        <w:rPr>
          <w:rFonts w:cstheme="minorHAnsi"/>
          <w:color w:val="auto"/>
        </w:rPr>
      </w:pPr>
      <w:r>
        <w:rPr>
          <w:rFonts w:cstheme="minorHAnsi"/>
          <w:color w:val="auto"/>
        </w:rPr>
        <w:br w:type="page"/>
      </w:r>
    </w:p>
    <w:p w14:paraId="753B0C77" w14:textId="3867FC0E" w:rsidR="002F5A77" w:rsidRPr="008F2FB2" w:rsidRDefault="005072FE" w:rsidP="00D07140">
      <w:pPr>
        <w:pStyle w:val="a0"/>
        <w:numPr>
          <w:ilvl w:val="0"/>
          <w:numId w:val="3"/>
        </w:numPr>
        <w:ind w:left="0"/>
        <w:rPr>
          <w:color w:val="00B0F0"/>
          <w:sz w:val="32"/>
          <w:szCs w:val="32"/>
        </w:rPr>
      </w:pPr>
      <w:bookmarkStart w:id="193" w:name="_Toc73435759"/>
      <w:r w:rsidRPr="008F2FB2">
        <w:rPr>
          <w:color w:val="00B0F0"/>
          <w:sz w:val="32"/>
          <w:szCs w:val="32"/>
        </w:rPr>
        <w:t>Δημοσιονομικοί στόχοι για το 2021</w:t>
      </w:r>
      <w:bookmarkEnd w:id="193"/>
    </w:p>
    <w:p w14:paraId="3FF9365D" w14:textId="0FFA0AD1" w:rsidR="00470AC2" w:rsidRPr="00470AC2" w:rsidRDefault="00E61F69" w:rsidP="00E61F69">
      <w:pPr>
        <w:pStyle w:val="ListParagraph"/>
        <w:numPr>
          <w:ilvl w:val="1"/>
          <w:numId w:val="6"/>
        </w:numPr>
        <w:ind w:left="851"/>
        <w:rPr>
          <w:rFonts w:eastAsia="Calibri" w:cs="Times New Roman"/>
          <w:b/>
          <w:iCs/>
          <w:color w:val="808080" w:themeColor="background1" w:themeShade="80"/>
        </w:rPr>
      </w:pPr>
      <w:r w:rsidRPr="00E61F69">
        <w:rPr>
          <w:rFonts w:eastAsia="Calibri" w:cs="Times New Roman"/>
          <w:b/>
          <w:iCs/>
          <w:color w:val="808080" w:themeColor="background1" w:themeShade="80"/>
        </w:rPr>
        <w:t>Πολύ πιθανό το πρωτογενές έλλειμμα να κυμανθεί κοντά στο 7% του ΑΕΠ το 2021, όπως προβλέπει το ελληνικό Πρόγραμμα Σταθερότητας 2022-2024</w:t>
      </w:r>
      <w:r w:rsidR="00470AC2" w:rsidRPr="00470AC2">
        <w:rPr>
          <w:rFonts w:eastAsia="Calibri" w:cs="Times New Roman"/>
          <w:b/>
          <w:iCs/>
          <w:color w:val="808080" w:themeColor="background1" w:themeShade="80"/>
        </w:rPr>
        <w:t>.</w:t>
      </w:r>
    </w:p>
    <w:p w14:paraId="05C94A2D" w14:textId="77777777" w:rsidR="00FE1977" w:rsidRPr="002F5A77" w:rsidRDefault="00FE1977" w:rsidP="00FE1977">
      <w:pPr>
        <w:spacing w:after="160" w:line="259" w:lineRule="auto"/>
        <w:ind w:left="425"/>
        <w:rPr>
          <w:rFonts w:eastAsia="Calibri" w:cs="Times New Roman"/>
          <w:b/>
          <w:iCs/>
          <w:color w:val="808080" w:themeColor="background1" w:themeShade="80"/>
        </w:rPr>
      </w:pPr>
    </w:p>
    <w:p w14:paraId="739F980C" w14:textId="7EDBF21D" w:rsidR="00E920C7" w:rsidRDefault="00E61F69" w:rsidP="00E920C7">
      <w:pPr>
        <w:rPr>
          <w:color w:val="auto"/>
        </w:rPr>
      </w:pPr>
      <w:r w:rsidRPr="00E920C7">
        <w:rPr>
          <w:color w:val="auto"/>
        </w:rPr>
        <w:t>Η σταδιακή άρση των περιορισμών τη</w:t>
      </w:r>
      <w:r>
        <w:rPr>
          <w:color w:val="auto"/>
        </w:rPr>
        <w:t>ς</w:t>
      </w:r>
      <w:r w:rsidRPr="00E920C7">
        <w:rPr>
          <w:color w:val="auto"/>
        </w:rPr>
        <w:t xml:space="preserve"> οικονομική</w:t>
      </w:r>
      <w:r>
        <w:rPr>
          <w:color w:val="auto"/>
        </w:rPr>
        <w:t>ς</w:t>
      </w:r>
      <w:r w:rsidRPr="00E920C7">
        <w:rPr>
          <w:color w:val="auto"/>
        </w:rPr>
        <w:t xml:space="preserve"> και κοινωνική</w:t>
      </w:r>
      <w:r>
        <w:rPr>
          <w:color w:val="auto"/>
        </w:rPr>
        <w:t>ς</w:t>
      </w:r>
      <w:r w:rsidRPr="00E920C7">
        <w:rPr>
          <w:color w:val="auto"/>
        </w:rPr>
        <w:t xml:space="preserve"> δραστηριότητα</w:t>
      </w:r>
      <w:r>
        <w:rPr>
          <w:color w:val="auto"/>
        </w:rPr>
        <w:t>ς</w:t>
      </w:r>
      <w:r w:rsidRPr="00E920C7">
        <w:rPr>
          <w:color w:val="auto"/>
        </w:rPr>
        <w:t xml:space="preserve"> </w:t>
      </w:r>
      <w:r w:rsidR="00277732">
        <w:rPr>
          <w:color w:val="auto"/>
        </w:rPr>
        <w:t xml:space="preserve">οι οποίοι </w:t>
      </w:r>
      <w:r w:rsidRPr="00E920C7">
        <w:rPr>
          <w:color w:val="auto"/>
        </w:rPr>
        <w:t xml:space="preserve">επιβλήθηκαν </w:t>
      </w:r>
      <w:r>
        <w:rPr>
          <w:color w:val="auto"/>
        </w:rPr>
        <w:t>λόγω της πανδημίας</w:t>
      </w:r>
      <w:r w:rsidRPr="00E920C7">
        <w:rPr>
          <w:color w:val="auto"/>
        </w:rPr>
        <w:t xml:space="preserve"> δημιουργούν δικαιολογημένες προσδοκίες ότι η ελληνική οικονομία κατά το έτος 2021 θα </w:t>
      </w:r>
      <w:r>
        <w:rPr>
          <w:color w:val="auto"/>
        </w:rPr>
        <w:t xml:space="preserve">έχει </w:t>
      </w:r>
      <w:r w:rsidRPr="00E920C7">
        <w:rPr>
          <w:color w:val="auto"/>
        </w:rPr>
        <w:t>θετικό ρυθμό μεγέθυνσης, το ύψος τ</w:t>
      </w:r>
      <w:r>
        <w:rPr>
          <w:color w:val="auto"/>
        </w:rPr>
        <w:t>ου οποίου</w:t>
      </w:r>
      <w:r w:rsidRPr="00E920C7">
        <w:rPr>
          <w:color w:val="auto"/>
        </w:rPr>
        <w:t xml:space="preserve"> θα εξαρτηθεί σε μεγάλο βαθμό από τον ρυθμό απορρόφησης των ευρωπαϊκών κεφαλαίων στήριξης και από την πορεία του τουρισμού. Υπό αυτό το πρίσμα, όσο προσεγγίζεται ο στόχος για αύξηση του πραγματικού ΑΕΠ με ρυθμό 3,6% το 2021, τόσο περισσότερες είναι οι πιθανότητες </w:t>
      </w:r>
      <w:r w:rsidR="00277732">
        <w:rPr>
          <w:color w:val="auto"/>
        </w:rPr>
        <w:t>να επαληθευθ</w:t>
      </w:r>
      <w:r>
        <w:rPr>
          <w:color w:val="auto"/>
        </w:rPr>
        <w:t xml:space="preserve">εί </w:t>
      </w:r>
      <w:r w:rsidRPr="00E920C7">
        <w:rPr>
          <w:color w:val="auto"/>
        </w:rPr>
        <w:t>η πρόβλεψη για πρωτογενές έλλειμμα της τάξης του 7,2% του ΑΕΠ, σύμφωνα με το Πρόγραμμα Σταθερότητας 2022-2024</w:t>
      </w:r>
      <w:r>
        <w:rPr>
          <w:color w:val="auto"/>
        </w:rPr>
        <w:t xml:space="preserve"> και να μην υπάρξει υπέρβαση</w:t>
      </w:r>
      <w:r w:rsidR="00E920C7" w:rsidRPr="00E920C7">
        <w:rPr>
          <w:color w:val="auto"/>
        </w:rPr>
        <w:t>.</w:t>
      </w:r>
    </w:p>
    <w:p w14:paraId="64C3CC0D" w14:textId="3D72FFEA" w:rsidR="00E920C7" w:rsidRPr="007D6510" w:rsidRDefault="00E920C7" w:rsidP="00E920C7">
      <w:pPr>
        <w:spacing w:after="0" w:line="240" w:lineRule="auto"/>
        <w:rPr>
          <w:color w:val="auto"/>
        </w:rPr>
      </w:pPr>
      <w:bookmarkStart w:id="194" w:name="_Ref72513832"/>
      <w:bookmarkStart w:id="195" w:name="_Toc73435784"/>
      <w:r w:rsidRPr="007D6510">
        <w:rPr>
          <w:rFonts w:eastAsia="Calibri" w:cs="Times New Roman"/>
          <w:iCs/>
          <w:sz w:val="20"/>
          <w:szCs w:val="20"/>
        </w:rPr>
        <w:t xml:space="preserve">Πίνακας </w:t>
      </w:r>
      <w:r w:rsidRPr="007D6510">
        <w:rPr>
          <w:rFonts w:eastAsia="Calibri" w:cs="Times New Roman"/>
          <w:iCs/>
          <w:sz w:val="20"/>
          <w:szCs w:val="20"/>
        </w:rPr>
        <w:fldChar w:fldCharType="begin"/>
      </w:r>
      <w:r w:rsidRPr="007D6510">
        <w:rPr>
          <w:rFonts w:eastAsia="Calibri" w:cs="Times New Roman"/>
          <w:iCs/>
          <w:sz w:val="20"/>
          <w:szCs w:val="20"/>
        </w:rPr>
        <w:instrText xml:space="preserve"> SEQ Πίνακας \* ARABIC </w:instrText>
      </w:r>
      <w:r w:rsidRPr="007D6510">
        <w:rPr>
          <w:rFonts w:eastAsia="Calibri" w:cs="Times New Roman"/>
          <w:iCs/>
          <w:sz w:val="20"/>
          <w:szCs w:val="20"/>
        </w:rPr>
        <w:fldChar w:fldCharType="separate"/>
      </w:r>
      <w:r w:rsidR="00CC05A7">
        <w:rPr>
          <w:rFonts w:eastAsia="Calibri" w:cs="Times New Roman"/>
          <w:iCs/>
          <w:noProof/>
          <w:sz w:val="20"/>
          <w:szCs w:val="20"/>
        </w:rPr>
        <w:t>23</w:t>
      </w:r>
      <w:r w:rsidRPr="007D6510">
        <w:rPr>
          <w:rFonts w:eastAsia="Calibri" w:cs="Times New Roman"/>
          <w:iCs/>
          <w:sz w:val="20"/>
          <w:szCs w:val="20"/>
        </w:rPr>
        <w:fldChar w:fldCharType="end"/>
      </w:r>
      <w:bookmarkEnd w:id="194"/>
      <w:r w:rsidRPr="007D6510">
        <w:rPr>
          <w:rFonts w:eastAsia="Calibri" w:cs="Times New Roman"/>
          <w:iCs/>
          <w:sz w:val="20"/>
          <w:szCs w:val="20"/>
        </w:rPr>
        <w:t>:</w:t>
      </w:r>
      <w:r w:rsidRPr="007D6510">
        <w:rPr>
          <w:rFonts w:asciiTheme="minorHAnsi" w:hAnsiTheme="minorHAnsi" w:cstheme="minorHAnsi"/>
          <w:sz w:val="20"/>
          <w:szCs w:val="20"/>
        </w:rPr>
        <w:t xml:space="preserve"> </w:t>
      </w:r>
      <w:r w:rsidRPr="007D6510">
        <w:rPr>
          <w:rFonts w:eastAsia="Calibri"/>
          <w:iCs/>
          <w:sz w:val="20"/>
          <w:szCs w:val="20"/>
        </w:rPr>
        <w:t xml:space="preserve"> </w:t>
      </w:r>
      <w:r w:rsidRPr="007D6510">
        <w:rPr>
          <w:rFonts w:eastAsia="Calibri"/>
          <w:iCs/>
          <w:color w:val="00B0F0"/>
          <w:sz w:val="20"/>
          <w:szCs w:val="20"/>
        </w:rPr>
        <w:t>Δημοσιονομικό αποτέλεσμα 2021</w:t>
      </w:r>
      <w:bookmarkEnd w:id="195"/>
    </w:p>
    <w:tbl>
      <w:tblPr>
        <w:tblStyle w:val="42"/>
        <w:tblW w:w="0" w:type="auto"/>
        <w:tblLook w:val="04A0" w:firstRow="1" w:lastRow="0" w:firstColumn="1" w:lastColumn="0" w:noHBand="0" w:noVBand="1"/>
      </w:tblPr>
      <w:tblGrid>
        <w:gridCol w:w="2074"/>
        <w:gridCol w:w="2074"/>
        <w:gridCol w:w="2074"/>
        <w:gridCol w:w="2074"/>
      </w:tblGrid>
      <w:tr w:rsidR="00E920C7" w:rsidRPr="00E920C7" w14:paraId="2D77DDD4" w14:textId="77777777" w:rsidTr="00E920C7">
        <w:tc>
          <w:tcPr>
            <w:tcW w:w="2074" w:type="dxa"/>
            <w:shd w:val="clear" w:color="auto" w:fill="BDD6EE" w:themeFill="accent1" w:themeFillTint="66"/>
          </w:tcPr>
          <w:p w14:paraId="4C98F55A" w14:textId="77777777" w:rsidR="00E920C7" w:rsidRPr="00E920C7" w:rsidRDefault="00E920C7" w:rsidP="00E920C7">
            <w:pPr>
              <w:spacing w:after="0" w:line="240" w:lineRule="auto"/>
              <w:jc w:val="left"/>
              <w:rPr>
                <w:color w:val="auto"/>
                <w:sz w:val="20"/>
                <w:szCs w:val="20"/>
              </w:rPr>
            </w:pPr>
          </w:p>
        </w:tc>
        <w:tc>
          <w:tcPr>
            <w:tcW w:w="2074" w:type="dxa"/>
            <w:shd w:val="clear" w:color="auto" w:fill="BDD6EE" w:themeFill="accent1" w:themeFillTint="66"/>
          </w:tcPr>
          <w:p w14:paraId="2309543D" w14:textId="77777777" w:rsidR="00E920C7" w:rsidRPr="00E920C7" w:rsidRDefault="00E920C7" w:rsidP="00E920C7">
            <w:pPr>
              <w:spacing w:after="0" w:line="240" w:lineRule="auto"/>
              <w:jc w:val="center"/>
              <w:rPr>
                <w:rFonts w:eastAsia="Times New Roman" w:cs="Calibri"/>
                <w:b/>
                <w:color w:val="000000"/>
                <w:sz w:val="20"/>
                <w:szCs w:val="20"/>
                <w:lang w:eastAsia="el-GR"/>
              </w:rPr>
            </w:pPr>
            <w:r w:rsidRPr="00E920C7">
              <w:rPr>
                <w:rFonts w:eastAsia="Times New Roman" w:cs="Calibri"/>
                <w:b/>
                <w:color w:val="000000"/>
                <w:sz w:val="20"/>
                <w:szCs w:val="20"/>
                <w:lang w:eastAsia="el-GR"/>
              </w:rPr>
              <w:t>2020</w:t>
            </w:r>
          </w:p>
          <w:p w14:paraId="37F17A22" w14:textId="77777777" w:rsidR="00E920C7" w:rsidRPr="00E920C7" w:rsidRDefault="00E920C7" w:rsidP="00E920C7">
            <w:pPr>
              <w:spacing w:after="0" w:line="240" w:lineRule="auto"/>
              <w:jc w:val="center"/>
              <w:rPr>
                <w:b/>
                <w:color w:val="auto"/>
                <w:sz w:val="20"/>
                <w:szCs w:val="20"/>
                <w:lang w:val="en-US"/>
              </w:rPr>
            </w:pPr>
            <w:r w:rsidRPr="00E920C7">
              <w:rPr>
                <w:rFonts w:eastAsia="Times New Roman" w:cs="Calibri"/>
                <w:b/>
                <w:color w:val="000000"/>
                <w:sz w:val="20"/>
                <w:szCs w:val="20"/>
                <w:lang w:eastAsia="el-GR"/>
              </w:rPr>
              <w:t>(Πραγματοποιηθέν)</w:t>
            </w:r>
          </w:p>
        </w:tc>
        <w:tc>
          <w:tcPr>
            <w:tcW w:w="2074" w:type="dxa"/>
            <w:shd w:val="clear" w:color="auto" w:fill="BDD6EE" w:themeFill="accent1" w:themeFillTint="66"/>
          </w:tcPr>
          <w:p w14:paraId="45E73940" w14:textId="77777777" w:rsidR="00E920C7" w:rsidRPr="00E920C7" w:rsidRDefault="00E920C7" w:rsidP="00E920C7">
            <w:pPr>
              <w:spacing w:after="0" w:line="240" w:lineRule="auto"/>
              <w:jc w:val="center"/>
              <w:rPr>
                <w:rFonts w:eastAsia="Times New Roman" w:cs="Calibri"/>
                <w:b/>
                <w:color w:val="7F7F7F" w:themeColor="text1" w:themeTint="80"/>
                <w:sz w:val="20"/>
                <w:szCs w:val="20"/>
                <w:lang w:eastAsia="el-GR"/>
              </w:rPr>
            </w:pPr>
            <w:r w:rsidRPr="00E920C7">
              <w:rPr>
                <w:rFonts w:eastAsia="Times New Roman" w:cs="Calibri"/>
                <w:b/>
                <w:color w:val="7F7F7F" w:themeColor="text1" w:themeTint="80"/>
                <w:sz w:val="20"/>
                <w:szCs w:val="20"/>
                <w:lang w:eastAsia="el-GR"/>
              </w:rPr>
              <w:t>2021</w:t>
            </w:r>
          </w:p>
          <w:p w14:paraId="528C305A" w14:textId="7DA46219" w:rsidR="00E920C7" w:rsidRPr="00E920C7" w:rsidRDefault="00E920C7" w:rsidP="00E920C7">
            <w:pPr>
              <w:spacing w:after="0" w:line="240" w:lineRule="auto"/>
              <w:jc w:val="center"/>
              <w:rPr>
                <w:b/>
                <w:color w:val="7F7F7F" w:themeColor="text1" w:themeTint="80"/>
                <w:sz w:val="20"/>
                <w:szCs w:val="20"/>
                <w:lang w:val="en-US"/>
              </w:rPr>
            </w:pPr>
            <w:r w:rsidRPr="00E920C7">
              <w:rPr>
                <w:rFonts w:eastAsia="Times New Roman" w:cs="Calibri"/>
                <w:b/>
                <w:color w:val="7F7F7F" w:themeColor="text1" w:themeTint="80"/>
                <w:sz w:val="20"/>
                <w:szCs w:val="20"/>
                <w:lang w:eastAsia="el-GR"/>
              </w:rPr>
              <w:t>Προϋπολογισμός</w:t>
            </w:r>
            <w:r>
              <w:rPr>
                <w:rFonts w:eastAsia="Times New Roman" w:cs="Calibri"/>
                <w:b/>
                <w:color w:val="7F7F7F" w:themeColor="text1" w:themeTint="80"/>
                <w:sz w:val="20"/>
                <w:szCs w:val="20"/>
                <w:lang w:eastAsia="el-GR"/>
              </w:rPr>
              <w:t>*</w:t>
            </w:r>
            <w:r w:rsidRPr="00E920C7">
              <w:rPr>
                <w:rFonts w:eastAsia="Times New Roman" w:cs="Calibri"/>
                <w:b/>
                <w:color w:val="7F7F7F" w:themeColor="text1" w:themeTint="80"/>
                <w:sz w:val="20"/>
                <w:szCs w:val="20"/>
                <w:lang w:eastAsia="el-GR"/>
              </w:rPr>
              <w:t xml:space="preserve"> </w:t>
            </w:r>
          </w:p>
        </w:tc>
        <w:tc>
          <w:tcPr>
            <w:tcW w:w="2074" w:type="dxa"/>
            <w:shd w:val="clear" w:color="auto" w:fill="BDD6EE" w:themeFill="accent1" w:themeFillTint="66"/>
            <w:vAlign w:val="bottom"/>
          </w:tcPr>
          <w:p w14:paraId="6727E04F" w14:textId="77777777" w:rsidR="00E920C7" w:rsidRPr="00E920C7" w:rsidRDefault="00E920C7" w:rsidP="00E920C7">
            <w:pPr>
              <w:spacing w:after="0" w:line="240" w:lineRule="auto"/>
              <w:jc w:val="center"/>
              <w:rPr>
                <w:rFonts w:eastAsia="Times New Roman" w:cs="Calibri"/>
                <w:b/>
                <w:color w:val="000000"/>
                <w:sz w:val="20"/>
                <w:szCs w:val="20"/>
                <w:lang w:eastAsia="el-GR"/>
              </w:rPr>
            </w:pPr>
            <w:r w:rsidRPr="00E920C7">
              <w:rPr>
                <w:rFonts w:eastAsia="Times New Roman" w:cs="Calibri"/>
                <w:b/>
                <w:color w:val="000000"/>
                <w:sz w:val="20"/>
                <w:szCs w:val="20"/>
                <w:lang w:eastAsia="el-GR"/>
              </w:rPr>
              <w:t>2021</w:t>
            </w:r>
          </w:p>
          <w:p w14:paraId="7FD51AF3" w14:textId="77777777" w:rsidR="00E920C7" w:rsidRPr="00E920C7" w:rsidRDefault="00E920C7" w:rsidP="00E920C7">
            <w:pPr>
              <w:spacing w:after="0" w:line="240" w:lineRule="auto"/>
              <w:jc w:val="center"/>
              <w:rPr>
                <w:rFonts w:eastAsia="Times New Roman" w:cs="Times New Roman"/>
                <w:b/>
                <w:color w:val="auto"/>
                <w:sz w:val="20"/>
                <w:szCs w:val="20"/>
                <w:lang w:eastAsia="el-GR"/>
              </w:rPr>
            </w:pPr>
            <w:r w:rsidRPr="00E920C7">
              <w:rPr>
                <w:rFonts w:eastAsia="Times New Roman" w:cs="Calibri"/>
                <w:b/>
                <w:color w:val="000000"/>
                <w:sz w:val="20"/>
                <w:szCs w:val="20"/>
                <w:lang w:eastAsia="el-GR"/>
              </w:rPr>
              <w:t xml:space="preserve">Πρόγραμμα Σταθερότητας </w:t>
            </w:r>
          </w:p>
        </w:tc>
      </w:tr>
      <w:tr w:rsidR="00E920C7" w:rsidRPr="00E920C7" w14:paraId="2FA8F290" w14:textId="77777777" w:rsidTr="00E920C7">
        <w:tc>
          <w:tcPr>
            <w:tcW w:w="2074" w:type="dxa"/>
          </w:tcPr>
          <w:p w14:paraId="6A85EA1A" w14:textId="77777777" w:rsidR="00E920C7" w:rsidRPr="00E920C7" w:rsidRDefault="00E920C7" w:rsidP="00E920C7">
            <w:pPr>
              <w:spacing w:after="0" w:line="240" w:lineRule="auto"/>
              <w:jc w:val="left"/>
              <w:rPr>
                <w:color w:val="auto"/>
                <w:sz w:val="20"/>
                <w:szCs w:val="20"/>
                <w:lang w:val="en-US"/>
              </w:rPr>
            </w:pPr>
            <w:r w:rsidRPr="00E920C7">
              <w:rPr>
                <w:rFonts w:eastAsia="Times New Roman" w:cs="Calibri"/>
                <w:color w:val="000000"/>
                <w:sz w:val="20"/>
                <w:szCs w:val="20"/>
                <w:lang w:eastAsia="el-GR"/>
              </w:rPr>
              <w:t>Αποτέλεσμα Γενικής Κυβέρνησης (ESA)</w:t>
            </w:r>
          </w:p>
        </w:tc>
        <w:tc>
          <w:tcPr>
            <w:tcW w:w="2074" w:type="dxa"/>
            <w:vAlign w:val="center"/>
          </w:tcPr>
          <w:p w14:paraId="2E72CA5A" w14:textId="77777777" w:rsidR="00E920C7" w:rsidRPr="00E920C7" w:rsidRDefault="00E920C7" w:rsidP="00E920C7">
            <w:pPr>
              <w:spacing w:after="0" w:line="240" w:lineRule="auto"/>
              <w:jc w:val="center"/>
              <w:rPr>
                <w:color w:val="auto"/>
                <w:sz w:val="20"/>
                <w:szCs w:val="20"/>
                <w:lang w:val="en-US"/>
              </w:rPr>
            </w:pPr>
            <w:r w:rsidRPr="00E920C7">
              <w:rPr>
                <w:rFonts w:eastAsia="Times New Roman" w:cs="Calibri"/>
                <w:color w:val="000000"/>
                <w:sz w:val="20"/>
                <w:szCs w:val="20"/>
                <w:lang w:eastAsia="el-GR"/>
              </w:rPr>
              <w:t>-9,7%</w:t>
            </w:r>
          </w:p>
        </w:tc>
        <w:tc>
          <w:tcPr>
            <w:tcW w:w="2074" w:type="dxa"/>
            <w:vAlign w:val="center"/>
          </w:tcPr>
          <w:p w14:paraId="04C9AF8C" w14:textId="77777777" w:rsidR="00E920C7" w:rsidRPr="00E920C7" w:rsidRDefault="00E920C7" w:rsidP="00E920C7">
            <w:pPr>
              <w:spacing w:after="0" w:line="240" w:lineRule="auto"/>
              <w:jc w:val="center"/>
              <w:rPr>
                <w:rFonts w:eastAsia="Times New Roman" w:cs="Times New Roman"/>
                <w:color w:val="7F7F7F" w:themeColor="text1" w:themeTint="80"/>
                <w:sz w:val="20"/>
                <w:szCs w:val="20"/>
                <w:lang w:eastAsia="el-GR"/>
              </w:rPr>
            </w:pPr>
            <w:r w:rsidRPr="00E920C7">
              <w:rPr>
                <w:rFonts w:eastAsia="Times New Roman" w:cs="Calibri"/>
                <w:color w:val="7F7F7F" w:themeColor="text1" w:themeTint="80"/>
                <w:sz w:val="20"/>
                <w:szCs w:val="20"/>
                <w:lang w:eastAsia="el-GR"/>
              </w:rPr>
              <w:t>-6,7%</w:t>
            </w:r>
          </w:p>
        </w:tc>
        <w:tc>
          <w:tcPr>
            <w:tcW w:w="2074" w:type="dxa"/>
            <w:vAlign w:val="center"/>
          </w:tcPr>
          <w:p w14:paraId="486040F6" w14:textId="77777777" w:rsidR="00E920C7" w:rsidRPr="00E920C7" w:rsidRDefault="00E920C7" w:rsidP="00E920C7">
            <w:pPr>
              <w:spacing w:after="0" w:line="240" w:lineRule="auto"/>
              <w:jc w:val="center"/>
              <w:rPr>
                <w:rFonts w:eastAsia="Times New Roman" w:cs="Times New Roman"/>
                <w:color w:val="auto"/>
                <w:sz w:val="20"/>
                <w:szCs w:val="20"/>
                <w:lang w:eastAsia="el-GR"/>
              </w:rPr>
            </w:pPr>
            <w:r w:rsidRPr="00E920C7">
              <w:rPr>
                <w:rFonts w:eastAsia="Times New Roman" w:cs="Calibri"/>
                <w:color w:val="000000"/>
                <w:sz w:val="20"/>
                <w:szCs w:val="20"/>
                <w:lang w:eastAsia="el-GR"/>
              </w:rPr>
              <w:t>-9,7%</w:t>
            </w:r>
          </w:p>
        </w:tc>
      </w:tr>
      <w:tr w:rsidR="00E920C7" w:rsidRPr="00E920C7" w14:paraId="72DBF2C2" w14:textId="77777777" w:rsidTr="00E920C7">
        <w:tc>
          <w:tcPr>
            <w:tcW w:w="2074" w:type="dxa"/>
            <w:vAlign w:val="bottom"/>
          </w:tcPr>
          <w:p w14:paraId="7F6E45F1" w14:textId="77777777" w:rsidR="00E920C7" w:rsidRPr="00E920C7" w:rsidRDefault="00E920C7" w:rsidP="00E920C7">
            <w:pPr>
              <w:spacing w:after="0" w:line="240" w:lineRule="auto"/>
              <w:jc w:val="center"/>
              <w:rPr>
                <w:rFonts w:eastAsia="Times New Roman" w:cs="Times New Roman"/>
                <w:color w:val="auto"/>
                <w:sz w:val="20"/>
                <w:szCs w:val="20"/>
                <w:lang w:eastAsia="el-GR"/>
              </w:rPr>
            </w:pPr>
            <w:r w:rsidRPr="00E920C7">
              <w:rPr>
                <w:rFonts w:eastAsia="Times New Roman" w:cs="Calibri"/>
                <w:color w:val="000000"/>
                <w:sz w:val="20"/>
                <w:szCs w:val="20"/>
                <w:lang w:eastAsia="el-GR"/>
              </w:rPr>
              <w:t>Πρωτογενές Αποτέλεσμα Γενικής Κυβέρνησης (ESA)</w:t>
            </w:r>
          </w:p>
        </w:tc>
        <w:tc>
          <w:tcPr>
            <w:tcW w:w="2074" w:type="dxa"/>
            <w:vAlign w:val="center"/>
          </w:tcPr>
          <w:p w14:paraId="447E2144" w14:textId="77777777" w:rsidR="00E920C7" w:rsidRPr="00E920C7" w:rsidRDefault="00E920C7" w:rsidP="00E920C7">
            <w:pPr>
              <w:spacing w:after="0" w:line="240" w:lineRule="auto"/>
              <w:jc w:val="center"/>
              <w:rPr>
                <w:color w:val="auto"/>
                <w:sz w:val="20"/>
                <w:szCs w:val="20"/>
              </w:rPr>
            </w:pPr>
            <w:r w:rsidRPr="00E920C7">
              <w:rPr>
                <w:rFonts w:eastAsia="Times New Roman" w:cs="Calibri"/>
                <w:color w:val="000000"/>
                <w:sz w:val="20"/>
                <w:szCs w:val="20"/>
                <w:lang w:eastAsia="el-GR"/>
              </w:rPr>
              <w:t>-6,7%</w:t>
            </w:r>
          </w:p>
        </w:tc>
        <w:tc>
          <w:tcPr>
            <w:tcW w:w="2074" w:type="dxa"/>
            <w:vAlign w:val="center"/>
          </w:tcPr>
          <w:p w14:paraId="35CF0B24" w14:textId="77777777" w:rsidR="00E920C7" w:rsidRPr="00E920C7" w:rsidRDefault="00E920C7" w:rsidP="00E920C7">
            <w:pPr>
              <w:spacing w:after="0" w:line="240" w:lineRule="auto"/>
              <w:jc w:val="center"/>
              <w:rPr>
                <w:rFonts w:eastAsia="Times New Roman" w:cs="Times New Roman"/>
                <w:color w:val="7F7F7F" w:themeColor="text1" w:themeTint="80"/>
                <w:sz w:val="20"/>
                <w:szCs w:val="20"/>
                <w:lang w:eastAsia="el-GR"/>
              </w:rPr>
            </w:pPr>
            <w:r w:rsidRPr="00E920C7">
              <w:rPr>
                <w:rFonts w:eastAsia="Times New Roman" w:cs="Calibri"/>
                <w:color w:val="7F7F7F" w:themeColor="text1" w:themeTint="80"/>
                <w:sz w:val="20"/>
                <w:szCs w:val="20"/>
                <w:lang w:eastAsia="el-GR"/>
              </w:rPr>
              <w:t>-3,8%</w:t>
            </w:r>
          </w:p>
        </w:tc>
        <w:tc>
          <w:tcPr>
            <w:tcW w:w="2074" w:type="dxa"/>
            <w:vAlign w:val="center"/>
          </w:tcPr>
          <w:p w14:paraId="62EB2AF5" w14:textId="77777777" w:rsidR="00E920C7" w:rsidRPr="00E920C7" w:rsidRDefault="00E920C7" w:rsidP="00E920C7">
            <w:pPr>
              <w:spacing w:after="0" w:line="240" w:lineRule="auto"/>
              <w:jc w:val="center"/>
              <w:rPr>
                <w:rFonts w:eastAsia="Times New Roman" w:cs="Times New Roman"/>
                <w:color w:val="auto"/>
                <w:sz w:val="20"/>
                <w:szCs w:val="20"/>
                <w:lang w:eastAsia="el-GR"/>
              </w:rPr>
            </w:pPr>
            <w:r w:rsidRPr="00E920C7">
              <w:rPr>
                <w:rFonts w:eastAsia="Times New Roman" w:cs="Calibri"/>
                <w:color w:val="000000"/>
                <w:sz w:val="20"/>
                <w:szCs w:val="20"/>
                <w:lang w:eastAsia="el-GR"/>
              </w:rPr>
              <w:t>-7,2%</w:t>
            </w:r>
          </w:p>
        </w:tc>
      </w:tr>
    </w:tbl>
    <w:p w14:paraId="3647F477" w14:textId="69C6376C" w:rsidR="00E920C7" w:rsidRPr="00E920C7" w:rsidRDefault="00E920C7" w:rsidP="00E920C7">
      <w:pPr>
        <w:spacing w:after="0" w:line="240" w:lineRule="auto"/>
        <w:rPr>
          <w:color w:val="00B0F0"/>
          <w:sz w:val="16"/>
          <w:szCs w:val="16"/>
        </w:rPr>
      </w:pPr>
      <w:r w:rsidRPr="00E920C7">
        <w:rPr>
          <w:color w:val="00B0F0"/>
          <w:sz w:val="16"/>
          <w:szCs w:val="16"/>
        </w:rPr>
        <w:t xml:space="preserve">Πηγή: ΕΛΣΤΑΤ, Εισηγητική Έκθεση του Προϋπολογισμού του Κράτους 2021, YΠOIK, Stability Programme </w:t>
      </w:r>
      <w:r>
        <w:rPr>
          <w:color w:val="00B0F0"/>
          <w:sz w:val="16"/>
          <w:szCs w:val="16"/>
        </w:rPr>
        <w:t>2022-2024</w:t>
      </w:r>
      <w:r w:rsidRPr="00E920C7">
        <w:rPr>
          <w:color w:val="00B0F0"/>
          <w:sz w:val="16"/>
          <w:szCs w:val="16"/>
        </w:rPr>
        <w:t>, Απρίλιος, 2021.</w:t>
      </w:r>
    </w:p>
    <w:p w14:paraId="7AFD030B" w14:textId="2F3E7A84" w:rsidR="00E920C7" w:rsidRPr="00E920C7" w:rsidRDefault="00E920C7" w:rsidP="00E920C7">
      <w:pPr>
        <w:rPr>
          <w:color w:val="262626" w:themeColor="text1" w:themeTint="D9"/>
          <w:sz w:val="16"/>
          <w:szCs w:val="16"/>
        </w:rPr>
      </w:pPr>
      <w:r w:rsidRPr="00E920C7">
        <w:rPr>
          <w:color w:val="262626" w:themeColor="text1" w:themeTint="D9"/>
          <w:sz w:val="16"/>
          <w:szCs w:val="16"/>
        </w:rPr>
        <w:t xml:space="preserve">* </w:t>
      </w:r>
      <w:r>
        <w:rPr>
          <w:color w:val="262626" w:themeColor="text1" w:themeTint="D9"/>
          <w:sz w:val="16"/>
          <w:szCs w:val="16"/>
        </w:rPr>
        <w:t xml:space="preserve">Όπως </w:t>
      </w:r>
      <w:r w:rsidRPr="00E920C7">
        <w:rPr>
          <w:color w:val="262626" w:themeColor="text1" w:themeTint="D9"/>
          <w:sz w:val="16"/>
          <w:szCs w:val="16"/>
        </w:rPr>
        <w:t>αναφέρεται στην αρχική πρόβλεψη του ΥΠΟΙΚ στον προϋπολογισμό του 2021 (Δεκέμβριος 2020), η οποία αναθεωρήθηκε στο Πρόγραμμα Σταθερότητας 2022-2024 (Απρίλιος 2021)</w:t>
      </w:r>
    </w:p>
    <w:p w14:paraId="19F4097D" w14:textId="52DF88A6" w:rsidR="00E61F69" w:rsidRPr="00E920C7" w:rsidRDefault="00E61F69" w:rsidP="00E61F69">
      <w:pPr>
        <w:rPr>
          <w:color w:val="auto"/>
        </w:rPr>
      </w:pPr>
      <w:r w:rsidRPr="00E920C7">
        <w:rPr>
          <w:color w:val="auto"/>
        </w:rPr>
        <w:t xml:space="preserve">Η </w:t>
      </w:r>
      <w:r>
        <w:rPr>
          <w:color w:val="auto"/>
        </w:rPr>
        <w:t xml:space="preserve">σημαντική προς τα άνω </w:t>
      </w:r>
      <w:r w:rsidRPr="00E920C7">
        <w:rPr>
          <w:color w:val="auto"/>
        </w:rPr>
        <w:t xml:space="preserve">αναθεώρηση της πρόβλεψης του προϋπολογισμού για </w:t>
      </w:r>
      <w:r>
        <w:rPr>
          <w:color w:val="auto"/>
        </w:rPr>
        <w:t xml:space="preserve">τα δημοσιονομικά </w:t>
      </w:r>
      <w:r w:rsidRPr="00470AC2">
        <w:rPr>
          <w:color w:val="auto"/>
        </w:rPr>
        <w:t>αποτελέσματ</w:t>
      </w:r>
      <w:r>
        <w:rPr>
          <w:color w:val="auto"/>
        </w:rPr>
        <w:t xml:space="preserve">α </w:t>
      </w:r>
      <w:r w:rsidRPr="00470AC2">
        <w:rPr>
          <w:color w:val="auto"/>
        </w:rPr>
        <w:t xml:space="preserve"> (</w:t>
      </w:r>
      <w:r w:rsidRPr="00470AC2">
        <w:rPr>
          <w:i/>
          <w:color w:val="auto"/>
        </w:rPr>
        <w:fldChar w:fldCharType="begin"/>
      </w:r>
      <w:r w:rsidRPr="00470AC2">
        <w:rPr>
          <w:i/>
          <w:color w:val="auto"/>
        </w:rPr>
        <w:instrText xml:space="preserve"> REF _Ref72513832 \h  \* MERGEFORMAT </w:instrText>
      </w:r>
      <w:r w:rsidRPr="00470AC2">
        <w:rPr>
          <w:i/>
          <w:color w:val="auto"/>
        </w:rPr>
      </w:r>
      <w:r w:rsidRPr="00470AC2">
        <w:rPr>
          <w:i/>
          <w:color w:val="auto"/>
        </w:rPr>
        <w:fldChar w:fldCharType="separate"/>
      </w:r>
      <w:r w:rsidR="00CC05A7" w:rsidRPr="00CC05A7">
        <w:rPr>
          <w:rFonts w:eastAsia="Calibri" w:cs="Times New Roman"/>
          <w:i/>
          <w:iCs/>
          <w:color w:val="auto"/>
        </w:rPr>
        <w:t xml:space="preserve">Πίνακας </w:t>
      </w:r>
      <w:r w:rsidR="00CC05A7" w:rsidRPr="00CC05A7">
        <w:rPr>
          <w:rFonts w:eastAsia="Calibri" w:cs="Times New Roman"/>
          <w:i/>
          <w:iCs/>
          <w:noProof/>
          <w:color w:val="auto"/>
        </w:rPr>
        <w:t>23</w:t>
      </w:r>
      <w:r w:rsidRPr="00470AC2">
        <w:rPr>
          <w:i/>
          <w:color w:val="auto"/>
        </w:rPr>
        <w:fldChar w:fldCharType="end"/>
      </w:r>
      <w:r w:rsidRPr="00470AC2">
        <w:rPr>
          <w:color w:val="auto"/>
        </w:rPr>
        <w:t>) αποτελεί μία πιο συντηρητική, αλλά ρεαλιστική</w:t>
      </w:r>
      <w:r>
        <w:rPr>
          <w:color w:val="auto"/>
        </w:rPr>
        <w:t>,</w:t>
      </w:r>
      <w:r w:rsidRPr="00470AC2">
        <w:rPr>
          <w:color w:val="auto"/>
        </w:rPr>
        <w:t xml:space="preserve"> </w:t>
      </w:r>
      <w:r>
        <w:rPr>
          <w:color w:val="auto"/>
        </w:rPr>
        <w:t>εκτίμηση η οποία πηγάζει από τη</w:t>
      </w:r>
      <w:r w:rsidRPr="00470AC2">
        <w:rPr>
          <w:color w:val="auto"/>
        </w:rPr>
        <w:t xml:space="preserve"> διατήρηση των</w:t>
      </w:r>
      <w:r w:rsidRPr="00E920C7">
        <w:rPr>
          <w:color w:val="auto"/>
        </w:rPr>
        <w:t xml:space="preserve"> μέτρων περιστολής της οικονομικής και κοινωνικής δραστηριότητας για </w:t>
      </w:r>
      <w:r>
        <w:rPr>
          <w:color w:val="auto"/>
        </w:rPr>
        <w:t xml:space="preserve">διάστημα μεγαλύτερο από </w:t>
      </w:r>
      <w:r w:rsidRPr="00E920C7">
        <w:rPr>
          <w:color w:val="auto"/>
        </w:rPr>
        <w:t xml:space="preserve">τους πρώτους τέσσερις μήνες του 2021. Ουσιαστικά, η πρόβλεψη ευθυγραμμίζεται με </w:t>
      </w:r>
      <w:r>
        <w:rPr>
          <w:color w:val="auto"/>
        </w:rPr>
        <w:t xml:space="preserve">το </w:t>
      </w:r>
      <w:r w:rsidRPr="00E920C7">
        <w:rPr>
          <w:color w:val="auto"/>
        </w:rPr>
        <w:t xml:space="preserve">αποτέλεσμα του 2020. </w:t>
      </w:r>
    </w:p>
    <w:p w14:paraId="36369046" w14:textId="07B86EA7" w:rsidR="00E920C7" w:rsidRPr="00E920C7" w:rsidRDefault="00E61F69" w:rsidP="00E61F69">
      <w:pPr>
        <w:rPr>
          <w:color w:val="auto"/>
        </w:rPr>
      </w:pPr>
      <w:r w:rsidRPr="00E920C7">
        <w:rPr>
          <w:color w:val="auto"/>
        </w:rPr>
        <w:t>Στην ανάλυση της εκτέλεσης του προϋπολογισμού του α’ τρίμηνου</w:t>
      </w:r>
      <w:r w:rsidRPr="00E920C7">
        <w:rPr>
          <w:color w:val="auto"/>
          <w:vertAlign w:val="superscript"/>
        </w:rPr>
        <w:footnoteReference w:id="43"/>
      </w:r>
      <w:r w:rsidRPr="00E920C7">
        <w:rPr>
          <w:color w:val="auto"/>
        </w:rPr>
        <w:t xml:space="preserve"> φαίνεται μία σημαντική αύξηση του πρωτογενούς ελλείμματος σε σχέση με το αντίστοιχο τρίμηνο του 2020. Ωστόσο, ο αναμενόμενος έλεγχος της πανδημίας στην Ελλάδα, </w:t>
      </w:r>
      <w:r>
        <w:rPr>
          <w:color w:val="auto"/>
        </w:rPr>
        <w:t xml:space="preserve">εκτιμάται ότι θα </w:t>
      </w:r>
      <w:r w:rsidRPr="00E920C7">
        <w:rPr>
          <w:color w:val="auto"/>
        </w:rPr>
        <w:t>βελτιώσει την εκτέλεση του προϋπολογισμού</w:t>
      </w:r>
      <w:r>
        <w:rPr>
          <w:color w:val="auto"/>
        </w:rPr>
        <w:t xml:space="preserve"> τους επόμενους μήνες</w:t>
      </w:r>
      <w:r w:rsidRPr="00E920C7">
        <w:rPr>
          <w:color w:val="auto"/>
        </w:rPr>
        <w:t xml:space="preserve">∙ αναμένεται </w:t>
      </w:r>
      <w:r>
        <w:rPr>
          <w:color w:val="auto"/>
        </w:rPr>
        <w:t xml:space="preserve">ότι δεν θα χρειαστεί να </w:t>
      </w:r>
      <w:r w:rsidRPr="00E920C7">
        <w:rPr>
          <w:color w:val="auto"/>
        </w:rPr>
        <w:t>επαναληφθούν οι υψηλές δαπάνες για μέτρα αντιμετώπιση</w:t>
      </w:r>
      <w:r w:rsidR="008B1BC3">
        <w:rPr>
          <w:color w:val="auto"/>
        </w:rPr>
        <w:t>ς της πανδημίας του α’ τριμήνου</w:t>
      </w:r>
      <w:r w:rsidRPr="00E920C7">
        <w:rPr>
          <w:color w:val="auto"/>
        </w:rPr>
        <w:t xml:space="preserve">, ενώ </w:t>
      </w:r>
      <w:r>
        <w:rPr>
          <w:color w:val="auto"/>
        </w:rPr>
        <w:t xml:space="preserve">επίσης </w:t>
      </w:r>
      <w:r w:rsidRPr="00E920C7">
        <w:rPr>
          <w:color w:val="auto"/>
        </w:rPr>
        <w:t>αναμένεται σημαντική βελτίωση στο σκέλος των εσόδων με αύξηση των εισπράξεων φορολογικών εσόδων και ασφαλιστικών εισφορών. Συνεπώς</w:t>
      </w:r>
      <w:r>
        <w:rPr>
          <w:color w:val="auto"/>
        </w:rPr>
        <w:t>,</w:t>
      </w:r>
      <w:r w:rsidRPr="00E920C7">
        <w:rPr>
          <w:color w:val="auto"/>
        </w:rPr>
        <w:t xml:space="preserve"> η πρόβλεψη για πρωτογενές έλλειμμα της τάξης του 7,2% του ΑΕΠ (ελαφρώς αυξημένη σε σχέση με το 2020) θεωρείται </w:t>
      </w:r>
      <w:r>
        <w:rPr>
          <w:color w:val="auto"/>
        </w:rPr>
        <w:t>ρεαλιστική</w:t>
      </w:r>
      <w:r w:rsidR="00E920C7" w:rsidRPr="00E920C7">
        <w:rPr>
          <w:color w:val="auto"/>
        </w:rPr>
        <w:t>.</w:t>
      </w:r>
    </w:p>
    <w:p w14:paraId="66499C1A" w14:textId="693639B9" w:rsidR="00E920C7" w:rsidRPr="00E920C7" w:rsidRDefault="00E920C7" w:rsidP="00E920C7">
      <w:pPr>
        <w:rPr>
          <w:color w:val="auto"/>
        </w:rPr>
      </w:pPr>
      <w:r w:rsidRPr="00E920C7">
        <w:rPr>
          <w:color w:val="auto"/>
        </w:rPr>
        <w:t>Εξάλλου</w:t>
      </w:r>
      <w:r w:rsidR="00E61F69">
        <w:rPr>
          <w:color w:val="auto"/>
        </w:rPr>
        <w:t>,</w:t>
      </w:r>
      <w:r w:rsidRPr="00E920C7">
        <w:rPr>
          <w:color w:val="auto"/>
        </w:rPr>
        <w:t xml:space="preserve"> η εκτίμηση αυτή του Υπουργείου Οικονομικών, όπως παρουσιάστηκε στο Πρόγραμμα Σταθερότητας 2022-2024, ευθυγραμμίζεται σχεδόν πλήρως με την αντίστοιχη της Ευρωπαϊκής Επιτροπής (7,3% του ΑΕΠ), ενώ είναι πιο συντηρητική από τις αντίστοιχες προβλέψεις της Τράπεζα</w:t>
      </w:r>
      <w:r w:rsidR="00E61F69">
        <w:rPr>
          <w:color w:val="auto"/>
        </w:rPr>
        <w:t>ς</w:t>
      </w:r>
      <w:r w:rsidRPr="00E920C7">
        <w:rPr>
          <w:color w:val="auto"/>
        </w:rPr>
        <w:t xml:space="preserve"> της Ελλάδος (5,3% του ΑΕΠ), του Διεθνούς Νομισματικού Ταμείου (6,0%) και του Οργανισμού Οικονομικής Συνεργασίας και Ανάπτυξης (4,0%).</w:t>
      </w:r>
    </w:p>
    <w:p w14:paraId="30F68702" w14:textId="02614563" w:rsidR="00E920C7" w:rsidRPr="007D6510" w:rsidRDefault="00E920C7" w:rsidP="00E920C7">
      <w:pPr>
        <w:spacing w:after="0" w:line="240" w:lineRule="auto"/>
        <w:rPr>
          <w:rFonts w:eastAsia="Calibri" w:cs="Times New Roman"/>
          <w:iCs/>
          <w:color w:val="00B0F0"/>
          <w:sz w:val="20"/>
          <w:szCs w:val="20"/>
        </w:rPr>
      </w:pPr>
      <w:bookmarkStart w:id="196" w:name="_Toc73435785"/>
      <w:r w:rsidRPr="007D6510">
        <w:rPr>
          <w:rFonts w:eastAsia="Calibri" w:cs="Times New Roman"/>
          <w:iCs/>
          <w:sz w:val="20"/>
          <w:szCs w:val="20"/>
        </w:rPr>
        <w:t xml:space="preserve">Πίνακας </w:t>
      </w:r>
      <w:r w:rsidRPr="007D6510">
        <w:rPr>
          <w:rFonts w:eastAsia="Calibri" w:cs="Times New Roman"/>
          <w:iCs/>
          <w:sz w:val="20"/>
          <w:szCs w:val="20"/>
        </w:rPr>
        <w:fldChar w:fldCharType="begin"/>
      </w:r>
      <w:r w:rsidRPr="007D6510">
        <w:rPr>
          <w:rFonts w:eastAsia="Calibri" w:cs="Times New Roman"/>
          <w:iCs/>
          <w:sz w:val="20"/>
          <w:szCs w:val="20"/>
        </w:rPr>
        <w:instrText xml:space="preserve"> SEQ Πίνακας \* ARABIC </w:instrText>
      </w:r>
      <w:r w:rsidRPr="007D6510">
        <w:rPr>
          <w:rFonts w:eastAsia="Calibri" w:cs="Times New Roman"/>
          <w:iCs/>
          <w:sz w:val="20"/>
          <w:szCs w:val="20"/>
        </w:rPr>
        <w:fldChar w:fldCharType="separate"/>
      </w:r>
      <w:r w:rsidR="00CC05A7">
        <w:rPr>
          <w:rFonts w:eastAsia="Calibri" w:cs="Times New Roman"/>
          <w:iCs/>
          <w:noProof/>
          <w:sz w:val="20"/>
          <w:szCs w:val="20"/>
        </w:rPr>
        <w:t>24</w:t>
      </w:r>
      <w:r w:rsidRPr="007D6510">
        <w:rPr>
          <w:rFonts w:eastAsia="Calibri" w:cs="Times New Roman"/>
          <w:iCs/>
          <w:sz w:val="20"/>
          <w:szCs w:val="20"/>
        </w:rPr>
        <w:fldChar w:fldCharType="end"/>
      </w:r>
      <w:r w:rsidRPr="007D6510">
        <w:rPr>
          <w:rFonts w:eastAsia="Calibri" w:cs="Times New Roman"/>
          <w:iCs/>
          <w:sz w:val="20"/>
          <w:szCs w:val="20"/>
        </w:rPr>
        <w:t>:</w:t>
      </w:r>
      <w:r w:rsidRPr="007D6510">
        <w:rPr>
          <w:rFonts w:asciiTheme="minorHAnsi" w:hAnsiTheme="minorHAnsi" w:cstheme="minorHAnsi"/>
          <w:sz w:val="20"/>
          <w:szCs w:val="20"/>
        </w:rPr>
        <w:t xml:space="preserve"> </w:t>
      </w:r>
      <w:r w:rsidRPr="007D6510">
        <w:rPr>
          <w:rFonts w:eastAsia="Calibri"/>
          <w:iCs/>
          <w:sz w:val="20"/>
          <w:szCs w:val="20"/>
        </w:rPr>
        <w:t xml:space="preserve"> </w:t>
      </w:r>
      <w:r w:rsidRPr="007D6510">
        <w:rPr>
          <w:rFonts w:eastAsia="Calibri"/>
          <w:iCs/>
          <w:color w:val="00B0F0"/>
          <w:sz w:val="20"/>
          <w:szCs w:val="20"/>
        </w:rPr>
        <w:t>Πρωτογενές αποτέλεσμα (% του ΑΕΠ) για το 2021</w:t>
      </w:r>
      <w:bookmarkEnd w:id="196"/>
    </w:p>
    <w:tbl>
      <w:tblPr>
        <w:tblW w:w="839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4"/>
        <w:gridCol w:w="2862"/>
      </w:tblGrid>
      <w:tr w:rsidR="00E920C7" w:rsidRPr="00E920C7" w14:paraId="6C45471F" w14:textId="77777777" w:rsidTr="00EF4140">
        <w:trPr>
          <w:trHeight w:val="385"/>
        </w:trPr>
        <w:tc>
          <w:tcPr>
            <w:tcW w:w="5534" w:type="dxa"/>
            <w:shd w:val="clear" w:color="auto" w:fill="BDD6EE" w:themeFill="accent1" w:themeFillTint="66"/>
            <w:noWrap/>
            <w:vAlign w:val="center"/>
            <w:hideMark/>
          </w:tcPr>
          <w:p w14:paraId="7CA63156" w14:textId="77777777" w:rsidR="00E920C7" w:rsidRPr="00E920C7" w:rsidRDefault="00E920C7" w:rsidP="00E920C7">
            <w:pPr>
              <w:spacing w:after="0" w:line="240" w:lineRule="auto"/>
              <w:jc w:val="left"/>
              <w:rPr>
                <w:rFonts w:eastAsia="Times New Roman" w:cs="Calibri"/>
                <w:b/>
                <w:bCs/>
                <w:color w:val="auto"/>
                <w:sz w:val="20"/>
                <w:szCs w:val="20"/>
                <w:lang w:eastAsia="el-GR"/>
              </w:rPr>
            </w:pPr>
            <w:r w:rsidRPr="00E920C7">
              <w:rPr>
                <w:rFonts w:eastAsia="Times New Roman" w:cs="Calibri"/>
                <w:b/>
                <w:bCs/>
                <w:color w:val="auto"/>
                <w:sz w:val="20"/>
                <w:szCs w:val="20"/>
                <w:lang w:eastAsia="el-GR"/>
              </w:rPr>
              <w:t>Πρωτογενές αποτέλεσμα (% του ΑΕΠ)</w:t>
            </w:r>
          </w:p>
        </w:tc>
        <w:tc>
          <w:tcPr>
            <w:tcW w:w="2862" w:type="dxa"/>
            <w:shd w:val="clear" w:color="auto" w:fill="BDD6EE" w:themeFill="accent1" w:themeFillTint="66"/>
            <w:vAlign w:val="center"/>
            <w:hideMark/>
          </w:tcPr>
          <w:p w14:paraId="0EBFB9BD" w14:textId="77777777" w:rsidR="00E920C7" w:rsidRPr="00E920C7" w:rsidRDefault="00E920C7" w:rsidP="00E920C7">
            <w:pPr>
              <w:spacing w:after="0" w:line="240" w:lineRule="auto"/>
              <w:jc w:val="left"/>
              <w:rPr>
                <w:rFonts w:eastAsia="Times New Roman" w:cs="Calibri"/>
                <w:i/>
                <w:iCs/>
                <w:color w:val="auto"/>
                <w:lang w:eastAsia="el-GR"/>
              </w:rPr>
            </w:pPr>
            <w:r w:rsidRPr="00E920C7">
              <w:rPr>
                <w:rFonts w:eastAsia="Times New Roman" w:cs="Calibri"/>
                <w:i/>
                <w:iCs/>
                <w:color w:val="auto"/>
                <w:lang w:eastAsia="el-GR"/>
              </w:rPr>
              <w:t> </w:t>
            </w:r>
          </w:p>
        </w:tc>
      </w:tr>
      <w:tr w:rsidR="00E920C7" w:rsidRPr="00E920C7" w14:paraId="7B4B9B77" w14:textId="77777777" w:rsidTr="00EF4140">
        <w:trPr>
          <w:trHeight w:val="385"/>
        </w:trPr>
        <w:tc>
          <w:tcPr>
            <w:tcW w:w="5534" w:type="dxa"/>
            <w:shd w:val="clear" w:color="000000" w:fill="FFFFFF"/>
            <w:noWrap/>
            <w:vAlign w:val="center"/>
            <w:hideMark/>
          </w:tcPr>
          <w:p w14:paraId="38C66AB2" w14:textId="77777777" w:rsidR="00E920C7" w:rsidRPr="00E920C7" w:rsidRDefault="00E920C7" w:rsidP="00E920C7">
            <w:pPr>
              <w:spacing w:after="0" w:line="240" w:lineRule="auto"/>
              <w:rPr>
                <w:rFonts w:eastAsia="Times New Roman" w:cs="Calibri"/>
                <w:color w:val="auto"/>
                <w:sz w:val="20"/>
                <w:szCs w:val="20"/>
                <w:lang w:eastAsia="el-GR"/>
              </w:rPr>
            </w:pPr>
            <w:r w:rsidRPr="00E920C7">
              <w:rPr>
                <w:rFonts w:eastAsia="Times New Roman" w:cs="Calibri"/>
                <w:color w:val="auto"/>
                <w:sz w:val="20"/>
                <w:szCs w:val="20"/>
                <w:lang w:eastAsia="el-GR"/>
              </w:rPr>
              <w:t xml:space="preserve">Υπ. Οικονομικών </w:t>
            </w:r>
            <w:r w:rsidRPr="00470AC2">
              <w:rPr>
                <w:rFonts w:eastAsia="Times New Roman" w:cs="Calibri"/>
                <w:color w:val="auto"/>
                <w:sz w:val="20"/>
                <w:szCs w:val="20"/>
                <w:vertAlign w:val="superscript"/>
                <w:lang w:eastAsia="el-GR"/>
              </w:rPr>
              <w:t>(1)</w:t>
            </w:r>
          </w:p>
        </w:tc>
        <w:tc>
          <w:tcPr>
            <w:tcW w:w="2862" w:type="dxa"/>
            <w:shd w:val="clear" w:color="000000" w:fill="FFFFFF"/>
            <w:noWrap/>
            <w:vAlign w:val="center"/>
            <w:hideMark/>
          </w:tcPr>
          <w:p w14:paraId="2EF80103" w14:textId="77777777" w:rsidR="00E920C7" w:rsidRPr="00E920C7" w:rsidRDefault="00E920C7" w:rsidP="00E920C7">
            <w:pPr>
              <w:spacing w:after="0" w:line="240" w:lineRule="auto"/>
              <w:jc w:val="center"/>
              <w:rPr>
                <w:rFonts w:eastAsia="Times New Roman" w:cs="Calibri"/>
                <w:i/>
                <w:iCs/>
                <w:color w:val="auto"/>
                <w:lang w:eastAsia="el-GR"/>
              </w:rPr>
            </w:pPr>
            <w:r w:rsidRPr="00E920C7">
              <w:rPr>
                <w:rFonts w:eastAsia="Times New Roman" w:cs="Calibri"/>
                <w:i/>
                <w:iCs/>
                <w:color w:val="auto"/>
                <w:lang w:val="en-US" w:eastAsia="el-GR"/>
              </w:rPr>
              <w:t>-7,2%</w:t>
            </w:r>
          </w:p>
        </w:tc>
      </w:tr>
      <w:tr w:rsidR="00E920C7" w:rsidRPr="00E920C7" w14:paraId="160DE5FD" w14:textId="77777777" w:rsidTr="00EF4140">
        <w:trPr>
          <w:trHeight w:val="385"/>
        </w:trPr>
        <w:tc>
          <w:tcPr>
            <w:tcW w:w="5534" w:type="dxa"/>
            <w:shd w:val="clear" w:color="auto" w:fill="auto"/>
            <w:noWrap/>
            <w:vAlign w:val="center"/>
          </w:tcPr>
          <w:p w14:paraId="1E981A18" w14:textId="77777777" w:rsidR="00E920C7" w:rsidRPr="00E920C7" w:rsidRDefault="00E920C7" w:rsidP="00E920C7">
            <w:pPr>
              <w:spacing w:after="0" w:line="240" w:lineRule="auto"/>
              <w:rPr>
                <w:rFonts w:eastAsia="Times New Roman" w:cs="Calibri"/>
                <w:color w:val="auto"/>
                <w:sz w:val="20"/>
                <w:szCs w:val="20"/>
                <w:lang w:eastAsia="el-GR"/>
              </w:rPr>
            </w:pPr>
            <w:r w:rsidRPr="00E920C7">
              <w:rPr>
                <w:rFonts w:eastAsia="Times New Roman" w:cs="Calibri"/>
                <w:color w:val="auto"/>
                <w:sz w:val="20"/>
                <w:szCs w:val="20"/>
                <w:lang w:eastAsia="el-GR"/>
              </w:rPr>
              <w:t xml:space="preserve">Τράπεζα της Ελλάδος </w:t>
            </w:r>
            <w:r w:rsidRPr="00470AC2">
              <w:rPr>
                <w:rFonts w:eastAsia="Times New Roman" w:cs="Calibri"/>
                <w:color w:val="auto"/>
                <w:sz w:val="20"/>
                <w:szCs w:val="20"/>
                <w:vertAlign w:val="superscript"/>
                <w:lang w:eastAsia="el-GR"/>
              </w:rPr>
              <w:t>(2)</w:t>
            </w:r>
          </w:p>
        </w:tc>
        <w:tc>
          <w:tcPr>
            <w:tcW w:w="2862" w:type="dxa"/>
            <w:shd w:val="clear" w:color="auto" w:fill="auto"/>
            <w:noWrap/>
            <w:vAlign w:val="center"/>
          </w:tcPr>
          <w:p w14:paraId="4C2DD9EB" w14:textId="240E4111" w:rsidR="00E920C7" w:rsidRPr="00E920C7" w:rsidRDefault="009434FF" w:rsidP="00E920C7">
            <w:pPr>
              <w:spacing w:after="0" w:line="240" w:lineRule="auto"/>
              <w:jc w:val="center"/>
              <w:rPr>
                <w:rFonts w:eastAsia="Times New Roman" w:cs="Calibri"/>
                <w:i/>
                <w:iCs/>
                <w:color w:val="auto"/>
                <w:lang w:eastAsia="el-GR"/>
              </w:rPr>
            </w:pPr>
            <w:r>
              <w:rPr>
                <w:rFonts w:eastAsia="Times New Roman" w:cs="Calibri"/>
                <w:i/>
                <w:iCs/>
                <w:color w:val="auto"/>
                <w:lang w:eastAsia="el-GR"/>
              </w:rPr>
              <w:t>-</w:t>
            </w:r>
            <w:r w:rsidR="00E920C7" w:rsidRPr="00E920C7">
              <w:rPr>
                <w:rFonts w:eastAsia="Times New Roman" w:cs="Calibri"/>
                <w:i/>
                <w:iCs/>
                <w:color w:val="auto"/>
                <w:lang w:eastAsia="el-GR"/>
              </w:rPr>
              <w:t>5,3%</w:t>
            </w:r>
          </w:p>
        </w:tc>
      </w:tr>
      <w:tr w:rsidR="00E920C7" w:rsidRPr="00E920C7" w14:paraId="5CE9FA0C" w14:textId="77777777" w:rsidTr="00EF4140">
        <w:trPr>
          <w:trHeight w:val="385"/>
        </w:trPr>
        <w:tc>
          <w:tcPr>
            <w:tcW w:w="5534" w:type="dxa"/>
            <w:shd w:val="clear" w:color="auto" w:fill="auto"/>
            <w:noWrap/>
            <w:vAlign w:val="center"/>
          </w:tcPr>
          <w:p w14:paraId="2E3CD7AE" w14:textId="18C5A97D" w:rsidR="00E920C7" w:rsidRPr="00E920C7" w:rsidRDefault="00E920C7" w:rsidP="00E920C7">
            <w:pPr>
              <w:spacing w:after="0" w:line="240" w:lineRule="auto"/>
              <w:rPr>
                <w:rFonts w:eastAsia="Times New Roman" w:cs="Calibri"/>
                <w:color w:val="auto"/>
                <w:sz w:val="20"/>
                <w:szCs w:val="20"/>
                <w:lang w:eastAsia="el-GR"/>
              </w:rPr>
            </w:pPr>
            <w:r w:rsidRPr="00E920C7">
              <w:rPr>
                <w:rFonts w:eastAsia="Times New Roman" w:cs="Calibri"/>
                <w:color w:val="auto"/>
                <w:sz w:val="20"/>
                <w:szCs w:val="20"/>
                <w:lang w:eastAsia="el-GR"/>
              </w:rPr>
              <w:t>Ευρωπαϊκή Επιτροπή</w:t>
            </w:r>
            <w:r w:rsidRPr="00E920C7">
              <w:rPr>
                <w:rFonts w:eastAsia="Times New Roman" w:cs="Calibri"/>
                <w:b/>
                <w:bCs/>
                <w:color w:val="auto"/>
                <w:sz w:val="20"/>
                <w:szCs w:val="20"/>
                <w:vertAlign w:val="superscript"/>
                <w:lang w:eastAsia="el-GR"/>
              </w:rPr>
              <w:t xml:space="preserve"> </w:t>
            </w:r>
            <w:r w:rsidR="00470AC2">
              <w:rPr>
                <w:rFonts w:eastAsia="Times New Roman" w:cs="Calibri"/>
                <w:b/>
                <w:bCs/>
                <w:color w:val="auto"/>
                <w:sz w:val="20"/>
                <w:szCs w:val="20"/>
                <w:vertAlign w:val="superscript"/>
                <w:lang w:eastAsia="el-GR"/>
              </w:rPr>
              <w:t>(3)</w:t>
            </w:r>
          </w:p>
        </w:tc>
        <w:tc>
          <w:tcPr>
            <w:tcW w:w="2862" w:type="dxa"/>
            <w:shd w:val="clear" w:color="auto" w:fill="auto"/>
            <w:noWrap/>
            <w:vAlign w:val="center"/>
          </w:tcPr>
          <w:p w14:paraId="6F2AED99" w14:textId="77777777" w:rsidR="00E920C7" w:rsidRPr="00E920C7" w:rsidRDefault="00E920C7" w:rsidP="00E920C7">
            <w:pPr>
              <w:spacing w:after="0" w:line="240" w:lineRule="auto"/>
              <w:jc w:val="center"/>
              <w:rPr>
                <w:rFonts w:eastAsia="Times New Roman" w:cs="Calibri"/>
                <w:i/>
                <w:iCs/>
                <w:color w:val="auto"/>
                <w:lang w:eastAsia="el-GR"/>
              </w:rPr>
            </w:pPr>
            <w:r w:rsidRPr="00E920C7">
              <w:rPr>
                <w:rFonts w:eastAsia="Times New Roman" w:cs="Calibri"/>
                <w:i/>
                <w:iCs/>
                <w:color w:val="auto"/>
                <w:lang w:eastAsia="el-GR"/>
              </w:rPr>
              <w:t>-7,3%</w:t>
            </w:r>
          </w:p>
        </w:tc>
      </w:tr>
      <w:tr w:rsidR="00E920C7" w:rsidRPr="00E920C7" w14:paraId="3D508CF2" w14:textId="77777777" w:rsidTr="00EF4140">
        <w:trPr>
          <w:trHeight w:val="385"/>
        </w:trPr>
        <w:tc>
          <w:tcPr>
            <w:tcW w:w="5534" w:type="dxa"/>
            <w:shd w:val="clear" w:color="auto" w:fill="auto"/>
            <w:noWrap/>
            <w:vAlign w:val="center"/>
          </w:tcPr>
          <w:p w14:paraId="172A74C1" w14:textId="75C6AC70" w:rsidR="00E920C7" w:rsidRPr="00E920C7" w:rsidRDefault="00E920C7" w:rsidP="00E920C7">
            <w:pPr>
              <w:spacing w:after="0" w:line="240" w:lineRule="auto"/>
              <w:rPr>
                <w:rFonts w:eastAsia="Times New Roman" w:cs="Calibri"/>
                <w:color w:val="auto"/>
                <w:sz w:val="20"/>
                <w:szCs w:val="20"/>
                <w:lang w:eastAsia="el-GR"/>
              </w:rPr>
            </w:pPr>
            <w:r w:rsidRPr="00E920C7">
              <w:rPr>
                <w:rFonts w:eastAsia="Times New Roman" w:cs="Calibri"/>
                <w:color w:val="auto"/>
                <w:sz w:val="20"/>
                <w:szCs w:val="20"/>
                <w:lang w:eastAsia="el-GR"/>
              </w:rPr>
              <w:t>ΔΝΤ</w:t>
            </w:r>
            <w:r w:rsidR="00470AC2">
              <w:rPr>
                <w:rFonts w:eastAsia="Times New Roman" w:cs="Calibri"/>
                <w:color w:val="auto"/>
                <w:sz w:val="20"/>
                <w:szCs w:val="20"/>
                <w:lang w:eastAsia="el-GR"/>
              </w:rPr>
              <w:t xml:space="preserve"> </w:t>
            </w:r>
            <w:r w:rsidR="00470AC2" w:rsidRPr="00470AC2">
              <w:rPr>
                <w:rFonts w:eastAsia="Times New Roman" w:cs="Calibri"/>
                <w:color w:val="auto"/>
                <w:sz w:val="20"/>
                <w:szCs w:val="20"/>
                <w:vertAlign w:val="superscript"/>
                <w:lang w:eastAsia="el-GR"/>
              </w:rPr>
              <w:t>(4)</w:t>
            </w:r>
          </w:p>
        </w:tc>
        <w:tc>
          <w:tcPr>
            <w:tcW w:w="2862" w:type="dxa"/>
            <w:shd w:val="clear" w:color="auto" w:fill="auto"/>
            <w:noWrap/>
            <w:vAlign w:val="center"/>
          </w:tcPr>
          <w:p w14:paraId="52CDD426" w14:textId="77777777" w:rsidR="00E920C7" w:rsidRPr="00E920C7" w:rsidRDefault="00E920C7" w:rsidP="00E920C7">
            <w:pPr>
              <w:spacing w:after="0" w:line="240" w:lineRule="auto"/>
              <w:jc w:val="center"/>
              <w:rPr>
                <w:rFonts w:eastAsia="Times New Roman" w:cs="Calibri"/>
                <w:i/>
                <w:iCs/>
                <w:color w:val="auto"/>
                <w:lang w:eastAsia="el-GR"/>
              </w:rPr>
            </w:pPr>
            <w:r w:rsidRPr="00E920C7">
              <w:rPr>
                <w:rFonts w:eastAsia="Times New Roman" w:cs="Calibri"/>
                <w:i/>
                <w:iCs/>
                <w:color w:val="auto"/>
                <w:lang w:eastAsia="el-GR"/>
              </w:rPr>
              <w:t>-6,0%</w:t>
            </w:r>
          </w:p>
        </w:tc>
      </w:tr>
      <w:tr w:rsidR="00E920C7" w:rsidRPr="00E920C7" w14:paraId="233CAA86" w14:textId="77777777" w:rsidTr="00EF4140">
        <w:trPr>
          <w:trHeight w:val="385"/>
        </w:trPr>
        <w:tc>
          <w:tcPr>
            <w:tcW w:w="5534" w:type="dxa"/>
            <w:shd w:val="clear" w:color="auto" w:fill="auto"/>
            <w:noWrap/>
            <w:vAlign w:val="center"/>
          </w:tcPr>
          <w:p w14:paraId="563C0345" w14:textId="658D6B13" w:rsidR="00E920C7" w:rsidRPr="00E920C7" w:rsidRDefault="00E920C7" w:rsidP="00E920C7">
            <w:pPr>
              <w:spacing w:after="0" w:line="240" w:lineRule="auto"/>
              <w:rPr>
                <w:rFonts w:eastAsia="Times New Roman" w:cs="Calibri"/>
                <w:color w:val="auto"/>
                <w:sz w:val="20"/>
                <w:szCs w:val="20"/>
                <w:lang w:eastAsia="el-GR"/>
              </w:rPr>
            </w:pPr>
            <w:r w:rsidRPr="00E920C7">
              <w:rPr>
                <w:rFonts w:eastAsia="Times New Roman" w:cs="Calibri"/>
                <w:color w:val="auto"/>
                <w:sz w:val="20"/>
                <w:szCs w:val="20"/>
                <w:lang w:eastAsia="el-GR"/>
              </w:rPr>
              <w:t>ΟΟΣΑ</w:t>
            </w:r>
            <w:r w:rsidR="00470AC2">
              <w:rPr>
                <w:rFonts w:eastAsia="Times New Roman" w:cs="Calibri"/>
                <w:color w:val="auto"/>
                <w:sz w:val="20"/>
                <w:szCs w:val="20"/>
                <w:lang w:eastAsia="el-GR"/>
              </w:rPr>
              <w:t xml:space="preserve"> </w:t>
            </w:r>
            <w:r w:rsidR="00470AC2" w:rsidRPr="00470AC2">
              <w:rPr>
                <w:rFonts w:eastAsia="Times New Roman" w:cs="Calibri"/>
                <w:color w:val="auto"/>
                <w:sz w:val="20"/>
                <w:szCs w:val="20"/>
                <w:vertAlign w:val="superscript"/>
                <w:lang w:eastAsia="el-GR"/>
              </w:rPr>
              <w:t>(5)</w:t>
            </w:r>
          </w:p>
        </w:tc>
        <w:tc>
          <w:tcPr>
            <w:tcW w:w="2862" w:type="dxa"/>
            <w:shd w:val="clear" w:color="auto" w:fill="auto"/>
            <w:noWrap/>
            <w:vAlign w:val="center"/>
          </w:tcPr>
          <w:p w14:paraId="5756425C" w14:textId="77777777" w:rsidR="00E920C7" w:rsidRPr="00E920C7" w:rsidRDefault="00E920C7" w:rsidP="00E920C7">
            <w:pPr>
              <w:spacing w:after="0" w:line="240" w:lineRule="auto"/>
              <w:jc w:val="center"/>
              <w:rPr>
                <w:rFonts w:eastAsia="Times New Roman" w:cs="Calibri"/>
                <w:i/>
                <w:iCs/>
                <w:color w:val="auto"/>
                <w:lang w:eastAsia="el-GR"/>
              </w:rPr>
            </w:pPr>
            <w:r w:rsidRPr="00E920C7">
              <w:rPr>
                <w:rFonts w:eastAsia="Times New Roman" w:cs="Calibri"/>
                <w:i/>
                <w:iCs/>
                <w:color w:val="auto"/>
                <w:lang w:eastAsia="el-GR"/>
              </w:rPr>
              <w:t>-4,0</w:t>
            </w:r>
          </w:p>
        </w:tc>
      </w:tr>
    </w:tbl>
    <w:p w14:paraId="6966AE1E" w14:textId="77777777" w:rsidR="00E920C7" w:rsidRPr="00E920C7" w:rsidRDefault="00E920C7" w:rsidP="00E920C7">
      <w:pPr>
        <w:tabs>
          <w:tab w:val="left" w:pos="1113"/>
        </w:tabs>
        <w:spacing w:after="0" w:line="240" w:lineRule="auto"/>
        <w:ind w:left="142" w:hanging="142"/>
        <w:rPr>
          <w:rFonts w:eastAsia="Calibri" w:cs="Times New Roman"/>
          <w:b/>
          <w:sz w:val="16"/>
          <w:szCs w:val="16"/>
          <w:lang w:val="en-US"/>
        </w:rPr>
      </w:pPr>
      <w:r w:rsidRPr="00E920C7">
        <w:rPr>
          <w:rFonts w:eastAsia="Calibri" w:cs="Times New Roman"/>
          <w:b/>
          <w:sz w:val="16"/>
          <w:szCs w:val="16"/>
        </w:rPr>
        <w:t>Πηγές</w:t>
      </w:r>
      <w:r w:rsidRPr="00E920C7">
        <w:rPr>
          <w:rFonts w:eastAsia="Calibri" w:cs="Times New Roman"/>
          <w:b/>
          <w:sz w:val="16"/>
          <w:szCs w:val="16"/>
          <w:lang w:val="en-US"/>
        </w:rPr>
        <w:t>:</w:t>
      </w:r>
    </w:p>
    <w:p w14:paraId="2332B421" w14:textId="657E36FB" w:rsidR="00E920C7" w:rsidRPr="00E920C7" w:rsidRDefault="00E920C7" w:rsidP="00E920C7">
      <w:pPr>
        <w:tabs>
          <w:tab w:val="left" w:pos="1113"/>
        </w:tabs>
        <w:spacing w:after="0" w:line="240" w:lineRule="auto"/>
        <w:ind w:left="142" w:hanging="142"/>
        <w:rPr>
          <w:rFonts w:eastAsia="Calibri" w:cs="Calibri"/>
          <w:color w:val="00A3E0"/>
          <w:sz w:val="16"/>
          <w:szCs w:val="16"/>
          <w:lang w:val="en-US"/>
        </w:rPr>
      </w:pPr>
      <w:r w:rsidRPr="00E920C7">
        <w:rPr>
          <w:rFonts w:eastAsia="Calibri" w:cs="Times New Roman"/>
          <w:b/>
          <w:color w:val="00A3E0"/>
          <w:sz w:val="16"/>
          <w:szCs w:val="16"/>
          <w:lang w:val="en-US"/>
        </w:rPr>
        <w:t>1</w:t>
      </w:r>
      <w:r w:rsidRPr="00E920C7">
        <w:rPr>
          <w:rFonts w:eastAsia="Calibri" w:cs="Calibri"/>
          <w:b/>
          <w:bCs/>
          <w:color w:val="00A3E0"/>
          <w:sz w:val="16"/>
          <w:szCs w:val="16"/>
          <w:lang w:val="en-US"/>
        </w:rPr>
        <w:t xml:space="preserve">) </w:t>
      </w:r>
      <w:r w:rsidRPr="00E920C7">
        <w:rPr>
          <w:rFonts w:eastAsia="Calibri" w:cs="Calibri"/>
          <w:color w:val="00A3E0"/>
          <w:sz w:val="16"/>
          <w:szCs w:val="16"/>
          <w:lang w:val="en-US"/>
        </w:rPr>
        <w:t>Y</w:t>
      </w:r>
      <w:r w:rsidRPr="00E920C7">
        <w:rPr>
          <w:rFonts w:eastAsia="Calibri" w:cs="Calibri"/>
          <w:color w:val="00A3E0"/>
          <w:sz w:val="16"/>
          <w:szCs w:val="16"/>
        </w:rPr>
        <w:t>Π</w:t>
      </w:r>
      <w:r w:rsidRPr="00E920C7">
        <w:rPr>
          <w:rFonts w:eastAsia="Calibri" w:cs="Calibri"/>
          <w:color w:val="00A3E0"/>
          <w:sz w:val="16"/>
          <w:szCs w:val="16"/>
          <w:lang w:val="en-US"/>
        </w:rPr>
        <w:t>OIK,</w:t>
      </w:r>
      <w:r w:rsidRPr="00E920C7">
        <w:rPr>
          <w:rFonts w:eastAsia="Calibri" w:cs="Calibri"/>
          <w:b/>
          <w:bCs/>
          <w:color w:val="00A3E0"/>
          <w:sz w:val="16"/>
          <w:szCs w:val="16"/>
          <w:lang w:val="en-US"/>
        </w:rPr>
        <w:t xml:space="preserve"> </w:t>
      </w:r>
      <w:r w:rsidRPr="00E920C7">
        <w:rPr>
          <w:rFonts w:eastAsia="Calibri" w:cs="Calibri"/>
          <w:color w:val="00A3E0"/>
          <w:sz w:val="16"/>
          <w:szCs w:val="16"/>
          <w:lang w:val="en-US"/>
        </w:rPr>
        <w:t>Stability Programme 202</w:t>
      </w:r>
      <w:r>
        <w:rPr>
          <w:rFonts w:eastAsia="Calibri" w:cs="Calibri"/>
          <w:color w:val="00A3E0"/>
          <w:sz w:val="16"/>
          <w:szCs w:val="16"/>
        </w:rPr>
        <w:t>2-2024</w:t>
      </w:r>
      <w:r w:rsidRPr="00E920C7">
        <w:rPr>
          <w:rFonts w:eastAsia="Calibri" w:cs="Calibri"/>
          <w:color w:val="00A3E0"/>
          <w:sz w:val="16"/>
          <w:szCs w:val="16"/>
          <w:lang w:val="en-US"/>
        </w:rPr>
        <w:t xml:space="preserve">, </w:t>
      </w:r>
      <w:r w:rsidRPr="00E920C7">
        <w:rPr>
          <w:rFonts w:eastAsia="Calibri" w:cs="Calibri"/>
          <w:color w:val="00A3E0"/>
          <w:sz w:val="16"/>
          <w:szCs w:val="16"/>
        </w:rPr>
        <w:t>Απρίλιος</w:t>
      </w:r>
      <w:r w:rsidRPr="00E920C7">
        <w:rPr>
          <w:rFonts w:eastAsia="Calibri" w:cs="Calibri"/>
          <w:color w:val="00A3E0"/>
          <w:sz w:val="16"/>
          <w:szCs w:val="16"/>
          <w:lang w:val="en-US"/>
        </w:rPr>
        <w:t xml:space="preserve">, 2021. </w:t>
      </w:r>
    </w:p>
    <w:p w14:paraId="6B3519CC" w14:textId="2E48490C" w:rsidR="00E920C7" w:rsidRPr="00E920C7" w:rsidRDefault="00E920C7" w:rsidP="00E920C7">
      <w:pPr>
        <w:tabs>
          <w:tab w:val="left" w:pos="1113"/>
        </w:tabs>
        <w:spacing w:after="0" w:line="240" w:lineRule="auto"/>
        <w:ind w:left="142" w:hanging="142"/>
        <w:rPr>
          <w:rFonts w:eastAsia="Calibri" w:cs="Calibri"/>
          <w:color w:val="00A3E0"/>
          <w:sz w:val="16"/>
          <w:szCs w:val="16"/>
        </w:rPr>
      </w:pPr>
      <w:r w:rsidRPr="00E920C7">
        <w:rPr>
          <w:rFonts w:eastAsia="Calibri" w:cs="Calibri"/>
          <w:color w:val="00A3E0"/>
          <w:sz w:val="16"/>
          <w:szCs w:val="16"/>
        </w:rPr>
        <w:t xml:space="preserve">2) Τράπεζα της Ελλάδος, </w:t>
      </w:r>
      <w:r w:rsidR="009434FF" w:rsidRPr="00E920C7">
        <w:rPr>
          <w:rFonts w:eastAsia="Calibri" w:cs="Calibri"/>
          <w:color w:val="00A3E0"/>
          <w:sz w:val="16"/>
          <w:szCs w:val="16"/>
        </w:rPr>
        <w:t>Έκθεση</w:t>
      </w:r>
      <w:r w:rsidRPr="00E920C7">
        <w:rPr>
          <w:rFonts w:eastAsia="Calibri" w:cs="Calibri"/>
          <w:color w:val="00A3E0"/>
          <w:sz w:val="16"/>
          <w:szCs w:val="16"/>
        </w:rPr>
        <w:t xml:space="preserve"> </w:t>
      </w:r>
      <w:r w:rsidR="009434FF" w:rsidRPr="00E920C7">
        <w:rPr>
          <w:rFonts w:eastAsia="Calibri" w:cs="Calibri"/>
          <w:color w:val="00A3E0"/>
          <w:sz w:val="16"/>
          <w:szCs w:val="16"/>
        </w:rPr>
        <w:t>του</w:t>
      </w:r>
      <w:r w:rsidRPr="00E920C7">
        <w:rPr>
          <w:rFonts w:eastAsia="Calibri" w:cs="Calibri"/>
          <w:color w:val="00A3E0"/>
          <w:sz w:val="16"/>
          <w:szCs w:val="16"/>
        </w:rPr>
        <w:t xml:space="preserve"> Διοικητή 2020, Απρίλιος 2021, σελ. 22</w:t>
      </w:r>
    </w:p>
    <w:p w14:paraId="6F2B8FB5" w14:textId="77777777" w:rsidR="00E920C7" w:rsidRPr="00E920C7" w:rsidRDefault="00E920C7" w:rsidP="00E920C7">
      <w:pPr>
        <w:tabs>
          <w:tab w:val="left" w:pos="1113"/>
        </w:tabs>
        <w:spacing w:after="0" w:line="240" w:lineRule="auto"/>
        <w:ind w:left="142" w:hanging="142"/>
        <w:rPr>
          <w:rFonts w:eastAsia="Calibri" w:cs="Calibri"/>
          <w:color w:val="00A3E0"/>
          <w:sz w:val="16"/>
          <w:szCs w:val="16"/>
          <w:lang w:val="en-US"/>
        </w:rPr>
      </w:pPr>
      <w:r w:rsidRPr="00E920C7">
        <w:rPr>
          <w:rFonts w:eastAsia="Calibri" w:cs="Calibri"/>
          <w:b/>
          <w:bCs/>
          <w:color w:val="00A3E0"/>
          <w:sz w:val="16"/>
          <w:szCs w:val="16"/>
          <w:lang w:val="en-US"/>
        </w:rPr>
        <w:t>3)</w:t>
      </w:r>
      <w:r w:rsidRPr="00E920C7">
        <w:rPr>
          <w:rFonts w:eastAsia="Calibri" w:cs="Calibri"/>
          <w:color w:val="00A3E0"/>
          <w:sz w:val="16"/>
          <w:szCs w:val="16"/>
          <w:lang w:val="en-US"/>
        </w:rPr>
        <w:t xml:space="preserve"> European Commission, European Economic Forecast, </w:t>
      </w:r>
      <w:r w:rsidRPr="00E920C7">
        <w:rPr>
          <w:rFonts w:eastAsia="Calibri" w:cs="Calibri"/>
          <w:color w:val="00A3E0"/>
          <w:sz w:val="16"/>
          <w:szCs w:val="16"/>
        </w:rPr>
        <w:t>Μάϊος</w:t>
      </w:r>
      <w:r w:rsidRPr="00E920C7">
        <w:rPr>
          <w:rFonts w:eastAsia="Calibri" w:cs="Calibri"/>
          <w:color w:val="00A3E0"/>
          <w:sz w:val="16"/>
          <w:szCs w:val="16"/>
          <w:lang w:val="en-US"/>
        </w:rPr>
        <w:t xml:space="preserve"> 2021 &amp; AMECO.</w:t>
      </w:r>
    </w:p>
    <w:p w14:paraId="75350278" w14:textId="77777777" w:rsidR="00E920C7" w:rsidRPr="00E920C7" w:rsidRDefault="00E920C7" w:rsidP="00E920C7">
      <w:pPr>
        <w:tabs>
          <w:tab w:val="left" w:pos="1113"/>
        </w:tabs>
        <w:spacing w:after="0" w:line="240" w:lineRule="auto"/>
        <w:ind w:left="142" w:hanging="142"/>
        <w:rPr>
          <w:rFonts w:eastAsia="Calibri" w:cs="Calibri"/>
          <w:color w:val="00A3E0"/>
          <w:sz w:val="16"/>
          <w:szCs w:val="16"/>
          <w:lang w:val="en-US"/>
        </w:rPr>
      </w:pPr>
      <w:r w:rsidRPr="00E920C7">
        <w:rPr>
          <w:rFonts w:eastAsia="Calibri" w:cs="Calibri"/>
          <w:b/>
          <w:bCs/>
          <w:color w:val="00A3E0"/>
          <w:sz w:val="16"/>
          <w:szCs w:val="16"/>
          <w:lang w:val="en-US"/>
        </w:rPr>
        <w:t xml:space="preserve">4) </w:t>
      </w:r>
      <w:r w:rsidRPr="00E920C7">
        <w:rPr>
          <w:rFonts w:eastAsia="Calibri" w:cs="Calibri"/>
          <w:color w:val="00A3E0"/>
          <w:sz w:val="16"/>
          <w:szCs w:val="16"/>
          <w:lang w:val="en-US"/>
        </w:rPr>
        <w:t>IMF,</w:t>
      </w:r>
      <w:r w:rsidRPr="00E920C7">
        <w:rPr>
          <w:rFonts w:eastAsia="Calibri" w:cs="Calibri"/>
          <w:color w:val="00A3E0"/>
          <w:sz w:val="16"/>
          <w:szCs w:val="16"/>
          <w:lang w:val="en-GB"/>
        </w:rPr>
        <w:t xml:space="preserve"> </w:t>
      </w:r>
      <w:r w:rsidRPr="00E920C7">
        <w:rPr>
          <w:rFonts w:eastAsia="Calibri" w:cs="Calibri"/>
          <w:color w:val="00A3E0"/>
          <w:sz w:val="16"/>
          <w:szCs w:val="16"/>
          <w:lang w:val="en-US"/>
        </w:rPr>
        <w:t xml:space="preserve">World Economic Outlook: Managing Divergent Recoveries, </w:t>
      </w:r>
      <w:r w:rsidRPr="00E920C7">
        <w:rPr>
          <w:rFonts w:eastAsia="Calibri" w:cs="Calibri"/>
          <w:color w:val="00A3E0"/>
          <w:sz w:val="16"/>
          <w:szCs w:val="16"/>
        </w:rPr>
        <w:t>Απρίλιος</w:t>
      </w:r>
      <w:r w:rsidRPr="00E920C7">
        <w:rPr>
          <w:rFonts w:eastAsia="Calibri" w:cs="Calibri"/>
          <w:color w:val="00A3E0"/>
          <w:sz w:val="16"/>
          <w:szCs w:val="16"/>
          <w:lang w:val="en-US"/>
        </w:rPr>
        <w:t xml:space="preserve"> 2021.</w:t>
      </w:r>
    </w:p>
    <w:p w14:paraId="0DACAF35" w14:textId="77777777" w:rsidR="00E920C7" w:rsidRPr="00470AC2" w:rsidRDefault="00E920C7" w:rsidP="00E920C7">
      <w:pPr>
        <w:tabs>
          <w:tab w:val="left" w:pos="1113"/>
        </w:tabs>
        <w:spacing w:after="0" w:line="240" w:lineRule="auto"/>
        <w:ind w:left="142" w:hanging="142"/>
        <w:rPr>
          <w:lang w:val="en-US"/>
        </w:rPr>
      </w:pPr>
      <w:r w:rsidRPr="00470AC2">
        <w:rPr>
          <w:rFonts w:eastAsia="Calibri" w:cs="Calibri"/>
          <w:bCs/>
          <w:color w:val="00A3E0"/>
          <w:sz w:val="16"/>
          <w:szCs w:val="16"/>
          <w:lang w:val="en-US"/>
        </w:rPr>
        <w:t>5) OECD Dataset: Economic Outlook No 108 - December 2020</w:t>
      </w:r>
    </w:p>
    <w:p w14:paraId="34CA303D" w14:textId="77777777" w:rsidR="00E920C7" w:rsidRPr="00E920C7" w:rsidRDefault="00E920C7" w:rsidP="00E920C7">
      <w:pPr>
        <w:spacing w:after="0" w:line="240" w:lineRule="auto"/>
        <w:rPr>
          <w:rFonts w:eastAsia="Calibri" w:cs="Times New Roman"/>
          <w:iCs/>
          <w:color w:val="00B0F0"/>
          <w:sz w:val="20"/>
          <w:szCs w:val="20"/>
          <w:lang w:val="en-US"/>
        </w:rPr>
      </w:pPr>
    </w:p>
    <w:p w14:paraId="4BA95F8A" w14:textId="77777777" w:rsidR="00E920C7" w:rsidRPr="00E920C7" w:rsidRDefault="00E920C7" w:rsidP="00E920C7">
      <w:pPr>
        <w:jc w:val="left"/>
        <w:rPr>
          <w:iCs/>
          <w:lang w:val="en-US"/>
        </w:rPr>
      </w:pPr>
    </w:p>
    <w:p w14:paraId="0849954E" w14:textId="77777777" w:rsidR="00E920C7" w:rsidRPr="00C602EF" w:rsidRDefault="00E920C7">
      <w:pPr>
        <w:spacing w:after="160" w:line="0" w:lineRule="auto"/>
        <w:jc w:val="left"/>
        <w:rPr>
          <w:i/>
          <w:color w:val="00A3E0"/>
          <w:sz w:val="32"/>
          <w:szCs w:val="32"/>
          <w:u w:val="single"/>
          <w:lang w:val="en-US"/>
        </w:rPr>
      </w:pPr>
      <w:r w:rsidRPr="00C602EF">
        <w:rPr>
          <w:i/>
          <w:color w:val="00A3E0"/>
          <w:sz w:val="32"/>
          <w:szCs w:val="32"/>
          <w:u w:val="single"/>
          <w:lang w:val="en-US"/>
        </w:rPr>
        <w:br w:type="page"/>
      </w:r>
    </w:p>
    <w:p w14:paraId="37CD5AD1" w14:textId="7DAA45ED" w:rsidR="00607398" w:rsidRPr="00E920C7" w:rsidRDefault="00607398" w:rsidP="00607398">
      <w:pPr>
        <w:jc w:val="center"/>
        <w:outlineLvl w:val="1"/>
        <w:rPr>
          <w:i/>
          <w:color w:val="00A3E0"/>
          <w:sz w:val="32"/>
          <w:szCs w:val="32"/>
        </w:rPr>
      </w:pPr>
      <w:bookmarkStart w:id="197" w:name="_Toc73435760"/>
      <w:r w:rsidRPr="00812324">
        <w:rPr>
          <w:i/>
          <w:color w:val="00A3E0"/>
          <w:sz w:val="32"/>
          <w:szCs w:val="32"/>
          <w:u w:val="single"/>
        </w:rPr>
        <w:t>ΠΑΡΑΡΤΗΜΑ</w:t>
      </w:r>
      <w:r w:rsidRPr="00E920C7">
        <w:rPr>
          <w:i/>
          <w:color w:val="00A3E0"/>
          <w:sz w:val="32"/>
          <w:szCs w:val="32"/>
          <w:u w:val="single"/>
        </w:rPr>
        <w:t xml:space="preserve"> </w:t>
      </w:r>
      <w:r>
        <w:rPr>
          <w:i/>
          <w:color w:val="00A3E0"/>
          <w:sz w:val="32"/>
          <w:szCs w:val="32"/>
          <w:u w:val="single"/>
        </w:rPr>
        <w:t>Ι</w:t>
      </w:r>
      <w:r w:rsidRPr="00E920C7">
        <w:rPr>
          <w:i/>
          <w:color w:val="00A3E0"/>
          <w:sz w:val="32"/>
          <w:szCs w:val="32"/>
          <w:u w:val="single"/>
        </w:rPr>
        <w:t>:</w:t>
      </w:r>
      <w:r w:rsidRPr="00E920C7">
        <w:rPr>
          <w:i/>
          <w:color w:val="00A3E0"/>
          <w:sz w:val="32"/>
          <w:szCs w:val="32"/>
        </w:rPr>
        <w:t xml:space="preserve"> </w:t>
      </w:r>
      <w:r w:rsidRPr="00607398">
        <w:rPr>
          <w:i/>
          <w:color w:val="00A3E0"/>
          <w:sz w:val="32"/>
          <w:szCs w:val="32"/>
        </w:rPr>
        <w:t>Ο</w:t>
      </w:r>
      <w:r w:rsidRPr="00E920C7">
        <w:rPr>
          <w:i/>
          <w:color w:val="00A3E0"/>
          <w:sz w:val="32"/>
          <w:szCs w:val="32"/>
        </w:rPr>
        <w:t xml:space="preserve"> </w:t>
      </w:r>
      <w:r w:rsidRPr="00607398">
        <w:rPr>
          <w:i/>
          <w:color w:val="00A3E0"/>
          <w:sz w:val="32"/>
          <w:szCs w:val="32"/>
        </w:rPr>
        <w:t>μηχανισμός</w:t>
      </w:r>
      <w:r w:rsidRPr="00E920C7">
        <w:rPr>
          <w:i/>
          <w:color w:val="00A3E0"/>
          <w:sz w:val="32"/>
          <w:szCs w:val="32"/>
        </w:rPr>
        <w:t xml:space="preserve"> </w:t>
      </w:r>
      <w:r w:rsidRPr="00607398">
        <w:rPr>
          <w:i/>
          <w:color w:val="00A3E0"/>
          <w:sz w:val="32"/>
          <w:szCs w:val="32"/>
        </w:rPr>
        <w:t>ανάκαμψης</w:t>
      </w:r>
      <w:r w:rsidRPr="00E920C7">
        <w:rPr>
          <w:i/>
          <w:color w:val="00A3E0"/>
          <w:sz w:val="32"/>
          <w:szCs w:val="32"/>
        </w:rPr>
        <w:t xml:space="preserve"> </w:t>
      </w:r>
      <w:r w:rsidRPr="00607398">
        <w:rPr>
          <w:i/>
          <w:color w:val="00A3E0"/>
          <w:sz w:val="32"/>
          <w:szCs w:val="32"/>
        </w:rPr>
        <w:t>και</w:t>
      </w:r>
      <w:r w:rsidRPr="00E920C7">
        <w:rPr>
          <w:i/>
          <w:color w:val="00A3E0"/>
          <w:sz w:val="32"/>
          <w:szCs w:val="32"/>
        </w:rPr>
        <w:t xml:space="preserve"> </w:t>
      </w:r>
      <w:r w:rsidRPr="00607398">
        <w:rPr>
          <w:i/>
          <w:color w:val="00A3E0"/>
          <w:sz w:val="32"/>
          <w:szCs w:val="32"/>
        </w:rPr>
        <w:t>ανθεκτικότητας</w:t>
      </w:r>
      <w:r w:rsidRPr="00E920C7">
        <w:rPr>
          <w:i/>
          <w:color w:val="00A3E0"/>
          <w:sz w:val="32"/>
          <w:szCs w:val="32"/>
        </w:rPr>
        <w:t xml:space="preserve"> (</w:t>
      </w:r>
      <w:r w:rsidRPr="000B01F2">
        <w:rPr>
          <w:i/>
          <w:color w:val="00A3E0"/>
          <w:sz w:val="32"/>
          <w:szCs w:val="32"/>
          <w:lang w:val="en-US"/>
        </w:rPr>
        <w:t>Recovery</w:t>
      </w:r>
      <w:r w:rsidRPr="00E920C7">
        <w:rPr>
          <w:i/>
          <w:color w:val="00A3E0"/>
          <w:sz w:val="32"/>
          <w:szCs w:val="32"/>
        </w:rPr>
        <w:t xml:space="preserve"> </w:t>
      </w:r>
      <w:r w:rsidRPr="000B01F2">
        <w:rPr>
          <w:i/>
          <w:color w:val="00A3E0"/>
          <w:sz w:val="32"/>
          <w:szCs w:val="32"/>
          <w:lang w:val="en-US"/>
        </w:rPr>
        <w:t>and</w:t>
      </w:r>
      <w:r w:rsidRPr="00E920C7">
        <w:rPr>
          <w:i/>
          <w:color w:val="00A3E0"/>
          <w:sz w:val="32"/>
          <w:szCs w:val="32"/>
        </w:rPr>
        <w:t xml:space="preserve"> </w:t>
      </w:r>
      <w:r w:rsidRPr="000B01F2">
        <w:rPr>
          <w:i/>
          <w:color w:val="00A3E0"/>
          <w:sz w:val="32"/>
          <w:szCs w:val="32"/>
          <w:lang w:val="en-US"/>
        </w:rPr>
        <w:t>Resilience</w:t>
      </w:r>
      <w:r w:rsidRPr="00E920C7">
        <w:rPr>
          <w:i/>
          <w:color w:val="00A3E0"/>
          <w:sz w:val="32"/>
          <w:szCs w:val="32"/>
        </w:rPr>
        <w:t xml:space="preserve"> </w:t>
      </w:r>
      <w:r w:rsidRPr="000B01F2">
        <w:rPr>
          <w:i/>
          <w:color w:val="00A3E0"/>
          <w:sz w:val="32"/>
          <w:szCs w:val="32"/>
          <w:lang w:val="en-US"/>
        </w:rPr>
        <w:t>Facility</w:t>
      </w:r>
      <w:r w:rsidRPr="00E920C7">
        <w:rPr>
          <w:i/>
          <w:color w:val="00A3E0"/>
          <w:sz w:val="32"/>
          <w:szCs w:val="32"/>
        </w:rPr>
        <w:t>)</w:t>
      </w:r>
      <w:bookmarkEnd w:id="197"/>
      <w:r w:rsidRPr="00E920C7">
        <w:rPr>
          <w:i/>
          <w:color w:val="00A3E0"/>
          <w:sz w:val="32"/>
          <w:szCs w:val="32"/>
        </w:rPr>
        <w:t xml:space="preserve"> </w:t>
      </w:r>
    </w:p>
    <w:p w14:paraId="1A234003" w14:textId="24BFB3B5" w:rsidR="00C00D83" w:rsidRPr="001A7A75" w:rsidRDefault="00C00D83" w:rsidP="00C00D83">
      <w:pPr>
        <w:pStyle w:val="Default"/>
        <w:spacing w:line="276" w:lineRule="auto"/>
        <w:jc w:val="both"/>
        <w:rPr>
          <w:rFonts w:ascii="Trebuchet MS" w:hAnsi="Trebuchet MS" w:cstheme="minorBidi"/>
          <w:color w:val="auto"/>
          <w:sz w:val="22"/>
          <w:szCs w:val="22"/>
        </w:rPr>
      </w:pPr>
      <w:r w:rsidRPr="001A7A75">
        <w:rPr>
          <w:rFonts w:ascii="Trebuchet MS" w:hAnsi="Trebuchet MS" w:cstheme="minorBidi"/>
          <w:color w:val="auto"/>
          <w:sz w:val="22"/>
          <w:szCs w:val="22"/>
        </w:rPr>
        <w:t xml:space="preserve">Τον Ιούλιο του 2020 το Ευρωπαϊκό Συμβούλιο συμφώνησε για ένα άνευ προηγουμένου Πολυετές Δημοσιονομικό Πλαίσιο το οποίο προέβλεπε οικονομικές ενισχύσεις συνολικού ύψους 1,8 τρισεκατομμυρίων ευρώ για τα κράτη-μέλη της ΕΕ, </w:t>
      </w:r>
      <w:r>
        <w:rPr>
          <w:rFonts w:ascii="Trebuchet MS" w:hAnsi="Trebuchet MS" w:cstheme="minorBidi"/>
          <w:color w:val="auto"/>
          <w:sz w:val="22"/>
          <w:szCs w:val="22"/>
        </w:rPr>
        <w:t xml:space="preserve">προκειμένου </w:t>
      </w:r>
      <w:r w:rsidRPr="001A7A75">
        <w:rPr>
          <w:rFonts w:ascii="Trebuchet MS" w:hAnsi="Trebuchet MS" w:cstheme="minorBidi"/>
          <w:color w:val="auto"/>
          <w:sz w:val="22"/>
          <w:szCs w:val="22"/>
        </w:rPr>
        <w:t xml:space="preserve">να αντιμετωπιστούν οι κοινωνικοοικονομικές επιπτώσεις της πανδημίας. Το πλαίσιο αυτό συμπεριλάμβανε το πρόγραμμα «Next Generation EU» 750 δισ. ευρώ, του οποίου βασικό βραχίονα αποτελεί ο Μηχανισμός Ανάκαμψης και Ανθεκτικότητας  (Recovery and Resilience Facility) προϋπολογισμού 672,5 δισ. ευρώ. Από το ποσό αυτό 312,5 δισ. ευρώ αφορούν επιχορηγήσεις και τα υπόλοιπα 360 δισ. ευρώ δάνεια. Βασική επιδίωξη του Μηχανισμού είναι να παράσχει τη δυνατότητα στα κράτη-μέλη να αντιμετωπίσουν τις μεγάλες οικονομικές και κοινωνικές επιπτώσεις της πανδημίας. Ταυτόχρονα, </w:t>
      </w:r>
      <w:r>
        <w:rPr>
          <w:rFonts w:ascii="Trebuchet MS" w:hAnsi="Trebuchet MS" w:cstheme="minorBidi"/>
          <w:color w:val="auto"/>
          <w:sz w:val="22"/>
          <w:szCs w:val="22"/>
          <w:lang w:val="en-US"/>
        </w:rPr>
        <w:t>o</w:t>
      </w:r>
      <w:r w:rsidRPr="001A7A75">
        <w:rPr>
          <w:rFonts w:ascii="Trebuchet MS" w:hAnsi="Trebuchet MS" w:cstheme="minorBidi"/>
          <w:color w:val="auto"/>
          <w:sz w:val="22"/>
          <w:szCs w:val="22"/>
        </w:rPr>
        <w:t xml:space="preserve"> μηχανισμός αυτός προβλέπεται να παρέχει κίνητρα για μεταρρυθμίσεις και επενδύσεις.</w:t>
      </w:r>
    </w:p>
    <w:p w14:paraId="555B66DD" w14:textId="77777777" w:rsidR="00C00D83" w:rsidRPr="001A7A75" w:rsidRDefault="00C00D83" w:rsidP="00C00D83">
      <w:pPr>
        <w:pStyle w:val="Default"/>
        <w:spacing w:line="276" w:lineRule="auto"/>
        <w:jc w:val="both"/>
        <w:rPr>
          <w:rFonts w:ascii="Trebuchet MS" w:hAnsi="Trebuchet MS" w:cstheme="minorBidi"/>
          <w:color w:val="auto"/>
          <w:sz w:val="22"/>
          <w:szCs w:val="22"/>
        </w:rPr>
      </w:pPr>
    </w:p>
    <w:p w14:paraId="2E8619D5" w14:textId="1FDC91A8" w:rsidR="00C00D83" w:rsidRPr="001A7A75" w:rsidRDefault="00C00D83" w:rsidP="00C00D83">
      <w:pPr>
        <w:pStyle w:val="Default"/>
        <w:spacing w:line="276" w:lineRule="auto"/>
        <w:jc w:val="both"/>
        <w:rPr>
          <w:rFonts w:ascii="Trebuchet MS" w:hAnsi="Trebuchet MS" w:cstheme="minorBidi"/>
          <w:color w:val="auto"/>
          <w:sz w:val="22"/>
          <w:szCs w:val="22"/>
        </w:rPr>
      </w:pPr>
      <w:r w:rsidRPr="001A7A75">
        <w:rPr>
          <w:rFonts w:ascii="Trebuchet MS" w:hAnsi="Trebuchet MS" w:cstheme="minorBidi"/>
          <w:color w:val="auto"/>
          <w:sz w:val="22"/>
          <w:szCs w:val="22"/>
        </w:rPr>
        <w:t>Η θέσπιση του Μηχανισμού πραγματοποιήθηκε με την ψήφισ</w:t>
      </w:r>
      <w:r w:rsidR="00B7198B">
        <w:rPr>
          <w:rFonts w:ascii="Trebuchet MS" w:hAnsi="Trebuchet MS" w:cstheme="minorBidi"/>
          <w:color w:val="auto"/>
          <w:sz w:val="22"/>
          <w:szCs w:val="22"/>
        </w:rPr>
        <w:t xml:space="preserve">η του κανονισμού (ΕΕ) 2021/241 </w:t>
      </w:r>
      <w:r w:rsidRPr="001A7A75">
        <w:rPr>
          <w:rFonts w:ascii="Trebuchet MS" w:hAnsi="Trebuchet MS" w:cstheme="minorBidi"/>
          <w:color w:val="auto"/>
          <w:sz w:val="22"/>
          <w:szCs w:val="22"/>
        </w:rPr>
        <w:t xml:space="preserve">του Ευρωπαϊκού Κοινοβουλίου και του Συμβουλίου </w:t>
      </w:r>
      <w:r w:rsidR="00B7198B">
        <w:rPr>
          <w:rFonts w:ascii="Trebuchet MS" w:hAnsi="Trebuchet MS" w:cstheme="minorBidi"/>
          <w:color w:val="auto"/>
          <w:sz w:val="22"/>
          <w:szCs w:val="22"/>
        </w:rPr>
        <w:t xml:space="preserve">στις 12 Φεβρουαρίου 2021 και η </w:t>
      </w:r>
      <w:r w:rsidRPr="001A7A75">
        <w:rPr>
          <w:rFonts w:ascii="Trebuchet MS" w:hAnsi="Trebuchet MS" w:cstheme="minorBidi"/>
          <w:color w:val="auto"/>
          <w:sz w:val="22"/>
          <w:szCs w:val="22"/>
        </w:rPr>
        <w:t xml:space="preserve">καινοτομία του έγκειται </w:t>
      </w:r>
      <w:r w:rsidR="00B7198B">
        <w:rPr>
          <w:rFonts w:ascii="Trebuchet MS" w:hAnsi="Trebuchet MS" w:cstheme="minorBidi"/>
          <w:color w:val="auto"/>
          <w:sz w:val="22"/>
          <w:szCs w:val="22"/>
        </w:rPr>
        <w:t xml:space="preserve">στο γεγονός ότι η προβλεπόμενη </w:t>
      </w:r>
      <w:r w:rsidRPr="001A7A75">
        <w:rPr>
          <w:rFonts w:ascii="Trebuchet MS" w:hAnsi="Trebuchet MS" w:cstheme="minorBidi"/>
          <w:color w:val="auto"/>
          <w:sz w:val="22"/>
          <w:szCs w:val="22"/>
        </w:rPr>
        <w:t>χρηματοδοτική στήριξη συνδέεται με την επίτευξη αποτελεσμάτων, την υλοποίηση μεταρρυ</w:t>
      </w:r>
      <w:r>
        <w:rPr>
          <w:rFonts w:ascii="Trebuchet MS" w:hAnsi="Trebuchet MS" w:cstheme="minorBidi"/>
          <w:color w:val="auto"/>
          <w:sz w:val="22"/>
          <w:szCs w:val="22"/>
        </w:rPr>
        <w:t>θμίσεων και δημόσιων επενδύσεων</w:t>
      </w:r>
      <w:r w:rsidRPr="001A7A75">
        <w:rPr>
          <w:rFonts w:ascii="Trebuchet MS" w:hAnsi="Trebuchet MS" w:cstheme="minorBidi"/>
          <w:color w:val="auto"/>
          <w:sz w:val="22"/>
          <w:szCs w:val="22"/>
        </w:rPr>
        <w:t>. Προτεραιότητα δίνεται στην υλοποίηση δράσεων που διευκολύνουν την ψηφιακή και πράσινη μετάβαση</w:t>
      </w:r>
      <w:r>
        <w:rPr>
          <w:rFonts w:ascii="Trebuchet MS" w:hAnsi="Trebuchet MS" w:cstheme="minorBidi"/>
          <w:color w:val="auto"/>
          <w:sz w:val="22"/>
          <w:szCs w:val="22"/>
        </w:rPr>
        <w:t>,</w:t>
      </w:r>
      <w:r w:rsidRPr="001A7A75">
        <w:rPr>
          <w:rFonts w:ascii="Trebuchet MS" w:hAnsi="Trebuchet MS" w:cstheme="minorBidi"/>
          <w:color w:val="auto"/>
          <w:sz w:val="22"/>
          <w:szCs w:val="22"/>
        </w:rPr>
        <w:t xml:space="preserve"> αλλά και στις προκλήσεις που περιγράφονται στην Ετήσια Στρατηγική Βιώσιμης Ανάπτυξης του 2021 (ASGS 2021), η οποία ξεκίνησε τον φετινό κύκλο του Ευρωπαϊκού Εξαμήνου και περιλαμβάνει  α)</w:t>
      </w:r>
      <w:r>
        <w:rPr>
          <w:rFonts w:ascii="Trebuchet MS" w:hAnsi="Trebuchet MS" w:cstheme="minorBidi"/>
          <w:color w:val="auto"/>
          <w:sz w:val="22"/>
          <w:szCs w:val="22"/>
        </w:rPr>
        <w:t xml:space="preserve"> </w:t>
      </w:r>
      <w:r w:rsidRPr="001A7A75">
        <w:rPr>
          <w:rFonts w:ascii="Trebuchet MS" w:hAnsi="Trebuchet MS" w:cstheme="minorBidi"/>
          <w:color w:val="auto"/>
          <w:sz w:val="22"/>
          <w:szCs w:val="22"/>
        </w:rPr>
        <w:t>Περιβαλλοντική βιωσιμότητα, β)</w:t>
      </w:r>
      <w:r>
        <w:rPr>
          <w:rFonts w:ascii="Trebuchet MS" w:hAnsi="Trebuchet MS" w:cstheme="minorBidi"/>
          <w:color w:val="auto"/>
          <w:sz w:val="22"/>
          <w:szCs w:val="22"/>
        </w:rPr>
        <w:t xml:space="preserve"> </w:t>
      </w:r>
      <w:r w:rsidRPr="001A7A75">
        <w:rPr>
          <w:rFonts w:ascii="Trebuchet MS" w:hAnsi="Trebuchet MS" w:cstheme="minorBidi"/>
          <w:color w:val="auto"/>
          <w:sz w:val="22"/>
          <w:szCs w:val="22"/>
        </w:rPr>
        <w:t>Παραγωγικότητα, γ) Δικαιοσύνη και δ)</w:t>
      </w:r>
      <w:r>
        <w:rPr>
          <w:rFonts w:ascii="Trebuchet MS" w:hAnsi="Trebuchet MS" w:cstheme="minorBidi"/>
          <w:color w:val="auto"/>
          <w:sz w:val="22"/>
          <w:szCs w:val="22"/>
        </w:rPr>
        <w:t xml:space="preserve"> </w:t>
      </w:r>
      <w:r w:rsidRPr="001A7A75">
        <w:rPr>
          <w:rFonts w:ascii="Trebuchet MS" w:hAnsi="Trebuchet MS" w:cstheme="minorBidi"/>
          <w:color w:val="auto"/>
          <w:sz w:val="22"/>
          <w:szCs w:val="22"/>
        </w:rPr>
        <w:t>Μακροοικονομική σταθερότητα. Παράλληλα, με την ενσωμάτωση των Αρχών για την Ευρωπαϊκή Πράσινη Συμφωνία (European Green Deal), ως στρατηγική βιώσιμης ανάπτυξης της Ευρώπης, ο Μηχανισμός υποστηρίζει τα Σχέδια που συμβάλλουν στην πράσινη μετάβαση</w:t>
      </w:r>
      <w:r w:rsidRPr="001A7A75">
        <w:rPr>
          <w:rStyle w:val="FootnoteReference"/>
          <w:rFonts w:ascii="Trebuchet MS" w:hAnsi="Trebuchet MS" w:cstheme="minorBidi"/>
          <w:color w:val="auto"/>
          <w:sz w:val="22"/>
          <w:szCs w:val="22"/>
        </w:rPr>
        <w:footnoteReference w:id="44"/>
      </w:r>
      <w:r w:rsidRPr="001A7A75">
        <w:rPr>
          <w:rFonts w:ascii="Trebuchet MS" w:hAnsi="Trebuchet MS" w:cstheme="minorBidi"/>
          <w:color w:val="auto"/>
          <w:sz w:val="22"/>
          <w:szCs w:val="22"/>
        </w:rPr>
        <w:t xml:space="preserve"> συμπεριλαμβανομένης της βιοποικιλότητας. </w:t>
      </w:r>
      <w:r>
        <w:rPr>
          <w:rFonts w:ascii="Trebuchet MS" w:hAnsi="Trebuchet MS" w:cstheme="minorBidi"/>
          <w:color w:val="auto"/>
          <w:sz w:val="22"/>
          <w:szCs w:val="22"/>
        </w:rPr>
        <w:t>Σ</w:t>
      </w:r>
      <w:r w:rsidRPr="001A7A75">
        <w:rPr>
          <w:rFonts w:ascii="Trebuchet MS" w:hAnsi="Trebuchet MS" w:cstheme="minorBidi"/>
          <w:color w:val="auto"/>
          <w:sz w:val="22"/>
          <w:szCs w:val="22"/>
        </w:rPr>
        <w:t xml:space="preserve">τόχος είναι η επίτευξη των κλιματικών στόχων της Ένωσης για το 2030 που καθορίζονται στο άρθρο 2 </w:t>
      </w:r>
      <w:r>
        <w:rPr>
          <w:rFonts w:ascii="Trebuchet MS" w:hAnsi="Trebuchet MS" w:cstheme="minorBidi"/>
          <w:color w:val="auto"/>
          <w:sz w:val="22"/>
          <w:szCs w:val="22"/>
        </w:rPr>
        <w:t>(</w:t>
      </w:r>
      <w:r w:rsidRPr="001A7A75">
        <w:rPr>
          <w:rFonts w:ascii="Trebuchet MS" w:hAnsi="Trebuchet MS" w:cstheme="minorBidi"/>
          <w:color w:val="auto"/>
          <w:sz w:val="22"/>
          <w:szCs w:val="22"/>
        </w:rPr>
        <w:t>σημείο 11) του κανονισμού (ΕΕ) 2018/1999 και τη συμμόρφωση με τον στόχο για κλιματική ο</w:t>
      </w:r>
      <w:r>
        <w:rPr>
          <w:rFonts w:ascii="Trebuchet MS" w:hAnsi="Trebuchet MS" w:cstheme="minorBidi"/>
          <w:color w:val="auto"/>
          <w:sz w:val="22"/>
          <w:szCs w:val="22"/>
        </w:rPr>
        <w:t xml:space="preserve">υδετερότητα της ΕΕ έως το 2050. Σημαντικός στόχος, τέλος, είναι </w:t>
      </w:r>
      <w:r w:rsidRPr="001A7A75">
        <w:rPr>
          <w:rFonts w:ascii="Trebuchet MS" w:hAnsi="Trebuchet MS" w:cstheme="minorBidi"/>
          <w:color w:val="auto"/>
          <w:sz w:val="22"/>
          <w:szCs w:val="22"/>
        </w:rPr>
        <w:t>ο ψηφιακός μετασχηματ</w:t>
      </w:r>
      <w:r>
        <w:rPr>
          <w:rFonts w:ascii="Trebuchet MS" w:hAnsi="Trebuchet MS" w:cstheme="minorBidi"/>
          <w:color w:val="auto"/>
          <w:sz w:val="22"/>
          <w:szCs w:val="22"/>
        </w:rPr>
        <w:t>ισμός των οικονομιών της Ένωσης.</w:t>
      </w:r>
    </w:p>
    <w:p w14:paraId="6999C948" w14:textId="77777777" w:rsidR="00C00D83" w:rsidRPr="001A7A75" w:rsidRDefault="00C00D83" w:rsidP="00C00D83">
      <w:pPr>
        <w:pStyle w:val="Default"/>
        <w:spacing w:line="276" w:lineRule="auto"/>
        <w:jc w:val="both"/>
        <w:rPr>
          <w:rFonts w:ascii="Trebuchet MS" w:hAnsi="Trebuchet MS" w:cstheme="minorBidi"/>
          <w:color w:val="auto"/>
          <w:sz w:val="22"/>
          <w:szCs w:val="22"/>
        </w:rPr>
      </w:pPr>
    </w:p>
    <w:p w14:paraId="4BCBC53E" w14:textId="77777777" w:rsidR="00C00D83" w:rsidRPr="001A7A75" w:rsidRDefault="00C00D83" w:rsidP="00C00D83">
      <w:pPr>
        <w:pStyle w:val="Default"/>
        <w:spacing w:line="276" w:lineRule="auto"/>
        <w:jc w:val="both"/>
        <w:rPr>
          <w:rFonts w:ascii="Trebuchet MS" w:hAnsi="Trebuchet MS" w:cstheme="minorBidi"/>
          <w:color w:val="auto"/>
          <w:sz w:val="22"/>
          <w:szCs w:val="22"/>
        </w:rPr>
      </w:pPr>
    </w:p>
    <w:p w14:paraId="635ABF8D" w14:textId="77777777" w:rsidR="00C00D83" w:rsidRPr="001A7A75" w:rsidRDefault="00C00D83" w:rsidP="00C00D83">
      <w:pPr>
        <w:pStyle w:val="Default"/>
        <w:spacing w:after="120" w:line="276" w:lineRule="auto"/>
        <w:jc w:val="both"/>
        <w:rPr>
          <w:rFonts w:ascii="Trebuchet MS" w:hAnsi="Trebuchet MS" w:cstheme="minorBidi"/>
          <w:b/>
          <w:color w:val="auto"/>
          <w:sz w:val="22"/>
          <w:szCs w:val="22"/>
        </w:rPr>
      </w:pPr>
      <w:r w:rsidRPr="001A7A75">
        <w:rPr>
          <w:rFonts w:ascii="Trebuchet MS" w:hAnsi="Trebuchet MS" w:cstheme="minorBidi"/>
          <w:b/>
          <w:color w:val="auto"/>
          <w:sz w:val="22"/>
          <w:szCs w:val="22"/>
        </w:rPr>
        <w:t>Το ελληνικό σχέδιο ανάκαμψης και ανθεκτικότητας</w:t>
      </w:r>
    </w:p>
    <w:p w14:paraId="2B7370DF" w14:textId="037801B9" w:rsidR="00C00D83" w:rsidRPr="001A7A75" w:rsidRDefault="00C00D83" w:rsidP="00C00D83">
      <w:pPr>
        <w:pStyle w:val="Default"/>
        <w:spacing w:line="276" w:lineRule="auto"/>
        <w:jc w:val="both"/>
        <w:rPr>
          <w:rFonts w:ascii="Trebuchet MS" w:hAnsi="Trebuchet MS" w:cstheme="minorBidi"/>
          <w:color w:val="auto"/>
          <w:sz w:val="22"/>
          <w:szCs w:val="22"/>
        </w:rPr>
      </w:pPr>
      <w:r w:rsidRPr="001A7A75">
        <w:rPr>
          <w:rFonts w:ascii="Trebuchet MS" w:hAnsi="Trebuchet MS" w:cstheme="minorBidi"/>
          <w:color w:val="auto"/>
          <w:sz w:val="22"/>
          <w:szCs w:val="22"/>
        </w:rPr>
        <w:t>Η χώρα μας υπέβαλλε στις 28 Απριλίου 2021 επίσημα στην ΕΕ το εθνικό Σχέδιο Ανάκαμψης και Ανθεκτικότητας αιτούμενη συνολικά 30,5 δισ. ευρώ</w:t>
      </w:r>
      <w:r w:rsidRPr="001A7A75">
        <w:rPr>
          <w:rStyle w:val="FootnoteReference"/>
          <w:rFonts w:ascii="Trebuchet MS" w:hAnsi="Trebuchet MS" w:cstheme="minorBidi"/>
          <w:color w:val="auto"/>
          <w:sz w:val="22"/>
          <w:szCs w:val="22"/>
        </w:rPr>
        <w:footnoteReference w:id="45"/>
      </w:r>
      <w:r w:rsidRPr="001A7A75">
        <w:rPr>
          <w:rFonts w:ascii="Trebuchet MS" w:hAnsi="Trebuchet MS" w:cstheme="minorBidi"/>
          <w:color w:val="auto"/>
          <w:sz w:val="22"/>
          <w:szCs w:val="22"/>
        </w:rPr>
        <w:t>, εκ των οποίων τα 17,8 δισ. αφορούν επιχορηγήσεις και τα 12,7 δισ. αναμένεται να διοχετευτού</w:t>
      </w:r>
      <w:r w:rsidR="00B7198B">
        <w:rPr>
          <w:rFonts w:ascii="Trebuchet MS" w:hAnsi="Trebuchet MS" w:cstheme="minorBidi"/>
          <w:color w:val="auto"/>
          <w:sz w:val="22"/>
          <w:szCs w:val="22"/>
        </w:rPr>
        <w:t>ν στην ελληνική οικονομία με τη</w:t>
      </w:r>
      <w:r w:rsidRPr="001A7A75">
        <w:rPr>
          <w:rFonts w:ascii="Trebuchet MS" w:hAnsi="Trebuchet MS" w:cstheme="minorBidi"/>
          <w:color w:val="auto"/>
          <w:sz w:val="22"/>
          <w:szCs w:val="22"/>
        </w:rPr>
        <w:t xml:space="preserve"> μορφή δανειακών κεφαλαίων. Το Σχέδιο «Ελλάδα 2.0» όπως ονομάστηκε, ευθυγραμμ</w:t>
      </w:r>
      <w:r>
        <w:rPr>
          <w:rFonts w:ascii="Trebuchet MS" w:hAnsi="Trebuchet MS" w:cstheme="minorBidi"/>
          <w:color w:val="auto"/>
          <w:sz w:val="22"/>
          <w:szCs w:val="22"/>
        </w:rPr>
        <w:t>ίζεται</w:t>
      </w:r>
      <w:r w:rsidRPr="001A7A75">
        <w:rPr>
          <w:rFonts w:ascii="Trebuchet MS" w:hAnsi="Trebuchet MS" w:cstheme="minorBidi"/>
          <w:color w:val="auto"/>
          <w:sz w:val="22"/>
          <w:szCs w:val="22"/>
        </w:rPr>
        <w:t xml:space="preserve"> με τους έξι πυλώνες που θέτει το Άρθρο 3 του Κανονισμού για τον Μηχανισμό Ανάκαμψης και Ανθεκτικότητας </w:t>
      </w:r>
      <w:r>
        <w:rPr>
          <w:rFonts w:ascii="Trebuchet MS" w:hAnsi="Trebuchet MS" w:cstheme="minorBidi"/>
          <w:color w:val="auto"/>
          <w:sz w:val="22"/>
          <w:szCs w:val="22"/>
        </w:rPr>
        <w:t xml:space="preserve">και </w:t>
      </w:r>
      <w:r w:rsidRPr="001A7A75">
        <w:rPr>
          <w:rFonts w:ascii="Trebuchet MS" w:hAnsi="Trebuchet MS" w:cstheme="minorBidi"/>
          <w:color w:val="auto"/>
          <w:sz w:val="22"/>
          <w:szCs w:val="22"/>
        </w:rPr>
        <w:t>περιλαμβάνει 106 επενδυτικά προγράμματα και 67 μεταρρυθμιστικές προτάσεις και αποτελείται από τέσσερις πυλώνες: (1) Πράσιν</w:t>
      </w:r>
      <w:r>
        <w:rPr>
          <w:rFonts w:ascii="Trebuchet MS" w:hAnsi="Trebuchet MS" w:cstheme="minorBidi"/>
          <w:color w:val="auto"/>
          <w:sz w:val="22"/>
          <w:szCs w:val="22"/>
        </w:rPr>
        <w:t>η μετάβαση</w:t>
      </w:r>
      <w:r w:rsidRPr="001A7A75">
        <w:rPr>
          <w:rFonts w:ascii="Trebuchet MS" w:hAnsi="Trebuchet MS" w:cstheme="minorBidi"/>
          <w:color w:val="auto"/>
          <w:sz w:val="22"/>
          <w:szCs w:val="22"/>
        </w:rPr>
        <w:t>, (2) Ψηφιακ</w:t>
      </w:r>
      <w:r>
        <w:rPr>
          <w:rFonts w:ascii="Trebuchet MS" w:hAnsi="Trebuchet MS" w:cstheme="minorBidi"/>
          <w:color w:val="auto"/>
          <w:sz w:val="22"/>
          <w:szCs w:val="22"/>
        </w:rPr>
        <w:t>ός μετασχηματισμός</w:t>
      </w:r>
      <w:r w:rsidRPr="001A7A75">
        <w:rPr>
          <w:rFonts w:ascii="Trebuchet MS" w:hAnsi="Trebuchet MS" w:cstheme="minorBidi"/>
          <w:color w:val="auto"/>
          <w:sz w:val="22"/>
          <w:szCs w:val="22"/>
        </w:rPr>
        <w:t>, (3) Απασχόληση, δεξιότητες και κοινωνική συνοχή (υγεία,</w:t>
      </w:r>
      <w:r w:rsidR="00B7198B">
        <w:rPr>
          <w:rFonts w:ascii="Trebuchet MS" w:hAnsi="Trebuchet MS" w:cstheme="minorBidi"/>
          <w:color w:val="auto"/>
          <w:sz w:val="22"/>
          <w:szCs w:val="22"/>
        </w:rPr>
        <w:t xml:space="preserve"> παιδεία, κοινωνική προστασία), </w:t>
      </w:r>
      <w:r w:rsidRPr="001A7A75">
        <w:rPr>
          <w:rFonts w:ascii="Trebuchet MS" w:hAnsi="Trebuchet MS" w:cstheme="minorBidi"/>
          <w:color w:val="auto"/>
          <w:sz w:val="22"/>
          <w:szCs w:val="22"/>
        </w:rPr>
        <w:t>(4) Ιδιωτικές επενδύσεις και οικονομικός και θεσμικός μετασχηματισμός</w:t>
      </w:r>
      <w:r>
        <w:rPr>
          <w:rFonts w:ascii="Trebuchet MS" w:hAnsi="Trebuchet MS" w:cstheme="minorBidi"/>
          <w:color w:val="auto"/>
          <w:sz w:val="22"/>
          <w:szCs w:val="22"/>
        </w:rPr>
        <w:t>.</w:t>
      </w:r>
      <w:r w:rsidRPr="001A7A75">
        <w:rPr>
          <w:rStyle w:val="FootnoteReference"/>
          <w:rFonts w:ascii="Trebuchet MS" w:hAnsi="Trebuchet MS" w:cstheme="minorBidi"/>
          <w:color w:val="auto"/>
          <w:sz w:val="22"/>
          <w:szCs w:val="22"/>
        </w:rPr>
        <w:footnoteReference w:id="46"/>
      </w:r>
      <w:r w:rsidRPr="001A7A75">
        <w:rPr>
          <w:rFonts w:ascii="Trebuchet MS" w:hAnsi="Trebuchet MS" w:cstheme="minorBidi"/>
          <w:color w:val="auto"/>
          <w:sz w:val="22"/>
          <w:szCs w:val="22"/>
        </w:rPr>
        <w:t xml:space="preserve">. Σύμφωνα με το Σχέδιο, η επιτυχής υλοποίηση του προγράμματος αναμένεται να αυξήσει το πραγματικό Α.Ε.Π. κατά 6,9% έως το 2026, ενώ σημαντική αναμένεται </w:t>
      </w:r>
      <w:r>
        <w:rPr>
          <w:rFonts w:ascii="Trebuchet MS" w:hAnsi="Trebuchet MS" w:cstheme="minorBidi"/>
          <w:color w:val="auto"/>
          <w:sz w:val="22"/>
          <w:szCs w:val="22"/>
        </w:rPr>
        <w:t xml:space="preserve">να είναι </w:t>
      </w:r>
      <w:r w:rsidRPr="001A7A75">
        <w:rPr>
          <w:rFonts w:ascii="Trebuchet MS" w:hAnsi="Trebuchet MS" w:cstheme="minorBidi"/>
          <w:color w:val="auto"/>
          <w:sz w:val="22"/>
          <w:szCs w:val="22"/>
        </w:rPr>
        <w:t xml:space="preserve">η ενίσχυση </w:t>
      </w:r>
      <w:r>
        <w:rPr>
          <w:rFonts w:ascii="Trebuchet MS" w:hAnsi="Trebuchet MS" w:cstheme="minorBidi"/>
          <w:color w:val="auto"/>
          <w:sz w:val="22"/>
          <w:szCs w:val="22"/>
        </w:rPr>
        <w:t>του ακαθάριστου σχηματισμού παγίου κεφαλαίου</w:t>
      </w:r>
      <w:r w:rsidRPr="001A7A75">
        <w:rPr>
          <w:rFonts w:ascii="Trebuchet MS" w:hAnsi="Trebuchet MS" w:cstheme="minorBidi"/>
          <w:color w:val="auto"/>
          <w:sz w:val="22"/>
          <w:szCs w:val="22"/>
        </w:rPr>
        <w:t xml:space="preserve"> κατά περίπου 20%</w:t>
      </w:r>
      <w:r>
        <w:rPr>
          <w:rFonts w:ascii="Trebuchet MS" w:hAnsi="Trebuchet MS" w:cstheme="minorBidi"/>
          <w:color w:val="auto"/>
          <w:sz w:val="22"/>
          <w:szCs w:val="22"/>
        </w:rPr>
        <w:t xml:space="preserve"> και </w:t>
      </w:r>
      <w:r w:rsidRPr="001A7A75">
        <w:rPr>
          <w:rFonts w:ascii="Trebuchet MS" w:hAnsi="Trebuchet MS" w:cstheme="minorBidi"/>
          <w:color w:val="auto"/>
          <w:sz w:val="22"/>
          <w:szCs w:val="22"/>
        </w:rPr>
        <w:t>της απασχόλησης κατά 4%. Επιπλέον</w:t>
      </w:r>
      <w:r>
        <w:rPr>
          <w:rFonts w:ascii="Trebuchet MS" w:hAnsi="Trebuchet MS" w:cstheme="minorBidi"/>
          <w:color w:val="auto"/>
          <w:sz w:val="22"/>
          <w:szCs w:val="22"/>
        </w:rPr>
        <w:t>,</w:t>
      </w:r>
      <w:r w:rsidRPr="001A7A75">
        <w:rPr>
          <w:rFonts w:ascii="Trebuchet MS" w:hAnsi="Trebuchet MS" w:cstheme="minorBidi"/>
          <w:color w:val="auto"/>
          <w:sz w:val="22"/>
          <w:szCs w:val="22"/>
        </w:rPr>
        <w:t xml:space="preserve"> εκτιμάται ότι η διεύρυνση της φορολογικής βάσης θα οδηγήσει σε άνοδο του λόγου φορολογικών εσόδων προς Α.Ε.Π. κατά 2,8 ποσοστιαίες μονάδες το 2026, βελτιώνοντας παράλληλα και τις δημοσιονομικές επιδόσεις. Συνολικά, η υλοποίηση του Σχεδίου θα αποτελέσει μια σημαντική πρόκληση για την ελληνική οικονομία την προσεχή πενταετία</w:t>
      </w:r>
      <w:r>
        <w:rPr>
          <w:rFonts w:ascii="Trebuchet MS" w:hAnsi="Trebuchet MS" w:cstheme="minorBidi"/>
          <w:color w:val="auto"/>
          <w:sz w:val="22"/>
          <w:szCs w:val="22"/>
        </w:rPr>
        <w:t>.</w:t>
      </w:r>
      <w:r w:rsidRPr="001A7A75">
        <w:rPr>
          <w:rFonts w:ascii="Trebuchet MS" w:hAnsi="Trebuchet MS" w:cstheme="minorBidi"/>
          <w:color w:val="auto"/>
          <w:sz w:val="22"/>
          <w:szCs w:val="22"/>
        </w:rPr>
        <w:t xml:space="preserve"> </w:t>
      </w:r>
      <w:r>
        <w:rPr>
          <w:rFonts w:ascii="Trebuchet MS" w:hAnsi="Trebuchet MS" w:cstheme="minorBidi"/>
          <w:color w:val="auto"/>
          <w:sz w:val="22"/>
          <w:szCs w:val="22"/>
        </w:rPr>
        <w:t>Η</w:t>
      </w:r>
      <w:r w:rsidRPr="001A7A75">
        <w:rPr>
          <w:rFonts w:ascii="Trebuchet MS" w:hAnsi="Trebuchet MS" w:cstheme="minorBidi"/>
          <w:color w:val="auto"/>
          <w:sz w:val="22"/>
          <w:szCs w:val="22"/>
        </w:rPr>
        <w:t xml:space="preserve"> επίτευξη των ορόσημων και στόχων του Σχεδίου, όσο και οι αναμενόμενες μακροοικονομικές και δημοσιονομικές επιδόσεις, </w:t>
      </w:r>
      <w:r>
        <w:rPr>
          <w:rFonts w:ascii="Trebuchet MS" w:hAnsi="Trebuchet MS" w:cstheme="minorBidi"/>
          <w:color w:val="auto"/>
          <w:sz w:val="22"/>
          <w:szCs w:val="22"/>
        </w:rPr>
        <w:t xml:space="preserve">συναρτώνται </w:t>
      </w:r>
      <w:r w:rsidRPr="001A7A75">
        <w:rPr>
          <w:rFonts w:ascii="Trebuchet MS" w:hAnsi="Trebuchet MS" w:cstheme="minorBidi"/>
          <w:color w:val="auto"/>
          <w:sz w:val="22"/>
          <w:szCs w:val="22"/>
        </w:rPr>
        <w:t xml:space="preserve">πρωτίστως </w:t>
      </w:r>
      <w:r>
        <w:rPr>
          <w:rFonts w:ascii="Trebuchet MS" w:hAnsi="Trebuchet MS" w:cstheme="minorBidi"/>
          <w:color w:val="auto"/>
          <w:sz w:val="22"/>
          <w:szCs w:val="22"/>
        </w:rPr>
        <w:t>με</w:t>
      </w:r>
      <w:r w:rsidR="00AE3BC4">
        <w:rPr>
          <w:rFonts w:ascii="Trebuchet MS" w:hAnsi="Trebuchet MS" w:cstheme="minorBidi"/>
          <w:color w:val="auto"/>
          <w:sz w:val="22"/>
          <w:szCs w:val="22"/>
        </w:rPr>
        <w:t xml:space="preserve"> </w:t>
      </w:r>
      <w:r w:rsidRPr="001A7A75">
        <w:rPr>
          <w:rFonts w:ascii="Trebuchet MS" w:hAnsi="Trebuchet MS" w:cstheme="minorBidi"/>
          <w:color w:val="auto"/>
          <w:sz w:val="22"/>
          <w:szCs w:val="22"/>
        </w:rPr>
        <w:t>την ταχύτητα απορρόφησης των κεφαλαίων, τη συμμετοχή των ιδιωτικών επενδύσεων καθώς και τη χρηστή δημοσιονομική διαχείριση.</w:t>
      </w:r>
    </w:p>
    <w:p w14:paraId="06BDDD07" w14:textId="77777777" w:rsidR="00C00D83" w:rsidRPr="001A7A75" w:rsidRDefault="00C00D83" w:rsidP="00C00D83">
      <w:pPr>
        <w:pStyle w:val="Default"/>
        <w:spacing w:line="276" w:lineRule="auto"/>
        <w:jc w:val="both"/>
        <w:rPr>
          <w:rFonts w:ascii="Trebuchet MS" w:hAnsi="Trebuchet MS" w:cstheme="minorBidi"/>
          <w:color w:val="auto"/>
          <w:sz w:val="22"/>
          <w:szCs w:val="22"/>
        </w:rPr>
      </w:pPr>
    </w:p>
    <w:p w14:paraId="3CD509FE" w14:textId="77777777" w:rsidR="00C00D83" w:rsidRPr="001A7A75" w:rsidRDefault="00C00D83" w:rsidP="00C00D83">
      <w:pPr>
        <w:spacing w:after="120"/>
        <w:rPr>
          <w:b/>
          <w:i/>
          <w:color w:val="auto"/>
        </w:rPr>
      </w:pPr>
      <w:r w:rsidRPr="001A7A75">
        <w:rPr>
          <w:b/>
          <w:i/>
          <w:color w:val="auto"/>
        </w:rPr>
        <w:t>Η έγκαιρη απορρόφηση των πόρων</w:t>
      </w:r>
    </w:p>
    <w:p w14:paraId="53ED34CE" w14:textId="33AA3E2A" w:rsidR="00C00D83" w:rsidRDefault="00C00D83" w:rsidP="00C00D83">
      <w:pPr>
        <w:spacing w:before="120" w:after="120"/>
        <w:rPr>
          <w:color w:val="auto"/>
        </w:rPr>
      </w:pPr>
      <w:r w:rsidRPr="001A7A75">
        <w:rPr>
          <w:color w:val="auto"/>
        </w:rPr>
        <w:t>Η πραγμάτωση των παραπάνω εκτιμήσεων προϋποθέτει ταχύτητα στην απορρόφηση του συνόλου των πόρων που δικαιούται η χώρα μας, για την έγκαιρη υλοποίηση των επενδυτικών προτάσεων που περιλαμβάνονται στο Σχέδιο. Σύμφωνα με το υποβληθέν Σχέδιο και τα οριζόμενα στον κανονισμό, για το 2021</w:t>
      </w:r>
      <w:r w:rsidRPr="00C00D83">
        <w:rPr>
          <w:color w:val="auto"/>
        </w:rPr>
        <w:t>,</w:t>
      </w:r>
      <w:r w:rsidRPr="001A7A75">
        <w:rPr>
          <w:color w:val="auto"/>
        </w:rPr>
        <w:t xml:space="preserve"> αναμένεται εισροή πόρων από το Μηχανισμό ύψους 3,96 δισ. ευρώ, που αντιστοιχεί στο 13% του συνολικού ποσού ως προχρηματοδότηση, ενώ για τα επόμενα 5 έτη αναμένεται να διοχετευτούν στην ελληνική οικονομία 4,42 δισ. ετησίως, είτε με τη μορφή επιχορηγήσεων, είτε με τη μορφή δανείων. Κατά συνέπεια, η θετική επίδραση που αναμένεται στην ελληνική οικονομία, προϋποθέτει αμεσότητα, αποτελεσματικότητα της δημόσιας διοίκησης, συντονισμό των εμπλεκόμενων φορέων και ευελιξία του χρηματοπιστωτικού τομέα ώστε να συμβασιοποιηθεί έγκαιρα το σύνολο της χρηματοδότησης σε δάνεια και επιχορηγήσεις και να υλοποιηθούν χωρίς καθυστέρηση τα προτεινόμενα επενδυτικά σχέδια.</w:t>
      </w:r>
    </w:p>
    <w:p w14:paraId="4E0FB361" w14:textId="77777777" w:rsidR="00C00D83" w:rsidRPr="001A7A75" w:rsidRDefault="00C00D83" w:rsidP="00C00D83">
      <w:pPr>
        <w:spacing w:before="120" w:after="120"/>
        <w:rPr>
          <w:color w:val="auto"/>
        </w:rPr>
      </w:pPr>
    </w:p>
    <w:p w14:paraId="4B616355" w14:textId="77777777" w:rsidR="00C00D83" w:rsidRPr="001A7A75" w:rsidRDefault="00C00D83" w:rsidP="00C00D83">
      <w:pPr>
        <w:spacing w:before="120" w:after="120"/>
        <w:rPr>
          <w:b/>
          <w:i/>
          <w:color w:val="auto"/>
        </w:rPr>
      </w:pPr>
      <w:r w:rsidRPr="001A7A75">
        <w:rPr>
          <w:b/>
          <w:i/>
          <w:color w:val="auto"/>
        </w:rPr>
        <w:t>Η κινητοποίηση ιδιωτικών επενδύσεων</w:t>
      </w:r>
    </w:p>
    <w:p w14:paraId="722C9E93" w14:textId="015C4D11" w:rsidR="00C00D83" w:rsidRDefault="00C00D83" w:rsidP="00C00D83">
      <w:pPr>
        <w:spacing w:before="120" w:after="120"/>
        <w:rPr>
          <w:color w:val="auto"/>
        </w:rPr>
      </w:pPr>
      <w:r w:rsidRPr="001A7A75">
        <w:rPr>
          <w:color w:val="auto"/>
        </w:rPr>
        <w:t>Σημείο κλειδί για την αναπτυξιακή επίδραση του Σχεδίου αποτελεί η συμμετοχή του ιδιωτικού τομέα που θα αυξήσει τις ιδιωτικές επενδύσεις, ώστε να επιτευχθούν πολλαπλασιαστικά οφέλη για την ελληνική οικονομία. Η αξιοποίηση των διαθέσιμων πόρων του Ταμείου Ανά</w:t>
      </w:r>
      <w:r w:rsidR="00A4473C">
        <w:rPr>
          <w:color w:val="auto"/>
        </w:rPr>
        <w:t>καμψης και Ανθεκτικότητας με τη</w:t>
      </w:r>
      <w:r w:rsidRPr="001A7A75">
        <w:rPr>
          <w:color w:val="auto"/>
        </w:rPr>
        <w:t xml:space="preserve"> μορφή δανει</w:t>
      </w:r>
      <w:r>
        <w:rPr>
          <w:color w:val="auto"/>
        </w:rPr>
        <w:t>α</w:t>
      </w:r>
      <w:r w:rsidRPr="001A7A75">
        <w:rPr>
          <w:color w:val="auto"/>
        </w:rPr>
        <w:t>κών κεφαλαίων συνολικού ύψους 12,7 δισ. ευρώ αναμένεται να ενθαρρύνει τη συμμετο</w:t>
      </w:r>
      <w:r w:rsidR="00B33A42">
        <w:rPr>
          <w:color w:val="auto"/>
        </w:rPr>
        <w:t>χή των ιδιωτών επενδυτών για τη</w:t>
      </w:r>
      <w:r w:rsidRPr="001A7A75">
        <w:rPr>
          <w:color w:val="auto"/>
        </w:rPr>
        <w:t xml:space="preserve"> χρηματοδότηση επενδυτικών σχεδίων αυξάνοντας το ποσοστό των επενδύσεων στο ΑΕΠ, το οποίο παραμένει πολύ χαμηλό (11,1% του ΑΕΠ το 2020). </w:t>
      </w:r>
    </w:p>
    <w:p w14:paraId="206E0854" w14:textId="75FC9B7A" w:rsidR="00C00D83" w:rsidRDefault="00C00D83" w:rsidP="00C00D83">
      <w:pPr>
        <w:spacing w:before="120" w:after="120"/>
        <w:rPr>
          <w:color w:val="auto"/>
        </w:rPr>
      </w:pPr>
      <w:r w:rsidRPr="00C00D83">
        <w:rPr>
          <w:color w:val="auto"/>
        </w:rPr>
        <w:t>Σημαντικό ζήτημα αναφορικά με τον εν λόγω δανεισμό είναι το εάν και κατά πόσον θα συναρτηθεί με την ανάληψη ειδικών, πρόσθετων δεσμεύσεων ως προς την ασκούμενη οικονομική πολιτική και με ρήτρες αιρεσιμότητας, ανάλογες προς εκείνες που υπαγορεύτηκαν από τα προγράμματα δημοσιονομικής προσαρμογής της περιόδου 2010-18 και τα «μνημόνια κατανόησης» που τα συνόδευσαν</w:t>
      </w:r>
      <w:r>
        <w:rPr>
          <w:color w:val="auto"/>
        </w:rPr>
        <w:t>.</w:t>
      </w:r>
    </w:p>
    <w:p w14:paraId="34CC606B" w14:textId="75FCF1A9" w:rsidR="00C00D83" w:rsidRDefault="00C00D83" w:rsidP="00C00D83">
      <w:pPr>
        <w:spacing w:before="120" w:after="120"/>
        <w:rPr>
          <w:color w:val="auto"/>
        </w:rPr>
      </w:pPr>
      <w:r w:rsidRPr="001A7A75">
        <w:rPr>
          <w:color w:val="auto"/>
        </w:rPr>
        <w:t xml:space="preserve">Σύμφωνα με το Σχέδιο, το </w:t>
      </w:r>
      <w:r>
        <w:rPr>
          <w:color w:val="auto"/>
        </w:rPr>
        <w:t xml:space="preserve">προαναφερόμενο </w:t>
      </w:r>
      <w:r w:rsidRPr="001A7A75">
        <w:rPr>
          <w:color w:val="auto"/>
        </w:rPr>
        <w:t>ποσό θα κατευθυνθεί σε ιδιωτικές επενδύσεις μέσω τριών βασικών καναλιών: (α) των Ευρωπαϊκών Χρηματοπιστωτικών Θεσμών (Ευρωπαϊκή Τράπεζα Επενδύσεων, Ευρωπαϊκή Τράπεζα Ανασυγκρότησης και Ανάπτυξης), (β) των ελληνικών συστημικών τραπεζών και (γ) ενός ταμείου επιχειρηματικών συμμετοχών υπό την Ελληνική Αναπτυξιακή Τράπεζα. Οι δημόσιοι πόροι των δύο πρώτων καναλιών θα χρηματοδοτούν κατά 50% κάθε επενδυτικό δάνειο που θα χορηγηθεί από τις τράπεζες αυτές</w:t>
      </w:r>
      <w:r>
        <w:rPr>
          <w:color w:val="auto"/>
        </w:rPr>
        <w:t>,</w:t>
      </w:r>
      <w:r w:rsidRPr="001A7A75">
        <w:rPr>
          <w:color w:val="auto"/>
        </w:rPr>
        <w:t xml:space="preserve"> ενώ η αξιολόγηση κάθε αίτησης θα γίνεται βάσει τραπεζικών κριτηρίων</w:t>
      </w:r>
      <w:r>
        <w:rPr>
          <w:color w:val="auto"/>
        </w:rPr>
        <w:t xml:space="preserve"> και μόνον</w:t>
      </w:r>
      <w:r w:rsidRPr="001A7A75">
        <w:rPr>
          <w:color w:val="auto"/>
        </w:rPr>
        <w:t xml:space="preserve">. Συνεπώς, καταλυτικός αναμένεται να είναι ο ρόλος των εμπορικών τραπεζών∙ οι τραπεζικές πιστώσεις είναι αυτές που θα απελευθερώσουν επιπλέον πόρους, για τη χρηματοδότηση των υποβαλλόμενων επενδυτικών σχεδίων, </w:t>
      </w:r>
      <w:r>
        <w:rPr>
          <w:color w:val="auto"/>
        </w:rPr>
        <w:t xml:space="preserve">και κατ’ επέκταση αυτές </w:t>
      </w:r>
      <w:r w:rsidRPr="001A7A75">
        <w:rPr>
          <w:color w:val="auto"/>
        </w:rPr>
        <w:t xml:space="preserve">που προβλέπεται να δημιουργήσουν επιπλέον πολλαπλασιαστικές </w:t>
      </w:r>
      <w:r>
        <w:rPr>
          <w:color w:val="auto"/>
        </w:rPr>
        <w:t>επιδράσεις</w:t>
      </w:r>
      <w:r w:rsidRPr="001A7A75">
        <w:rPr>
          <w:color w:val="auto"/>
        </w:rPr>
        <w:t xml:space="preserve">. </w:t>
      </w:r>
    </w:p>
    <w:p w14:paraId="1F9BBBD2" w14:textId="77777777" w:rsidR="00C00D83" w:rsidRPr="001A7A75" w:rsidRDefault="00C00D83" w:rsidP="00C00D83">
      <w:pPr>
        <w:spacing w:before="120" w:after="120"/>
        <w:rPr>
          <w:color w:val="auto"/>
        </w:rPr>
      </w:pPr>
    </w:p>
    <w:p w14:paraId="34811DB0" w14:textId="77777777" w:rsidR="00C00D83" w:rsidRPr="001A7A75" w:rsidRDefault="00C00D83" w:rsidP="00C00D83">
      <w:pPr>
        <w:spacing w:before="120" w:after="120"/>
        <w:rPr>
          <w:b/>
          <w:i/>
          <w:color w:val="auto"/>
        </w:rPr>
      </w:pPr>
      <w:r w:rsidRPr="001A7A75">
        <w:rPr>
          <w:b/>
          <w:i/>
          <w:color w:val="auto"/>
        </w:rPr>
        <w:t>Η χρηστή δημοσιονομική διαχείριση</w:t>
      </w:r>
    </w:p>
    <w:p w14:paraId="585CBDD5" w14:textId="565AF75D" w:rsidR="00C00D83" w:rsidRDefault="00C00D83" w:rsidP="00C00D83">
      <w:pPr>
        <w:rPr>
          <w:color w:val="auto"/>
        </w:rPr>
      </w:pPr>
      <w:r w:rsidRPr="001A7A75">
        <w:rPr>
          <w:color w:val="auto"/>
        </w:rPr>
        <w:t>Η απορρόφηση των κεφαλαίων υπό την μορφή δανείων ύψους 12,7 δισ. ευρώ που προβλέπεται στο κατατεθέν Σχέδιο, αναπόφευκτα θα οδηγήσει σε αύξηση του δημοσίου χρέους ως απόλυτο μέγεθος. Ωστόσο, η επιτυχής αξιοποίησ</w:t>
      </w:r>
      <w:r>
        <w:rPr>
          <w:color w:val="auto"/>
        </w:rPr>
        <w:t>η</w:t>
      </w:r>
      <w:r w:rsidRPr="001A7A75">
        <w:rPr>
          <w:color w:val="auto"/>
        </w:rPr>
        <w:t xml:space="preserve"> των κεφαλαίων θα ενισχύσει σημαντικά την οικονομική δραστηριότητα και θα επιτρέψει την αποκλιμάκωση του λόγου δημοσίου χρέους προς ΑΕΠ μεσοπρόθεσμα. Ο Μηχανισμός προσπαθεί να διασφαλίσει την άσκηση χρηστής οικονομικής δια</w:t>
      </w:r>
      <w:r w:rsidR="00B33A42">
        <w:rPr>
          <w:color w:val="auto"/>
        </w:rPr>
        <w:t>κυβέρνησης από τα κράτη-μέλη λόγω του ότι</w:t>
      </w:r>
      <w:r w:rsidRPr="001A7A75">
        <w:rPr>
          <w:color w:val="auto"/>
        </w:rPr>
        <w:t xml:space="preserve"> τόσο η αρχική έγκριση των κατατεθέντων Σχεδίων, όσο και οι προβλεπόμενες εκταμιεύσεις κεφαλαίων, ευθυγραμμίζονται με το «Ευρωπαϊκό Εξάμηνο». Στο πλαίσιο αυτό, ο Κανονισμός (ΕΕ) 2021/241 παρέχει στο Συμβούλιο εκτελεστικές αρμοδιότητες που, κατόπιν πρότασης της Ευρωπαϊκής Επιτροπής (ΕΕ), δύναται με απόφασή του να αναστέλλει τις εκταμιεύσεις ή μέρος αυτών, σε περίπτωση </w:t>
      </w:r>
      <w:r w:rsidR="00227184">
        <w:rPr>
          <w:color w:val="auto"/>
        </w:rPr>
        <w:t>σημαντικής μη συμμόρφωσης με τη</w:t>
      </w:r>
      <w:r w:rsidRPr="001A7A75">
        <w:rPr>
          <w:color w:val="auto"/>
        </w:rPr>
        <w:t xml:space="preserve">  διαδικασία οικονομικής διακυβέρνησης. Για το σκοπό αυτό, το «Ευρωπαϊκό Εξάμηνο» συντονισμού των οικονομικών πολιτικών, θα αξιοποιείται ως μέσο διαχείρισης του Ταμείου Ανάκαμψης και Ανθεκτικότητας. Η υλοποίηση του Σχεδίου θα παρακολουθείται μέσω εκθέσεων προόδου που θα υποβάλλονται στο Συμβούλιο από την Επιτροπή, προκειμένου να αξιολογείται, όχι μόνο η επίτευξη των ορόσημων και των στόχων αλλά και η συμμόρφωση με τις συστάσεις που εκδίδονται στο πλαίσιο της διαδικασίας υπερβολικών ανισορροπιών του κανονισμού (ΕΕ) αριθ. 1176/2011 ή</w:t>
      </w:r>
      <w:r w:rsidR="00227184">
        <w:rPr>
          <w:color w:val="auto"/>
        </w:rPr>
        <w:t xml:space="preserve"> η λήψη αποτελεσματικών μέτρων </w:t>
      </w:r>
      <w:r w:rsidRPr="001A7A75">
        <w:rPr>
          <w:color w:val="auto"/>
        </w:rPr>
        <w:t>για τη διόρθωση</w:t>
      </w:r>
      <w:r>
        <w:rPr>
          <w:color w:val="auto"/>
        </w:rPr>
        <w:t xml:space="preserve">, ενδεχομένως, </w:t>
      </w:r>
      <w:r w:rsidRPr="001A7A75">
        <w:rPr>
          <w:color w:val="auto"/>
        </w:rPr>
        <w:t>υπερβολικού ελλείμματος.</w:t>
      </w:r>
    </w:p>
    <w:p w14:paraId="79C81955" w14:textId="77777777" w:rsidR="00C00D83" w:rsidRPr="00F20485" w:rsidRDefault="00C00D83" w:rsidP="00C00D83">
      <w:pPr>
        <w:rPr>
          <w:b/>
          <w:i/>
          <w:color w:val="auto"/>
        </w:rPr>
      </w:pPr>
      <w:r w:rsidRPr="00F20485">
        <w:rPr>
          <w:b/>
          <w:i/>
          <w:color w:val="auto"/>
        </w:rPr>
        <w:t>Τα επόμενα βήματα</w:t>
      </w:r>
    </w:p>
    <w:p w14:paraId="0C80D42F" w14:textId="7EB7C738" w:rsidR="00C00D83" w:rsidRPr="001A7A75" w:rsidRDefault="00C00D83" w:rsidP="00C00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color w:val="auto"/>
        </w:rPr>
      </w:pPr>
      <w:r w:rsidRPr="00F20485">
        <w:rPr>
          <w:color w:val="auto"/>
        </w:rPr>
        <w:t>Η Επιτροπή θα αξιολογήσει τα σχέδια εντός δύο μηνών</w:t>
      </w:r>
      <w:r w:rsidR="00F20485">
        <w:rPr>
          <w:rStyle w:val="FootnoteReference"/>
          <w:color w:val="auto"/>
        </w:rPr>
        <w:footnoteReference w:id="47"/>
      </w:r>
      <w:r w:rsidRPr="00F20485">
        <w:rPr>
          <w:color w:val="auto"/>
        </w:rPr>
        <w:t xml:space="preserve"> από την επίσημη υποβολή τους, βάσει των ένδεκα κριτηρίων όπως ορίζονται στο Άρθρο 19 του κανονισμού και θα διατυπώσει το περιεχόμενό τους σε νομικά δεσμευτικές πράξεις. Αυτή η αξιολόγηση, θα περιλαμβάνει ιδίως μια επισκόπηση του κατά πόσον τα Σχέδια συμβάλλουν στην αποτελεσματική αντιμετώπιση όλων ή ενός σημαντικού μέρους </w:t>
      </w:r>
      <w:r w:rsidR="00451EE6">
        <w:rPr>
          <w:color w:val="auto"/>
        </w:rPr>
        <w:t xml:space="preserve">των </w:t>
      </w:r>
      <w:r w:rsidRPr="00F20485">
        <w:rPr>
          <w:color w:val="auto"/>
        </w:rPr>
        <w:t>προκλήσεων που προσδιορίζονται στις σχετικές ανά χώρα συστάσεις του Ευρωπαϊκού Εξαμήνου. Επιπλέον, η Επιτροπή θα αξιολογήσει μεταξύ άλλων, εάν τα σχέδια αφιερώνουν τουλάχιστον 37% των συνολικών δαπανών σε επενδύσεις και μεταρρυθμίσεις που υποστηρίζουν τους κλιματικούς στόχους και 20% στην ψηφιακή μετάβαση. Βάσει πρότασης της Επιτροπής, το Συμβούλιο θα έχει κατά κανόνα τέσσερις εβδομάδες</w:t>
      </w:r>
      <w:r w:rsidR="00F20485">
        <w:rPr>
          <w:rStyle w:val="FootnoteReference"/>
          <w:color w:val="auto"/>
        </w:rPr>
        <w:footnoteReference w:id="48"/>
      </w:r>
      <w:r w:rsidRPr="00F20485">
        <w:rPr>
          <w:color w:val="auto"/>
        </w:rPr>
        <w:t xml:space="preserve"> για να εγκρίνει την πρότασή της, η οποία θα ανοίξει το</w:t>
      </w:r>
      <w:r w:rsidR="00451EE6">
        <w:rPr>
          <w:color w:val="auto"/>
        </w:rPr>
        <w:t>ν</w:t>
      </w:r>
      <w:r w:rsidRPr="00F20485">
        <w:rPr>
          <w:color w:val="auto"/>
        </w:rPr>
        <w:t xml:space="preserve"> δρόμο για την εκταμίευση του 13% που ορίζεται στον κανονισμό ως προχρηματοδότηση σε κάθε κράτος μέλος, κατά το τρέχον έτος.</w:t>
      </w:r>
      <w:r w:rsidR="009434FF">
        <w:rPr>
          <w:color w:val="auto"/>
        </w:rPr>
        <w:t xml:space="preserve"> </w:t>
      </w:r>
    </w:p>
    <w:p w14:paraId="36C04BC4" w14:textId="118A597D" w:rsidR="00607398" w:rsidRPr="001A7A75" w:rsidRDefault="00607398" w:rsidP="001A7A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color w:val="auto"/>
        </w:rPr>
      </w:pPr>
    </w:p>
    <w:p w14:paraId="3798CFE2" w14:textId="7EAFAB6E" w:rsidR="00607398" w:rsidRDefault="00607398">
      <w:pPr>
        <w:spacing w:after="160" w:line="0" w:lineRule="auto"/>
        <w:jc w:val="left"/>
        <w:rPr>
          <w:i/>
          <w:color w:val="00A3E0"/>
          <w:sz w:val="32"/>
          <w:szCs w:val="32"/>
          <w:u w:val="single"/>
        </w:rPr>
      </w:pPr>
      <w:r>
        <w:rPr>
          <w:i/>
          <w:color w:val="00A3E0"/>
          <w:sz w:val="32"/>
          <w:szCs w:val="32"/>
          <w:u w:val="single"/>
        </w:rPr>
        <w:br w:type="page"/>
      </w:r>
    </w:p>
    <w:p w14:paraId="67EB3712" w14:textId="11701B23" w:rsidR="00921DAC" w:rsidRPr="00812324" w:rsidRDefault="00921DAC" w:rsidP="00167869">
      <w:pPr>
        <w:jc w:val="center"/>
        <w:outlineLvl w:val="1"/>
        <w:rPr>
          <w:i/>
          <w:color w:val="00A3E0"/>
          <w:sz w:val="32"/>
          <w:szCs w:val="32"/>
        </w:rPr>
      </w:pPr>
      <w:bookmarkStart w:id="198" w:name="_Toc73435761"/>
      <w:r w:rsidRPr="00812324">
        <w:rPr>
          <w:i/>
          <w:color w:val="00A3E0"/>
          <w:sz w:val="32"/>
          <w:szCs w:val="32"/>
          <w:u w:val="single"/>
        </w:rPr>
        <w:t>ΠΑΡΑΡΤΗΜΑ</w:t>
      </w:r>
      <w:r w:rsidR="00607398">
        <w:rPr>
          <w:i/>
          <w:color w:val="00A3E0"/>
          <w:sz w:val="32"/>
          <w:szCs w:val="32"/>
          <w:u w:val="single"/>
        </w:rPr>
        <w:t xml:space="preserve"> ΙΙ</w:t>
      </w:r>
      <w:r w:rsidR="00812324" w:rsidRPr="00812324">
        <w:rPr>
          <w:i/>
          <w:color w:val="00A3E0"/>
          <w:sz w:val="32"/>
          <w:szCs w:val="32"/>
          <w:u w:val="single"/>
        </w:rPr>
        <w:t>:</w:t>
      </w:r>
      <w:r w:rsidR="00812324" w:rsidRPr="00812324">
        <w:rPr>
          <w:i/>
          <w:color w:val="00A3E0"/>
          <w:sz w:val="32"/>
          <w:szCs w:val="32"/>
        </w:rPr>
        <w:t xml:space="preserve"> </w:t>
      </w:r>
      <w:r w:rsidR="003E2548" w:rsidRPr="003E2548">
        <w:rPr>
          <w:i/>
          <w:color w:val="00A3E0"/>
          <w:sz w:val="32"/>
          <w:szCs w:val="32"/>
        </w:rPr>
        <w:t xml:space="preserve">Δημοσιονομικά μέτρα </w:t>
      </w:r>
      <w:r w:rsidR="00812324" w:rsidRPr="00812324">
        <w:rPr>
          <w:i/>
          <w:color w:val="00A3E0"/>
          <w:sz w:val="32"/>
          <w:szCs w:val="32"/>
        </w:rPr>
        <w:t>2021</w:t>
      </w:r>
      <w:bookmarkEnd w:id="198"/>
    </w:p>
    <w:p w14:paraId="20707488" w14:textId="7CC47A1C" w:rsidR="00443209" w:rsidRPr="00E46605" w:rsidRDefault="00443209" w:rsidP="00443209">
      <w:pPr>
        <w:rPr>
          <w:color w:val="auto"/>
        </w:rPr>
      </w:pPr>
      <w:r w:rsidRPr="00E46605">
        <w:rPr>
          <w:color w:val="auto"/>
        </w:rPr>
        <w:t xml:space="preserve">Η παρατεταμένη διάρκεια του τρίτου κύματος της πανδημίας κατέστησε αναγκαία τη </w:t>
      </w:r>
      <w:r>
        <w:rPr>
          <w:color w:val="auto"/>
        </w:rPr>
        <w:t xml:space="preserve">διατήρηση και </w:t>
      </w:r>
      <w:r w:rsidRPr="00E46605">
        <w:rPr>
          <w:color w:val="auto"/>
        </w:rPr>
        <w:t xml:space="preserve">διεύρυνση των δημοσιονομικών μέτρων στήριξης επιχειρήσεων </w:t>
      </w:r>
      <w:r>
        <w:rPr>
          <w:color w:val="auto"/>
        </w:rPr>
        <w:t xml:space="preserve">και </w:t>
      </w:r>
      <w:r w:rsidRPr="00E46605">
        <w:rPr>
          <w:color w:val="auto"/>
        </w:rPr>
        <w:t>νοικοκυρι</w:t>
      </w:r>
      <w:r>
        <w:rPr>
          <w:color w:val="auto"/>
        </w:rPr>
        <w:t>ών</w:t>
      </w:r>
      <w:r w:rsidRPr="00E46605">
        <w:rPr>
          <w:color w:val="auto"/>
        </w:rPr>
        <w:t>.</w:t>
      </w:r>
      <w:r>
        <w:rPr>
          <w:color w:val="auto"/>
        </w:rPr>
        <w:t xml:space="preserve"> </w:t>
      </w:r>
      <w:r w:rsidRPr="00E06FFD">
        <w:rPr>
          <w:color w:val="auto"/>
        </w:rPr>
        <w:t>Συγκεκριμένα</w:t>
      </w:r>
      <w:r>
        <w:rPr>
          <w:color w:val="auto"/>
        </w:rPr>
        <w:t xml:space="preserve">, </w:t>
      </w:r>
      <w:r w:rsidRPr="00E06FFD">
        <w:rPr>
          <w:color w:val="auto"/>
        </w:rPr>
        <w:t xml:space="preserve">το δημοσιονομικό κόστος των </w:t>
      </w:r>
      <w:r>
        <w:rPr>
          <w:color w:val="auto"/>
        </w:rPr>
        <w:t>παρεμβάσεων</w:t>
      </w:r>
      <w:r w:rsidRPr="00E06FFD">
        <w:rPr>
          <w:color w:val="auto"/>
        </w:rPr>
        <w:t xml:space="preserve"> </w:t>
      </w:r>
      <w:r>
        <w:rPr>
          <w:color w:val="auto"/>
        </w:rPr>
        <w:t>για την αντιμετώπιση των συνεπειών της πανδημίας κατά το 2021 αναμένεται</w:t>
      </w:r>
      <w:r w:rsidRPr="00E06FFD">
        <w:rPr>
          <w:color w:val="auto"/>
        </w:rPr>
        <w:t xml:space="preserve"> να </w:t>
      </w:r>
      <w:r>
        <w:rPr>
          <w:color w:val="auto"/>
        </w:rPr>
        <w:t>υπερβεί</w:t>
      </w:r>
      <w:r w:rsidRPr="00E06FFD">
        <w:rPr>
          <w:color w:val="auto"/>
        </w:rPr>
        <w:t xml:space="preserve"> τα </w:t>
      </w:r>
      <w:r>
        <w:rPr>
          <w:color w:val="auto"/>
        </w:rPr>
        <w:t>14 δισ.</w:t>
      </w:r>
      <w:r w:rsidRPr="00E06FFD">
        <w:rPr>
          <w:color w:val="auto"/>
        </w:rPr>
        <w:t xml:space="preserve"> </w:t>
      </w:r>
      <w:r>
        <w:rPr>
          <w:color w:val="auto"/>
        </w:rPr>
        <w:t>ευρώ, εκ των οποίων περίπου το ¼ αφορά</w:t>
      </w:r>
      <w:r w:rsidRPr="00E06FFD">
        <w:rPr>
          <w:color w:val="auto"/>
        </w:rPr>
        <w:t xml:space="preserve"> </w:t>
      </w:r>
      <w:r w:rsidR="006C1826">
        <w:rPr>
          <w:color w:val="auto"/>
        </w:rPr>
        <w:t>παρεμβάσεις στο σκέλος των</w:t>
      </w:r>
      <w:r w:rsidRPr="00E06FFD">
        <w:rPr>
          <w:color w:val="auto"/>
        </w:rPr>
        <w:t xml:space="preserve"> εσόδων και τ</w:t>
      </w:r>
      <w:r>
        <w:rPr>
          <w:color w:val="auto"/>
        </w:rPr>
        <w:t>α</w:t>
      </w:r>
      <w:r w:rsidRPr="00E06FFD">
        <w:rPr>
          <w:color w:val="auto"/>
        </w:rPr>
        <w:t xml:space="preserve"> </w:t>
      </w:r>
      <w:r>
        <w:rPr>
          <w:color w:val="auto"/>
        </w:rPr>
        <w:t>¾ αύξηση δαπανών</w:t>
      </w:r>
      <w:r w:rsidRPr="00E06FFD">
        <w:rPr>
          <w:color w:val="auto"/>
        </w:rPr>
        <w:t>.</w:t>
      </w:r>
      <w:r>
        <w:rPr>
          <w:color w:val="auto"/>
        </w:rPr>
        <w:t xml:space="preserve"> Σημειώνεται πως τα εν λόγω μέτρα είναι κατά βάση προσωρινά και συνεπώς δεν επηρεάζουν αρνητικά τη μακροχρόνια διατηρησιμότητα των δημοσίων οικονομικών.</w:t>
      </w:r>
    </w:p>
    <w:p w14:paraId="15333B95" w14:textId="2F851866" w:rsidR="00443209" w:rsidRDefault="00443209" w:rsidP="006C1826">
      <w:pPr>
        <w:pStyle w:val="Caption"/>
        <w:spacing w:after="0"/>
        <w:rPr>
          <w:i w:val="0"/>
          <w:color w:val="00A3E0"/>
          <w:sz w:val="20"/>
          <w:szCs w:val="20"/>
        </w:rPr>
      </w:pPr>
      <w:bookmarkStart w:id="199" w:name="_Toc72212580"/>
      <w:bookmarkStart w:id="200" w:name="_Toc73435786"/>
      <w:r w:rsidRPr="007D6510">
        <w:rPr>
          <w:i w:val="0"/>
          <w:color w:val="676A6E"/>
          <w:sz w:val="20"/>
          <w:szCs w:val="20"/>
        </w:rPr>
        <w:t xml:space="preserve">Πίνακας </w:t>
      </w:r>
      <w:r w:rsidRPr="007D6510">
        <w:rPr>
          <w:i w:val="0"/>
          <w:color w:val="676A6E"/>
          <w:sz w:val="20"/>
          <w:szCs w:val="20"/>
        </w:rPr>
        <w:fldChar w:fldCharType="begin"/>
      </w:r>
      <w:r w:rsidRPr="007D6510">
        <w:rPr>
          <w:i w:val="0"/>
          <w:color w:val="676A6E"/>
          <w:sz w:val="20"/>
          <w:szCs w:val="20"/>
        </w:rPr>
        <w:instrText xml:space="preserve"> SEQ Πίνακας \* ARABIC </w:instrText>
      </w:r>
      <w:r w:rsidRPr="007D6510">
        <w:rPr>
          <w:i w:val="0"/>
          <w:color w:val="676A6E"/>
          <w:sz w:val="20"/>
          <w:szCs w:val="20"/>
        </w:rPr>
        <w:fldChar w:fldCharType="separate"/>
      </w:r>
      <w:r w:rsidR="00CC05A7">
        <w:rPr>
          <w:i w:val="0"/>
          <w:noProof/>
          <w:color w:val="676A6E"/>
          <w:sz w:val="20"/>
          <w:szCs w:val="20"/>
        </w:rPr>
        <w:t>25</w:t>
      </w:r>
      <w:r w:rsidRPr="007D6510">
        <w:rPr>
          <w:i w:val="0"/>
          <w:color w:val="676A6E"/>
          <w:sz w:val="20"/>
          <w:szCs w:val="20"/>
        </w:rPr>
        <w:fldChar w:fldCharType="end"/>
      </w:r>
      <w:r w:rsidRPr="007D6510">
        <w:rPr>
          <w:i w:val="0"/>
          <w:color w:val="676A6E"/>
          <w:sz w:val="20"/>
          <w:szCs w:val="20"/>
        </w:rPr>
        <w:t>:</w:t>
      </w:r>
      <w:r w:rsidRPr="007D6510">
        <w:rPr>
          <w:iCs w:val="0"/>
          <w:sz w:val="20"/>
          <w:szCs w:val="20"/>
        </w:rPr>
        <w:t xml:space="preserve"> </w:t>
      </w:r>
      <w:r w:rsidRPr="007D6510">
        <w:rPr>
          <w:i w:val="0"/>
          <w:color w:val="00A3E0"/>
          <w:sz w:val="20"/>
          <w:szCs w:val="20"/>
        </w:rPr>
        <w:t>Δημοσιονομικές παρεμβάσεις αντιμετώπισης των συνεπειών της πανδημίας το</w:t>
      </w:r>
      <w:r>
        <w:rPr>
          <w:i w:val="0"/>
          <w:color w:val="00A3E0"/>
          <w:sz w:val="20"/>
          <w:szCs w:val="20"/>
        </w:rPr>
        <w:t xml:space="preserve"> 2021 (εκατ. ευρώ)</w:t>
      </w:r>
      <w:bookmarkEnd w:id="199"/>
      <w:bookmarkEnd w:id="200"/>
    </w:p>
    <w:tbl>
      <w:tblPr>
        <w:tblW w:w="8515" w:type="dxa"/>
        <w:tblInd w:w="98" w:type="dxa"/>
        <w:tblLayout w:type="fixed"/>
        <w:tblLook w:val="04A0" w:firstRow="1" w:lastRow="0" w:firstColumn="1" w:lastColumn="0" w:noHBand="0" w:noVBand="1"/>
      </w:tblPr>
      <w:tblGrid>
        <w:gridCol w:w="436"/>
        <w:gridCol w:w="7087"/>
        <w:gridCol w:w="992"/>
      </w:tblGrid>
      <w:tr w:rsidR="00443209" w:rsidRPr="00BD7AB8" w14:paraId="36E6F67E" w14:textId="77777777" w:rsidTr="00C602EF">
        <w:trPr>
          <w:trHeight w:val="300"/>
        </w:trPr>
        <w:tc>
          <w:tcPr>
            <w:tcW w:w="436" w:type="dxa"/>
            <w:tcBorders>
              <w:top w:val="single" w:sz="8" w:space="0" w:color="auto"/>
              <w:left w:val="single" w:sz="8" w:space="0" w:color="auto"/>
              <w:bottom w:val="single" w:sz="4" w:space="0" w:color="auto"/>
              <w:right w:val="single" w:sz="4" w:space="0" w:color="auto"/>
            </w:tcBorders>
            <w:shd w:val="clear" w:color="000000" w:fill="00B0F0"/>
            <w:vAlign w:val="center"/>
            <w:hideMark/>
          </w:tcPr>
          <w:p w14:paraId="6981831E" w14:textId="77777777" w:rsidR="00443209" w:rsidRPr="00BD7AB8" w:rsidRDefault="00443209" w:rsidP="00C602EF">
            <w:pPr>
              <w:spacing w:after="0" w:line="240" w:lineRule="auto"/>
              <w:jc w:val="center"/>
              <w:rPr>
                <w:rFonts w:eastAsia="Times New Roman" w:cs="Times New Roman"/>
                <w:b/>
                <w:bCs/>
                <w:color w:val="000000"/>
                <w:sz w:val="18"/>
                <w:szCs w:val="18"/>
                <w:lang w:val="en-US"/>
              </w:rPr>
            </w:pPr>
            <w:r w:rsidRPr="00BD7AB8">
              <w:rPr>
                <w:rFonts w:eastAsia="Times New Roman" w:cs="Times New Roman"/>
                <w:b/>
                <w:bCs/>
                <w:color w:val="000000"/>
                <w:sz w:val="18"/>
                <w:szCs w:val="18"/>
                <w:lang w:val="en-US"/>
              </w:rPr>
              <w:t xml:space="preserve">α/α </w:t>
            </w:r>
          </w:p>
        </w:tc>
        <w:tc>
          <w:tcPr>
            <w:tcW w:w="7087" w:type="dxa"/>
            <w:tcBorders>
              <w:top w:val="single" w:sz="8" w:space="0" w:color="auto"/>
              <w:left w:val="nil"/>
              <w:bottom w:val="single" w:sz="4" w:space="0" w:color="auto"/>
              <w:right w:val="single" w:sz="4" w:space="0" w:color="auto"/>
            </w:tcBorders>
            <w:shd w:val="clear" w:color="000000" w:fill="00B0F0"/>
            <w:vAlign w:val="center"/>
            <w:hideMark/>
          </w:tcPr>
          <w:p w14:paraId="288FF463" w14:textId="77777777" w:rsidR="00443209" w:rsidRPr="00BD7AB8" w:rsidRDefault="00443209" w:rsidP="00C602EF">
            <w:pPr>
              <w:spacing w:after="0" w:line="240" w:lineRule="auto"/>
              <w:jc w:val="center"/>
              <w:rPr>
                <w:rFonts w:eastAsia="Times New Roman" w:cs="Times New Roman"/>
                <w:b/>
                <w:bCs/>
                <w:color w:val="000000"/>
                <w:sz w:val="18"/>
                <w:szCs w:val="18"/>
                <w:lang w:val="en-US"/>
              </w:rPr>
            </w:pPr>
            <w:r w:rsidRPr="00BD7AB8">
              <w:rPr>
                <w:rFonts w:eastAsia="Times New Roman" w:cs="Times New Roman"/>
                <w:b/>
                <w:bCs/>
                <w:color w:val="000000"/>
                <w:sz w:val="18"/>
                <w:szCs w:val="18"/>
                <w:lang w:val="en-US"/>
              </w:rPr>
              <w:t>Περιγραφή μέτρου</w:t>
            </w:r>
          </w:p>
        </w:tc>
        <w:tc>
          <w:tcPr>
            <w:tcW w:w="992" w:type="dxa"/>
            <w:tcBorders>
              <w:top w:val="single" w:sz="8" w:space="0" w:color="auto"/>
              <w:left w:val="nil"/>
              <w:bottom w:val="single" w:sz="4" w:space="0" w:color="auto"/>
              <w:right w:val="single" w:sz="8" w:space="0" w:color="auto"/>
            </w:tcBorders>
            <w:shd w:val="clear" w:color="000000" w:fill="00B0F0"/>
            <w:vAlign w:val="center"/>
            <w:hideMark/>
          </w:tcPr>
          <w:p w14:paraId="359F2F51" w14:textId="77777777" w:rsidR="00443209" w:rsidRPr="00BD7AB8" w:rsidRDefault="00443209" w:rsidP="00C602EF">
            <w:pPr>
              <w:spacing w:after="0" w:line="240" w:lineRule="auto"/>
              <w:jc w:val="center"/>
              <w:rPr>
                <w:rFonts w:eastAsia="Times New Roman" w:cs="Times New Roman"/>
                <w:b/>
                <w:bCs/>
                <w:color w:val="000000"/>
                <w:sz w:val="18"/>
                <w:szCs w:val="18"/>
                <w:lang w:val="en-US"/>
              </w:rPr>
            </w:pPr>
            <w:r w:rsidRPr="00BD7AB8">
              <w:rPr>
                <w:rFonts w:eastAsia="Times New Roman" w:cs="Times New Roman"/>
                <w:b/>
                <w:bCs/>
                <w:color w:val="000000"/>
                <w:sz w:val="18"/>
                <w:szCs w:val="18"/>
                <w:lang w:val="en-US"/>
              </w:rPr>
              <w:t>Κόστος</w:t>
            </w:r>
          </w:p>
        </w:tc>
      </w:tr>
      <w:tr w:rsidR="00443209" w:rsidRPr="00BD7AB8" w14:paraId="0CE28B48" w14:textId="77777777" w:rsidTr="00C602EF">
        <w:trPr>
          <w:trHeight w:val="300"/>
        </w:trPr>
        <w:tc>
          <w:tcPr>
            <w:tcW w:w="436" w:type="dxa"/>
            <w:tcBorders>
              <w:top w:val="nil"/>
              <w:left w:val="single" w:sz="8" w:space="0" w:color="auto"/>
              <w:bottom w:val="single" w:sz="4" w:space="0" w:color="auto"/>
              <w:right w:val="single" w:sz="4" w:space="0" w:color="auto"/>
            </w:tcBorders>
            <w:shd w:val="clear" w:color="000000" w:fill="D9E1F2"/>
            <w:vAlign w:val="center"/>
            <w:hideMark/>
          </w:tcPr>
          <w:p w14:paraId="558AFEDD" w14:textId="77777777" w:rsidR="00443209" w:rsidRPr="00BD7AB8" w:rsidRDefault="00443209" w:rsidP="00C602EF">
            <w:pPr>
              <w:spacing w:after="0" w:line="240" w:lineRule="auto"/>
              <w:jc w:val="center"/>
              <w:rPr>
                <w:rFonts w:eastAsia="Times New Roman" w:cs="Times New Roman"/>
                <w:b/>
                <w:bCs/>
                <w:color w:val="000000"/>
                <w:sz w:val="18"/>
                <w:szCs w:val="18"/>
                <w:lang w:val="en-US"/>
              </w:rPr>
            </w:pPr>
            <w:r w:rsidRPr="00BD7AB8">
              <w:rPr>
                <w:rFonts w:eastAsia="Times New Roman" w:cs="Times New Roman"/>
                <w:b/>
                <w:bCs/>
                <w:color w:val="000000"/>
                <w:sz w:val="18"/>
                <w:szCs w:val="18"/>
                <w:lang w:val="en-US"/>
              </w:rPr>
              <w:t>Α.</w:t>
            </w:r>
          </w:p>
        </w:tc>
        <w:tc>
          <w:tcPr>
            <w:tcW w:w="7087" w:type="dxa"/>
            <w:tcBorders>
              <w:top w:val="nil"/>
              <w:left w:val="nil"/>
              <w:bottom w:val="single" w:sz="4" w:space="0" w:color="auto"/>
              <w:right w:val="single" w:sz="4" w:space="0" w:color="auto"/>
            </w:tcBorders>
            <w:shd w:val="clear" w:color="000000" w:fill="D9E1F2"/>
            <w:vAlign w:val="center"/>
            <w:hideMark/>
          </w:tcPr>
          <w:p w14:paraId="50603BE0" w14:textId="77777777" w:rsidR="00443209" w:rsidRPr="00BD7AB8" w:rsidRDefault="00443209" w:rsidP="00C602EF">
            <w:pPr>
              <w:spacing w:after="0" w:line="240" w:lineRule="auto"/>
              <w:jc w:val="center"/>
              <w:rPr>
                <w:rFonts w:eastAsia="Times New Roman" w:cs="Times New Roman"/>
                <w:b/>
                <w:bCs/>
                <w:color w:val="000000"/>
                <w:sz w:val="18"/>
                <w:szCs w:val="18"/>
              </w:rPr>
            </w:pPr>
            <w:r w:rsidRPr="00BD7AB8">
              <w:rPr>
                <w:rFonts w:eastAsia="Times New Roman" w:cs="Times New Roman"/>
                <w:b/>
                <w:bCs/>
                <w:color w:val="000000"/>
                <w:sz w:val="18"/>
                <w:szCs w:val="18"/>
              </w:rPr>
              <w:t xml:space="preserve">Παρεμβάσεις στο σκέλος των εσόδων της Γενικής Κυβέρνησης </w:t>
            </w:r>
          </w:p>
        </w:tc>
        <w:tc>
          <w:tcPr>
            <w:tcW w:w="992" w:type="dxa"/>
            <w:tcBorders>
              <w:top w:val="nil"/>
              <w:left w:val="nil"/>
              <w:bottom w:val="single" w:sz="4" w:space="0" w:color="auto"/>
              <w:right w:val="single" w:sz="8" w:space="0" w:color="auto"/>
            </w:tcBorders>
            <w:shd w:val="clear" w:color="000000" w:fill="D9E1F2"/>
            <w:vAlign w:val="center"/>
            <w:hideMark/>
          </w:tcPr>
          <w:p w14:paraId="16E5E72E" w14:textId="77777777" w:rsidR="00443209" w:rsidRPr="00BD7AB8" w:rsidRDefault="00443209" w:rsidP="00C602EF">
            <w:pPr>
              <w:spacing w:after="0" w:line="240" w:lineRule="auto"/>
              <w:jc w:val="center"/>
              <w:rPr>
                <w:rFonts w:eastAsia="Times New Roman" w:cs="Times New Roman"/>
                <w:b/>
                <w:bCs/>
                <w:color w:val="000000"/>
                <w:sz w:val="18"/>
                <w:szCs w:val="18"/>
                <w:lang w:val="en-US"/>
              </w:rPr>
            </w:pPr>
            <w:r w:rsidRPr="00BD7AB8">
              <w:rPr>
                <w:rFonts w:eastAsia="Times New Roman" w:cs="Times New Roman"/>
                <w:b/>
                <w:bCs/>
                <w:color w:val="000000"/>
                <w:sz w:val="18"/>
                <w:szCs w:val="18"/>
                <w:lang w:val="en-US"/>
              </w:rPr>
              <w:t>3.416</w:t>
            </w:r>
          </w:p>
        </w:tc>
      </w:tr>
      <w:tr w:rsidR="00443209" w:rsidRPr="00BD7AB8" w14:paraId="11E494BD" w14:textId="77777777" w:rsidTr="00C602EF">
        <w:trPr>
          <w:trHeight w:val="300"/>
        </w:trPr>
        <w:tc>
          <w:tcPr>
            <w:tcW w:w="436" w:type="dxa"/>
            <w:tcBorders>
              <w:top w:val="nil"/>
              <w:left w:val="single" w:sz="8" w:space="0" w:color="auto"/>
              <w:bottom w:val="single" w:sz="4" w:space="0" w:color="auto"/>
              <w:right w:val="single" w:sz="4" w:space="0" w:color="auto"/>
            </w:tcBorders>
            <w:shd w:val="clear" w:color="auto" w:fill="auto"/>
            <w:vAlign w:val="center"/>
            <w:hideMark/>
          </w:tcPr>
          <w:p w14:paraId="6A060C24" w14:textId="77777777" w:rsidR="00443209" w:rsidRPr="00BD7AB8" w:rsidRDefault="00443209" w:rsidP="00C602EF">
            <w:pPr>
              <w:spacing w:after="0" w:line="240" w:lineRule="auto"/>
              <w:jc w:val="center"/>
              <w:rPr>
                <w:rFonts w:eastAsia="Times New Roman" w:cs="Times New Roman"/>
                <w:color w:val="000000"/>
                <w:sz w:val="18"/>
                <w:szCs w:val="18"/>
                <w:lang w:val="en-US"/>
              </w:rPr>
            </w:pPr>
            <w:r w:rsidRPr="00BD7AB8">
              <w:rPr>
                <w:rFonts w:eastAsia="Times New Roman" w:cs="Times New Roman"/>
                <w:color w:val="000000"/>
                <w:sz w:val="18"/>
                <w:szCs w:val="18"/>
                <w:lang w:val="en-US"/>
              </w:rPr>
              <w:t>1</w:t>
            </w:r>
          </w:p>
        </w:tc>
        <w:tc>
          <w:tcPr>
            <w:tcW w:w="7087" w:type="dxa"/>
            <w:tcBorders>
              <w:top w:val="nil"/>
              <w:left w:val="nil"/>
              <w:bottom w:val="single" w:sz="4" w:space="0" w:color="auto"/>
              <w:right w:val="single" w:sz="4" w:space="0" w:color="auto"/>
            </w:tcBorders>
            <w:shd w:val="clear" w:color="auto" w:fill="auto"/>
            <w:vAlign w:val="center"/>
            <w:hideMark/>
          </w:tcPr>
          <w:p w14:paraId="050CA9C2" w14:textId="77777777" w:rsidR="00443209" w:rsidRPr="00BD7AB8" w:rsidRDefault="00443209" w:rsidP="00C602EF">
            <w:pPr>
              <w:spacing w:after="0" w:line="240" w:lineRule="auto"/>
              <w:jc w:val="left"/>
              <w:rPr>
                <w:rFonts w:ascii="Arial" w:eastAsia="Times New Roman" w:hAnsi="Arial" w:cs="Arial"/>
                <w:color w:val="auto"/>
                <w:sz w:val="18"/>
                <w:szCs w:val="18"/>
                <w:lang w:val="en-US"/>
              </w:rPr>
            </w:pPr>
            <w:r w:rsidRPr="00BD7AB8">
              <w:rPr>
                <w:rFonts w:ascii="Arial" w:eastAsia="Times New Roman" w:hAnsi="Arial" w:cs="Arial"/>
                <w:color w:val="auto"/>
                <w:sz w:val="18"/>
                <w:szCs w:val="18"/>
                <w:lang w:val="en-US"/>
              </w:rPr>
              <w:t>Αναστολή πληρωμής φορολογικών υποχρεώσεων.</w:t>
            </w:r>
          </w:p>
        </w:tc>
        <w:tc>
          <w:tcPr>
            <w:tcW w:w="992" w:type="dxa"/>
            <w:tcBorders>
              <w:top w:val="nil"/>
              <w:left w:val="nil"/>
              <w:bottom w:val="single" w:sz="4" w:space="0" w:color="auto"/>
              <w:right w:val="single" w:sz="4" w:space="0" w:color="auto"/>
            </w:tcBorders>
            <w:shd w:val="clear" w:color="auto" w:fill="auto"/>
            <w:noWrap/>
            <w:vAlign w:val="center"/>
            <w:hideMark/>
          </w:tcPr>
          <w:p w14:paraId="51D92170" w14:textId="77777777" w:rsidR="00443209" w:rsidRPr="00BD7AB8" w:rsidRDefault="00443209" w:rsidP="00C602EF">
            <w:pPr>
              <w:spacing w:after="0" w:line="240" w:lineRule="auto"/>
              <w:jc w:val="center"/>
              <w:rPr>
                <w:rFonts w:ascii="Arial" w:eastAsia="Times New Roman" w:hAnsi="Arial" w:cs="Arial"/>
                <w:color w:val="auto"/>
                <w:sz w:val="18"/>
                <w:szCs w:val="18"/>
                <w:lang w:val="en-US"/>
              </w:rPr>
            </w:pPr>
            <w:r w:rsidRPr="00BD7AB8">
              <w:rPr>
                <w:rFonts w:ascii="Arial" w:eastAsia="Times New Roman" w:hAnsi="Arial" w:cs="Arial"/>
                <w:color w:val="auto"/>
                <w:sz w:val="18"/>
                <w:szCs w:val="18"/>
                <w:lang w:val="en-US"/>
              </w:rPr>
              <w:t>181</w:t>
            </w:r>
          </w:p>
        </w:tc>
      </w:tr>
      <w:tr w:rsidR="00443209" w:rsidRPr="00BD7AB8" w14:paraId="5A10B7C7" w14:textId="77777777" w:rsidTr="00C602EF">
        <w:trPr>
          <w:trHeight w:val="300"/>
        </w:trPr>
        <w:tc>
          <w:tcPr>
            <w:tcW w:w="436" w:type="dxa"/>
            <w:tcBorders>
              <w:top w:val="nil"/>
              <w:left w:val="single" w:sz="8" w:space="0" w:color="auto"/>
              <w:bottom w:val="single" w:sz="4" w:space="0" w:color="auto"/>
              <w:right w:val="single" w:sz="4" w:space="0" w:color="auto"/>
            </w:tcBorders>
            <w:shd w:val="clear" w:color="auto" w:fill="auto"/>
            <w:vAlign w:val="center"/>
            <w:hideMark/>
          </w:tcPr>
          <w:p w14:paraId="092AE257" w14:textId="77777777" w:rsidR="00443209" w:rsidRPr="00BD7AB8" w:rsidRDefault="00443209" w:rsidP="00C602EF">
            <w:pPr>
              <w:spacing w:after="0" w:line="240" w:lineRule="auto"/>
              <w:jc w:val="center"/>
              <w:rPr>
                <w:rFonts w:eastAsia="Times New Roman" w:cs="Times New Roman"/>
                <w:color w:val="000000"/>
                <w:sz w:val="18"/>
                <w:szCs w:val="18"/>
                <w:lang w:val="en-US"/>
              </w:rPr>
            </w:pPr>
            <w:r w:rsidRPr="00BD7AB8">
              <w:rPr>
                <w:rFonts w:eastAsia="Times New Roman" w:cs="Times New Roman"/>
                <w:color w:val="000000"/>
                <w:sz w:val="18"/>
                <w:szCs w:val="18"/>
                <w:lang w:val="en-US"/>
              </w:rPr>
              <w:t>2</w:t>
            </w:r>
          </w:p>
        </w:tc>
        <w:tc>
          <w:tcPr>
            <w:tcW w:w="7087" w:type="dxa"/>
            <w:tcBorders>
              <w:top w:val="nil"/>
              <w:left w:val="nil"/>
              <w:bottom w:val="single" w:sz="4" w:space="0" w:color="auto"/>
              <w:right w:val="single" w:sz="4" w:space="0" w:color="auto"/>
            </w:tcBorders>
            <w:shd w:val="clear" w:color="000000" w:fill="FFFFFF"/>
            <w:vAlign w:val="center"/>
            <w:hideMark/>
          </w:tcPr>
          <w:p w14:paraId="4D39E89D" w14:textId="77777777" w:rsidR="00443209" w:rsidRPr="00BD7AB8" w:rsidRDefault="00443209" w:rsidP="00C602EF">
            <w:pPr>
              <w:spacing w:after="0" w:line="240" w:lineRule="auto"/>
              <w:jc w:val="left"/>
              <w:rPr>
                <w:rFonts w:ascii="Arial" w:eastAsia="Times New Roman" w:hAnsi="Arial" w:cs="Arial"/>
                <w:color w:val="auto"/>
                <w:sz w:val="18"/>
                <w:szCs w:val="18"/>
              </w:rPr>
            </w:pPr>
            <w:r w:rsidRPr="00BD7AB8">
              <w:rPr>
                <w:rFonts w:ascii="Arial" w:eastAsia="Times New Roman" w:hAnsi="Arial" w:cs="Arial"/>
                <w:color w:val="auto"/>
                <w:sz w:val="18"/>
                <w:szCs w:val="18"/>
              </w:rPr>
              <w:t>Παράταση προθεσμίας πληρωμής δόσεων ρυθμίσεων οφειλών από ασφαλιστικές εισφορές.</w:t>
            </w:r>
          </w:p>
        </w:tc>
        <w:tc>
          <w:tcPr>
            <w:tcW w:w="992" w:type="dxa"/>
            <w:tcBorders>
              <w:top w:val="nil"/>
              <w:left w:val="nil"/>
              <w:bottom w:val="single" w:sz="4" w:space="0" w:color="auto"/>
              <w:right w:val="single" w:sz="4" w:space="0" w:color="auto"/>
            </w:tcBorders>
            <w:shd w:val="clear" w:color="auto" w:fill="auto"/>
            <w:noWrap/>
            <w:vAlign w:val="center"/>
            <w:hideMark/>
          </w:tcPr>
          <w:p w14:paraId="419DB40A" w14:textId="77777777" w:rsidR="00443209" w:rsidRPr="00BD7AB8" w:rsidRDefault="00443209" w:rsidP="00C602EF">
            <w:pPr>
              <w:spacing w:after="0" w:line="240" w:lineRule="auto"/>
              <w:jc w:val="center"/>
              <w:rPr>
                <w:rFonts w:ascii="Arial" w:eastAsia="Times New Roman" w:hAnsi="Arial" w:cs="Arial"/>
                <w:color w:val="auto"/>
                <w:sz w:val="18"/>
                <w:szCs w:val="18"/>
                <w:lang w:val="en-US"/>
              </w:rPr>
            </w:pPr>
            <w:r w:rsidRPr="00BD7AB8">
              <w:rPr>
                <w:rFonts w:ascii="Arial" w:eastAsia="Times New Roman" w:hAnsi="Arial" w:cs="Arial"/>
                <w:color w:val="auto"/>
                <w:sz w:val="18"/>
                <w:szCs w:val="18"/>
                <w:lang w:val="en-US"/>
              </w:rPr>
              <w:t>128</w:t>
            </w:r>
          </w:p>
        </w:tc>
      </w:tr>
      <w:tr w:rsidR="00443209" w:rsidRPr="00BD7AB8" w14:paraId="301ABD71" w14:textId="77777777" w:rsidTr="00C602EF">
        <w:trPr>
          <w:trHeight w:val="480"/>
        </w:trPr>
        <w:tc>
          <w:tcPr>
            <w:tcW w:w="436" w:type="dxa"/>
            <w:tcBorders>
              <w:top w:val="nil"/>
              <w:left w:val="single" w:sz="8" w:space="0" w:color="auto"/>
              <w:bottom w:val="single" w:sz="4" w:space="0" w:color="auto"/>
              <w:right w:val="single" w:sz="4" w:space="0" w:color="auto"/>
            </w:tcBorders>
            <w:shd w:val="clear" w:color="auto" w:fill="auto"/>
            <w:vAlign w:val="center"/>
            <w:hideMark/>
          </w:tcPr>
          <w:p w14:paraId="4E672675" w14:textId="77777777" w:rsidR="00443209" w:rsidRPr="00BD7AB8" w:rsidRDefault="00443209" w:rsidP="00C602EF">
            <w:pPr>
              <w:spacing w:after="0" w:line="240" w:lineRule="auto"/>
              <w:jc w:val="center"/>
              <w:rPr>
                <w:rFonts w:eastAsia="Times New Roman" w:cs="Times New Roman"/>
                <w:color w:val="000000"/>
                <w:sz w:val="18"/>
                <w:szCs w:val="18"/>
                <w:lang w:val="en-US"/>
              </w:rPr>
            </w:pPr>
            <w:r w:rsidRPr="00BD7AB8">
              <w:rPr>
                <w:rFonts w:eastAsia="Times New Roman" w:cs="Times New Roman"/>
                <w:color w:val="000000"/>
                <w:sz w:val="18"/>
                <w:szCs w:val="18"/>
                <w:lang w:val="en-US"/>
              </w:rPr>
              <w:t>3</w:t>
            </w:r>
          </w:p>
        </w:tc>
        <w:tc>
          <w:tcPr>
            <w:tcW w:w="7087" w:type="dxa"/>
            <w:tcBorders>
              <w:top w:val="nil"/>
              <w:left w:val="nil"/>
              <w:bottom w:val="single" w:sz="4" w:space="0" w:color="auto"/>
              <w:right w:val="single" w:sz="4" w:space="0" w:color="auto"/>
            </w:tcBorders>
            <w:shd w:val="clear" w:color="auto" w:fill="auto"/>
            <w:vAlign w:val="center"/>
            <w:hideMark/>
          </w:tcPr>
          <w:p w14:paraId="663B362F" w14:textId="77777777" w:rsidR="00443209" w:rsidRPr="00BD7AB8" w:rsidRDefault="00443209" w:rsidP="00C602EF">
            <w:pPr>
              <w:spacing w:after="0" w:line="240" w:lineRule="auto"/>
              <w:jc w:val="left"/>
              <w:rPr>
                <w:rFonts w:ascii="Arial" w:eastAsia="Times New Roman" w:hAnsi="Arial" w:cs="Arial"/>
                <w:color w:val="auto"/>
                <w:sz w:val="18"/>
                <w:szCs w:val="18"/>
              </w:rPr>
            </w:pPr>
            <w:r w:rsidRPr="00BD7AB8">
              <w:rPr>
                <w:rFonts w:ascii="Arial" w:eastAsia="Times New Roman" w:hAnsi="Arial" w:cs="Arial"/>
                <w:color w:val="auto"/>
                <w:sz w:val="18"/>
                <w:szCs w:val="18"/>
              </w:rPr>
              <w:t>Μείωση προκαταβολής ΦΕΦΠ και ΦΕΝΠ για επιχειρήσεις και αυτοαπασχολούμενους που πλήττονται από την πανδημία.</w:t>
            </w:r>
          </w:p>
        </w:tc>
        <w:tc>
          <w:tcPr>
            <w:tcW w:w="992" w:type="dxa"/>
            <w:tcBorders>
              <w:top w:val="nil"/>
              <w:left w:val="nil"/>
              <w:bottom w:val="single" w:sz="4" w:space="0" w:color="auto"/>
              <w:right w:val="single" w:sz="4" w:space="0" w:color="auto"/>
            </w:tcBorders>
            <w:shd w:val="clear" w:color="auto" w:fill="auto"/>
            <w:noWrap/>
            <w:vAlign w:val="center"/>
            <w:hideMark/>
          </w:tcPr>
          <w:p w14:paraId="089AA78F" w14:textId="77777777" w:rsidR="00443209" w:rsidRPr="00BD7AB8" w:rsidRDefault="00443209" w:rsidP="00C602EF">
            <w:pPr>
              <w:spacing w:after="0" w:line="240" w:lineRule="auto"/>
              <w:jc w:val="center"/>
              <w:rPr>
                <w:rFonts w:ascii="Arial" w:eastAsia="Times New Roman" w:hAnsi="Arial" w:cs="Arial"/>
                <w:color w:val="auto"/>
                <w:sz w:val="18"/>
                <w:szCs w:val="18"/>
                <w:lang w:val="en-US"/>
              </w:rPr>
            </w:pPr>
            <w:r w:rsidRPr="00BD7AB8">
              <w:rPr>
                <w:rFonts w:ascii="Arial" w:eastAsia="Times New Roman" w:hAnsi="Arial" w:cs="Arial"/>
                <w:color w:val="auto"/>
                <w:sz w:val="18"/>
                <w:szCs w:val="18"/>
                <w:lang w:val="en-US"/>
              </w:rPr>
              <w:t>907</w:t>
            </w:r>
          </w:p>
        </w:tc>
      </w:tr>
      <w:tr w:rsidR="00443209" w:rsidRPr="00BD7AB8" w14:paraId="7CECCCE2" w14:textId="77777777" w:rsidTr="00C602EF">
        <w:trPr>
          <w:trHeight w:val="300"/>
        </w:trPr>
        <w:tc>
          <w:tcPr>
            <w:tcW w:w="436" w:type="dxa"/>
            <w:tcBorders>
              <w:top w:val="nil"/>
              <w:left w:val="single" w:sz="8" w:space="0" w:color="auto"/>
              <w:bottom w:val="single" w:sz="4" w:space="0" w:color="auto"/>
              <w:right w:val="single" w:sz="4" w:space="0" w:color="auto"/>
            </w:tcBorders>
            <w:shd w:val="clear" w:color="auto" w:fill="auto"/>
            <w:vAlign w:val="center"/>
            <w:hideMark/>
          </w:tcPr>
          <w:p w14:paraId="0CE25D23" w14:textId="77777777" w:rsidR="00443209" w:rsidRPr="00BD7AB8" w:rsidRDefault="00443209" w:rsidP="00C602EF">
            <w:pPr>
              <w:spacing w:after="0" w:line="240" w:lineRule="auto"/>
              <w:jc w:val="center"/>
              <w:rPr>
                <w:rFonts w:eastAsia="Times New Roman" w:cs="Times New Roman"/>
                <w:color w:val="000000"/>
                <w:sz w:val="18"/>
                <w:szCs w:val="18"/>
                <w:lang w:val="en-US"/>
              </w:rPr>
            </w:pPr>
            <w:r w:rsidRPr="00BD7AB8">
              <w:rPr>
                <w:rFonts w:eastAsia="Times New Roman" w:cs="Times New Roman"/>
                <w:color w:val="000000"/>
                <w:sz w:val="18"/>
                <w:szCs w:val="18"/>
                <w:lang w:val="en-US"/>
              </w:rPr>
              <w:t>4</w:t>
            </w:r>
          </w:p>
        </w:tc>
        <w:tc>
          <w:tcPr>
            <w:tcW w:w="7087" w:type="dxa"/>
            <w:tcBorders>
              <w:top w:val="nil"/>
              <w:left w:val="nil"/>
              <w:bottom w:val="single" w:sz="4" w:space="0" w:color="auto"/>
              <w:right w:val="single" w:sz="4" w:space="0" w:color="auto"/>
            </w:tcBorders>
            <w:shd w:val="clear" w:color="auto" w:fill="auto"/>
            <w:vAlign w:val="center"/>
            <w:hideMark/>
          </w:tcPr>
          <w:p w14:paraId="631BCD52" w14:textId="77777777" w:rsidR="00443209" w:rsidRPr="00BD7AB8" w:rsidRDefault="00443209" w:rsidP="00C602EF">
            <w:pPr>
              <w:spacing w:after="0" w:line="240" w:lineRule="auto"/>
              <w:jc w:val="left"/>
              <w:rPr>
                <w:rFonts w:ascii="Arial" w:eastAsia="Times New Roman" w:hAnsi="Arial" w:cs="Arial"/>
                <w:color w:val="auto"/>
                <w:sz w:val="18"/>
                <w:szCs w:val="18"/>
              </w:rPr>
            </w:pPr>
            <w:r w:rsidRPr="00BD7AB8">
              <w:rPr>
                <w:rFonts w:ascii="Arial" w:eastAsia="Times New Roman" w:hAnsi="Arial" w:cs="Arial"/>
                <w:color w:val="auto"/>
                <w:sz w:val="18"/>
                <w:szCs w:val="18"/>
              </w:rPr>
              <w:t>Μείωση κατά 3% των ασφαλιστικών εισφορών των μισθωτών του ιδιωτικού τομέα.</w:t>
            </w:r>
          </w:p>
        </w:tc>
        <w:tc>
          <w:tcPr>
            <w:tcW w:w="992" w:type="dxa"/>
            <w:tcBorders>
              <w:top w:val="nil"/>
              <w:left w:val="nil"/>
              <w:bottom w:val="single" w:sz="4" w:space="0" w:color="auto"/>
              <w:right w:val="single" w:sz="4" w:space="0" w:color="auto"/>
            </w:tcBorders>
            <w:shd w:val="clear" w:color="auto" w:fill="auto"/>
            <w:noWrap/>
            <w:vAlign w:val="center"/>
            <w:hideMark/>
          </w:tcPr>
          <w:p w14:paraId="3CA0B92D" w14:textId="77777777" w:rsidR="00443209" w:rsidRPr="00BD7AB8" w:rsidRDefault="00443209" w:rsidP="00C602EF">
            <w:pPr>
              <w:spacing w:after="0" w:line="240" w:lineRule="auto"/>
              <w:jc w:val="center"/>
              <w:rPr>
                <w:rFonts w:ascii="Arial" w:eastAsia="Times New Roman" w:hAnsi="Arial" w:cs="Arial"/>
                <w:color w:val="auto"/>
                <w:sz w:val="18"/>
                <w:szCs w:val="18"/>
                <w:lang w:val="en-US"/>
              </w:rPr>
            </w:pPr>
            <w:r w:rsidRPr="00BD7AB8">
              <w:rPr>
                <w:rFonts w:ascii="Arial" w:eastAsia="Times New Roman" w:hAnsi="Arial" w:cs="Arial"/>
                <w:color w:val="auto"/>
                <w:sz w:val="18"/>
                <w:szCs w:val="18"/>
                <w:lang w:val="en-US"/>
              </w:rPr>
              <w:t>780</w:t>
            </w:r>
          </w:p>
        </w:tc>
      </w:tr>
      <w:tr w:rsidR="00443209" w:rsidRPr="00BD7AB8" w14:paraId="643F9930" w14:textId="77777777" w:rsidTr="00C602EF">
        <w:trPr>
          <w:trHeight w:val="300"/>
        </w:trPr>
        <w:tc>
          <w:tcPr>
            <w:tcW w:w="436" w:type="dxa"/>
            <w:tcBorders>
              <w:top w:val="nil"/>
              <w:left w:val="single" w:sz="8" w:space="0" w:color="auto"/>
              <w:bottom w:val="single" w:sz="4" w:space="0" w:color="auto"/>
              <w:right w:val="single" w:sz="4" w:space="0" w:color="auto"/>
            </w:tcBorders>
            <w:shd w:val="clear" w:color="auto" w:fill="auto"/>
            <w:vAlign w:val="center"/>
            <w:hideMark/>
          </w:tcPr>
          <w:p w14:paraId="237CFCA1" w14:textId="77777777" w:rsidR="00443209" w:rsidRPr="00BD7AB8" w:rsidRDefault="00443209" w:rsidP="00C602EF">
            <w:pPr>
              <w:spacing w:after="0" w:line="240" w:lineRule="auto"/>
              <w:jc w:val="center"/>
              <w:rPr>
                <w:rFonts w:eastAsia="Times New Roman" w:cs="Times New Roman"/>
                <w:color w:val="000000"/>
                <w:sz w:val="18"/>
                <w:szCs w:val="18"/>
                <w:lang w:val="en-US"/>
              </w:rPr>
            </w:pPr>
            <w:r w:rsidRPr="00BD7AB8">
              <w:rPr>
                <w:rFonts w:eastAsia="Times New Roman" w:cs="Times New Roman"/>
                <w:color w:val="000000"/>
                <w:sz w:val="18"/>
                <w:szCs w:val="18"/>
                <w:lang w:val="en-US"/>
              </w:rPr>
              <w:t>5</w:t>
            </w:r>
          </w:p>
        </w:tc>
        <w:tc>
          <w:tcPr>
            <w:tcW w:w="7087" w:type="dxa"/>
            <w:tcBorders>
              <w:top w:val="nil"/>
              <w:left w:val="nil"/>
              <w:bottom w:val="single" w:sz="4" w:space="0" w:color="auto"/>
              <w:right w:val="single" w:sz="4" w:space="0" w:color="auto"/>
            </w:tcBorders>
            <w:shd w:val="clear" w:color="auto" w:fill="auto"/>
            <w:vAlign w:val="center"/>
            <w:hideMark/>
          </w:tcPr>
          <w:p w14:paraId="0CF47027" w14:textId="77777777" w:rsidR="00443209" w:rsidRPr="00BD7AB8" w:rsidRDefault="00443209" w:rsidP="00C602EF">
            <w:pPr>
              <w:spacing w:after="0" w:line="240" w:lineRule="auto"/>
              <w:jc w:val="left"/>
              <w:rPr>
                <w:rFonts w:ascii="Arial" w:eastAsia="Times New Roman" w:hAnsi="Arial" w:cs="Arial"/>
                <w:color w:val="auto"/>
                <w:sz w:val="18"/>
                <w:szCs w:val="18"/>
              </w:rPr>
            </w:pPr>
            <w:r w:rsidRPr="00BD7AB8">
              <w:rPr>
                <w:rFonts w:ascii="Arial" w:eastAsia="Times New Roman" w:hAnsi="Arial" w:cs="Arial"/>
                <w:color w:val="auto"/>
                <w:sz w:val="18"/>
                <w:szCs w:val="18"/>
              </w:rPr>
              <w:t>Απαλλαγή από την εισφορά αλληλεγγύης για τον ιδιωτικό τομέα.</w:t>
            </w:r>
          </w:p>
        </w:tc>
        <w:tc>
          <w:tcPr>
            <w:tcW w:w="992" w:type="dxa"/>
            <w:tcBorders>
              <w:top w:val="nil"/>
              <w:left w:val="nil"/>
              <w:bottom w:val="single" w:sz="4" w:space="0" w:color="auto"/>
              <w:right w:val="single" w:sz="4" w:space="0" w:color="auto"/>
            </w:tcBorders>
            <w:shd w:val="clear" w:color="auto" w:fill="auto"/>
            <w:noWrap/>
            <w:vAlign w:val="center"/>
            <w:hideMark/>
          </w:tcPr>
          <w:p w14:paraId="187F3C78" w14:textId="77777777" w:rsidR="00443209" w:rsidRPr="00BD7AB8" w:rsidRDefault="00443209" w:rsidP="00C602EF">
            <w:pPr>
              <w:spacing w:after="0" w:line="240" w:lineRule="auto"/>
              <w:jc w:val="center"/>
              <w:rPr>
                <w:rFonts w:ascii="Arial" w:eastAsia="Times New Roman" w:hAnsi="Arial" w:cs="Arial"/>
                <w:color w:val="auto"/>
                <w:sz w:val="18"/>
                <w:szCs w:val="18"/>
                <w:lang w:val="en-US"/>
              </w:rPr>
            </w:pPr>
            <w:r w:rsidRPr="00BD7AB8">
              <w:rPr>
                <w:rFonts w:ascii="Arial" w:eastAsia="Times New Roman" w:hAnsi="Arial" w:cs="Arial"/>
                <w:color w:val="auto"/>
                <w:sz w:val="18"/>
                <w:szCs w:val="18"/>
                <w:lang w:val="en-US"/>
              </w:rPr>
              <w:t>767</w:t>
            </w:r>
          </w:p>
        </w:tc>
      </w:tr>
      <w:tr w:rsidR="00443209" w:rsidRPr="00BD7AB8" w14:paraId="0681189B" w14:textId="77777777" w:rsidTr="00C602EF">
        <w:trPr>
          <w:trHeight w:val="300"/>
        </w:trPr>
        <w:tc>
          <w:tcPr>
            <w:tcW w:w="436" w:type="dxa"/>
            <w:tcBorders>
              <w:top w:val="nil"/>
              <w:left w:val="single" w:sz="8" w:space="0" w:color="auto"/>
              <w:bottom w:val="single" w:sz="4" w:space="0" w:color="auto"/>
              <w:right w:val="single" w:sz="4" w:space="0" w:color="auto"/>
            </w:tcBorders>
            <w:shd w:val="clear" w:color="auto" w:fill="auto"/>
            <w:vAlign w:val="center"/>
            <w:hideMark/>
          </w:tcPr>
          <w:p w14:paraId="76E4BF38" w14:textId="77777777" w:rsidR="00443209" w:rsidRPr="00BD7AB8" w:rsidRDefault="00443209" w:rsidP="00C602EF">
            <w:pPr>
              <w:spacing w:after="0" w:line="240" w:lineRule="auto"/>
              <w:jc w:val="center"/>
              <w:rPr>
                <w:rFonts w:eastAsia="Times New Roman" w:cs="Times New Roman"/>
                <w:color w:val="000000"/>
                <w:sz w:val="18"/>
                <w:szCs w:val="18"/>
                <w:lang w:val="en-US"/>
              </w:rPr>
            </w:pPr>
            <w:r w:rsidRPr="00BD7AB8">
              <w:rPr>
                <w:rFonts w:eastAsia="Times New Roman" w:cs="Times New Roman"/>
                <w:color w:val="000000"/>
                <w:sz w:val="18"/>
                <w:szCs w:val="18"/>
                <w:lang w:val="en-US"/>
              </w:rPr>
              <w:t>6</w:t>
            </w:r>
          </w:p>
        </w:tc>
        <w:tc>
          <w:tcPr>
            <w:tcW w:w="7087" w:type="dxa"/>
            <w:tcBorders>
              <w:top w:val="nil"/>
              <w:left w:val="nil"/>
              <w:bottom w:val="single" w:sz="4" w:space="0" w:color="auto"/>
              <w:right w:val="single" w:sz="4" w:space="0" w:color="auto"/>
            </w:tcBorders>
            <w:shd w:val="clear" w:color="000000" w:fill="FFFFFF"/>
            <w:vAlign w:val="center"/>
            <w:hideMark/>
          </w:tcPr>
          <w:p w14:paraId="4088C00E" w14:textId="77777777" w:rsidR="00443209" w:rsidRPr="00BD7AB8" w:rsidRDefault="00443209" w:rsidP="00C602EF">
            <w:pPr>
              <w:spacing w:after="0" w:line="240" w:lineRule="auto"/>
              <w:jc w:val="left"/>
              <w:rPr>
                <w:rFonts w:ascii="Arial" w:eastAsia="Times New Roman" w:hAnsi="Arial" w:cs="Arial"/>
                <w:color w:val="auto"/>
                <w:sz w:val="18"/>
                <w:szCs w:val="18"/>
              </w:rPr>
            </w:pPr>
            <w:r w:rsidRPr="00BD7AB8">
              <w:rPr>
                <w:rFonts w:ascii="Arial" w:eastAsia="Times New Roman" w:hAnsi="Arial" w:cs="Arial"/>
                <w:color w:val="auto"/>
                <w:sz w:val="18"/>
                <w:szCs w:val="18"/>
              </w:rPr>
              <w:t>Πρόγραμμα αποζημίωσης παγίων δαπανών επιχειρήσεων έναντι μελλοντικών φορολογικών υποχρεώσεων.</w:t>
            </w:r>
          </w:p>
        </w:tc>
        <w:tc>
          <w:tcPr>
            <w:tcW w:w="992" w:type="dxa"/>
            <w:tcBorders>
              <w:top w:val="nil"/>
              <w:left w:val="nil"/>
              <w:bottom w:val="single" w:sz="4" w:space="0" w:color="auto"/>
              <w:right w:val="single" w:sz="4" w:space="0" w:color="auto"/>
            </w:tcBorders>
            <w:shd w:val="clear" w:color="auto" w:fill="auto"/>
            <w:noWrap/>
            <w:vAlign w:val="center"/>
            <w:hideMark/>
          </w:tcPr>
          <w:p w14:paraId="593CA48A" w14:textId="77777777" w:rsidR="00443209" w:rsidRPr="00BD7AB8" w:rsidRDefault="00443209" w:rsidP="00C602EF">
            <w:pPr>
              <w:spacing w:after="0" w:line="240" w:lineRule="auto"/>
              <w:jc w:val="center"/>
              <w:rPr>
                <w:rFonts w:ascii="Arial" w:eastAsia="Times New Roman" w:hAnsi="Arial" w:cs="Arial"/>
                <w:color w:val="auto"/>
                <w:sz w:val="18"/>
                <w:szCs w:val="18"/>
                <w:lang w:val="en-US"/>
              </w:rPr>
            </w:pPr>
            <w:r w:rsidRPr="00BD7AB8">
              <w:rPr>
                <w:rFonts w:ascii="Arial" w:eastAsia="Times New Roman" w:hAnsi="Arial" w:cs="Arial"/>
                <w:color w:val="auto"/>
                <w:sz w:val="18"/>
                <w:szCs w:val="18"/>
                <w:lang w:val="en-US"/>
              </w:rPr>
              <w:t>250</w:t>
            </w:r>
          </w:p>
        </w:tc>
      </w:tr>
      <w:tr w:rsidR="00443209" w:rsidRPr="00BD7AB8" w14:paraId="0B577862" w14:textId="77777777" w:rsidTr="00C602EF">
        <w:trPr>
          <w:trHeight w:val="480"/>
        </w:trPr>
        <w:tc>
          <w:tcPr>
            <w:tcW w:w="436" w:type="dxa"/>
            <w:tcBorders>
              <w:top w:val="nil"/>
              <w:left w:val="single" w:sz="8" w:space="0" w:color="auto"/>
              <w:bottom w:val="single" w:sz="4" w:space="0" w:color="auto"/>
              <w:right w:val="single" w:sz="4" w:space="0" w:color="auto"/>
            </w:tcBorders>
            <w:shd w:val="clear" w:color="auto" w:fill="auto"/>
            <w:vAlign w:val="center"/>
            <w:hideMark/>
          </w:tcPr>
          <w:p w14:paraId="219996F3" w14:textId="77777777" w:rsidR="00443209" w:rsidRPr="00BD7AB8" w:rsidRDefault="00443209" w:rsidP="00C602EF">
            <w:pPr>
              <w:spacing w:after="0" w:line="240" w:lineRule="auto"/>
              <w:jc w:val="center"/>
              <w:rPr>
                <w:rFonts w:eastAsia="Times New Roman" w:cs="Times New Roman"/>
                <w:color w:val="000000"/>
                <w:sz w:val="18"/>
                <w:szCs w:val="18"/>
                <w:lang w:val="en-US"/>
              </w:rPr>
            </w:pPr>
            <w:r w:rsidRPr="00BD7AB8">
              <w:rPr>
                <w:rFonts w:eastAsia="Times New Roman" w:cs="Times New Roman"/>
                <w:color w:val="000000"/>
                <w:sz w:val="18"/>
                <w:szCs w:val="18"/>
                <w:lang w:val="en-US"/>
              </w:rPr>
              <w:t>7</w:t>
            </w:r>
          </w:p>
        </w:tc>
        <w:tc>
          <w:tcPr>
            <w:tcW w:w="7087" w:type="dxa"/>
            <w:tcBorders>
              <w:top w:val="nil"/>
              <w:left w:val="nil"/>
              <w:bottom w:val="single" w:sz="4" w:space="0" w:color="auto"/>
              <w:right w:val="single" w:sz="4" w:space="0" w:color="auto"/>
            </w:tcBorders>
            <w:shd w:val="clear" w:color="auto" w:fill="auto"/>
            <w:vAlign w:val="center"/>
            <w:hideMark/>
          </w:tcPr>
          <w:p w14:paraId="1C40BB4D" w14:textId="77777777" w:rsidR="00443209" w:rsidRPr="00BD7AB8" w:rsidRDefault="00443209" w:rsidP="00C602EF">
            <w:pPr>
              <w:spacing w:after="0" w:line="240" w:lineRule="auto"/>
              <w:jc w:val="left"/>
              <w:rPr>
                <w:rFonts w:ascii="Arial" w:eastAsia="Times New Roman" w:hAnsi="Arial" w:cs="Arial"/>
                <w:color w:val="auto"/>
                <w:sz w:val="18"/>
                <w:szCs w:val="18"/>
              </w:rPr>
            </w:pPr>
            <w:r w:rsidRPr="00BD7AB8">
              <w:rPr>
                <w:rFonts w:ascii="Arial" w:eastAsia="Times New Roman" w:hAnsi="Arial" w:cs="Arial"/>
                <w:color w:val="auto"/>
                <w:sz w:val="18"/>
                <w:szCs w:val="18"/>
              </w:rPr>
              <w:t>Μείωση ΦΠΑ σε μεταφορές, καφέ και αλκοολούχα, εισιτήρια κινηματογράφων και τουριστικό πακέτο και αναστολή του τέλους συνδρομητικής τηλεόρασης.</w:t>
            </w:r>
          </w:p>
        </w:tc>
        <w:tc>
          <w:tcPr>
            <w:tcW w:w="992" w:type="dxa"/>
            <w:tcBorders>
              <w:top w:val="nil"/>
              <w:left w:val="nil"/>
              <w:bottom w:val="single" w:sz="4" w:space="0" w:color="auto"/>
              <w:right w:val="single" w:sz="4" w:space="0" w:color="auto"/>
            </w:tcBorders>
            <w:shd w:val="clear" w:color="auto" w:fill="auto"/>
            <w:noWrap/>
            <w:vAlign w:val="center"/>
            <w:hideMark/>
          </w:tcPr>
          <w:p w14:paraId="7A5E3656" w14:textId="77777777" w:rsidR="00443209" w:rsidRPr="00BD7AB8" w:rsidRDefault="00443209" w:rsidP="00C602EF">
            <w:pPr>
              <w:spacing w:after="0" w:line="240" w:lineRule="auto"/>
              <w:jc w:val="center"/>
              <w:rPr>
                <w:rFonts w:ascii="Arial" w:eastAsia="Times New Roman" w:hAnsi="Arial" w:cs="Arial"/>
                <w:color w:val="auto"/>
                <w:sz w:val="18"/>
                <w:szCs w:val="18"/>
                <w:lang w:val="en-US"/>
              </w:rPr>
            </w:pPr>
            <w:r w:rsidRPr="00BD7AB8">
              <w:rPr>
                <w:rFonts w:ascii="Arial" w:eastAsia="Times New Roman" w:hAnsi="Arial" w:cs="Arial"/>
                <w:color w:val="auto"/>
                <w:sz w:val="18"/>
                <w:szCs w:val="18"/>
                <w:lang w:val="en-US"/>
              </w:rPr>
              <w:t>237</w:t>
            </w:r>
          </w:p>
        </w:tc>
      </w:tr>
      <w:tr w:rsidR="00443209" w:rsidRPr="00BD7AB8" w14:paraId="13ACAF87" w14:textId="77777777" w:rsidTr="00C602EF">
        <w:trPr>
          <w:trHeight w:val="960"/>
        </w:trPr>
        <w:tc>
          <w:tcPr>
            <w:tcW w:w="436" w:type="dxa"/>
            <w:tcBorders>
              <w:top w:val="nil"/>
              <w:left w:val="single" w:sz="8" w:space="0" w:color="auto"/>
              <w:bottom w:val="single" w:sz="4" w:space="0" w:color="auto"/>
              <w:right w:val="single" w:sz="4" w:space="0" w:color="auto"/>
            </w:tcBorders>
            <w:shd w:val="clear" w:color="auto" w:fill="auto"/>
            <w:vAlign w:val="center"/>
            <w:hideMark/>
          </w:tcPr>
          <w:p w14:paraId="35B1F3E3" w14:textId="77777777" w:rsidR="00443209" w:rsidRPr="00BD7AB8" w:rsidRDefault="00443209" w:rsidP="00C602EF">
            <w:pPr>
              <w:spacing w:after="0" w:line="240" w:lineRule="auto"/>
              <w:jc w:val="center"/>
              <w:rPr>
                <w:rFonts w:eastAsia="Times New Roman" w:cs="Times New Roman"/>
                <w:color w:val="000000"/>
                <w:sz w:val="18"/>
                <w:szCs w:val="18"/>
                <w:lang w:val="en-US"/>
              </w:rPr>
            </w:pPr>
            <w:r w:rsidRPr="00BD7AB8">
              <w:rPr>
                <w:rFonts w:eastAsia="Times New Roman" w:cs="Times New Roman"/>
                <w:color w:val="000000"/>
                <w:sz w:val="18"/>
                <w:szCs w:val="18"/>
                <w:lang w:val="en-US"/>
              </w:rPr>
              <w:t>8</w:t>
            </w:r>
          </w:p>
        </w:tc>
        <w:tc>
          <w:tcPr>
            <w:tcW w:w="7087" w:type="dxa"/>
            <w:tcBorders>
              <w:top w:val="nil"/>
              <w:left w:val="nil"/>
              <w:bottom w:val="single" w:sz="4" w:space="0" w:color="auto"/>
              <w:right w:val="single" w:sz="4" w:space="0" w:color="auto"/>
            </w:tcBorders>
            <w:shd w:val="clear" w:color="auto" w:fill="auto"/>
            <w:vAlign w:val="center"/>
            <w:hideMark/>
          </w:tcPr>
          <w:p w14:paraId="06E60C5B" w14:textId="77777777" w:rsidR="00443209" w:rsidRPr="00BD7AB8" w:rsidRDefault="00443209" w:rsidP="00C602EF">
            <w:pPr>
              <w:spacing w:after="0" w:line="240" w:lineRule="auto"/>
              <w:jc w:val="left"/>
              <w:rPr>
                <w:rFonts w:ascii="Arial" w:eastAsia="Times New Roman" w:hAnsi="Arial" w:cs="Arial"/>
                <w:color w:val="auto"/>
                <w:sz w:val="18"/>
                <w:szCs w:val="18"/>
              </w:rPr>
            </w:pPr>
            <w:r w:rsidRPr="00BD7AB8">
              <w:rPr>
                <w:rFonts w:ascii="Arial" w:eastAsia="Times New Roman" w:hAnsi="Arial" w:cs="Arial"/>
                <w:color w:val="auto"/>
                <w:sz w:val="18"/>
                <w:szCs w:val="18"/>
              </w:rPr>
              <w:t>Μη καταβολή δημοτικών τελών για επιχειρήσεις των οποίων η λειτουργία ανεστάλη με κρατική εντολή λόγω της πανδημίας, μείωση στις μισθώσεις κύριας κατοικίας εργαζομένων των οποίων η σύμβαση εργασίας είναι σε αναστολή και στις μισθώσεις για την κάλυψη στεγαστικών αναγκών φοιτητών και επιστροφή φόρου για εκμισθωτές ακινήτων που έλαβαν μειωμένο μίσθωμα.</w:t>
            </w:r>
          </w:p>
        </w:tc>
        <w:tc>
          <w:tcPr>
            <w:tcW w:w="992" w:type="dxa"/>
            <w:tcBorders>
              <w:top w:val="nil"/>
              <w:left w:val="nil"/>
              <w:bottom w:val="single" w:sz="4" w:space="0" w:color="auto"/>
              <w:right w:val="single" w:sz="4" w:space="0" w:color="auto"/>
            </w:tcBorders>
            <w:shd w:val="clear" w:color="auto" w:fill="auto"/>
            <w:noWrap/>
            <w:vAlign w:val="center"/>
            <w:hideMark/>
          </w:tcPr>
          <w:p w14:paraId="4274BE13" w14:textId="77777777" w:rsidR="00443209" w:rsidRPr="00BD7AB8" w:rsidRDefault="00443209" w:rsidP="00C602EF">
            <w:pPr>
              <w:spacing w:after="0" w:line="240" w:lineRule="auto"/>
              <w:jc w:val="center"/>
              <w:rPr>
                <w:rFonts w:ascii="Arial" w:eastAsia="Times New Roman" w:hAnsi="Arial" w:cs="Arial"/>
                <w:color w:val="auto"/>
                <w:sz w:val="18"/>
                <w:szCs w:val="18"/>
                <w:lang w:val="en-US"/>
              </w:rPr>
            </w:pPr>
            <w:r w:rsidRPr="00BD7AB8">
              <w:rPr>
                <w:rFonts w:ascii="Arial" w:eastAsia="Times New Roman" w:hAnsi="Arial" w:cs="Arial"/>
                <w:color w:val="auto"/>
                <w:sz w:val="18"/>
                <w:szCs w:val="18"/>
                <w:lang w:val="en-US"/>
              </w:rPr>
              <w:t>167</w:t>
            </w:r>
          </w:p>
        </w:tc>
      </w:tr>
      <w:tr w:rsidR="00443209" w:rsidRPr="00BD7AB8" w14:paraId="4624196E" w14:textId="77777777" w:rsidTr="00C602EF">
        <w:trPr>
          <w:trHeight w:val="300"/>
        </w:trPr>
        <w:tc>
          <w:tcPr>
            <w:tcW w:w="436" w:type="dxa"/>
            <w:tcBorders>
              <w:top w:val="nil"/>
              <w:left w:val="single" w:sz="8" w:space="0" w:color="auto"/>
              <w:bottom w:val="single" w:sz="4" w:space="0" w:color="auto"/>
              <w:right w:val="single" w:sz="4" w:space="0" w:color="auto"/>
            </w:tcBorders>
            <w:shd w:val="clear" w:color="000000" w:fill="D9E1F2"/>
            <w:vAlign w:val="center"/>
            <w:hideMark/>
          </w:tcPr>
          <w:p w14:paraId="62D6929A" w14:textId="77777777" w:rsidR="00443209" w:rsidRPr="00BD7AB8" w:rsidRDefault="00443209" w:rsidP="00C602EF">
            <w:pPr>
              <w:spacing w:after="0" w:line="240" w:lineRule="auto"/>
              <w:jc w:val="center"/>
              <w:rPr>
                <w:rFonts w:eastAsia="Times New Roman" w:cs="Times New Roman"/>
                <w:b/>
                <w:bCs/>
                <w:color w:val="000000"/>
                <w:sz w:val="18"/>
                <w:szCs w:val="18"/>
                <w:lang w:val="en-US"/>
              </w:rPr>
            </w:pPr>
            <w:r w:rsidRPr="00BD7AB8">
              <w:rPr>
                <w:rFonts w:eastAsia="Times New Roman" w:cs="Times New Roman"/>
                <w:b/>
                <w:bCs/>
                <w:color w:val="000000"/>
                <w:sz w:val="18"/>
                <w:szCs w:val="18"/>
                <w:lang w:val="en-US"/>
              </w:rPr>
              <w:t>Β.</w:t>
            </w:r>
          </w:p>
        </w:tc>
        <w:tc>
          <w:tcPr>
            <w:tcW w:w="7087" w:type="dxa"/>
            <w:tcBorders>
              <w:top w:val="nil"/>
              <w:left w:val="nil"/>
              <w:bottom w:val="single" w:sz="4" w:space="0" w:color="auto"/>
              <w:right w:val="single" w:sz="4" w:space="0" w:color="auto"/>
            </w:tcBorders>
            <w:shd w:val="clear" w:color="000000" w:fill="D9E1F2"/>
            <w:vAlign w:val="center"/>
            <w:hideMark/>
          </w:tcPr>
          <w:p w14:paraId="5CC2FF80" w14:textId="77777777" w:rsidR="00443209" w:rsidRPr="00BD7AB8" w:rsidRDefault="00443209" w:rsidP="00C602EF">
            <w:pPr>
              <w:spacing w:after="0" w:line="240" w:lineRule="auto"/>
              <w:jc w:val="center"/>
              <w:rPr>
                <w:rFonts w:eastAsia="Times New Roman" w:cs="Times New Roman"/>
                <w:b/>
                <w:bCs/>
                <w:color w:val="000000"/>
                <w:sz w:val="18"/>
                <w:szCs w:val="18"/>
              </w:rPr>
            </w:pPr>
            <w:r w:rsidRPr="00BD7AB8">
              <w:rPr>
                <w:rFonts w:eastAsia="Times New Roman" w:cs="Times New Roman"/>
                <w:b/>
                <w:bCs/>
                <w:color w:val="000000"/>
                <w:sz w:val="18"/>
                <w:szCs w:val="18"/>
              </w:rPr>
              <w:t xml:space="preserve">Παρεμβάσεις στο σκέλος των δαπανών της Γενικής Κυβέρνησης </w:t>
            </w:r>
          </w:p>
        </w:tc>
        <w:tc>
          <w:tcPr>
            <w:tcW w:w="992" w:type="dxa"/>
            <w:tcBorders>
              <w:top w:val="nil"/>
              <w:left w:val="nil"/>
              <w:bottom w:val="single" w:sz="4" w:space="0" w:color="auto"/>
              <w:right w:val="single" w:sz="8" w:space="0" w:color="auto"/>
            </w:tcBorders>
            <w:shd w:val="clear" w:color="000000" w:fill="D9E1F2"/>
            <w:vAlign w:val="center"/>
            <w:hideMark/>
          </w:tcPr>
          <w:p w14:paraId="3FD0BE5F" w14:textId="77777777" w:rsidR="00443209" w:rsidRPr="00BD7AB8" w:rsidRDefault="00443209" w:rsidP="00C602EF">
            <w:pPr>
              <w:spacing w:after="0" w:line="240" w:lineRule="auto"/>
              <w:jc w:val="center"/>
              <w:rPr>
                <w:rFonts w:eastAsia="Times New Roman" w:cs="Times New Roman"/>
                <w:b/>
                <w:bCs/>
                <w:color w:val="000000"/>
                <w:sz w:val="18"/>
                <w:szCs w:val="18"/>
                <w:lang w:val="en-US"/>
              </w:rPr>
            </w:pPr>
            <w:r w:rsidRPr="00BD7AB8">
              <w:rPr>
                <w:rFonts w:eastAsia="Times New Roman" w:cs="Times New Roman"/>
                <w:b/>
                <w:bCs/>
                <w:color w:val="000000"/>
                <w:sz w:val="18"/>
                <w:szCs w:val="18"/>
                <w:lang w:val="en-US"/>
              </w:rPr>
              <w:t>10.821</w:t>
            </w:r>
          </w:p>
        </w:tc>
      </w:tr>
      <w:tr w:rsidR="00443209" w:rsidRPr="00BD7AB8" w14:paraId="10FC9A87" w14:textId="77777777" w:rsidTr="00C602EF">
        <w:trPr>
          <w:trHeight w:val="300"/>
        </w:trPr>
        <w:tc>
          <w:tcPr>
            <w:tcW w:w="436" w:type="dxa"/>
            <w:tcBorders>
              <w:top w:val="nil"/>
              <w:left w:val="single" w:sz="8" w:space="0" w:color="auto"/>
              <w:bottom w:val="single" w:sz="4" w:space="0" w:color="auto"/>
              <w:right w:val="single" w:sz="4" w:space="0" w:color="auto"/>
            </w:tcBorders>
            <w:shd w:val="clear" w:color="auto" w:fill="auto"/>
            <w:vAlign w:val="center"/>
            <w:hideMark/>
          </w:tcPr>
          <w:p w14:paraId="71F05F68" w14:textId="77777777" w:rsidR="00443209" w:rsidRPr="00BD7AB8" w:rsidRDefault="00443209" w:rsidP="00C602EF">
            <w:pPr>
              <w:spacing w:after="0" w:line="240" w:lineRule="auto"/>
              <w:jc w:val="center"/>
              <w:rPr>
                <w:rFonts w:eastAsia="Times New Roman" w:cs="Times New Roman"/>
                <w:color w:val="000000"/>
                <w:sz w:val="18"/>
                <w:szCs w:val="18"/>
                <w:lang w:val="en-US"/>
              </w:rPr>
            </w:pPr>
            <w:r w:rsidRPr="00BD7AB8">
              <w:rPr>
                <w:rFonts w:eastAsia="Times New Roman" w:cs="Times New Roman"/>
                <w:color w:val="000000"/>
                <w:sz w:val="18"/>
                <w:szCs w:val="18"/>
                <w:lang w:val="en-US"/>
              </w:rPr>
              <w:t>9</w:t>
            </w:r>
          </w:p>
        </w:tc>
        <w:tc>
          <w:tcPr>
            <w:tcW w:w="7087" w:type="dxa"/>
            <w:tcBorders>
              <w:top w:val="nil"/>
              <w:left w:val="nil"/>
              <w:bottom w:val="single" w:sz="4" w:space="0" w:color="auto"/>
              <w:right w:val="single" w:sz="4" w:space="0" w:color="auto"/>
            </w:tcBorders>
            <w:shd w:val="clear" w:color="000000" w:fill="FFFFFF"/>
            <w:vAlign w:val="center"/>
            <w:hideMark/>
          </w:tcPr>
          <w:p w14:paraId="2D891FCE" w14:textId="77777777" w:rsidR="00443209" w:rsidRPr="00BD7AB8" w:rsidRDefault="00443209" w:rsidP="00C602EF">
            <w:pPr>
              <w:spacing w:after="0" w:line="240" w:lineRule="auto"/>
              <w:jc w:val="left"/>
              <w:rPr>
                <w:rFonts w:ascii="Arial" w:eastAsia="Times New Roman" w:hAnsi="Arial" w:cs="Arial"/>
                <w:color w:val="auto"/>
                <w:sz w:val="18"/>
                <w:szCs w:val="18"/>
                <w:lang w:val="en-US"/>
              </w:rPr>
            </w:pPr>
            <w:r w:rsidRPr="00BD7AB8">
              <w:rPr>
                <w:rFonts w:ascii="Arial" w:eastAsia="Times New Roman" w:hAnsi="Arial" w:cs="Arial"/>
                <w:color w:val="auto"/>
                <w:sz w:val="18"/>
                <w:szCs w:val="18"/>
                <w:lang w:val="en-US"/>
              </w:rPr>
              <w:t>Παράταση τακτικού επιδόματος ανεργίας.</w:t>
            </w:r>
          </w:p>
        </w:tc>
        <w:tc>
          <w:tcPr>
            <w:tcW w:w="992" w:type="dxa"/>
            <w:tcBorders>
              <w:top w:val="nil"/>
              <w:left w:val="nil"/>
              <w:bottom w:val="single" w:sz="4" w:space="0" w:color="auto"/>
              <w:right w:val="single" w:sz="4" w:space="0" w:color="auto"/>
            </w:tcBorders>
            <w:shd w:val="clear" w:color="auto" w:fill="auto"/>
            <w:noWrap/>
            <w:vAlign w:val="center"/>
            <w:hideMark/>
          </w:tcPr>
          <w:p w14:paraId="0095E19B" w14:textId="77777777" w:rsidR="00443209" w:rsidRPr="00BD7AB8" w:rsidRDefault="00443209" w:rsidP="00C602EF">
            <w:pPr>
              <w:spacing w:after="0" w:line="240" w:lineRule="auto"/>
              <w:jc w:val="center"/>
              <w:rPr>
                <w:rFonts w:ascii="Arial" w:eastAsia="Times New Roman" w:hAnsi="Arial" w:cs="Arial"/>
                <w:color w:val="000000"/>
                <w:sz w:val="18"/>
                <w:szCs w:val="18"/>
                <w:lang w:val="en-US"/>
              </w:rPr>
            </w:pPr>
            <w:r w:rsidRPr="00BD7AB8">
              <w:rPr>
                <w:rFonts w:ascii="Arial" w:eastAsia="Times New Roman" w:hAnsi="Arial" w:cs="Arial"/>
                <w:color w:val="000000"/>
                <w:sz w:val="18"/>
                <w:szCs w:val="18"/>
                <w:lang w:val="en-US"/>
              </w:rPr>
              <w:t>151</w:t>
            </w:r>
          </w:p>
        </w:tc>
      </w:tr>
      <w:tr w:rsidR="00443209" w:rsidRPr="00BD7AB8" w14:paraId="3DD31B01" w14:textId="77777777" w:rsidTr="00C602EF">
        <w:trPr>
          <w:trHeight w:val="255"/>
        </w:trPr>
        <w:tc>
          <w:tcPr>
            <w:tcW w:w="436" w:type="dxa"/>
            <w:tcBorders>
              <w:top w:val="nil"/>
              <w:left w:val="single" w:sz="8" w:space="0" w:color="auto"/>
              <w:bottom w:val="single" w:sz="4" w:space="0" w:color="auto"/>
              <w:right w:val="single" w:sz="4" w:space="0" w:color="auto"/>
            </w:tcBorders>
            <w:shd w:val="clear" w:color="auto" w:fill="auto"/>
            <w:vAlign w:val="center"/>
            <w:hideMark/>
          </w:tcPr>
          <w:p w14:paraId="45C0EEC2" w14:textId="77777777" w:rsidR="00443209" w:rsidRPr="00BD7AB8" w:rsidRDefault="00443209" w:rsidP="00C602EF">
            <w:pPr>
              <w:spacing w:after="0" w:line="240" w:lineRule="auto"/>
              <w:jc w:val="center"/>
              <w:rPr>
                <w:rFonts w:eastAsia="Times New Roman" w:cs="Times New Roman"/>
                <w:color w:val="000000"/>
                <w:sz w:val="18"/>
                <w:szCs w:val="18"/>
                <w:lang w:val="en-US"/>
              </w:rPr>
            </w:pPr>
            <w:r w:rsidRPr="00BD7AB8">
              <w:rPr>
                <w:rFonts w:eastAsia="Times New Roman" w:cs="Times New Roman"/>
                <w:color w:val="000000"/>
                <w:sz w:val="18"/>
                <w:szCs w:val="18"/>
                <w:lang w:val="en-US"/>
              </w:rPr>
              <w:t>10</w:t>
            </w:r>
          </w:p>
        </w:tc>
        <w:tc>
          <w:tcPr>
            <w:tcW w:w="7087" w:type="dxa"/>
            <w:tcBorders>
              <w:top w:val="nil"/>
              <w:left w:val="nil"/>
              <w:bottom w:val="single" w:sz="4" w:space="0" w:color="auto"/>
              <w:right w:val="single" w:sz="4" w:space="0" w:color="auto"/>
            </w:tcBorders>
            <w:shd w:val="clear" w:color="auto" w:fill="auto"/>
            <w:vAlign w:val="center"/>
            <w:hideMark/>
          </w:tcPr>
          <w:p w14:paraId="159452EC" w14:textId="77777777" w:rsidR="00443209" w:rsidRPr="00BD7AB8" w:rsidRDefault="00443209" w:rsidP="00C602EF">
            <w:pPr>
              <w:spacing w:after="0" w:line="240" w:lineRule="auto"/>
              <w:jc w:val="left"/>
              <w:rPr>
                <w:rFonts w:ascii="Arial" w:eastAsia="Times New Roman" w:hAnsi="Arial" w:cs="Arial"/>
                <w:color w:val="auto"/>
                <w:sz w:val="18"/>
                <w:szCs w:val="18"/>
              </w:rPr>
            </w:pPr>
            <w:r w:rsidRPr="00BD7AB8">
              <w:rPr>
                <w:rFonts w:ascii="Arial" w:eastAsia="Times New Roman" w:hAnsi="Arial" w:cs="Arial"/>
                <w:color w:val="auto"/>
                <w:sz w:val="18"/>
                <w:szCs w:val="18"/>
              </w:rPr>
              <w:t xml:space="preserve">Επίδομα σε μακροχρόνια ανέργους, αποζημίωση επιστημόνων. </w:t>
            </w:r>
          </w:p>
        </w:tc>
        <w:tc>
          <w:tcPr>
            <w:tcW w:w="992" w:type="dxa"/>
            <w:tcBorders>
              <w:top w:val="nil"/>
              <w:left w:val="nil"/>
              <w:bottom w:val="single" w:sz="4" w:space="0" w:color="auto"/>
              <w:right w:val="single" w:sz="4" w:space="0" w:color="auto"/>
            </w:tcBorders>
            <w:shd w:val="clear" w:color="auto" w:fill="auto"/>
            <w:noWrap/>
            <w:vAlign w:val="center"/>
            <w:hideMark/>
          </w:tcPr>
          <w:p w14:paraId="763DD9A2" w14:textId="77777777" w:rsidR="00443209" w:rsidRPr="00BD7AB8" w:rsidRDefault="00443209" w:rsidP="00C602EF">
            <w:pPr>
              <w:spacing w:after="0" w:line="240" w:lineRule="auto"/>
              <w:jc w:val="center"/>
              <w:rPr>
                <w:rFonts w:ascii="Arial" w:eastAsia="Times New Roman" w:hAnsi="Arial" w:cs="Arial"/>
                <w:color w:val="000000"/>
                <w:sz w:val="18"/>
                <w:szCs w:val="18"/>
                <w:lang w:val="en-US"/>
              </w:rPr>
            </w:pPr>
            <w:r w:rsidRPr="00BD7AB8">
              <w:rPr>
                <w:rFonts w:ascii="Arial" w:eastAsia="Times New Roman" w:hAnsi="Arial" w:cs="Arial"/>
                <w:color w:val="000000"/>
                <w:sz w:val="18"/>
                <w:szCs w:val="18"/>
                <w:lang w:val="en-US"/>
              </w:rPr>
              <w:t>30</w:t>
            </w:r>
          </w:p>
        </w:tc>
      </w:tr>
      <w:tr w:rsidR="00443209" w:rsidRPr="00BD7AB8" w14:paraId="0938612B" w14:textId="77777777" w:rsidTr="00C602EF">
        <w:trPr>
          <w:trHeight w:val="255"/>
        </w:trPr>
        <w:tc>
          <w:tcPr>
            <w:tcW w:w="436" w:type="dxa"/>
            <w:tcBorders>
              <w:top w:val="nil"/>
              <w:left w:val="single" w:sz="8" w:space="0" w:color="auto"/>
              <w:bottom w:val="single" w:sz="4" w:space="0" w:color="auto"/>
              <w:right w:val="single" w:sz="4" w:space="0" w:color="auto"/>
            </w:tcBorders>
            <w:shd w:val="clear" w:color="auto" w:fill="auto"/>
            <w:vAlign w:val="center"/>
            <w:hideMark/>
          </w:tcPr>
          <w:p w14:paraId="66BFD8A4" w14:textId="77777777" w:rsidR="00443209" w:rsidRPr="00BD7AB8" w:rsidRDefault="00443209" w:rsidP="00C602EF">
            <w:pPr>
              <w:spacing w:after="0" w:line="240" w:lineRule="auto"/>
              <w:jc w:val="center"/>
              <w:rPr>
                <w:rFonts w:eastAsia="Times New Roman" w:cs="Times New Roman"/>
                <w:color w:val="000000"/>
                <w:sz w:val="18"/>
                <w:szCs w:val="18"/>
                <w:lang w:val="en-US"/>
              </w:rPr>
            </w:pPr>
            <w:r w:rsidRPr="00BD7AB8">
              <w:rPr>
                <w:rFonts w:eastAsia="Times New Roman" w:cs="Times New Roman"/>
                <w:color w:val="000000"/>
                <w:sz w:val="18"/>
                <w:szCs w:val="18"/>
                <w:lang w:val="en-US"/>
              </w:rPr>
              <w:t>11</w:t>
            </w:r>
          </w:p>
        </w:tc>
        <w:tc>
          <w:tcPr>
            <w:tcW w:w="7087" w:type="dxa"/>
            <w:tcBorders>
              <w:top w:val="nil"/>
              <w:left w:val="nil"/>
              <w:bottom w:val="single" w:sz="4" w:space="0" w:color="auto"/>
              <w:right w:val="single" w:sz="4" w:space="0" w:color="auto"/>
            </w:tcBorders>
            <w:shd w:val="clear" w:color="auto" w:fill="auto"/>
            <w:vAlign w:val="center"/>
            <w:hideMark/>
          </w:tcPr>
          <w:p w14:paraId="68E6FF44" w14:textId="77777777" w:rsidR="00443209" w:rsidRPr="00BD7AB8" w:rsidRDefault="00443209" w:rsidP="00C602EF">
            <w:pPr>
              <w:spacing w:after="0" w:line="240" w:lineRule="auto"/>
              <w:jc w:val="left"/>
              <w:rPr>
                <w:rFonts w:ascii="Arial" w:eastAsia="Times New Roman" w:hAnsi="Arial" w:cs="Arial"/>
                <w:color w:val="auto"/>
                <w:sz w:val="18"/>
                <w:szCs w:val="18"/>
              </w:rPr>
            </w:pPr>
            <w:r w:rsidRPr="00BD7AB8">
              <w:rPr>
                <w:rFonts w:ascii="Arial" w:eastAsia="Times New Roman" w:hAnsi="Arial" w:cs="Arial"/>
                <w:color w:val="auto"/>
                <w:sz w:val="18"/>
                <w:szCs w:val="18"/>
              </w:rPr>
              <w:t>Κάλυψη δαπανών για την υγεία λόγω πανδημίας.</w:t>
            </w:r>
          </w:p>
        </w:tc>
        <w:tc>
          <w:tcPr>
            <w:tcW w:w="992" w:type="dxa"/>
            <w:tcBorders>
              <w:top w:val="nil"/>
              <w:left w:val="nil"/>
              <w:bottom w:val="single" w:sz="4" w:space="0" w:color="auto"/>
              <w:right w:val="single" w:sz="4" w:space="0" w:color="auto"/>
            </w:tcBorders>
            <w:shd w:val="clear" w:color="auto" w:fill="auto"/>
            <w:noWrap/>
            <w:vAlign w:val="center"/>
            <w:hideMark/>
          </w:tcPr>
          <w:p w14:paraId="00DBBEEE" w14:textId="77777777" w:rsidR="00443209" w:rsidRPr="00BD7AB8" w:rsidRDefault="00443209" w:rsidP="00C602EF">
            <w:pPr>
              <w:spacing w:after="0" w:line="240" w:lineRule="auto"/>
              <w:jc w:val="center"/>
              <w:rPr>
                <w:rFonts w:ascii="Arial" w:eastAsia="Times New Roman" w:hAnsi="Arial" w:cs="Arial"/>
                <w:color w:val="000000"/>
                <w:sz w:val="18"/>
                <w:szCs w:val="18"/>
                <w:lang w:val="en-US"/>
              </w:rPr>
            </w:pPr>
            <w:r w:rsidRPr="00BD7AB8">
              <w:rPr>
                <w:rFonts w:ascii="Arial" w:eastAsia="Times New Roman" w:hAnsi="Arial" w:cs="Arial"/>
                <w:color w:val="000000"/>
                <w:sz w:val="18"/>
                <w:szCs w:val="18"/>
                <w:lang w:val="en-US"/>
              </w:rPr>
              <w:t>114</w:t>
            </w:r>
          </w:p>
        </w:tc>
      </w:tr>
      <w:tr w:rsidR="00443209" w:rsidRPr="00BD7AB8" w14:paraId="778B6343" w14:textId="77777777" w:rsidTr="00C602EF">
        <w:trPr>
          <w:trHeight w:val="255"/>
        </w:trPr>
        <w:tc>
          <w:tcPr>
            <w:tcW w:w="436" w:type="dxa"/>
            <w:tcBorders>
              <w:top w:val="nil"/>
              <w:left w:val="single" w:sz="8" w:space="0" w:color="auto"/>
              <w:bottom w:val="single" w:sz="4" w:space="0" w:color="auto"/>
              <w:right w:val="single" w:sz="4" w:space="0" w:color="auto"/>
            </w:tcBorders>
            <w:shd w:val="clear" w:color="auto" w:fill="auto"/>
            <w:vAlign w:val="center"/>
            <w:hideMark/>
          </w:tcPr>
          <w:p w14:paraId="52F464A5" w14:textId="77777777" w:rsidR="00443209" w:rsidRPr="00BD7AB8" w:rsidRDefault="00443209" w:rsidP="00C602EF">
            <w:pPr>
              <w:spacing w:after="0" w:line="240" w:lineRule="auto"/>
              <w:jc w:val="center"/>
              <w:rPr>
                <w:rFonts w:eastAsia="Times New Roman" w:cs="Times New Roman"/>
                <w:color w:val="000000"/>
                <w:sz w:val="18"/>
                <w:szCs w:val="18"/>
                <w:lang w:val="en-US"/>
              </w:rPr>
            </w:pPr>
            <w:r w:rsidRPr="00BD7AB8">
              <w:rPr>
                <w:rFonts w:eastAsia="Times New Roman" w:cs="Times New Roman"/>
                <w:color w:val="000000"/>
                <w:sz w:val="18"/>
                <w:szCs w:val="18"/>
                <w:lang w:val="en-US"/>
              </w:rPr>
              <w:t>12</w:t>
            </w:r>
          </w:p>
        </w:tc>
        <w:tc>
          <w:tcPr>
            <w:tcW w:w="7087" w:type="dxa"/>
            <w:tcBorders>
              <w:top w:val="nil"/>
              <w:left w:val="nil"/>
              <w:bottom w:val="single" w:sz="4" w:space="0" w:color="auto"/>
              <w:right w:val="single" w:sz="4" w:space="0" w:color="auto"/>
            </w:tcBorders>
            <w:shd w:val="clear" w:color="auto" w:fill="auto"/>
            <w:vAlign w:val="center"/>
            <w:hideMark/>
          </w:tcPr>
          <w:p w14:paraId="04C5F1DD" w14:textId="77777777" w:rsidR="00443209" w:rsidRPr="00BD7AB8" w:rsidRDefault="00443209" w:rsidP="00C602EF">
            <w:pPr>
              <w:spacing w:after="0" w:line="240" w:lineRule="auto"/>
              <w:jc w:val="left"/>
              <w:rPr>
                <w:rFonts w:ascii="Arial" w:eastAsia="Times New Roman" w:hAnsi="Arial" w:cs="Arial"/>
                <w:color w:val="auto"/>
                <w:sz w:val="18"/>
                <w:szCs w:val="18"/>
              </w:rPr>
            </w:pPr>
            <w:r w:rsidRPr="00BD7AB8">
              <w:rPr>
                <w:rFonts w:ascii="Arial" w:eastAsia="Times New Roman" w:hAnsi="Arial" w:cs="Arial"/>
                <w:color w:val="auto"/>
                <w:sz w:val="18"/>
                <w:szCs w:val="18"/>
              </w:rPr>
              <w:t>Κάλυψη δαπανών λόγω της πανδημίας στα λοιπά Υπουργεία.</w:t>
            </w:r>
          </w:p>
        </w:tc>
        <w:tc>
          <w:tcPr>
            <w:tcW w:w="992" w:type="dxa"/>
            <w:tcBorders>
              <w:top w:val="nil"/>
              <w:left w:val="nil"/>
              <w:bottom w:val="single" w:sz="4" w:space="0" w:color="auto"/>
              <w:right w:val="single" w:sz="4" w:space="0" w:color="auto"/>
            </w:tcBorders>
            <w:shd w:val="clear" w:color="auto" w:fill="auto"/>
            <w:noWrap/>
            <w:vAlign w:val="center"/>
            <w:hideMark/>
          </w:tcPr>
          <w:p w14:paraId="38DC53E6" w14:textId="77777777" w:rsidR="00443209" w:rsidRPr="00BD7AB8" w:rsidRDefault="00443209" w:rsidP="00C602EF">
            <w:pPr>
              <w:spacing w:after="0" w:line="240" w:lineRule="auto"/>
              <w:jc w:val="center"/>
              <w:rPr>
                <w:rFonts w:ascii="Arial" w:eastAsia="Times New Roman" w:hAnsi="Arial" w:cs="Arial"/>
                <w:color w:val="000000"/>
                <w:sz w:val="18"/>
                <w:szCs w:val="18"/>
                <w:lang w:val="en-US"/>
              </w:rPr>
            </w:pPr>
            <w:r w:rsidRPr="00BD7AB8">
              <w:rPr>
                <w:rFonts w:ascii="Arial" w:eastAsia="Times New Roman" w:hAnsi="Arial" w:cs="Arial"/>
                <w:color w:val="000000"/>
                <w:sz w:val="18"/>
                <w:szCs w:val="18"/>
                <w:lang w:val="en-US"/>
              </w:rPr>
              <w:t>195</w:t>
            </w:r>
          </w:p>
        </w:tc>
      </w:tr>
      <w:tr w:rsidR="00443209" w:rsidRPr="00BD7AB8" w14:paraId="4094FE40" w14:textId="77777777" w:rsidTr="00C602EF">
        <w:trPr>
          <w:trHeight w:val="480"/>
        </w:trPr>
        <w:tc>
          <w:tcPr>
            <w:tcW w:w="436" w:type="dxa"/>
            <w:tcBorders>
              <w:top w:val="nil"/>
              <w:left w:val="single" w:sz="8" w:space="0" w:color="auto"/>
              <w:bottom w:val="single" w:sz="4" w:space="0" w:color="auto"/>
              <w:right w:val="single" w:sz="4" w:space="0" w:color="auto"/>
            </w:tcBorders>
            <w:shd w:val="clear" w:color="auto" w:fill="auto"/>
            <w:vAlign w:val="center"/>
            <w:hideMark/>
          </w:tcPr>
          <w:p w14:paraId="396BF0D5" w14:textId="77777777" w:rsidR="00443209" w:rsidRPr="00BD7AB8" w:rsidRDefault="00443209" w:rsidP="00C602EF">
            <w:pPr>
              <w:spacing w:after="0" w:line="240" w:lineRule="auto"/>
              <w:jc w:val="center"/>
              <w:rPr>
                <w:rFonts w:eastAsia="Times New Roman" w:cs="Times New Roman"/>
                <w:color w:val="000000"/>
                <w:sz w:val="18"/>
                <w:szCs w:val="18"/>
                <w:lang w:val="en-US"/>
              </w:rPr>
            </w:pPr>
            <w:r w:rsidRPr="00BD7AB8">
              <w:rPr>
                <w:rFonts w:eastAsia="Times New Roman" w:cs="Times New Roman"/>
                <w:color w:val="000000"/>
                <w:sz w:val="18"/>
                <w:szCs w:val="18"/>
                <w:lang w:val="en-US"/>
              </w:rPr>
              <w:t>13</w:t>
            </w:r>
          </w:p>
        </w:tc>
        <w:tc>
          <w:tcPr>
            <w:tcW w:w="7087" w:type="dxa"/>
            <w:tcBorders>
              <w:top w:val="nil"/>
              <w:left w:val="nil"/>
              <w:bottom w:val="single" w:sz="4" w:space="0" w:color="auto"/>
              <w:right w:val="single" w:sz="4" w:space="0" w:color="auto"/>
            </w:tcBorders>
            <w:shd w:val="clear" w:color="auto" w:fill="auto"/>
            <w:vAlign w:val="center"/>
            <w:hideMark/>
          </w:tcPr>
          <w:p w14:paraId="7D030001" w14:textId="77777777" w:rsidR="00443209" w:rsidRPr="00BD7AB8" w:rsidRDefault="00443209" w:rsidP="00C602EF">
            <w:pPr>
              <w:spacing w:after="0" w:line="240" w:lineRule="auto"/>
              <w:jc w:val="left"/>
              <w:rPr>
                <w:rFonts w:ascii="Arial" w:eastAsia="Times New Roman" w:hAnsi="Arial" w:cs="Arial"/>
                <w:color w:val="auto"/>
                <w:sz w:val="18"/>
                <w:szCs w:val="18"/>
              </w:rPr>
            </w:pPr>
            <w:r w:rsidRPr="00BD7AB8">
              <w:rPr>
                <w:rFonts w:ascii="Arial" w:eastAsia="Times New Roman" w:hAnsi="Arial" w:cs="Arial"/>
                <w:color w:val="auto"/>
                <w:sz w:val="18"/>
                <w:szCs w:val="18"/>
              </w:rPr>
              <w:t xml:space="preserve">Αποζημίωση ειδικού σκοπού των εργαζομένων των οποίων οι συμβάσεις εργασίας τίθενται σε προσωρινή αναστολή. </w:t>
            </w:r>
          </w:p>
        </w:tc>
        <w:tc>
          <w:tcPr>
            <w:tcW w:w="992" w:type="dxa"/>
            <w:tcBorders>
              <w:top w:val="nil"/>
              <w:left w:val="nil"/>
              <w:bottom w:val="single" w:sz="4" w:space="0" w:color="auto"/>
              <w:right w:val="single" w:sz="4" w:space="0" w:color="auto"/>
            </w:tcBorders>
            <w:shd w:val="clear" w:color="auto" w:fill="auto"/>
            <w:noWrap/>
            <w:vAlign w:val="center"/>
            <w:hideMark/>
          </w:tcPr>
          <w:p w14:paraId="77242464" w14:textId="77777777" w:rsidR="00443209" w:rsidRPr="00BD7AB8" w:rsidRDefault="00443209" w:rsidP="00C602EF">
            <w:pPr>
              <w:spacing w:after="0" w:line="240" w:lineRule="auto"/>
              <w:jc w:val="center"/>
              <w:rPr>
                <w:rFonts w:ascii="Arial" w:eastAsia="Times New Roman" w:hAnsi="Arial" w:cs="Arial"/>
                <w:color w:val="000000"/>
                <w:sz w:val="18"/>
                <w:szCs w:val="18"/>
                <w:lang w:val="en-US"/>
              </w:rPr>
            </w:pPr>
            <w:r w:rsidRPr="00BD7AB8">
              <w:rPr>
                <w:rFonts w:ascii="Arial" w:eastAsia="Times New Roman" w:hAnsi="Arial" w:cs="Arial"/>
                <w:color w:val="000000"/>
                <w:sz w:val="18"/>
                <w:szCs w:val="18"/>
                <w:lang w:val="en-US"/>
              </w:rPr>
              <w:t>1.565</w:t>
            </w:r>
          </w:p>
        </w:tc>
      </w:tr>
      <w:tr w:rsidR="00443209" w:rsidRPr="00BD7AB8" w14:paraId="1AAC8FF9" w14:textId="77777777" w:rsidTr="00C602EF">
        <w:trPr>
          <w:trHeight w:val="480"/>
        </w:trPr>
        <w:tc>
          <w:tcPr>
            <w:tcW w:w="436" w:type="dxa"/>
            <w:tcBorders>
              <w:top w:val="nil"/>
              <w:left w:val="single" w:sz="8" w:space="0" w:color="auto"/>
              <w:bottom w:val="single" w:sz="4" w:space="0" w:color="auto"/>
              <w:right w:val="single" w:sz="4" w:space="0" w:color="auto"/>
            </w:tcBorders>
            <w:shd w:val="clear" w:color="auto" w:fill="auto"/>
            <w:vAlign w:val="center"/>
            <w:hideMark/>
          </w:tcPr>
          <w:p w14:paraId="2EEAA2B6" w14:textId="77777777" w:rsidR="00443209" w:rsidRPr="00BD7AB8" w:rsidRDefault="00443209" w:rsidP="00C602EF">
            <w:pPr>
              <w:spacing w:after="0" w:line="240" w:lineRule="auto"/>
              <w:jc w:val="center"/>
              <w:rPr>
                <w:rFonts w:eastAsia="Times New Roman" w:cs="Times New Roman"/>
                <w:color w:val="000000"/>
                <w:sz w:val="18"/>
                <w:szCs w:val="18"/>
                <w:lang w:val="en-US"/>
              </w:rPr>
            </w:pPr>
            <w:r w:rsidRPr="00BD7AB8">
              <w:rPr>
                <w:rFonts w:eastAsia="Times New Roman" w:cs="Times New Roman"/>
                <w:color w:val="000000"/>
                <w:sz w:val="18"/>
                <w:szCs w:val="18"/>
                <w:lang w:val="en-US"/>
              </w:rPr>
              <w:t>14</w:t>
            </w:r>
          </w:p>
        </w:tc>
        <w:tc>
          <w:tcPr>
            <w:tcW w:w="7087" w:type="dxa"/>
            <w:tcBorders>
              <w:top w:val="nil"/>
              <w:left w:val="nil"/>
              <w:bottom w:val="single" w:sz="4" w:space="0" w:color="auto"/>
              <w:right w:val="single" w:sz="4" w:space="0" w:color="auto"/>
            </w:tcBorders>
            <w:shd w:val="clear" w:color="auto" w:fill="auto"/>
            <w:vAlign w:val="center"/>
            <w:hideMark/>
          </w:tcPr>
          <w:p w14:paraId="7A70E233" w14:textId="77777777" w:rsidR="00443209" w:rsidRPr="00BD7AB8" w:rsidRDefault="00443209" w:rsidP="00C602EF">
            <w:pPr>
              <w:spacing w:after="0" w:line="240" w:lineRule="auto"/>
              <w:jc w:val="left"/>
              <w:rPr>
                <w:rFonts w:ascii="Arial" w:eastAsia="Times New Roman" w:hAnsi="Arial" w:cs="Arial"/>
                <w:color w:val="auto"/>
                <w:sz w:val="18"/>
                <w:szCs w:val="18"/>
              </w:rPr>
            </w:pPr>
            <w:r w:rsidRPr="00BD7AB8">
              <w:rPr>
                <w:rFonts w:ascii="Arial" w:eastAsia="Times New Roman" w:hAnsi="Arial" w:cs="Arial"/>
                <w:color w:val="auto"/>
                <w:sz w:val="18"/>
                <w:szCs w:val="18"/>
              </w:rPr>
              <w:t xml:space="preserve">Κάλυψη από τον κρατικό προϋπολογισμό των ασφαλιστικών εισφορών επί του ονομαστικού μισθού των εργαζομένων των οποίων οι συμβάσεις εργασίας τίθενται σε προσωρινή αναστολή. </w:t>
            </w:r>
          </w:p>
        </w:tc>
        <w:tc>
          <w:tcPr>
            <w:tcW w:w="992" w:type="dxa"/>
            <w:tcBorders>
              <w:top w:val="nil"/>
              <w:left w:val="nil"/>
              <w:bottom w:val="single" w:sz="4" w:space="0" w:color="auto"/>
              <w:right w:val="single" w:sz="4" w:space="0" w:color="auto"/>
            </w:tcBorders>
            <w:shd w:val="clear" w:color="auto" w:fill="auto"/>
            <w:noWrap/>
            <w:vAlign w:val="center"/>
            <w:hideMark/>
          </w:tcPr>
          <w:p w14:paraId="57A2C6AC" w14:textId="77777777" w:rsidR="00443209" w:rsidRPr="00BD7AB8" w:rsidRDefault="00443209" w:rsidP="00C602EF">
            <w:pPr>
              <w:spacing w:after="0" w:line="240" w:lineRule="auto"/>
              <w:jc w:val="center"/>
              <w:rPr>
                <w:rFonts w:ascii="Arial" w:eastAsia="Times New Roman" w:hAnsi="Arial" w:cs="Arial"/>
                <w:color w:val="000000"/>
                <w:sz w:val="18"/>
                <w:szCs w:val="18"/>
                <w:lang w:val="en-US"/>
              </w:rPr>
            </w:pPr>
            <w:r w:rsidRPr="00BD7AB8">
              <w:rPr>
                <w:rFonts w:ascii="Arial" w:eastAsia="Times New Roman" w:hAnsi="Arial" w:cs="Arial"/>
                <w:color w:val="000000"/>
                <w:sz w:val="18"/>
                <w:szCs w:val="18"/>
                <w:lang w:val="en-US"/>
              </w:rPr>
              <w:t>1.032</w:t>
            </w:r>
          </w:p>
        </w:tc>
      </w:tr>
      <w:tr w:rsidR="00443209" w:rsidRPr="00BD7AB8" w14:paraId="222A67BB" w14:textId="77777777" w:rsidTr="00C602EF">
        <w:trPr>
          <w:trHeight w:val="480"/>
        </w:trPr>
        <w:tc>
          <w:tcPr>
            <w:tcW w:w="436" w:type="dxa"/>
            <w:tcBorders>
              <w:top w:val="nil"/>
              <w:left w:val="single" w:sz="8" w:space="0" w:color="auto"/>
              <w:bottom w:val="single" w:sz="4" w:space="0" w:color="auto"/>
              <w:right w:val="single" w:sz="4" w:space="0" w:color="auto"/>
            </w:tcBorders>
            <w:shd w:val="clear" w:color="auto" w:fill="auto"/>
            <w:vAlign w:val="center"/>
            <w:hideMark/>
          </w:tcPr>
          <w:p w14:paraId="691C14FA" w14:textId="77777777" w:rsidR="00443209" w:rsidRPr="00BD7AB8" w:rsidRDefault="00443209" w:rsidP="00C602EF">
            <w:pPr>
              <w:spacing w:after="0" w:line="240" w:lineRule="auto"/>
              <w:jc w:val="center"/>
              <w:rPr>
                <w:rFonts w:eastAsia="Times New Roman" w:cs="Times New Roman"/>
                <w:color w:val="000000"/>
                <w:sz w:val="18"/>
                <w:szCs w:val="18"/>
                <w:lang w:val="en-US"/>
              </w:rPr>
            </w:pPr>
            <w:r w:rsidRPr="00BD7AB8">
              <w:rPr>
                <w:rFonts w:eastAsia="Times New Roman" w:cs="Times New Roman"/>
                <w:color w:val="000000"/>
                <w:sz w:val="18"/>
                <w:szCs w:val="18"/>
                <w:lang w:val="en-US"/>
              </w:rPr>
              <w:t>15</w:t>
            </w:r>
          </w:p>
        </w:tc>
        <w:tc>
          <w:tcPr>
            <w:tcW w:w="7087" w:type="dxa"/>
            <w:tcBorders>
              <w:top w:val="nil"/>
              <w:left w:val="nil"/>
              <w:bottom w:val="single" w:sz="4" w:space="0" w:color="auto"/>
              <w:right w:val="single" w:sz="4" w:space="0" w:color="auto"/>
            </w:tcBorders>
            <w:shd w:val="clear" w:color="auto" w:fill="auto"/>
            <w:vAlign w:val="center"/>
            <w:hideMark/>
          </w:tcPr>
          <w:p w14:paraId="755DACA2" w14:textId="77777777" w:rsidR="00443209" w:rsidRPr="00BD7AB8" w:rsidRDefault="00443209" w:rsidP="00C602EF">
            <w:pPr>
              <w:spacing w:after="0" w:line="240" w:lineRule="auto"/>
              <w:jc w:val="left"/>
              <w:rPr>
                <w:rFonts w:ascii="Arial" w:eastAsia="Times New Roman" w:hAnsi="Arial" w:cs="Arial"/>
                <w:color w:val="auto"/>
                <w:sz w:val="18"/>
                <w:szCs w:val="18"/>
              </w:rPr>
            </w:pPr>
            <w:r w:rsidRPr="00BD7AB8">
              <w:rPr>
                <w:rFonts w:ascii="Arial" w:eastAsia="Times New Roman" w:hAnsi="Arial" w:cs="Arial"/>
                <w:color w:val="auto"/>
                <w:sz w:val="18"/>
                <w:szCs w:val="18"/>
              </w:rPr>
              <w:t>Αποζημίωση ειδικού σκοπού για αυτοαπασχολούμενους, ελεύθερους επαγγελματίες και ιδιοκτήτες μικρών επιχειρήσεων (με έως και 20 υπαλλήλους) που επλήγησαν από την πανδημία.</w:t>
            </w:r>
          </w:p>
        </w:tc>
        <w:tc>
          <w:tcPr>
            <w:tcW w:w="992" w:type="dxa"/>
            <w:tcBorders>
              <w:top w:val="nil"/>
              <w:left w:val="nil"/>
              <w:bottom w:val="single" w:sz="4" w:space="0" w:color="auto"/>
              <w:right w:val="single" w:sz="4" w:space="0" w:color="auto"/>
            </w:tcBorders>
            <w:shd w:val="clear" w:color="auto" w:fill="auto"/>
            <w:noWrap/>
            <w:vAlign w:val="center"/>
            <w:hideMark/>
          </w:tcPr>
          <w:p w14:paraId="25B4BFAF" w14:textId="77777777" w:rsidR="00443209" w:rsidRPr="00BD7AB8" w:rsidRDefault="00443209" w:rsidP="00C602EF">
            <w:pPr>
              <w:spacing w:after="0" w:line="240" w:lineRule="auto"/>
              <w:jc w:val="center"/>
              <w:rPr>
                <w:rFonts w:ascii="Arial" w:eastAsia="Times New Roman" w:hAnsi="Arial" w:cs="Arial"/>
                <w:color w:val="000000"/>
                <w:sz w:val="18"/>
                <w:szCs w:val="18"/>
                <w:lang w:val="en-US"/>
              </w:rPr>
            </w:pPr>
            <w:r w:rsidRPr="00BD7AB8">
              <w:rPr>
                <w:rFonts w:ascii="Arial" w:eastAsia="Times New Roman" w:hAnsi="Arial" w:cs="Arial"/>
                <w:color w:val="000000"/>
                <w:sz w:val="18"/>
                <w:szCs w:val="18"/>
                <w:lang w:val="en-US"/>
              </w:rPr>
              <w:t>200</w:t>
            </w:r>
          </w:p>
        </w:tc>
      </w:tr>
      <w:tr w:rsidR="00443209" w:rsidRPr="00BD7AB8" w14:paraId="79BEBCE9" w14:textId="77777777" w:rsidTr="00C602EF">
        <w:trPr>
          <w:trHeight w:val="480"/>
        </w:trPr>
        <w:tc>
          <w:tcPr>
            <w:tcW w:w="436" w:type="dxa"/>
            <w:tcBorders>
              <w:top w:val="nil"/>
              <w:left w:val="single" w:sz="8" w:space="0" w:color="auto"/>
              <w:bottom w:val="single" w:sz="4" w:space="0" w:color="auto"/>
              <w:right w:val="single" w:sz="4" w:space="0" w:color="auto"/>
            </w:tcBorders>
            <w:shd w:val="clear" w:color="auto" w:fill="auto"/>
            <w:vAlign w:val="center"/>
            <w:hideMark/>
          </w:tcPr>
          <w:p w14:paraId="4FDA2B87" w14:textId="77777777" w:rsidR="00443209" w:rsidRPr="00BD7AB8" w:rsidRDefault="00443209" w:rsidP="00C602EF">
            <w:pPr>
              <w:spacing w:after="0" w:line="240" w:lineRule="auto"/>
              <w:jc w:val="center"/>
              <w:rPr>
                <w:rFonts w:eastAsia="Times New Roman" w:cs="Times New Roman"/>
                <w:color w:val="000000"/>
                <w:sz w:val="18"/>
                <w:szCs w:val="18"/>
                <w:lang w:val="en-US"/>
              </w:rPr>
            </w:pPr>
            <w:r w:rsidRPr="00BD7AB8">
              <w:rPr>
                <w:rFonts w:eastAsia="Times New Roman" w:cs="Times New Roman"/>
                <w:color w:val="000000"/>
                <w:sz w:val="18"/>
                <w:szCs w:val="18"/>
                <w:lang w:val="en-US"/>
              </w:rPr>
              <w:t>16</w:t>
            </w:r>
          </w:p>
        </w:tc>
        <w:tc>
          <w:tcPr>
            <w:tcW w:w="7087" w:type="dxa"/>
            <w:tcBorders>
              <w:top w:val="nil"/>
              <w:left w:val="nil"/>
              <w:bottom w:val="single" w:sz="4" w:space="0" w:color="auto"/>
              <w:right w:val="single" w:sz="4" w:space="0" w:color="auto"/>
            </w:tcBorders>
            <w:shd w:val="clear" w:color="auto" w:fill="auto"/>
            <w:vAlign w:val="center"/>
            <w:hideMark/>
          </w:tcPr>
          <w:p w14:paraId="7FC4B587" w14:textId="77777777" w:rsidR="00443209" w:rsidRPr="00BD7AB8" w:rsidRDefault="00443209" w:rsidP="00C602EF">
            <w:pPr>
              <w:spacing w:after="0" w:line="240" w:lineRule="auto"/>
              <w:jc w:val="left"/>
              <w:rPr>
                <w:rFonts w:ascii="Arial" w:eastAsia="Times New Roman" w:hAnsi="Arial" w:cs="Arial"/>
                <w:color w:val="auto"/>
                <w:sz w:val="18"/>
                <w:szCs w:val="18"/>
              </w:rPr>
            </w:pPr>
            <w:r w:rsidRPr="00BD7AB8">
              <w:rPr>
                <w:rFonts w:ascii="Arial" w:eastAsia="Times New Roman" w:hAnsi="Arial" w:cs="Arial"/>
                <w:color w:val="auto"/>
                <w:sz w:val="18"/>
                <w:szCs w:val="18"/>
              </w:rPr>
              <w:t>Επιδότηση επιτοκίου εξυπηρετούμενων δανείων των επιχειρήσεων οι οποίες ανήκουν σε πληττόμενους κλάδους υπό την προϋπόθεση διατήρησης των θέσεων εργασίας.</w:t>
            </w:r>
          </w:p>
        </w:tc>
        <w:tc>
          <w:tcPr>
            <w:tcW w:w="992" w:type="dxa"/>
            <w:tcBorders>
              <w:top w:val="nil"/>
              <w:left w:val="nil"/>
              <w:bottom w:val="single" w:sz="4" w:space="0" w:color="auto"/>
              <w:right w:val="single" w:sz="4" w:space="0" w:color="auto"/>
            </w:tcBorders>
            <w:shd w:val="clear" w:color="auto" w:fill="auto"/>
            <w:noWrap/>
            <w:vAlign w:val="center"/>
            <w:hideMark/>
          </w:tcPr>
          <w:p w14:paraId="3874F3EE" w14:textId="77777777" w:rsidR="00443209" w:rsidRPr="00BD7AB8" w:rsidRDefault="00443209" w:rsidP="00C602EF">
            <w:pPr>
              <w:spacing w:after="0" w:line="240" w:lineRule="auto"/>
              <w:jc w:val="center"/>
              <w:rPr>
                <w:rFonts w:ascii="Arial" w:eastAsia="Times New Roman" w:hAnsi="Arial" w:cs="Arial"/>
                <w:color w:val="000000"/>
                <w:sz w:val="18"/>
                <w:szCs w:val="18"/>
                <w:lang w:val="en-US"/>
              </w:rPr>
            </w:pPr>
            <w:r w:rsidRPr="00BD7AB8">
              <w:rPr>
                <w:rFonts w:ascii="Arial" w:eastAsia="Times New Roman" w:hAnsi="Arial" w:cs="Arial"/>
                <w:color w:val="000000"/>
                <w:sz w:val="18"/>
                <w:szCs w:val="18"/>
                <w:lang w:val="en-US"/>
              </w:rPr>
              <w:t>150</w:t>
            </w:r>
          </w:p>
        </w:tc>
      </w:tr>
      <w:tr w:rsidR="00443209" w:rsidRPr="00BD7AB8" w14:paraId="74EF907E" w14:textId="77777777" w:rsidTr="00C602EF">
        <w:trPr>
          <w:trHeight w:val="480"/>
        </w:trPr>
        <w:tc>
          <w:tcPr>
            <w:tcW w:w="436" w:type="dxa"/>
            <w:tcBorders>
              <w:top w:val="nil"/>
              <w:left w:val="single" w:sz="8" w:space="0" w:color="auto"/>
              <w:bottom w:val="single" w:sz="4" w:space="0" w:color="auto"/>
              <w:right w:val="single" w:sz="4" w:space="0" w:color="auto"/>
            </w:tcBorders>
            <w:shd w:val="clear" w:color="auto" w:fill="auto"/>
            <w:vAlign w:val="center"/>
            <w:hideMark/>
          </w:tcPr>
          <w:p w14:paraId="2562337A" w14:textId="77777777" w:rsidR="00443209" w:rsidRPr="00BD7AB8" w:rsidRDefault="00443209" w:rsidP="00C602EF">
            <w:pPr>
              <w:spacing w:after="0" w:line="240" w:lineRule="auto"/>
              <w:jc w:val="center"/>
              <w:rPr>
                <w:rFonts w:eastAsia="Times New Roman" w:cs="Times New Roman"/>
                <w:color w:val="000000"/>
                <w:sz w:val="18"/>
                <w:szCs w:val="18"/>
                <w:lang w:val="en-US"/>
              </w:rPr>
            </w:pPr>
            <w:r w:rsidRPr="00BD7AB8">
              <w:rPr>
                <w:rFonts w:eastAsia="Times New Roman" w:cs="Times New Roman"/>
                <w:color w:val="000000"/>
                <w:sz w:val="18"/>
                <w:szCs w:val="18"/>
                <w:lang w:val="en-US"/>
              </w:rPr>
              <w:t>17</w:t>
            </w:r>
          </w:p>
        </w:tc>
        <w:tc>
          <w:tcPr>
            <w:tcW w:w="7087" w:type="dxa"/>
            <w:tcBorders>
              <w:top w:val="nil"/>
              <w:left w:val="nil"/>
              <w:bottom w:val="single" w:sz="4" w:space="0" w:color="auto"/>
              <w:right w:val="single" w:sz="4" w:space="0" w:color="auto"/>
            </w:tcBorders>
            <w:shd w:val="clear" w:color="auto" w:fill="auto"/>
            <w:vAlign w:val="center"/>
            <w:hideMark/>
          </w:tcPr>
          <w:p w14:paraId="435D9A79" w14:textId="77777777" w:rsidR="00443209" w:rsidRPr="00BD7AB8" w:rsidRDefault="00443209" w:rsidP="00C602EF">
            <w:pPr>
              <w:spacing w:after="0" w:line="240" w:lineRule="auto"/>
              <w:jc w:val="left"/>
              <w:rPr>
                <w:rFonts w:ascii="Arial" w:eastAsia="Times New Roman" w:hAnsi="Arial" w:cs="Arial"/>
                <w:color w:val="auto"/>
                <w:sz w:val="18"/>
                <w:szCs w:val="18"/>
              </w:rPr>
            </w:pPr>
            <w:r w:rsidRPr="00BD7AB8">
              <w:rPr>
                <w:rFonts w:ascii="Arial" w:eastAsia="Times New Roman" w:hAnsi="Arial" w:cs="Arial"/>
                <w:color w:val="auto"/>
                <w:sz w:val="18"/>
                <w:szCs w:val="18"/>
              </w:rPr>
              <w:t>Αυξημένες δαπάνες για υγειονομικό προσωπικό (προσλήψεις έκτακτου προσωπικού, παροχή έκτακτης οικονομικής ενίσχυσης/επιβράβευσης).</w:t>
            </w:r>
          </w:p>
        </w:tc>
        <w:tc>
          <w:tcPr>
            <w:tcW w:w="992" w:type="dxa"/>
            <w:tcBorders>
              <w:top w:val="nil"/>
              <w:left w:val="nil"/>
              <w:bottom w:val="single" w:sz="4" w:space="0" w:color="auto"/>
              <w:right w:val="single" w:sz="4" w:space="0" w:color="auto"/>
            </w:tcBorders>
            <w:shd w:val="clear" w:color="auto" w:fill="auto"/>
            <w:noWrap/>
            <w:vAlign w:val="center"/>
            <w:hideMark/>
          </w:tcPr>
          <w:p w14:paraId="78FBF4E9" w14:textId="77777777" w:rsidR="00443209" w:rsidRPr="00BD7AB8" w:rsidRDefault="00443209" w:rsidP="00C602EF">
            <w:pPr>
              <w:spacing w:after="0" w:line="240" w:lineRule="auto"/>
              <w:jc w:val="center"/>
              <w:rPr>
                <w:rFonts w:ascii="Arial" w:eastAsia="Times New Roman" w:hAnsi="Arial" w:cs="Arial"/>
                <w:color w:val="000000"/>
                <w:sz w:val="18"/>
                <w:szCs w:val="18"/>
                <w:lang w:val="en-US"/>
              </w:rPr>
            </w:pPr>
            <w:r w:rsidRPr="00BD7AB8">
              <w:rPr>
                <w:rFonts w:ascii="Arial" w:eastAsia="Times New Roman" w:hAnsi="Arial" w:cs="Arial"/>
                <w:color w:val="000000"/>
                <w:sz w:val="18"/>
                <w:szCs w:val="18"/>
                <w:lang w:val="en-US"/>
              </w:rPr>
              <w:t>131</w:t>
            </w:r>
          </w:p>
        </w:tc>
      </w:tr>
      <w:tr w:rsidR="00443209" w:rsidRPr="00BD7AB8" w14:paraId="1D667912" w14:textId="77777777" w:rsidTr="00C602EF">
        <w:trPr>
          <w:trHeight w:val="255"/>
        </w:trPr>
        <w:tc>
          <w:tcPr>
            <w:tcW w:w="436" w:type="dxa"/>
            <w:tcBorders>
              <w:top w:val="nil"/>
              <w:left w:val="single" w:sz="8" w:space="0" w:color="auto"/>
              <w:bottom w:val="single" w:sz="4" w:space="0" w:color="auto"/>
              <w:right w:val="single" w:sz="4" w:space="0" w:color="auto"/>
            </w:tcBorders>
            <w:shd w:val="clear" w:color="auto" w:fill="auto"/>
            <w:vAlign w:val="center"/>
            <w:hideMark/>
          </w:tcPr>
          <w:p w14:paraId="258729BC" w14:textId="77777777" w:rsidR="00443209" w:rsidRPr="00BD7AB8" w:rsidRDefault="00443209" w:rsidP="00C602EF">
            <w:pPr>
              <w:spacing w:after="0" w:line="240" w:lineRule="auto"/>
              <w:jc w:val="center"/>
              <w:rPr>
                <w:rFonts w:eastAsia="Times New Roman" w:cs="Times New Roman"/>
                <w:color w:val="000000"/>
                <w:sz w:val="18"/>
                <w:szCs w:val="18"/>
                <w:lang w:val="en-US"/>
              </w:rPr>
            </w:pPr>
            <w:r w:rsidRPr="00BD7AB8">
              <w:rPr>
                <w:rFonts w:eastAsia="Times New Roman" w:cs="Times New Roman"/>
                <w:color w:val="000000"/>
                <w:sz w:val="18"/>
                <w:szCs w:val="18"/>
                <w:lang w:val="en-US"/>
              </w:rPr>
              <w:t>18</w:t>
            </w:r>
          </w:p>
        </w:tc>
        <w:tc>
          <w:tcPr>
            <w:tcW w:w="7087" w:type="dxa"/>
            <w:tcBorders>
              <w:top w:val="nil"/>
              <w:left w:val="nil"/>
              <w:bottom w:val="single" w:sz="4" w:space="0" w:color="auto"/>
              <w:right w:val="single" w:sz="4" w:space="0" w:color="auto"/>
            </w:tcBorders>
            <w:shd w:val="clear" w:color="auto" w:fill="auto"/>
            <w:vAlign w:val="center"/>
            <w:hideMark/>
          </w:tcPr>
          <w:p w14:paraId="4D58E3CB" w14:textId="77777777" w:rsidR="00443209" w:rsidRPr="00BD7AB8" w:rsidRDefault="00443209" w:rsidP="00C602EF">
            <w:pPr>
              <w:spacing w:after="0" w:line="240" w:lineRule="auto"/>
              <w:jc w:val="left"/>
              <w:rPr>
                <w:rFonts w:ascii="Arial" w:eastAsia="Times New Roman" w:hAnsi="Arial" w:cs="Arial"/>
                <w:color w:val="auto"/>
                <w:sz w:val="18"/>
                <w:szCs w:val="18"/>
              </w:rPr>
            </w:pPr>
            <w:r w:rsidRPr="00BD7AB8">
              <w:rPr>
                <w:rFonts w:ascii="Arial" w:eastAsia="Times New Roman" w:hAnsi="Arial" w:cs="Arial"/>
                <w:color w:val="auto"/>
                <w:sz w:val="18"/>
                <w:szCs w:val="18"/>
              </w:rPr>
              <w:t>Χρηματοδότηση επιχειρήσεων με τη μορφή επιστρεπτέας προκαταβολής (μη-επιστρεπτέο μέρος).</w:t>
            </w:r>
          </w:p>
        </w:tc>
        <w:tc>
          <w:tcPr>
            <w:tcW w:w="992" w:type="dxa"/>
            <w:tcBorders>
              <w:top w:val="nil"/>
              <w:left w:val="nil"/>
              <w:bottom w:val="single" w:sz="4" w:space="0" w:color="auto"/>
              <w:right w:val="single" w:sz="4" w:space="0" w:color="auto"/>
            </w:tcBorders>
            <w:shd w:val="clear" w:color="auto" w:fill="auto"/>
            <w:noWrap/>
            <w:vAlign w:val="center"/>
            <w:hideMark/>
          </w:tcPr>
          <w:p w14:paraId="6627BC0F" w14:textId="77777777" w:rsidR="00443209" w:rsidRPr="00BD7AB8" w:rsidRDefault="00443209" w:rsidP="00C602EF">
            <w:pPr>
              <w:spacing w:after="0" w:line="240" w:lineRule="auto"/>
              <w:jc w:val="center"/>
              <w:rPr>
                <w:rFonts w:ascii="Arial" w:eastAsia="Times New Roman" w:hAnsi="Arial" w:cs="Arial"/>
                <w:color w:val="000000"/>
                <w:sz w:val="18"/>
                <w:szCs w:val="18"/>
                <w:lang w:val="en-US"/>
              </w:rPr>
            </w:pPr>
            <w:r w:rsidRPr="00BD7AB8">
              <w:rPr>
                <w:rFonts w:ascii="Arial" w:eastAsia="Times New Roman" w:hAnsi="Arial" w:cs="Arial"/>
                <w:color w:val="000000"/>
                <w:sz w:val="18"/>
                <w:szCs w:val="18"/>
                <w:lang w:val="en-US"/>
              </w:rPr>
              <w:t>1.924</w:t>
            </w:r>
          </w:p>
        </w:tc>
      </w:tr>
      <w:tr w:rsidR="00443209" w:rsidRPr="00BD7AB8" w14:paraId="67CEBF65" w14:textId="77777777" w:rsidTr="00C602EF">
        <w:trPr>
          <w:trHeight w:val="255"/>
        </w:trPr>
        <w:tc>
          <w:tcPr>
            <w:tcW w:w="436" w:type="dxa"/>
            <w:tcBorders>
              <w:top w:val="nil"/>
              <w:left w:val="single" w:sz="8" w:space="0" w:color="auto"/>
              <w:bottom w:val="single" w:sz="4" w:space="0" w:color="auto"/>
              <w:right w:val="single" w:sz="4" w:space="0" w:color="auto"/>
            </w:tcBorders>
            <w:shd w:val="clear" w:color="auto" w:fill="auto"/>
            <w:vAlign w:val="center"/>
            <w:hideMark/>
          </w:tcPr>
          <w:p w14:paraId="7F3F7769" w14:textId="77777777" w:rsidR="00443209" w:rsidRPr="00BD7AB8" w:rsidRDefault="00443209" w:rsidP="00C602EF">
            <w:pPr>
              <w:spacing w:after="0" w:line="240" w:lineRule="auto"/>
              <w:jc w:val="center"/>
              <w:rPr>
                <w:rFonts w:eastAsia="Times New Roman" w:cs="Times New Roman"/>
                <w:color w:val="000000"/>
                <w:sz w:val="18"/>
                <w:szCs w:val="18"/>
                <w:lang w:val="en-US"/>
              </w:rPr>
            </w:pPr>
            <w:r w:rsidRPr="00BD7AB8">
              <w:rPr>
                <w:rFonts w:eastAsia="Times New Roman" w:cs="Times New Roman"/>
                <w:color w:val="000000"/>
                <w:sz w:val="18"/>
                <w:szCs w:val="18"/>
                <w:lang w:val="en-US"/>
              </w:rPr>
              <w:t>19</w:t>
            </w:r>
          </w:p>
        </w:tc>
        <w:tc>
          <w:tcPr>
            <w:tcW w:w="7087" w:type="dxa"/>
            <w:tcBorders>
              <w:top w:val="nil"/>
              <w:left w:val="nil"/>
              <w:bottom w:val="single" w:sz="4" w:space="0" w:color="auto"/>
              <w:right w:val="single" w:sz="4" w:space="0" w:color="auto"/>
            </w:tcBorders>
            <w:shd w:val="clear" w:color="auto" w:fill="auto"/>
            <w:vAlign w:val="center"/>
            <w:hideMark/>
          </w:tcPr>
          <w:p w14:paraId="40D4E91C" w14:textId="77777777" w:rsidR="00443209" w:rsidRPr="00BD7AB8" w:rsidRDefault="00443209" w:rsidP="00C602EF">
            <w:pPr>
              <w:spacing w:after="0" w:line="240" w:lineRule="auto"/>
              <w:jc w:val="left"/>
              <w:rPr>
                <w:rFonts w:ascii="Arial" w:eastAsia="Times New Roman" w:hAnsi="Arial" w:cs="Arial"/>
                <w:color w:val="auto"/>
                <w:sz w:val="18"/>
                <w:szCs w:val="18"/>
              </w:rPr>
            </w:pPr>
            <w:r w:rsidRPr="00BD7AB8">
              <w:rPr>
                <w:rFonts w:ascii="Arial" w:eastAsia="Times New Roman" w:hAnsi="Arial" w:cs="Arial"/>
                <w:color w:val="auto"/>
                <w:sz w:val="18"/>
                <w:szCs w:val="18"/>
              </w:rPr>
              <w:t>Αποζημίωση ειδικού σκοπού και επίδομα ανεργίας στους εποχικά εργαζόμενους του τουριστικού κλάδου.</w:t>
            </w:r>
          </w:p>
        </w:tc>
        <w:tc>
          <w:tcPr>
            <w:tcW w:w="992" w:type="dxa"/>
            <w:tcBorders>
              <w:top w:val="nil"/>
              <w:left w:val="nil"/>
              <w:bottom w:val="single" w:sz="4" w:space="0" w:color="auto"/>
              <w:right w:val="single" w:sz="4" w:space="0" w:color="auto"/>
            </w:tcBorders>
            <w:shd w:val="clear" w:color="auto" w:fill="auto"/>
            <w:noWrap/>
            <w:vAlign w:val="center"/>
            <w:hideMark/>
          </w:tcPr>
          <w:p w14:paraId="42FFBBA7" w14:textId="77777777" w:rsidR="00443209" w:rsidRPr="00BD7AB8" w:rsidRDefault="00443209" w:rsidP="00C602EF">
            <w:pPr>
              <w:spacing w:after="0" w:line="240" w:lineRule="auto"/>
              <w:jc w:val="center"/>
              <w:rPr>
                <w:rFonts w:ascii="Arial" w:eastAsia="Times New Roman" w:hAnsi="Arial" w:cs="Arial"/>
                <w:color w:val="000000"/>
                <w:sz w:val="18"/>
                <w:szCs w:val="18"/>
                <w:lang w:val="en-US"/>
              </w:rPr>
            </w:pPr>
            <w:r w:rsidRPr="00BD7AB8">
              <w:rPr>
                <w:rFonts w:ascii="Arial" w:eastAsia="Times New Roman" w:hAnsi="Arial" w:cs="Arial"/>
                <w:color w:val="000000"/>
                <w:sz w:val="18"/>
                <w:szCs w:val="18"/>
                <w:lang w:val="en-US"/>
              </w:rPr>
              <w:t>71</w:t>
            </w:r>
          </w:p>
        </w:tc>
      </w:tr>
      <w:tr w:rsidR="00443209" w:rsidRPr="00BD7AB8" w14:paraId="65D430F5" w14:textId="77777777" w:rsidTr="00C602EF">
        <w:trPr>
          <w:trHeight w:val="720"/>
        </w:trPr>
        <w:tc>
          <w:tcPr>
            <w:tcW w:w="436" w:type="dxa"/>
            <w:tcBorders>
              <w:top w:val="nil"/>
              <w:left w:val="single" w:sz="8" w:space="0" w:color="auto"/>
              <w:bottom w:val="single" w:sz="4" w:space="0" w:color="auto"/>
              <w:right w:val="single" w:sz="4" w:space="0" w:color="auto"/>
            </w:tcBorders>
            <w:shd w:val="clear" w:color="auto" w:fill="auto"/>
            <w:vAlign w:val="center"/>
            <w:hideMark/>
          </w:tcPr>
          <w:p w14:paraId="01917BB5" w14:textId="77777777" w:rsidR="00443209" w:rsidRPr="00BD7AB8" w:rsidRDefault="00443209" w:rsidP="00C602EF">
            <w:pPr>
              <w:spacing w:after="0" w:line="240" w:lineRule="auto"/>
              <w:jc w:val="center"/>
              <w:rPr>
                <w:rFonts w:eastAsia="Times New Roman" w:cs="Times New Roman"/>
                <w:color w:val="000000"/>
                <w:sz w:val="18"/>
                <w:szCs w:val="18"/>
                <w:lang w:val="en-US"/>
              </w:rPr>
            </w:pPr>
            <w:r w:rsidRPr="00BD7AB8">
              <w:rPr>
                <w:rFonts w:eastAsia="Times New Roman" w:cs="Times New Roman"/>
                <w:color w:val="000000"/>
                <w:sz w:val="18"/>
                <w:szCs w:val="18"/>
                <w:lang w:val="en-US"/>
              </w:rPr>
              <w:t>20</w:t>
            </w:r>
          </w:p>
        </w:tc>
        <w:tc>
          <w:tcPr>
            <w:tcW w:w="7087" w:type="dxa"/>
            <w:tcBorders>
              <w:top w:val="nil"/>
              <w:left w:val="nil"/>
              <w:bottom w:val="single" w:sz="4" w:space="0" w:color="auto"/>
              <w:right w:val="single" w:sz="4" w:space="0" w:color="auto"/>
            </w:tcBorders>
            <w:shd w:val="clear" w:color="auto" w:fill="auto"/>
            <w:vAlign w:val="center"/>
            <w:hideMark/>
          </w:tcPr>
          <w:p w14:paraId="45438574" w14:textId="77777777" w:rsidR="00443209" w:rsidRPr="00BD7AB8" w:rsidRDefault="00443209" w:rsidP="00C602EF">
            <w:pPr>
              <w:spacing w:after="0" w:line="240" w:lineRule="auto"/>
              <w:jc w:val="left"/>
              <w:rPr>
                <w:rFonts w:ascii="Arial" w:eastAsia="Times New Roman" w:hAnsi="Arial" w:cs="Arial"/>
                <w:color w:val="auto"/>
                <w:sz w:val="18"/>
                <w:szCs w:val="18"/>
              </w:rPr>
            </w:pPr>
            <w:r w:rsidRPr="00BD7AB8">
              <w:rPr>
                <w:rFonts w:ascii="Arial" w:eastAsia="Times New Roman" w:hAnsi="Arial" w:cs="Arial"/>
                <w:color w:val="auto"/>
                <w:sz w:val="18"/>
                <w:szCs w:val="18"/>
              </w:rPr>
              <w:t>Κάλυψη των ασφαλιστικών εισφορών από τον κρατικό προϋπολογισμό και επιδότηση 200 ευρώ σε περίπτωση πρόσληψης μακροχρόνια ανέργου, για περίοδο 6 μηνών, στο πλαίσιο του προγράμματος για τη δημιουργία 100.000 νέων θέσεων εργασίας.</w:t>
            </w:r>
          </w:p>
        </w:tc>
        <w:tc>
          <w:tcPr>
            <w:tcW w:w="992" w:type="dxa"/>
            <w:tcBorders>
              <w:top w:val="nil"/>
              <w:left w:val="nil"/>
              <w:bottom w:val="single" w:sz="4" w:space="0" w:color="auto"/>
              <w:right w:val="single" w:sz="4" w:space="0" w:color="auto"/>
            </w:tcBorders>
            <w:shd w:val="clear" w:color="auto" w:fill="auto"/>
            <w:noWrap/>
            <w:vAlign w:val="center"/>
            <w:hideMark/>
          </w:tcPr>
          <w:p w14:paraId="4A637D8C" w14:textId="77777777" w:rsidR="00443209" w:rsidRPr="00BD7AB8" w:rsidRDefault="00443209" w:rsidP="00C602EF">
            <w:pPr>
              <w:spacing w:after="0" w:line="240" w:lineRule="auto"/>
              <w:jc w:val="center"/>
              <w:rPr>
                <w:rFonts w:ascii="Arial" w:eastAsia="Times New Roman" w:hAnsi="Arial" w:cs="Arial"/>
                <w:color w:val="000000"/>
                <w:sz w:val="18"/>
                <w:szCs w:val="18"/>
                <w:lang w:val="en-US"/>
              </w:rPr>
            </w:pPr>
            <w:r w:rsidRPr="00BD7AB8">
              <w:rPr>
                <w:rFonts w:ascii="Arial" w:eastAsia="Times New Roman" w:hAnsi="Arial" w:cs="Arial"/>
                <w:color w:val="000000"/>
                <w:sz w:val="18"/>
                <w:szCs w:val="18"/>
                <w:lang w:val="en-US"/>
              </w:rPr>
              <w:t>313</w:t>
            </w:r>
          </w:p>
        </w:tc>
      </w:tr>
      <w:tr w:rsidR="00443209" w:rsidRPr="00BD7AB8" w14:paraId="187EAE1C" w14:textId="77777777" w:rsidTr="00C602EF">
        <w:trPr>
          <w:trHeight w:val="255"/>
        </w:trPr>
        <w:tc>
          <w:tcPr>
            <w:tcW w:w="436" w:type="dxa"/>
            <w:tcBorders>
              <w:top w:val="nil"/>
              <w:left w:val="single" w:sz="8" w:space="0" w:color="auto"/>
              <w:bottom w:val="single" w:sz="4" w:space="0" w:color="auto"/>
              <w:right w:val="single" w:sz="4" w:space="0" w:color="auto"/>
            </w:tcBorders>
            <w:shd w:val="clear" w:color="auto" w:fill="auto"/>
            <w:vAlign w:val="center"/>
            <w:hideMark/>
          </w:tcPr>
          <w:p w14:paraId="186723B0" w14:textId="77777777" w:rsidR="00443209" w:rsidRPr="00BD7AB8" w:rsidRDefault="00443209" w:rsidP="00C602EF">
            <w:pPr>
              <w:spacing w:after="0" w:line="240" w:lineRule="auto"/>
              <w:jc w:val="center"/>
              <w:rPr>
                <w:rFonts w:eastAsia="Times New Roman" w:cs="Times New Roman"/>
                <w:color w:val="000000"/>
                <w:sz w:val="18"/>
                <w:szCs w:val="18"/>
                <w:lang w:val="en-US"/>
              </w:rPr>
            </w:pPr>
            <w:r w:rsidRPr="00BD7AB8">
              <w:rPr>
                <w:rFonts w:eastAsia="Times New Roman" w:cs="Times New Roman"/>
                <w:color w:val="000000"/>
                <w:sz w:val="18"/>
                <w:szCs w:val="18"/>
                <w:lang w:val="en-US"/>
              </w:rPr>
              <w:t>21</w:t>
            </w:r>
          </w:p>
        </w:tc>
        <w:tc>
          <w:tcPr>
            <w:tcW w:w="7087" w:type="dxa"/>
            <w:tcBorders>
              <w:top w:val="nil"/>
              <w:left w:val="nil"/>
              <w:bottom w:val="single" w:sz="4" w:space="0" w:color="auto"/>
              <w:right w:val="single" w:sz="4" w:space="0" w:color="auto"/>
            </w:tcBorders>
            <w:shd w:val="clear" w:color="auto" w:fill="auto"/>
            <w:vAlign w:val="center"/>
            <w:hideMark/>
          </w:tcPr>
          <w:p w14:paraId="47D0D401" w14:textId="77777777" w:rsidR="00443209" w:rsidRPr="00BD7AB8" w:rsidRDefault="00443209" w:rsidP="00C602EF">
            <w:pPr>
              <w:spacing w:after="0" w:line="240" w:lineRule="auto"/>
              <w:jc w:val="left"/>
              <w:rPr>
                <w:rFonts w:ascii="Arial" w:eastAsia="Times New Roman" w:hAnsi="Arial" w:cs="Arial"/>
                <w:color w:val="auto"/>
                <w:sz w:val="18"/>
                <w:szCs w:val="18"/>
              </w:rPr>
            </w:pPr>
            <w:r w:rsidRPr="00BD7AB8">
              <w:rPr>
                <w:rFonts w:ascii="Arial" w:eastAsia="Times New Roman" w:hAnsi="Arial" w:cs="Arial"/>
                <w:color w:val="auto"/>
                <w:sz w:val="18"/>
                <w:szCs w:val="18"/>
              </w:rPr>
              <w:t>Αποζημίωση στους ιδιοκτήτες ακινήτων που έλαβαν μειωμένο μίσθωμα.</w:t>
            </w:r>
          </w:p>
        </w:tc>
        <w:tc>
          <w:tcPr>
            <w:tcW w:w="992" w:type="dxa"/>
            <w:tcBorders>
              <w:top w:val="nil"/>
              <w:left w:val="nil"/>
              <w:bottom w:val="single" w:sz="4" w:space="0" w:color="auto"/>
              <w:right w:val="single" w:sz="4" w:space="0" w:color="auto"/>
            </w:tcBorders>
            <w:shd w:val="clear" w:color="auto" w:fill="auto"/>
            <w:noWrap/>
            <w:vAlign w:val="center"/>
            <w:hideMark/>
          </w:tcPr>
          <w:p w14:paraId="316205A1" w14:textId="77777777" w:rsidR="00443209" w:rsidRPr="00BD7AB8" w:rsidRDefault="00443209" w:rsidP="00C602EF">
            <w:pPr>
              <w:spacing w:after="0" w:line="240" w:lineRule="auto"/>
              <w:jc w:val="center"/>
              <w:rPr>
                <w:rFonts w:ascii="Arial" w:eastAsia="Times New Roman" w:hAnsi="Arial" w:cs="Arial"/>
                <w:color w:val="000000"/>
                <w:sz w:val="18"/>
                <w:szCs w:val="18"/>
                <w:lang w:val="en-US"/>
              </w:rPr>
            </w:pPr>
            <w:r w:rsidRPr="00BD7AB8">
              <w:rPr>
                <w:rFonts w:ascii="Arial" w:eastAsia="Times New Roman" w:hAnsi="Arial" w:cs="Arial"/>
                <w:color w:val="000000"/>
                <w:sz w:val="18"/>
                <w:szCs w:val="18"/>
                <w:lang w:val="en-US"/>
              </w:rPr>
              <w:t>493</w:t>
            </w:r>
          </w:p>
        </w:tc>
      </w:tr>
      <w:tr w:rsidR="00443209" w:rsidRPr="00BD7AB8" w14:paraId="7F1F005D" w14:textId="77777777" w:rsidTr="00C602EF">
        <w:trPr>
          <w:trHeight w:val="480"/>
        </w:trPr>
        <w:tc>
          <w:tcPr>
            <w:tcW w:w="436" w:type="dxa"/>
            <w:tcBorders>
              <w:top w:val="nil"/>
              <w:left w:val="single" w:sz="8" w:space="0" w:color="auto"/>
              <w:bottom w:val="single" w:sz="4" w:space="0" w:color="auto"/>
              <w:right w:val="single" w:sz="4" w:space="0" w:color="auto"/>
            </w:tcBorders>
            <w:shd w:val="clear" w:color="auto" w:fill="auto"/>
            <w:vAlign w:val="center"/>
            <w:hideMark/>
          </w:tcPr>
          <w:p w14:paraId="4EEA19A0" w14:textId="77777777" w:rsidR="00443209" w:rsidRPr="00BD7AB8" w:rsidRDefault="00443209" w:rsidP="00C602EF">
            <w:pPr>
              <w:spacing w:after="0" w:line="240" w:lineRule="auto"/>
              <w:jc w:val="center"/>
              <w:rPr>
                <w:rFonts w:eastAsia="Times New Roman" w:cs="Times New Roman"/>
                <w:color w:val="000000"/>
                <w:sz w:val="18"/>
                <w:szCs w:val="18"/>
                <w:lang w:val="en-US"/>
              </w:rPr>
            </w:pPr>
            <w:r w:rsidRPr="00BD7AB8">
              <w:rPr>
                <w:rFonts w:eastAsia="Times New Roman" w:cs="Times New Roman"/>
                <w:color w:val="000000"/>
                <w:sz w:val="18"/>
                <w:szCs w:val="18"/>
                <w:lang w:val="en-US"/>
              </w:rPr>
              <w:t>22</w:t>
            </w:r>
          </w:p>
        </w:tc>
        <w:tc>
          <w:tcPr>
            <w:tcW w:w="7087" w:type="dxa"/>
            <w:tcBorders>
              <w:top w:val="nil"/>
              <w:left w:val="nil"/>
              <w:bottom w:val="single" w:sz="4" w:space="0" w:color="auto"/>
              <w:right w:val="single" w:sz="4" w:space="0" w:color="auto"/>
            </w:tcBorders>
            <w:shd w:val="clear" w:color="auto" w:fill="auto"/>
            <w:vAlign w:val="center"/>
            <w:hideMark/>
          </w:tcPr>
          <w:p w14:paraId="05E5E479" w14:textId="77777777" w:rsidR="00443209" w:rsidRPr="00BD7AB8" w:rsidRDefault="00443209" w:rsidP="00C602EF">
            <w:pPr>
              <w:spacing w:after="0" w:line="240" w:lineRule="auto"/>
              <w:jc w:val="left"/>
              <w:rPr>
                <w:rFonts w:ascii="Arial" w:eastAsia="Times New Roman" w:hAnsi="Arial" w:cs="Arial"/>
                <w:color w:val="auto"/>
                <w:sz w:val="18"/>
                <w:szCs w:val="18"/>
              </w:rPr>
            </w:pPr>
            <w:r w:rsidRPr="00BD7AB8">
              <w:rPr>
                <w:rFonts w:ascii="Arial" w:eastAsia="Times New Roman" w:hAnsi="Arial" w:cs="Arial"/>
                <w:color w:val="auto"/>
                <w:sz w:val="18"/>
                <w:szCs w:val="18"/>
              </w:rPr>
              <w:t>Δαπάνες για δώρο Χριστουγέννων και Πάσχα στους εργαζομένους των οποίων η σύμβαση εργασίας τελεί σε αναστολή.</w:t>
            </w:r>
          </w:p>
        </w:tc>
        <w:tc>
          <w:tcPr>
            <w:tcW w:w="992" w:type="dxa"/>
            <w:tcBorders>
              <w:top w:val="nil"/>
              <w:left w:val="nil"/>
              <w:bottom w:val="single" w:sz="4" w:space="0" w:color="auto"/>
              <w:right w:val="single" w:sz="4" w:space="0" w:color="auto"/>
            </w:tcBorders>
            <w:shd w:val="clear" w:color="auto" w:fill="auto"/>
            <w:noWrap/>
            <w:vAlign w:val="center"/>
            <w:hideMark/>
          </w:tcPr>
          <w:p w14:paraId="5F7AA529" w14:textId="77777777" w:rsidR="00443209" w:rsidRPr="00BD7AB8" w:rsidRDefault="00443209" w:rsidP="00C602EF">
            <w:pPr>
              <w:spacing w:after="0" w:line="240" w:lineRule="auto"/>
              <w:jc w:val="center"/>
              <w:rPr>
                <w:rFonts w:ascii="Arial" w:eastAsia="Times New Roman" w:hAnsi="Arial" w:cs="Arial"/>
                <w:color w:val="000000"/>
                <w:sz w:val="18"/>
                <w:szCs w:val="18"/>
                <w:lang w:val="en-US"/>
              </w:rPr>
            </w:pPr>
            <w:r w:rsidRPr="00BD7AB8">
              <w:rPr>
                <w:rFonts w:ascii="Arial" w:eastAsia="Times New Roman" w:hAnsi="Arial" w:cs="Arial"/>
                <w:color w:val="000000"/>
                <w:sz w:val="18"/>
                <w:szCs w:val="18"/>
                <w:lang w:val="en-US"/>
              </w:rPr>
              <w:t>384</w:t>
            </w:r>
          </w:p>
        </w:tc>
      </w:tr>
      <w:tr w:rsidR="00443209" w:rsidRPr="00BD7AB8" w14:paraId="10056F1A" w14:textId="77777777" w:rsidTr="00C602EF">
        <w:trPr>
          <w:trHeight w:val="480"/>
        </w:trPr>
        <w:tc>
          <w:tcPr>
            <w:tcW w:w="436" w:type="dxa"/>
            <w:tcBorders>
              <w:top w:val="nil"/>
              <w:left w:val="single" w:sz="8" w:space="0" w:color="auto"/>
              <w:bottom w:val="single" w:sz="4" w:space="0" w:color="auto"/>
              <w:right w:val="single" w:sz="4" w:space="0" w:color="auto"/>
            </w:tcBorders>
            <w:shd w:val="clear" w:color="auto" w:fill="auto"/>
            <w:vAlign w:val="center"/>
            <w:hideMark/>
          </w:tcPr>
          <w:p w14:paraId="635DF442" w14:textId="77777777" w:rsidR="00443209" w:rsidRPr="00BD7AB8" w:rsidRDefault="00443209" w:rsidP="00C602EF">
            <w:pPr>
              <w:spacing w:after="0" w:line="240" w:lineRule="auto"/>
              <w:jc w:val="center"/>
              <w:rPr>
                <w:rFonts w:eastAsia="Times New Roman" w:cs="Times New Roman"/>
                <w:color w:val="000000"/>
                <w:sz w:val="18"/>
                <w:szCs w:val="18"/>
                <w:lang w:val="en-US"/>
              </w:rPr>
            </w:pPr>
            <w:r w:rsidRPr="00BD7AB8">
              <w:rPr>
                <w:rFonts w:eastAsia="Times New Roman" w:cs="Times New Roman"/>
                <w:color w:val="000000"/>
                <w:sz w:val="18"/>
                <w:szCs w:val="18"/>
                <w:lang w:val="en-US"/>
              </w:rPr>
              <w:t>23</w:t>
            </w:r>
          </w:p>
        </w:tc>
        <w:tc>
          <w:tcPr>
            <w:tcW w:w="7087" w:type="dxa"/>
            <w:tcBorders>
              <w:top w:val="nil"/>
              <w:left w:val="nil"/>
              <w:bottom w:val="single" w:sz="4" w:space="0" w:color="auto"/>
              <w:right w:val="single" w:sz="4" w:space="0" w:color="auto"/>
            </w:tcBorders>
            <w:shd w:val="clear" w:color="auto" w:fill="auto"/>
            <w:vAlign w:val="center"/>
            <w:hideMark/>
          </w:tcPr>
          <w:p w14:paraId="26706736" w14:textId="77777777" w:rsidR="00443209" w:rsidRPr="00BD7AB8" w:rsidRDefault="00443209" w:rsidP="00C602EF">
            <w:pPr>
              <w:spacing w:after="0" w:line="240" w:lineRule="auto"/>
              <w:jc w:val="left"/>
              <w:rPr>
                <w:rFonts w:ascii="Arial" w:eastAsia="Times New Roman" w:hAnsi="Arial" w:cs="Arial"/>
                <w:color w:val="auto"/>
                <w:sz w:val="18"/>
                <w:szCs w:val="18"/>
              </w:rPr>
            </w:pPr>
            <w:r w:rsidRPr="00BD7AB8">
              <w:rPr>
                <w:rFonts w:ascii="Arial" w:eastAsia="Times New Roman" w:hAnsi="Arial" w:cs="Arial"/>
                <w:color w:val="auto"/>
                <w:sz w:val="18"/>
                <w:szCs w:val="18"/>
              </w:rPr>
              <w:t>Πρόγραμμα ΓΕΦΥΡΑ που αφορά στην επιδότηση της πρώτης κατοικίας για δανειολήπτες που επλήγησαν από την πανδημία.</w:t>
            </w:r>
          </w:p>
        </w:tc>
        <w:tc>
          <w:tcPr>
            <w:tcW w:w="992" w:type="dxa"/>
            <w:tcBorders>
              <w:top w:val="nil"/>
              <w:left w:val="nil"/>
              <w:bottom w:val="single" w:sz="4" w:space="0" w:color="auto"/>
              <w:right w:val="single" w:sz="4" w:space="0" w:color="auto"/>
            </w:tcBorders>
            <w:shd w:val="clear" w:color="auto" w:fill="auto"/>
            <w:noWrap/>
            <w:vAlign w:val="center"/>
            <w:hideMark/>
          </w:tcPr>
          <w:p w14:paraId="41345749" w14:textId="77777777" w:rsidR="00443209" w:rsidRPr="00BD7AB8" w:rsidRDefault="00443209" w:rsidP="00C602EF">
            <w:pPr>
              <w:spacing w:after="0" w:line="240" w:lineRule="auto"/>
              <w:jc w:val="center"/>
              <w:rPr>
                <w:rFonts w:ascii="Arial" w:eastAsia="Times New Roman" w:hAnsi="Arial" w:cs="Arial"/>
                <w:color w:val="000000"/>
                <w:sz w:val="18"/>
                <w:szCs w:val="18"/>
                <w:lang w:val="en-US"/>
              </w:rPr>
            </w:pPr>
            <w:r w:rsidRPr="00BD7AB8">
              <w:rPr>
                <w:rFonts w:ascii="Arial" w:eastAsia="Times New Roman" w:hAnsi="Arial" w:cs="Arial"/>
                <w:color w:val="000000"/>
                <w:sz w:val="18"/>
                <w:szCs w:val="18"/>
                <w:lang w:val="en-US"/>
              </w:rPr>
              <w:t>314</w:t>
            </w:r>
          </w:p>
        </w:tc>
      </w:tr>
      <w:tr w:rsidR="00443209" w:rsidRPr="00BD7AB8" w14:paraId="37B170C7" w14:textId="77777777" w:rsidTr="00C602EF">
        <w:trPr>
          <w:trHeight w:val="300"/>
        </w:trPr>
        <w:tc>
          <w:tcPr>
            <w:tcW w:w="436" w:type="dxa"/>
            <w:tcBorders>
              <w:top w:val="nil"/>
              <w:left w:val="single" w:sz="8" w:space="0" w:color="auto"/>
              <w:bottom w:val="single" w:sz="4" w:space="0" w:color="auto"/>
              <w:right w:val="single" w:sz="4" w:space="0" w:color="auto"/>
            </w:tcBorders>
            <w:shd w:val="clear" w:color="auto" w:fill="auto"/>
            <w:vAlign w:val="center"/>
            <w:hideMark/>
          </w:tcPr>
          <w:p w14:paraId="3B83FB48" w14:textId="77777777" w:rsidR="00443209" w:rsidRPr="00BD7AB8" w:rsidRDefault="00443209" w:rsidP="00C602EF">
            <w:pPr>
              <w:spacing w:after="0" w:line="240" w:lineRule="auto"/>
              <w:jc w:val="center"/>
              <w:rPr>
                <w:rFonts w:eastAsia="Times New Roman" w:cs="Times New Roman"/>
                <w:color w:val="000000"/>
                <w:sz w:val="18"/>
                <w:szCs w:val="18"/>
                <w:lang w:val="en-US"/>
              </w:rPr>
            </w:pPr>
            <w:r w:rsidRPr="00BD7AB8">
              <w:rPr>
                <w:rFonts w:eastAsia="Times New Roman" w:cs="Times New Roman"/>
                <w:color w:val="000000"/>
                <w:sz w:val="18"/>
                <w:szCs w:val="18"/>
                <w:lang w:val="en-US"/>
              </w:rPr>
              <w:t>24</w:t>
            </w:r>
          </w:p>
        </w:tc>
        <w:tc>
          <w:tcPr>
            <w:tcW w:w="7087" w:type="dxa"/>
            <w:tcBorders>
              <w:top w:val="nil"/>
              <w:left w:val="nil"/>
              <w:bottom w:val="single" w:sz="4" w:space="0" w:color="auto"/>
              <w:right w:val="single" w:sz="4" w:space="0" w:color="auto"/>
            </w:tcBorders>
            <w:shd w:val="clear" w:color="auto" w:fill="auto"/>
            <w:vAlign w:val="center"/>
            <w:hideMark/>
          </w:tcPr>
          <w:p w14:paraId="514BD3E5" w14:textId="77777777" w:rsidR="00443209" w:rsidRPr="00BD7AB8" w:rsidRDefault="00443209" w:rsidP="00C602EF">
            <w:pPr>
              <w:spacing w:after="0" w:line="240" w:lineRule="auto"/>
              <w:jc w:val="left"/>
              <w:rPr>
                <w:rFonts w:ascii="Arial" w:eastAsia="Times New Roman" w:hAnsi="Arial" w:cs="Arial"/>
                <w:color w:val="auto"/>
                <w:sz w:val="18"/>
                <w:szCs w:val="18"/>
              </w:rPr>
            </w:pPr>
            <w:r w:rsidRPr="00BD7AB8">
              <w:rPr>
                <w:rFonts w:ascii="Arial" w:eastAsia="Times New Roman" w:hAnsi="Arial" w:cs="Arial"/>
                <w:color w:val="auto"/>
                <w:sz w:val="18"/>
                <w:szCs w:val="18"/>
              </w:rPr>
              <w:t>Μη επιστρεπτέα επιχορήγηση σε πολύ μικρές και μικρές επιχειρήσεις μέσω της τοπικής αυτοδιοίκησης.</w:t>
            </w:r>
          </w:p>
        </w:tc>
        <w:tc>
          <w:tcPr>
            <w:tcW w:w="992" w:type="dxa"/>
            <w:tcBorders>
              <w:top w:val="nil"/>
              <w:left w:val="nil"/>
              <w:bottom w:val="single" w:sz="4" w:space="0" w:color="auto"/>
              <w:right w:val="single" w:sz="4" w:space="0" w:color="auto"/>
            </w:tcBorders>
            <w:shd w:val="clear" w:color="auto" w:fill="auto"/>
            <w:noWrap/>
            <w:vAlign w:val="center"/>
            <w:hideMark/>
          </w:tcPr>
          <w:p w14:paraId="650CD0C1" w14:textId="77777777" w:rsidR="00443209" w:rsidRPr="00BD7AB8" w:rsidRDefault="00443209" w:rsidP="00C602EF">
            <w:pPr>
              <w:spacing w:after="0" w:line="240" w:lineRule="auto"/>
              <w:jc w:val="center"/>
              <w:rPr>
                <w:rFonts w:ascii="Arial" w:eastAsia="Times New Roman" w:hAnsi="Arial" w:cs="Arial"/>
                <w:color w:val="000000"/>
                <w:sz w:val="18"/>
                <w:szCs w:val="18"/>
                <w:lang w:val="en-US"/>
              </w:rPr>
            </w:pPr>
            <w:r w:rsidRPr="00BD7AB8">
              <w:rPr>
                <w:rFonts w:ascii="Arial" w:eastAsia="Times New Roman" w:hAnsi="Arial" w:cs="Arial"/>
                <w:color w:val="000000"/>
                <w:sz w:val="18"/>
                <w:szCs w:val="18"/>
                <w:lang w:val="en-US"/>
              </w:rPr>
              <w:t>880</w:t>
            </w:r>
          </w:p>
        </w:tc>
      </w:tr>
      <w:tr w:rsidR="00443209" w:rsidRPr="00BD7AB8" w14:paraId="4F1DD500" w14:textId="77777777" w:rsidTr="00C602EF">
        <w:trPr>
          <w:trHeight w:val="300"/>
        </w:trPr>
        <w:tc>
          <w:tcPr>
            <w:tcW w:w="436" w:type="dxa"/>
            <w:tcBorders>
              <w:top w:val="nil"/>
              <w:left w:val="single" w:sz="8" w:space="0" w:color="auto"/>
              <w:bottom w:val="single" w:sz="4" w:space="0" w:color="auto"/>
              <w:right w:val="single" w:sz="4" w:space="0" w:color="auto"/>
            </w:tcBorders>
            <w:shd w:val="clear" w:color="auto" w:fill="auto"/>
            <w:vAlign w:val="center"/>
            <w:hideMark/>
          </w:tcPr>
          <w:p w14:paraId="2D405504" w14:textId="77777777" w:rsidR="00443209" w:rsidRPr="00BD7AB8" w:rsidRDefault="00443209" w:rsidP="00C602EF">
            <w:pPr>
              <w:spacing w:after="0" w:line="240" w:lineRule="auto"/>
              <w:jc w:val="center"/>
              <w:rPr>
                <w:rFonts w:eastAsia="Times New Roman" w:cs="Times New Roman"/>
                <w:color w:val="000000"/>
                <w:sz w:val="18"/>
                <w:szCs w:val="18"/>
                <w:lang w:val="en-US"/>
              </w:rPr>
            </w:pPr>
            <w:r w:rsidRPr="00BD7AB8">
              <w:rPr>
                <w:rFonts w:eastAsia="Times New Roman" w:cs="Times New Roman"/>
                <w:color w:val="000000"/>
                <w:sz w:val="18"/>
                <w:szCs w:val="18"/>
                <w:lang w:val="en-US"/>
              </w:rPr>
              <w:t>25</w:t>
            </w:r>
          </w:p>
        </w:tc>
        <w:tc>
          <w:tcPr>
            <w:tcW w:w="7087" w:type="dxa"/>
            <w:tcBorders>
              <w:top w:val="nil"/>
              <w:left w:val="nil"/>
              <w:bottom w:val="single" w:sz="4" w:space="0" w:color="auto"/>
              <w:right w:val="single" w:sz="4" w:space="0" w:color="auto"/>
            </w:tcBorders>
            <w:shd w:val="clear" w:color="auto" w:fill="auto"/>
            <w:vAlign w:val="center"/>
            <w:hideMark/>
          </w:tcPr>
          <w:p w14:paraId="180A4250" w14:textId="77777777" w:rsidR="00443209" w:rsidRPr="00BD7AB8" w:rsidRDefault="00443209" w:rsidP="00C602EF">
            <w:pPr>
              <w:spacing w:after="0" w:line="240" w:lineRule="auto"/>
              <w:jc w:val="left"/>
              <w:rPr>
                <w:rFonts w:ascii="Arial" w:eastAsia="Times New Roman" w:hAnsi="Arial" w:cs="Arial"/>
                <w:color w:val="auto"/>
                <w:sz w:val="18"/>
                <w:szCs w:val="18"/>
              </w:rPr>
            </w:pPr>
            <w:r w:rsidRPr="00BD7AB8">
              <w:rPr>
                <w:rFonts w:ascii="Arial" w:eastAsia="Times New Roman" w:hAnsi="Arial" w:cs="Arial"/>
                <w:color w:val="auto"/>
                <w:sz w:val="18"/>
                <w:szCs w:val="18"/>
              </w:rPr>
              <w:t>Αποζημιώσεις στον κλάδο των μεταφορών.</w:t>
            </w:r>
          </w:p>
        </w:tc>
        <w:tc>
          <w:tcPr>
            <w:tcW w:w="992" w:type="dxa"/>
            <w:tcBorders>
              <w:top w:val="nil"/>
              <w:left w:val="nil"/>
              <w:bottom w:val="single" w:sz="4" w:space="0" w:color="auto"/>
              <w:right w:val="single" w:sz="4" w:space="0" w:color="auto"/>
            </w:tcBorders>
            <w:shd w:val="clear" w:color="auto" w:fill="auto"/>
            <w:noWrap/>
            <w:vAlign w:val="center"/>
            <w:hideMark/>
          </w:tcPr>
          <w:p w14:paraId="5C9EB1F4" w14:textId="77777777" w:rsidR="00443209" w:rsidRPr="00BD7AB8" w:rsidRDefault="00443209" w:rsidP="00C602EF">
            <w:pPr>
              <w:spacing w:after="0" w:line="240" w:lineRule="auto"/>
              <w:jc w:val="center"/>
              <w:rPr>
                <w:rFonts w:ascii="Arial" w:eastAsia="Times New Roman" w:hAnsi="Arial" w:cs="Arial"/>
                <w:color w:val="000000"/>
                <w:sz w:val="18"/>
                <w:szCs w:val="18"/>
                <w:lang w:val="en-US"/>
              </w:rPr>
            </w:pPr>
            <w:r w:rsidRPr="00BD7AB8">
              <w:rPr>
                <w:rFonts w:ascii="Arial" w:eastAsia="Times New Roman" w:hAnsi="Arial" w:cs="Arial"/>
                <w:color w:val="000000"/>
                <w:sz w:val="18"/>
                <w:szCs w:val="18"/>
                <w:lang w:val="en-US"/>
              </w:rPr>
              <w:t>308</w:t>
            </w:r>
          </w:p>
        </w:tc>
      </w:tr>
      <w:tr w:rsidR="00443209" w:rsidRPr="00BD7AB8" w14:paraId="14D50E81" w14:textId="77777777" w:rsidTr="00C602EF">
        <w:trPr>
          <w:trHeight w:val="480"/>
        </w:trPr>
        <w:tc>
          <w:tcPr>
            <w:tcW w:w="436" w:type="dxa"/>
            <w:tcBorders>
              <w:top w:val="nil"/>
              <w:left w:val="single" w:sz="8" w:space="0" w:color="auto"/>
              <w:bottom w:val="single" w:sz="4" w:space="0" w:color="auto"/>
              <w:right w:val="single" w:sz="4" w:space="0" w:color="auto"/>
            </w:tcBorders>
            <w:shd w:val="clear" w:color="auto" w:fill="auto"/>
            <w:vAlign w:val="center"/>
            <w:hideMark/>
          </w:tcPr>
          <w:p w14:paraId="46814867" w14:textId="77777777" w:rsidR="00443209" w:rsidRPr="00BD7AB8" w:rsidRDefault="00443209" w:rsidP="00C602EF">
            <w:pPr>
              <w:spacing w:after="0" w:line="240" w:lineRule="auto"/>
              <w:jc w:val="center"/>
              <w:rPr>
                <w:rFonts w:eastAsia="Times New Roman" w:cs="Times New Roman"/>
                <w:color w:val="000000"/>
                <w:sz w:val="18"/>
                <w:szCs w:val="18"/>
                <w:lang w:val="en-US"/>
              </w:rPr>
            </w:pPr>
            <w:r w:rsidRPr="00BD7AB8">
              <w:rPr>
                <w:rFonts w:eastAsia="Times New Roman" w:cs="Times New Roman"/>
                <w:color w:val="000000"/>
                <w:sz w:val="18"/>
                <w:szCs w:val="18"/>
                <w:lang w:val="en-US"/>
              </w:rPr>
              <w:t>26</w:t>
            </w:r>
          </w:p>
        </w:tc>
        <w:tc>
          <w:tcPr>
            <w:tcW w:w="7087" w:type="dxa"/>
            <w:tcBorders>
              <w:top w:val="nil"/>
              <w:left w:val="nil"/>
              <w:bottom w:val="single" w:sz="4" w:space="0" w:color="auto"/>
              <w:right w:val="single" w:sz="4" w:space="0" w:color="auto"/>
            </w:tcBorders>
            <w:shd w:val="clear" w:color="auto" w:fill="auto"/>
            <w:vAlign w:val="center"/>
            <w:hideMark/>
          </w:tcPr>
          <w:p w14:paraId="68C3645E" w14:textId="77777777" w:rsidR="00443209" w:rsidRPr="00BD7AB8" w:rsidRDefault="00443209" w:rsidP="00C602EF">
            <w:pPr>
              <w:spacing w:after="0" w:line="240" w:lineRule="auto"/>
              <w:jc w:val="left"/>
              <w:rPr>
                <w:rFonts w:ascii="Arial" w:eastAsia="Times New Roman" w:hAnsi="Arial" w:cs="Arial"/>
                <w:color w:val="auto"/>
                <w:sz w:val="18"/>
                <w:szCs w:val="18"/>
              </w:rPr>
            </w:pPr>
            <w:r w:rsidRPr="00BD7AB8">
              <w:rPr>
                <w:rFonts w:ascii="Arial" w:eastAsia="Times New Roman" w:hAnsi="Arial" w:cs="Arial"/>
                <w:color w:val="auto"/>
                <w:sz w:val="18"/>
                <w:szCs w:val="18"/>
              </w:rPr>
              <w:t>Απαλλαγή από την υποχρέωση αποπληρωμής μέρους της χρηματοδότησης στο πλαίσιο των προγραμμάτων επιστρεπτέας προκαταβολής 1-2-3.</w:t>
            </w:r>
          </w:p>
        </w:tc>
        <w:tc>
          <w:tcPr>
            <w:tcW w:w="992" w:type="dxa"/>
            <w:tcBorders>
              <w:top w:val="nil"/>
              <w:left w:val="nil"/>
              <w:bottom w:val="single" w:sz="4" w:space="0" w:color="auto"/>
              <w:right w:val="single" w:sz="4" w:space="0" w:color="auto"/>
            </w:tcBorders>
            <w:shd w:val="clear" w:color="auto" w:fill="auto"/>
            <w:noWrap/>
            <w:vAlign w:val="center"/>
            <w:hideMark/>
          </w:tcPr>
          <w:p w14:paraId="2AEE58E5" w14:textId="77777777" w:rsidR="00443209" w:rsidRPr="00BD7AB8" w:rsidRDefault="00443209" w:rsidP="00C602EF">
            <w:pPr>
              <w:spacing w:after="0" w:line="240" w:lineRule="auto"/>
              <w:jc w:val="center"/>
              <w:rPr>
                <w:rFonts w:ascii="Arial" w:eastAsia="Times New Roman" w:hAnsi="Arial" w:cs="Arial"/>
                <w:color w:val="000000"/>
                <w:sz w:val="18"/>
                <w:szCs w:val="18"/>
                <w:lang w:val="en-US"/>
              </w:rPr>
            </w:pPr>
            <w:r w:rsidRPr="00BD7AB8">
              <w:rPr>
                <w:rFonts w:ascii="Arial" w:eastAsia="Times New Roman" w:hAnsi="Arial" w:cs="Arial"/>
                <w:color w:val="000000"/>
                <w:sz w:val="18"/>
                <w:szCs w:val="18"/>
                <w:lang w:val="en-US"/>
              </w:rPr>
              <w:t>569</w:t>
            </w:r>
          </w:p>
        </w:tc>
      </w:tr>
      <w:tr w:rsidR="00443209" w:rsidRPr="00BD7AB8" w14:paraId="70479D1F" w14:textId="77777777" w:rsidTr="00C602EF">
        <w:trPr>
          <w:trHeight w:val="300"/>
        </w:trPr>
        <w:tc>
          <w:tcPr>
            <w:tcW w:w="436" w:type="dxa"/>
            <w:tcBorders>
              <w:top w:val="nil"/>
              <w:left w:val="single" w:sz="8" w:space="0" w:color="auto"/>
              <w:bottom w:val="single" w:sz="4" w:space="0" w:color="auto"/>
              <w:right w:val="single" w:sz="4" w:space="0" w:color="auto"/>
            </w:tcBorders>
            <w:shd w:val="clear" w:color="auto" w:fill="auto"/>
            <w:vAlign w:val="center"/>
            <w:hideMark/>
          </w:tcPr>
          <w:p w14:paraId="4C9A1F03" w14:textId="77777777" w:rsidR="00443209" w:rsidRPr="00BD7AB8" w:rsidRDefault="00443209" w:rsidP="00C602EF">
            <w:pPr>
              <w:spacing w:after="0" w:line="240" w:lineRule="auto"/>
              <w:jc w:val="center"/>
              <w:rPr>
                <w:rFonts w:eastAsia="Times New Roman" w:cs="Times New Roman"/>
                <w:color w:val="000000"/>
                <w:sz w:val="18"/>
                <w:szCs w:val="18"/>
                <w:lang w:val="en-US"/>
              </w:rPr>
            </w:pPr>
            <w:r w:rsidRPr="00BD7AB8">
              <w:rPr>
                <w:rFonts w:eastAsia="Times New Roman" w:cs="Times New Roman"/>
                <w:color w:val="000000"/>
                <w:sz w:val="18"/>
                <w:szCs w:val="18"/>
                <w:lang w:val="en-US"/>
              </w:rPr>
              <w:t>27</w:t>
            </w:r>
          </w:p>
        </w:tc>
        <w:tc>
          <w:tcPr>
            <w:tcW w:w="7087" w:type="dxa"/>
            <w:tcBorders>
              <w:top w:val="nil"/>
              <w:left w:val="nil"/>
              <w:bottom w:val="single" w:sz="4" w:space="0" w:color="auto"/>
              <w:right w:val="single" w:sz="4" w:space="0" w:color="auto"/>
            </w:tcBorders>
            <w:shd w:val="clear" w:color="auto" w:fill="auto"/>
            <w:vAlign w:val="center"/>
            <w:hideMark/>
          </w:tcPr>
          <w:p w14:paraId="4FA4A01D" w14:textId="77777777" w:rsidR="00443209" w:rsidRPr="00BD7AB8" w:rsidRDefault="00443209" w:rsidP="00C602EF">
            <w:pPr>
              <w:spacing w:after="0" w:line="240" w:lineRule="auto"/>
              <w:jc w:val="left"/>
              <w:rPr>
                <w:rFonts w:ascii="Arial" w:eastAsia="Times New Roman" w:hAnsi="Arial" w:cs="Arial"/>
                <w:color w:val="auto"/>
                <w:sz w:val="18"/>
                <w:szCs w:val="18"/>
              </w:rPr>
            </w:pPr>
            <w:r w:rsidRPr="00BD7AB8">
              <w:rPr>
                <w:rFonts w:ascii="Arial" w:eastAsia="Times New Roman" w:hAnsi="Arial" w:cs="Arial"/>
                <w:color w:val="auto"/>
                <w:sz w:val="18"/>
                <w:szCs w:val="18"/>
              </w:rPr>
              <w:t>Επιδότηση κεφαλαίου κίνησης σε επιχειρήσεις του κλάδου της εστίασης.</w:t>
            </w:r>
          </w:p>
        </w:tc>
        <w:tc>
          <w:tcPr>
            <w:tcW w:w="992" w:type="dxa"/>
            <w:tcBorders>
              <w:top w:val="nil"/>
              <w:left w:val="nil"/>
              <w:bottom w:val="single" w:sz="4" w:space="0" w:color="auto"/>
              <w:right w:val="single" w:sz="4" w:space="0" w:color="auto"/>
            </w:tcBorders>
            <w:shd w:val="clear" w:color="auto" w:fill="auto"/>
            <w:noWrap/>
            <w:vAlign w:val="center"/>
            <w:hideMark/>
          </w:tcPr>
          <w:p w14:paraId="799F5332" w14:textId="77777777" w:rsidR="00443209" w:rsidRPr="00BD7AB8" w:rsidRDefault="00443209" w:rsidP="00C602EF">
            <w:pPr>
              <w:spacing w:after="0" w:line="240" w:lineRule="auto"/>
              <w:jc w:val="center"/>
              <w:rPr>
                <w:rFonts w:ascii="Arial" w:eastAsia="Times New Roman" w:hAnsi="Arial" w:cs="Arial"/>
                <w:color w:val="000000"/>
                <w:sz w:val="18"/>
                <w:szCs w:val="18"/>
                <w:lang w:val="en-US"/>
              </w:rPr>
            </w:pPr>
            <w:r w:rsidRPr="00BD7AB8">
              <w:rPr>
                <w:rFonts w:ascii="Arial" w:eastAsia="Times New Roman" w:hAnsi="Arial" w:cs="Arial"/>
                <w:color w:val="000000"/>
                <w:sz w:val="18"/>
                <w:szCs w:val="18"/>
                <w:lang w:val="en-US"/>
              </w:rPr>
              <w:t>330</w:t>
            </w:r>
          </w:p>
        </w:tc>
      </w:tr>
      <w:tr w:rsidR="00443209" w:rsidRPr="00BD7AB8" w14:paraId="619151F1" w14:textId="77777777" w:rsidTr="00C602EF">
        <w:trPr>
          <w:trHeight w:val="480"/>
        </w:trPr>
        <w:tc>
          <w:tcPr>
            <w:tcW w:w="436" w:type="dxa"/>
            <w:tcBorders>
              <w:top w:val="nil"/>
              <w:left w:val="single" w:sz="8" w:space="0" w:color="auto"/>
              <w:bottom w:val="single" w:sz="4" w:space="0" w:color="auto"/>
              <w:right w:val="single" w:sz="4" w:space="0" w:color="auto"/>
            </w:tcBorders>
            <w:shd w:val="clear" w:color="auto" w:fill="auto"/>
            <w:vAlign w:val="center"/>
            <w:hideMark/>
          </w:tcPr>
          <w:p w14:paraId="0663A720" w14:textId="77777777" w:rsidR="00443209" w:rsidRPr="00BD7AB8" w:rsidRDefault="00443209" w:rsidP="00C602EF">
            <w:pPr>
              <w:spacing w:after="0" w:line="240" w:lineRule="auto"/>
              <w:jc w:val="center"/>
              <w:rPr>
                <w:rFonts w:eastAsia="Times New Roman" w:cs="Times New Roman"/>
                <w:color w:val="000000"/>
                <w:sz w:val="18"/>
                <w:szCs w:val="18"/>
                <w:lang w:val="en-US"/>
              </w:rPr>
            </w:pPr>
            <w:r w:rsidRPr="00BD7AB8">
              <w:rPr>
                <w:rFonts w:eastAsia="Times New Roman" w:cs="Times New Roman"/>
                <w:color w:val="000000"/>
                <w:sz w:val="18"/>
                <w:szCs w:val="18"/>
                <w:lang w:val="en-US"/>
              </w:rPr>
              <w:t>28</w:t>
            </w:r>
          </w:p>
        </w:tc>
        <w:tc>
          <w:tcPr>
            <w:tcW w:w="7087" w:type="dxa"/>
            <w:tcBorders>
              <w:top w:val="nil"/>
              <w:left w:val="nil"/>
              <w:bottom w:val="single" w:sz="4" w:space="0" w:color="auto"/>
              <w:right w:val="single" w:sz="4" w:space="0" w:color="auto"/>
            </w:tcBorders>
            <w:shd w:val="clear" w:color="auto" w:fill="auto"/>
            <w:vAlign w:val="center"/>
            <w:hideMark/>
          </w:tcPr>
          <w:p w14:paraId="380F29A7" w14:textId="77777777" w:rsidR="00443209" w:rsidRPr="00BD7AB8" w:rsidRDefault="00443209" w:rsidP="00C602EF">
            <w:pPr>
              <w:spacing w:after="0" w:line="240" w:lineRule="auto"/>
              <w:jc w:val="left"/>
              <w:rPr>
                <w:rFonts w:ascii="Arial" w:eastAsia="Times New Roman" w:hAnsi="Arial" w:cs="Arial"/>
                <w:color w:val="auto"/>
                <w:sz w:val="18"/>
                <w:szCs w:val="18"/>
              </w:rPr>
            </w:pPr>
            <w:r w:rsidRPr="00BD7AB8">
              <w:rPr>
                <w:rFonts w:ascii="Arial" w:eastAsia="Times New Roman" w:hAnsi="Arial" w:cs="Arial"/>
                <w:color w:val="auto"/>
                <w:sz w:val="18"/>
                <w:szCs w:val="18"/>
              </w:rPr>
              <w:t>Πρόγραμμα ΓΕΦΥΡΑ 2 για επιδότηση δόσεων δανείων μικρομεσαίων επιχειρήσεων που επλήγησαν από την πανδημία.</w:t>
            </w:r>
          </w:p>
        </w:tc>
        <w:tc>
          <w:tcPr>
            <w:tcW w:w="992" w:type="dxa"/>
            <w:tcBorders>
              <w:top w:val="nil"/>
              <w:left w:val="nil"/>
              <w:bottom w:val="single" w:sz="4" w:space="0" w:color="auto"/>
              <w:right w:val="single" w:sz="4" w:space="0" w:color="auto"/>
            </w:tcBorders>
            <w:shd w:val="clear" w:color="auto" w:fill="auto"/>
            <w:noWrap/>
            <w:vAlign w:val="center"/>
            <w:hideMark/>
          </w:tcPr>
          <w:p w14:paraId="38BDB9E5" w14:textId="77777777" w:rsidR="00443209" w:rsidRPr="00BD7AB8" w:rsidRDefault="00443209" w:rsidP="00C602EF">
            <w:pPr>
              <w:spacing w:after="0" w:line="240" w:lineRule="auto"/>
              <w:jc w:val="center"/>
              <w:rPr>
                <w:rFonts w:ascii="Arial" w:eastAsia="Times New Roman" w:hAnsi="Arial" w:cs="Arial"/>
                <w:color w:val="000000"/>
                <w:sz w:val="18"/>
                <w:szCs w:val="18"/>
                <w:lang w:val="en-US"/>
              </w:rPr>
            </w:pPr>
            <w:r w:rsidRPr="00BD7AB8">
              <w:rPr>
                <w:rFonts w:ascii="Arial" w:eastAsia="Times New Roman" w:hAnsi="Arial" w:cs="Arial"/>
                <w:color w:val="000000"/>
                <w:sz w:val="18"/>
                <w:szCs w:val="18"/>
                <w:lang w:val="en-US"/>
              </w:rPr>
              <w:t>300</w:t>
            </w:r>
          </w:p>
        </w:tc>
      </w:tr>
      <w:tr w:rsidR="00443209" w:rsidRPr="00BD7AB8" w14:paraId="2C88C3DC" w14:textId="77777777" w:rsidTr="00C602EF">
        <w:trPr>
          <w:trHeight w:val="300"/>
        </w:trPr>
        <w:tc>
          <w:tcPr>
            <w:tcW w:w="436" w:type="dxa"/>
            <w:tcBorders>
              <w:top w:val="nil"/>
              <w:left w:val="single" w:sz="8" w:space="0" w:color="auto"/>
              <w:bottom w:val="single" w:sz="4" w:space="0" w:color="auto"/>
              <w:right w:val="single" w:sz="4" w:space="0" w:color="auto"/>
            </w:tcBorders>
            <w:shd w:val="clear" w:color="auto" w:fill="auto"/>
            <w:vAlign w:val="center"/>
            <w:hideMark/>
          </w:tcPr>
          <w:p w14:paraId="1F017CE5" w14:textId="77777777" w:rsidR="00443209" w:rsidRPr="00BD7AB8" w:rsidRDefault="00443209" w:rsidP="00C602EF">
            <w:pPr>
              <w:spacing w:after="0" w:line="240" w:lineRule="auto"/>
              <w:jc w:val="center"/>
              <w:rPr>
                <w:rFonts w:eastAsia="Times New Roman" w:cs="Times New Roman"/>
                <w:color w:val="000000"/>
                <w:sz w:val="18"/>
                <w:szCs w:val="18"/>
                <w:lang w:val="en-US"/>
              </w:rPr>
            </w:pPr>
            <w:r w:rsidRPr="00BD7AB8">
              <w:rPr>
                <w:rFonts w:eastAsia="Times New Roman" w:cs="Times New Roman"/>
                <w:color w:val="000000"/>
                <w:sz w:val="18"/>
                <w:szCs w:val="18"/>
                <w:lang w:val="en-US"/>
              </w:rPr>
              <w:t>29</w:t>
            </w:r>
          </w:p>
        </w:tc>
        <w:tc>
          <w:tcPr>
            <w:tcW w:w="7087" w:type="dxa"/>
            <w:tcBorders>
              <w:top w:val="nil"/>
              <w:left w:val="nil"/>
              <w:bottom w:val="single" w:sz="4" w:space="0" w:color="auto"/>
              <w:right w:val="single" w:sz="4" w:space="0" w:color="auto"/>
            </w:tcBorders>
            <w:shd w:val="clear" w:color="auto" w:fill="auto"/>
            <w:vAlign w:val="center"/>
            <w:hideMark/>
          </w:tcPr>
          <w:p w14:paraId="172117B7" w14:textId="77777777" w:rsidR="00443209" w:rsidRPr="00BD7AB8" w:rsidRDefault="00443209" w:rsidP="00C602EF">
            <w:pPr>
              <w:spacing w:after="0" w:line="240" w:lineRule="auto"/>
              <w:jc w:val="left"/>
              <w:rPr>
                <w:rFonts w:ascii="Arial" w:eastAsia="Times New Roman" w:hAnsi="Arial" w:cs="Arial"/>
                <w:color w:val="auto"/>
                <w:sz w:val="18"/>
                <w:szCs w:val="18"/>
              </w:rPr>
            </w:pPr>
            <w:r w:rsidRPr="00BD7AB8">
              <w:rPr>
                <w:rFonts w:ascii="Arial" w:eastAsia="Times New Roman" w:hAnsi="Arial" w:cs="Arial"/>
                <w:color w:val="auto"/>
                <w:sz w:val="18"/>
                <w:szCs w:val="18"/>
              </w:rPr>
              <w:t>Πρόγραμμα αποζημίωσης παγίων δαπανών επιχειρήσεων έναντι μελλοντικών ασφαλιστικών υποχρεώσεων.</w:t>
            </w:r>
          </w:p>
        </w:tc>
        <w:tc>
          <w:tcPr>
            <w:tcW w:w="992" w:type="dxa"/>
            <w:tcBorders>
              <w:top w:val="nil"/>
              <w:left w:val="nil"/>
              <w:bottom w:val="single" w:sz="4" w:space="0" w:color="auto"/>
              <w:right w:val="single" w:sz="4" w:space="0" w:color="auto"/>
            </w:tcBorders>
            <w:shd w:val="clear" w:color="auto" w:fill="auto"/>
            <w:noWrap/>
            <w:vAlign w:val="center"/>
            <w:hideMark/>
          </w:tcPr>
          <w:p w14:paraId="6B9775A2" w14:textId="77777777" w:rsidR="00443209" w:rsidRPr="00BD7AB8" w:rsidRDefault="00443209" w:rsidP="00C602EF">
            <w:pPr>
              <w:spacing w:after="0" w:line="240" w:lineRule="auto"/>
              <w:jc w:val="center"/>
              <w:rPr>
                <w:rFonts w:ascii="Arial" w:eastAsia="Times New Roman" w:hAnsi="Arial" w:cs="Arial"/>
                <w:color w:val="000000"/>
                <w:sz w:val="18"/>
                <w:szCs w:val="18"/>
                <w:lang w:val="en-US"/>
              </w:rPr>
            </w:pPr>
            <w:r w:rsidRPr="00BD7AB8">
              <w:rPr>
                <w:rFonts w:ascii="Arial" w:eastAsia="Times New Roman" w:hAnsi="Arial" w:cs="Arial"/>
                <w:color w:val="000000"/>
                <w:sz w:val="18"/>
                <w:szCs w:val="18"/>
                <w:lang w:val="en-US"/>
              </w:rPr>
              <w:t>250</w:t>
            </w:r>
          </w:p>
        </w:tc>
      </w:tr>
      <w:tr w:rsidR="00443209" w:rsidRPr="00BD7AB8" w14:paraId="6D5A77AA" w14:textId="77777777" w:rsidTr="00C602EF">
        <w:trPr>
          <w:trHeight w:val="300"/>
        </w:trPr>
        <w:tc>
          <w:tcPr>
            <w:tcW w:w="436" w:type="dxa"/>
            <w:tcBorders>
              <w:top w:val="nil"/>
              <w:left w:val="single" w:sz="8" w:space="0" w:color="auto"/>
              <w:bottom w:val="single" w:sz="4" w:space="0" w:color="auto"/>
              <w:right w:val="single" w:sz="4" w:space="0" w:color="auto"/>
            </w:tcBorders>
            <w:shd w:val="clear" w:color="auto" w:fill="auto"/>
            <w:vAlign w:val="center"/>
            <w:hideMark/>
          </w:tcPr>
          <w:p w14:paraId="15CE9A14" w14:textId="77777777" w:rsidR="00443209" w:rsidRPr="00BD7AB8" w:rsidRDefault="00443209" w:rsidP="00C602EF">
            <w:pPr>
              <w:spacing w:after="0" w:line="240" w:lineRule="auto"/>
              <w:jc w:val="center"/>
              <w:rPr>
                <w:rFonts w:eastAsia="Times New Roman" w:cs="Times New Roman"/>
                <w:color w:val="000000"/>
                <w:sz w:val="18"/>
                <w:szCs w:val="18"/>
                <w:lang w:val="en-US"/>
              </w:rPr>
            </w:pPr>
            <w:r w:rsidRPr="00BD7AB8">
              <w:rPr>
                <w:rFonts w:eastAsia="Times New Roman" w:cs="Times New Roman"/>
                <w:color w:val="000000"/>
                <w:sz w:val="18"/>
                <w:szCs w:val="18"/>
                <w:lang w:val="en-US"/>
              </w:rPr>
              <w:t>30</w:t>
            </w:r>
          </w:p>
        </w:tc>
        <w:tc>
          <w:tcPr>
            <w:tcW w:w="7087" w:type="dxa"/>
            <w:tcBorders>
              <w:top w:val="nil"/>
              <w:left w:val="nil"/>
              <w:bottom w:val="single" w:sz="4" w:space="0" w:color="auto"/>
              <w:right w:val="single" w:sz="4" w:space="0" w:color="auto"/>
            </w:tcBorders>
            <w:shd w:val="clear" w:color="auto" w:fill="auto"/>
            <w:vAlign w:val="center"/>
            <w:hideMark/>
          </w:tcPr>
          <w:p w14:paraId="31F9ABDC" w14:textId="77777777" w:rsidR="00443209" w:rsidRPr="00BD7AB8" w:rsidRDefault="00443209" w:rsidP="00C602EF">
            <w:pPr>
              <w:spacing w:after="0" w:line="240" w:lineRule="auto"/>
              <w:jc w:val="left"/>
              <w:rPr>
                <w:rFonts w:ascii="Arial" w:eastAsia="Times New Roman" w:hAnsi="Arial" w:cs="Arial"/>
                <w:color w:val="auto"/>
                <w:sz w:val="18"/>
                <w:szCs w:val="18"/>
                <w:lang w:val="en-US"/>
              </w:rPr>
            </w:pPr>
            <w:r w:rsidRPr="00BD7AB8">
              <w:rPr>
                <w:rFonts w:ascii="Arial" w:eastAsia="Times New Roman" w:hAnsi="Arial" w:cs="Arial"/>
                <w:color w:val="auto"/>
                <w:sz w:val="18"/>
                <w:szCs w:val="18"/>
                <w:lang w:val="en-US"/>
              </w:rPr>
              <w:t>Πρόγραμμα επιδότησης ξενοδοχειακών επιχειρήσεων.</w:t>
            </w:r>
          </w:p>
        </w:tc>
        <w:tc>
          <w:tcPr>
            <w:tcW w:w="992" w:type="dxa"/>
            <w:tcBorders>
              <w:top w:val="nil"/>
              <w:left w:val="nil"/>
              <w:bottom w:val="single" w:sz="4" w:space="0" w:color="auto"/>
              <w:right w:val="single" w:sz="4" w:space="0" w:color="auto"/>
            </w:tcBorders>
            <w:shd w:val="clear" w:color="auto" w:fill="auto"/>
            <w:noWrap/>
            <w:vAlign w:val="center"/>
            <w:hideMark/>
          </w:tcPr>
          <w:p w14:paraId="5242F269" w14:textId="77777777" w:rsidR="00443209" w:rsidRPr="00BD7AB8" w:rsidRDefault="00443209" w:rsidP="00C602EF">
            <w:pPr>
              <w:spacing w:after="0" w:line="240" w:lineRule="auto"/>
              <w:jc w:val="center"/>
              <w:rPr>
                <w:rFonts w:ascii="Arial" w:eastAsia="Times New Roman" w:hAnsi="Arial" w:cs="Arial"/>
                <w:color w:val="000000"/>
                <w:sz w:val="18"/>
                <w:szCs w:val="18"/>
                <w:lang w:val="en-US"/>
              </w:rPr>
            </w:pPr>
            <w:r w:rsidRPr="00BD7AB8">
              <w:rPr>
                <w:rFonts w:ascii="Arial" w:eastAsia="Times New Roman" w:hAnsi="Arial" w:cs="Arial"/>
                <w:color w:val="000000"/>
                <w:sz w:val="18"/>
                <w:szCs w:val="18"/>
                <w:lang w:val="en-US"/>
              </w:rPr>
              <w:t>370</w:t>
            </w:r>
          </w:p>
        </w:tc>
      </w:tr>
      <w:tr w:rsidR="00443209" w:rsidRPr="00BD7AB8" w14:paraId="7CBE375C" w14:textId="77777777" w:rsidTr="00C602EF">
        <w:trPr>
          <w:trHeight w:val="300"/>
        </w:trPr>
        <w:tc>
          <w:tcPr>
            <w:tcW w:w="436" w:type="dxa"/>
            <w:tcBorders>
              <w:top w:val="nil"/>
              <w:left w:val="single" w:sz="8" w:space="0" w:color="auto"/>
              <w:bottom w:val="single" w:sz="4" w:space="0" w:color="auto"/>
              <w:right w:val="single" w:sz="4" w:space="0" w:color="auto"/>
            </w:tcBorders>
            <w:shd w:val="clear" w:color="auto" w:fill="auto"/>
            <w:vAlign w:val="center"/>
            <w:hideMark/>
          </w:tcPr>
          <w:p w14:paraId="42ADA693" w14:textId="77777777" w:rsidR="00443209" w:rsidRPr="00BD7AB8" w:rsidRDefault="00443209" w:rsidP="00C602EF">
            <w:pPr>
              <w:spacing w:after="0" w:line="240" w:lineRule="auto"/>
              <w:jc w:val="center"/>
              <w:rPr>
                <w:rFonts w:eastAsia="Times New Roman" w:cs="Times New Roman"/>
                <w:color w:val="000000"/>
                <w:sz w:val="18"/>
                <w:szCs w:val="18"/>
                <w:lang w:val="en-US"/>
              </w:rPr>
            </w:pPr>
            <w:r w:rsidRPr="00BD7AB8">
              <w:rPr>
                <w:rFonts w:eastAsia="Times New Roman" w:cs="Times New Roman"/>
                <w:color w:val="000000"/>
                <w:sz w:val="18"/>
                <w:szCs w:val="18"/>
                <w:lang w:val="en-US"/>
              </w:rPr>
              <w:t>31</w:t>
            </w:r>
          </w:p>
        </w:tc>
        <w:tc>
          <w:tcPr>
            <w:tcW w:w="7087" w:type="dxa"/>
            <w:tcBorders>
              <w:top w:val="nil"/>
              <w:left w:val="nil"/>
              <w:bottom w:val="single" w:sz="4" w:space="0" w:color="auto"/>
              <w:right w:val="single" w:sz="4" w:space="0" w:color="auto"/>
            </w:tcBorders>
            <w:shd w:val="clear" w:color="auto" w:fill="auto"/>
            <w:vAlign w:val="center"/>
            <w:hideMark/>
          </w:tcPr>
          <w:p w14:paraId="1ADC2BF2" w14:textId="77777777" w:rsidR="00443209" w:rsidRPr="00BD7AB8" w:rsidRDefault="00443209" w:rsidP="00C602EF">
            <w:pPr>
              <w:spacing w:after="0" w:line="240" w:lineRule="auto"/>
              <w:jc w:val="left"/>
              <w:rPr>
                <w:rFonts w:ascii="Arial" w:eastAsia="Times New Roman" w:hAnsi="Arial" w:cs="Arial"/>
                <w:color w:val="auto"/>
                <w:sz w:val="18"/>
                <w:szCs w:val="18"/>
                <w:lang w:val="en-US"/>
              </w:rPr>
            </w:pPr>
            <w:r w:rsidRPr="00BD7AB8">
              <w:rPr>
                <w:rFonts w:ascii="Arial" w:eastAsia="Times New Roman" w:hAnsi="Arial" w:cs="Arial"/>
                <w:color w:val="auto"/>
                <w:sz w:val="18"/>
                <w:szCs w:val="18"/>
                <w:lang w:val="en-US"/>
              </w:rPr>
              <w:t>Κόστος εμβολιαστικού προγράμματος.</w:t>
            </w:r>
          </w:p>
        </w:tc>
        <w:tc>
          <w:tcPr>
            <w:tcW w:w="992" w:type="dxa"/>
            <w:tcBorders>
              <w:top w:val="nil"/>
              <w:left w:val="nil"/>
              <w:bottom w:val="single" w:sz="4" w:space="0" w:color="auto"/>
              <w:right w:val="single" w:sz="4" w:space="0" w:color="auto"/>
            </w:tcBorders>
            <w:shd w:val="clear" w:color="auto" w:fill="auto"/>
            <w:noWrap/>
            <w:vAlign w:val="center"/>
            <w:hideMark/>
          </w:tcPr>
          <w:p w14:paraId="0B8EB4E4" w14:textId="77777777" w:rsidR="00443209" w:rsidRPr="00BD7AB8" w:rsidRDefault="00443209" w:rsidP="00C602EF">
            <w:pPr>
              <w:spacing w:after="0" w:line="240" w:lineRule="auto"/>
              <w:jc w:val="center"/>
              <w:rPr>
                <w:rFonts w:ascii="Arial" w:eastAsia="Times New Roman" w:hAnsi="Arial" w:cs="Arial"/>
                <w:color w:val="000000"/>
                <w:sz w:val="18"/>
                <w:szCs w:val="18"/>
                <w:lang w:val="en-US"/>
              </w:rPr>
            </w:pPr>
            <w:r w:rsidRPr="00BD7AB8">
              <w:rPr>
                <w:rFonts w:ascii="Arial" w:eastAsia="Times New Roman" w:hAnsi="Arial" w:cs="Arial"/>
                <w:color w:val="000000"/>
                <w:sz w:val="18"/>
                <w:szCs w:val="18"/>
                <w:lang w:val="en-US"/>
              </w:rPr>
              <w:t>294</w:t>
            </w:r>
          </w:p>
        </w:tc>
      </w:tr>
      <w:tr w:rsidR="00443209" w:rsidRPr="00BD7AB8" w14:paraId="7D5AFE80" w14:textId="77777777" w:rsidTr="00C602EF">
        <w:trPr>
          <w:trHeight w:val="300"/>
        </w:trPr>
        <w:tc>
          <w:tcPr>
            <w:tcW w:w="436" w:type="dxa"/>
            <w:tcBorders>
              <w:top w:val="nil"/>
              <w:left w:val="single" w:sz="8" w:space="0" w:color="auto"/>
              <w:bottom w:val="single" w:sz="4" w:space="0" w:color="auto"/>
              <w:right w:val="single" w:sz="4" w:space="0" w:color="auto"/>
            </w:tcBorders>
            <w:shd w:val="clear" w:color="auto" w:fill="auto"/>
            <w:vAlign w:val="center"/>
            <w:hideMark/>
          </w:tcPr>
          <w:p w14:paraId="285ECEE4" w14:textId="77777777" w:rsidR="00443209" w:rsidRPr="00BD7AB8" w:rsidRDefault="00443209" w:rsidP="00C602EF">
            <w:pPr>
              <w:spacing w:after="0" w:line="240" w:lineRule="auto"/>
              <w:jc w:val="center"/>
              <w:rPr>
                <w:rFonts w:eastAsia="Times New Roman" w:cs="Times New Roman"/>
                <w:color w:val="000000"/>
                <w:sz w:val="18"/>
                <w:szCs w:val="18"/>
                <w:lang w:val="en-US"/>
              </w:rPr>
            </w:pPr>
            <w:r w:rsidRPr="00BD7AB8">
              <w:rPr>
                <w:rFonts w:eastAsia="Times New Roman" w:cs="Times New Roman"/>
                <w:color w:val="000000"/>
                <w:sz w:val="18"/>
                <w:szCs w:val="18"/>
                <w:lang w:val="en-US"/>
              </w:rPr>
              <w:t>32</w:t>
            </w:r>
          </w:p>
        </w:tc>
        <w:tc>
          <w:tcPr>
            <w:tcW w:w="7087" w:type="dxa"/>
            <w:tcBorders>
              <w:top w:val="nil"/>
              <w:left w:val="nil"/>
              <w:bottom w:val="single" w:sz="4" w:space="0" w:color="auto"/>
              <w:right w:val="single" w:sz="4" w:space="0" w:color="auto"/>
            </w:tcBorders>
            <w:shd w:val="clear" w:color="auto" w:fill="auto"/>
            <w:vAlign w:val="center"/>
            <w:hideMark/>
          </w:tcPr>
          <w:p w14:paraId="5833CE14" w14:textId="77777777" w:rsidR="00443209" w:rsidRPr="00BD7AB8" w:rsidRDefault="00443209" w:rsidP="00C602EF">
            <w:pPr>
              <w:spacing w:after="0" w:line="240" w:lineRule="auto"/>
              <w:jc w:val="left"/>
              <w:rPr>
                <w:rFonts w:ascii="Arial" w:eastAsia="Times New Roman" w:hAnsi="Arial" w:cs="Arial"/>
                <w:color w:val="auto"/>
                <w:sz w:val="18"/>
                <w:szCs w:val="18"/>
              </w:rPr>
            </w:pPr>
            <w:r w:rsidRPr="00BD7AB8">
              <w:rPr>
                <w:rFonts w:ascii="Arial" w:eastAsia="Times New Roman" w:hAnsi="Arial" w:cs="Arial"/>
                <w:color w:val="auto"/>
                <w:sz w:val="18"/>
                <w:szCs w:val="18"/>
              </w:rPr>
              <w:t>Πρόγραμμα μαζικών διαγνωστικών τεστ κορονοϊού.</w:t>
            </w:r>
          </w:p>
        </w:tc>
        <w:tc>
          <w:tcPr>
            <w:tcW w:w="992" w:type="dxa"/>
            <w:tcBorders>
              <w:top w:val="nil"/>
              <w:left w:val="nil"/>
              <w:bottom w:val="single" w:sz="4" w:space="0" w:color="auto"/>
              <w:right w:val="single" w:sz="4" w:space="0" w:color="auto"/>
            </w:tcBorders>
            <w:shd w:val="clear" w:color="auto" w:fill="auto"/>
            <w:noWrap/>
            <w:vAlign w:val="center"/>
            <w:hideMark/>
          </w:tcPr>
          <w:p w14:paraId="5675B985" w14:textId="77777777" w:rsidR="00443209" w:rsidRPr="00BD7AB8" w:rsidRDefault="00443209" w:rsidP="00C602EF">
            <w:pPr>
              <w:spacing w:after="0" w:line="240" w:lineRule="auto"/>
              <w:jc w:val="center"/>
              <w:rPr>
                <w:rFonts w:ascii="Arial" w:eastAsia="Times New Roman" w:hAnsi="Arial" w:cs="Arial"/>
                <w:color w:val="000000"/>
                <w:sz w:val="18"/>
                <w:szCs w:val="18"/>
                <w:lang w:val="en-US"/>
              </w:rPr>
            </w:pPr>
            <w:r w:rsidRPr="00BD7AB8">
              <w:rPr>
                <w:rFonts w:ascii="Arial" w:eastAsia="Times New Roman" w:hAnsi="Arial" w:cs="Arial"/>
                <w:color w:val="000000"/>
                <w:sz w:val="18"/>
                <w:szCs w:val="18"/>
                <w:lang w:val="en-US"/>
              </w:rPr>
              <w:t>115</w:t>
            </w:r>
          </w:p>
        </w:tc>
      </w:tr>
      <w:tr w:rsidR="00443209" w:rsidRPr="00BD7AB8" w14:paraId="03C73900" w14:textId="77777777" w:rsidTr="00C602EF">
        <w:trPr>
          <w:trHeight w:val="480"/>
        </w:trPr>
        <w:tc>
          <w:tcPr>
            <w:tcW w:w="436" w:type="dxa"/>
            <w:tcBorders>
              <w:top w:val="nil"/>
              <w:left w:val="single" w:sz="8" w:space="0" w:color="auto"/>
              <w:bottom w:val="single" w:sz="4" w:space="0" w:color="auto"/>
              <w:right w:val="single" w:sz="4" w:space="0" w:color="auto"/>
            </w:tcBorders>
            <w:shd w:val="clear" w:color="auto" w:fill="auto"/>
            <w:vAlign w:val="center"/>
            <w:hideMark/>
          </w:tcPr>
          <w:p w14:paraId="26E276E1" w14:textId="77777777" w:rsidR="00443209" w:rsidRPr="00BD7AB8" w:rsidRDefault="00443209" w:rsidP="00C602EF">
            <w:pPr>
              <w:spacing w:after="0" w:line="240" w:lineRule="auto"/>
              <w:jc w:val="center"/>
              <w:rPr>
                <w:rFonts w:eastAsia="Times New Roman" w:cs="Times New Roman"/>
                <w:color w:val="000000"/>
                <w:sz w:val="18"/>
                <w:szCs w:val="18"/>
                <w:lang w:val="en-US"/>
              </w:rPr>
            </w:pPr>
            <w:r w:rsidRPr="00BD7AB8">
              <w:rPr>
                <w:rFonts w:eastAsia="Times New Roman" w:cs="Times New Roman"/>
                <w:color w:val="000000"/>
                <w:sz w:val="18"/>
                <w:szCs w:val="18"/>
                <w:lang w:val="en-US"/>
              </w:rPr>
              <w:t>33</w:t>
            </w:r>
          </w:p>
        </w:tc>
        <w:tc>
          <w:tcPr>
            <w:tcW w:w="7087" w:type="dxa"/>
            <w:tcBorders>
              <w:top w:val="nil"/>
              <w:left w:val="nil"/>
              <w:bottom w:val="single" w:sz="4" w:space="0" w:color="auto"/>
              <w:right w:val="single" w:sz="4" w:space="0" w:color="auto"/>
            </w:tcBorders>
            <w:shd w:val="clear" w:color="auto" w:fill="auto"/>
            <w:vAlign w:val="center"/>
            <w:hideMark/>
          </w:tcPr>
          <w:p w14:paraId="58F74B50" w14:textId="77777777" w:rsidR="00443209" w:rsidRPr="00BD7AB8" w:rsidRDefault="00443209" w:rsidP="00C602EF">
            <w:pPr>
              <w:spacing w:after="0" w:line="240" w:lineRule="auto"/>
              <w:jc w:val="left"/>
              <w:rPr>
                <w:rFonts w:ascii="Arial" w:eastAsia="Times New Roman" w:hAnsi="Arial" w:cs="Arial"/>
                <w:color w:val="auto"/>
                <w:sz w:val="18"/>
                <w:szCs w:val="18"/>
              </w:rPr>
            </w:pPr>
            <w:r w:rsidRPr="00BD7AB8">
              <w:rPr>
                <w:rFonts w:ascii="Arial" w:eastAsia="Times New Roman" w:hAnsi="Arial" w:cs="Arial"/>
                <w:color w:val="auto"/>
                <w:sz w:val="18"/>
                <w:szCs w:val="18"/>
              </w:rPr>
              <w:t>Λοιπές επιχορηγήσεις για την ενίσχυση του πρωτογενούς τομέα, του πολιτισμού και την προώθηση της απασχόλησης.</w:t>
            </w:r>
          </w:p>
        </w:tc>
        <w:tc>
          <w:tcPr>
            <w:tcW w:w="992" w:type="dxa"/>
            <w:tcBorders>
              <w:top w:val="nil"/>
              <w:left w:val="nil"/>
              <w:bottom w:val="single" w:sz="4" w:space="0" w:color="auto"/>
              <w:right w:val="single" w:sz="4" w:space="0" w:color="auto"/>
            </w:tcBorders>
            <w:shd w:val="clear" w:color="auto" w:fill="auto"/>
            <w:noWrap/>
            <w:vAlign w:val="center"/>
            <w:hideMark/>
          </w:tcPr>
          <w:p w14:paraId="22111109" w14:textId="77777777" w:rsidR="00443209" w:rsidRPr="00BD7AB8" w:rsidRDefault="00443209" w:rsidP="00C602EF">
            <w:pPr>
              <w:spacing w:after="0" w:line="240" w:lineRule="auto"/>
              <w:jc w:val="center"/>
              <w:rPr>
                <w:rFonts w:ascii="Arial" w:eastAsia="Times New Roman" w:hAnsi="Arial" w:cs="Arial"/>
                <w:color w:val="000000"/>
                <w:sz w:val="18"/>
                <w:szCs w:val="18"/>
                <w:lang w:val="en-US"/>
              </w:rPr>
            </w:pPr>
            <w:r w:rsidRPr="00BD7AB8">
              <w:rPr>
                <w:rFonts w:ascii="Arial" w:eastAsia="Times New Roman" w:hAnsi="Arial" w:cs="Arial"/>
                <w:color w:val="000000"/>
                <w:sz w:val="18"/>
                <w:szCs w:val="18"/>
                <w:lang w:val="en-US"/>
              </w:rPr>
              <w:t>239</w:t>
            </w:r>
          </w:p>
        </w:tc>
      </w:tr>
      <w:tr w:rsidR="00443209" w:rsidRPr="00BD7AB8" w14:paraId="1B4DE2F2" w14:textId="77777777" w:rsidTr="00C602EF">
        <w:trPr>
          <w:trHeight w:val="480"/>
        </w:trPr>
        <w:tc>
          <w:tcPr>
            <w:tcW w:w="436" w:type="dxa"/>
            <w:tcBorders>
              <w:top w:val="nil"/>
              <w:left w:val="single" w:sz="8" w:space="0" w:color="auto"/>
              <w:bottom w:val="single" w:sz="4" w:space="0" w:color="auto"/>
              <w:right w:val="single" w:sz="4" w:space="0" w:color="auto"/>
            </w:tcBorders>
            <w:shd w:val="clear" w:color="auto" w:fill="auto"/>
            <w:vAlign w:val="center"/>
            <w:hideMark/>
          </w:tcPr>
          <w:p w14:paraId="0CE2675B" w14:textId="77777777" w:rsidR="00443209" w:rsidRPr="00BD7AB8" w:rsidRDefault="00443209" w:rsidP="00C602EF">
            <w:pPr>
              <w:spacing w:after="0" w:line="240" w:lineRule="auto"/>
              <w:jc w:val="center"/>
              <w:rPr>
                <w:rFonts w:eastAsia="Times New Roman" w:cs="Times New Roman"/>
                <w:color w:val="000000"/>
                <w:sz w:val="18"/>
                <w:szCs w:val="18"/>
                <w:lang w:val="en-US"/>
              </w:rPr>
            </w:pPr>
            <w:r w:rsidRPr="00BD7AB8">
              <w:rPr>
                <w:rFonts w:eastAsia="Times New Roman" w:cs="Times New Roman"/>
                <w:color w:val="000000"/>
                <w:sz w:val="18"/>
                <w:szCs w:val="18"/>
                <w:lang w:val="en-US"/>
              </w:rPr>
              <w:t>34</w:t>
            </w:r>
          </w:p>
        </w:tc>
        <w:tc>
          <w:tcPr>
            <w:tcW w:w="7087" w:type="dxa"/>
            <w:tcBorders>
              <w:top w:val="nil"/>
              <w:left w:val="nil"/>
              <w:bottom w:val="single" w:sz="4" w:space="0" w:color="auto"/>
              <w:right w:val="single" w:sz="4" w:space="0" w:color="auto"/>
            </w:tcBorders>
            <w:shd w:val="clear" w:color="auto" w:fill="auto"/>
            <w:vAlign w:val="center"/>
            <w:hideMark/>
          </w:tcPr>
          <w:p w14:paraId="64A3C3EE" w14:textId="77777777" w:rsidR="00443209" w:rsidRPr="00BD7AB8" w:rsidRDefault="00443209" w:rsidP="00C602EF">
            <w:pPr>
              <w:spacing w:after="0" w:line="240" w:lineRule="auto"/>
              <w:jc w:val="left"/>
              <w:rPr>
                <w:rFonts w:ascii="Arial" w:eastAsia="Times New Roman" w:hAnsi="Arial" w:cs="Arial"/>
                <w:color w:val="auto"/>
                <w:sz w:val="18"/>
                <w:szCs w:val="18"/>
              </w:rPr>
            </w:pPr>
            <w:r w:rsidRPr="00BD7AB8">
              <w:rPr>
                <w:rFonts w:ascii="Arial" w:eastAsia="Times New Roman" w:hAnsi="Arial" w:cs="Arial"/>
                <w:color w:val="auto"/>
                <w:sz w:val="18"/>
                <w:szCs w:val="18"/>
              </w:rPr>
              <w:t>Μέτρα προώθησης του τουρισμού (συμπεριλαμβανομένων των προγραμμάτων κοινωνικού τουρισμού και των δαπανών διαφήμισης του ΕΟΤ).</w:t>
            </w:r>
          </w:p>
        </w:tc>
        <w:tc>
          <w:tcPr>
            <w:tcW w:w="992" w:type="dxa"/>
            <w:tcBorders>
              <w:top w:val="nil"/>
              <w:left w:val="nil"/>
              <w:bottom w:val="single" w:sz="4" w:space="0" w:color="auto"/>
              <w:right w:val="single" w:sz="4" w:space="0" w:color="auto"/>
            </w:tcBorders>
            <w:shd w:val="clear" w:color="auto" w:fill="auto"/>
            <w:noWrap/>
            <w:vAlign w:val="center"/>
            <w:hideMark/>
          </w:tcPr>
          <w:p w14:paraId="79A0724D" w14:textId="77777777" w:rsidR="00443209" w:rsidRPr="00BD7AB8" w:rsidRDefault="00443209" w:rsidP="00C602EF">
            <w:pPr>
              <w:spacing w:after="0" w:line="240" w:lineRule="auto"/>
              <w:jc w:val="center"/>
              <w:rPr>
                <w:rFonts w:ascii="Arial" w:eastAsia="Times New Roman" w:hAnsi="Arial" w:cs="Arial"/>
                <w:color w:val="000000"/>
                <w:sz w:val="18"/>
                <w:szCs w:val="18"/>
                <w:lang w:val="en-US"/>
              </w:rPr>
            </w:pPr>
            <w:r w:rsidRPr="00BD7AB8">
              <w:rPr>
                <w:rFonts w:ascii="Arial" w:eastAsia="Times New Roman" w:hAnsi="Arial" w:cs="Arial"/>
                <w:color w:val="000000"/>
                <w:sz w:val="18"/>
                <w:szCs w:val="18"/>
                <w:lang w:val="en-US"/>
              </w:rPr>
              <w:t>97</w:t>
            </w:r>
          </w:p>
        </w:tc>
      </w:tr>
      <w:tr w:rsidR="00443209" w:rsidRPr="00BD7AB8" w14:paraId="1A4383BC" w14:textId="77777777" w:rsidTr="00C602EF">
        <w:trPr>
          <w:trHeight w:val="315"/>
        </w:trPr>
        <w:tc>
          <w:tcPr>
            <w:tcW w:w="7523" w:type="dxa"/>
            <w:gridSpan w:val="2"/>
            <w:tcBorders>
              <w:top w:val="single" w:sz="4" w:space="0" w:color="auto"/>
              <w:left w:val="single" w:sz="8" w:space="0" w:color="auto"/>
              <w:bottom w:val="single" w:sz="8" w:space="0" w:color="auto"/>
              <w:right w:val="single" w:sz="4" w:space="0" w:color="000000"/>
            </w:tcBorders>
            <w:shd w:val="clear" w:color="000000" w:fill="00B0F0"/>
            <w:vAlign w:val="center"/>
            <w:hideMark/>
          </w:tcPr>
          <w:p w14:paraId="160811D8" w14:textId="77777777" w:rsidR="00443209" w:rsidRPr="00BD7AB8" w:rsidRDefault="00443209" w:rsidP="00C602EF">
            <w:pPr>
              <w:spacing w:after="0" w:line="240" w:lineRule="auto"/>
              <w:jc w:val="center"/>
              <w:rPr>
                <w:rFonts w:eastAsia="Times New Roman" w:cs="Times New Roman"/>
                <w:b/>
                <w:bCs/>
                <w:color w:val="000000"/>
                <w:sz w:val="18"/>
                <w:szCs w:val="18"/>
              </w:rPr>
            </w:pPr>
            <w:r w:rsidRPr="00BD7AB8">
              <w:rPr>
                <w:rFonts w:eastAsia="Times New Roman" w:cs="Times New Roman"/>
                <w:b/>
                <w:bCs/>
                <w:color w:val="000000"/>
                <w:sz w:val="18"/>
                <w:szCs w:val="18"/>
              </w:rPr>
              <w:t>Συνολικό δημοσιονομικό κόστος των παρεμβάσεων (Α+Β)</w:t>
            </w:r>
          </w:p>
        </w:tc>
        <w:tc>
          <w:tcPr>
            <w:tcW w:w="992" w:type="dxa"/>
            <w:tcBorders>
              <w:top w:val="nil"/>
              <w:left w:val="nil"/>
              <w:bottom w:val="single" w:sz="8" w:space="0" w:color="auto"/>
              <w:right w:val="single" w:sz="8" w:space="0" w:color="auto"/>
            </w:tcBorders>
            <w:shd w:val="clear" w:color="000000" w:fill="00B0F0"/>
            <w:vAlign w:val="center"/>
            <w:hideMark/>
          </w:tcPr>
          <w:p w14:paraId="4EA13A39" w14:textId="77777777" w:rsidR="00443209" w:rsidRPr="00BD7AB8" w:rsidRDefault="00443209" w:rsidP="00C602EF">
            <w:pPr>
              <w:spacing w:after="0" w:line="240" w:lineRule="auto"/>
              <w:jc w:val="center"/>
              <w:rPr>
                <w:rFonts w:eastAsia="Times New Roman" w:cs="Times New Roman"/>
                <w:b/>
                <w:bCs/>
                <w:color w:val="000000"/>
                <w:sz w:val="18"/>
                <w:szCs w:val="18"/>
                <w:lang w:val="en-US"/>
              </w:rPr>
            </w:pPr>
            <w:r w:rsidRPr="00BD7AB8">
              <w:rPr>
                <w:rFonts w:eastAsia="Times New Roman" w:cs="Times New Roman"/>
                <w:b/>
                <w:bCs/>
                <w:color w:val="000000"/>
                <w:sz w:val="18"/>
                <w:szCs w:val="18"/>
                <w:lang w:val="en-US"/>
              </w:rPr>
              <w:t>14.237</w:t>
            </w:r>
          </w:p>
        </w:tc>
      </w:tr>
    </w:tbl>
    <w:p w14:paraId="2B2193C5" w14:textId="77777777" w:rsidR="00443209" w:rsidRPr="000C3F7B" w:rsidRDefault="00443209" w:rsidP="00443209">
      <w:pPr>
        <w:spacing w:before="120" w:after="120"/>
        <w:rPr>
          <w:sz w:val="18"/>
          <w:szCs w:val="18"/>
        </w:rPr>
      </w:pPr>
      <w:r w:rsidRPr="000C3F7B">
        <w:rPr>
          <w:b/>
          <w:sz w:val="16"/>
          <w:szCs w:val="16"/>
        </w:rPr>
        <w:t>Πηγή:</w:t>
      </w:r>
      <w:r w:rsidRPr="000C3F7B">
        <w:rPr>
          <w:sz w:val="16"/>
          <w:szCs w:val="16"/>
        </w:rPr>
        <w:t xml:space="preserve"> </w:t>
      </w:r>
      <w:r>
        <w:rPr>
          <w:iCs/>
          <w:noProof/>
          <w:color w:val="00A3E0"/>
          <w:sz w:val="16"/>
          <w:szCs w:val="16"/>
        </w:rPr>
        <w:t>Υπουργείο Οικονομιικών – Πρόγραμμα Σταθερότητας 2021 (επεξεργασία ΕΔΣ)</w:t>
      </w:r>
      <w:r w:rsidRPr="000C3F7B">
        <w:rPr>
          <w:iCs/>
          <w:noProof/>
          <w:color w:val="00A3E0"/>
          <w:sz w:val="16"/>
          <w:szCs w:val="16"/>
        </w:rPr>
        <w:t>.</w:t>
      </w:r>
      <w:r>
        <w:rPr>
          <w:iCs/>
          <w:noProof/>
          <w:color w:val="00A3E0"/>
          <w:sz w:val="16"/>
          <w:szCs w:val="16"/>
        </w:rPr>
        <w:t xml:space="preserve"> </w:t>
      </w:r>
    </w:p>
    <w:p w14:paraId="422EC98D" w14:textId="77777777" w:rsidR="00443209" w:rsidRDefault="00443209" w:rsidP="00443209"/>
    <w:p w14:paraId="2311CC5A" w14:textId="77777777" w:rsidR="00443209" w:rsidRDefault="00443209" w:rsidP="00EA3B88">
      <w:pPr>
        <w:spacing w:after="160"/>
        <w:rPr>
          <w:rFonts w:eastAsia="Calibri" w:cs="Times New Roman"/>
          <w:color w:val="auto"/>
        </w:rPr>
      </w:pPr>
    </w:p>
    <w:p w14:paraId="7EB7D24F" w14:textId="362C19D6" w:rsidR="00812324" w:rsidRPr="00812324" w:rsidRDefault="009F753D" w:rsidP="00812324">
      <w:pPr>
        <w:spacing w:before="120" w:after="120"/>
        <w:rPr>
          <w:rFonts w:eastAsia="Calibri" w:cs="Times New Roman"/>
          <w:color w:val="auto"/>
        </w:rPr>
      </w:pPr>
      <w:r>
        <w:rPr>
          <w:rFonts w:eastAsia="Calibri" w:cs="Times New Roman"/>
          <w:color w:val="auto"/>
        </w:rPr>
        <w:t>.</w:t>
      </w:r>
    </w:p>
    <w:p w14:paraId="65AF39DF" w14:textId="77777777" w:rsidR="00FA1937" w:rsidRDefault="00FA1937" w:rsidP="000429EF">
      <w:pPr>
        <w:rPr>
          <w:color w:val="auto"/>
          <w:highlight w:val="green"/>
        </w:rPr>
      </w:pPr>
    </w:p>
    <w:sectPr w:rsidR="00FA1937" w:rsidSect="006B523B">
      <w:footerReference w:type="default" r:id="rId51"/>
      <w:pgSz w:w="11906" w:h="16838"/>
      <w:pgMar w:top="1276"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E21716" w14:textId="77777777" w:rsidR="00D5744E" w:rsidRDefault="00D5744E" w:rsidP="00B95D8A">
      <w:pPr>
        <w:spacing w:after="0" w:line="240" w:lineRule="auto"/>
      </w:pPr>
      <w:r>
        <w:separator/>
      </w:r>
    </w:p>
  </w:endnote>
  <w:endnote w:type="continuationSeparator" w:id="0">
    <w:p w14:paraId="4A772C7F" w14:textId="77777777" w:rsidR="00D5744E" w:rsidRDefault="00D5744E" w:rsidP="00B95D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Helvetica">
    <w:panose1 w:val="020B0604020202020204"/>
    <w:charset w:val="A1"/>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1C18E" w14:textId="59C24E6C" w:rsidR="0003377E" w:rsidRPr="00247D76" w:rsidRDefault="0003377E" w:rsidP="00B94EBC">
    <w:pPr>
      <w:pBdr>
        <w:top w:val="single" w:sz="24" w:space="11" w:color="00A3E0"/>
      </w:pBdr>
      <w:tabs>
        <w:tab w:val="center" w:pos="4153"/>
        <w:tab w:val="right" w:pos="8306"/>
      </w:tabs>
      <w:spacing w:after="160" w:line="259" w:lineRule="auto"/>
      <w:jc w:val="left"/>
      <w:rPr>
        <w:rFonts w:eastAsia="Calibri" w:cs="Times New Roman"/>
        <w:sz w:val="20"/>
        <w:szCs w:val="20"/>
      </w:rPr>
    </w:pPr>
    <w:r w:rsidRPr="00247D76">
      <w:rPr>
        <w:rFonts w:eastAsia="Calibri" w:cs="Times New Roman"/>
        <w:noProof/>
        <w:sz w:val="20"/>
        <w:szCs w:val="20"/>
        <w:lang w:eastAsia="el-GR"/>
      </w:rPr>
      <w:drawing>
        <wp:anchor distT="0" distB="0" distL="114300" distR="114300" simplePos="0" relativeHeight="251659264" behindDoc="0" locked="0" layoutInCell="1" allowOverlap="1" wp14:anchorId="1E3B295F" wp14:editId="29BC78D0">
          <wp:simplePos x="0" y="0"/>
          <wp:positionH relativeFrom="margin">
            <wp:posOffset>4051935</wp:posOffset>
          </wp:positionH>
          <wp:positionV relativeFrom="bottomMargin">
            <wp:align>top</wp:align>
          </wp:positionV>
          <wp:extent cx="1648800" cy="712800"/>
          <wp:effectExtent l="0" t="0" r="8890" b="0"/>
          <wp:wrapSquare wrapText="bothSides"/>
          <wp:docPr id="37"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ds-logo-gr.png"/>
                  <pic:cNvPicPr/>
                </pic:nvPicPr>
                <pic:blipFill>
                  <a:blip r:embed="rId1">
                    <a:extLst>
                      <a:ext uri="{28A0092B-C50C-407E-A947-70E740481C1C}">
                        <a14:useLocalDpi xmlns:a14="http://schemas.microsoft.com/office/drawing/2010/main" val="0"/>
                      </a:ext>
                    </a:extLst>
                  </a:blip>
                  <a:stretch>
                    <a:fillRect/>
                  </a:stretch>
                </pic:blipFill>
                <pic:spPr>
                  <a:xfrm>
                    <a:off x="0" y="0"/>
                    <a:ext cx="1648800" cy="712800"/>
                  </a:xfrm>
                  <a:prstGeom prst="rect">
                    <a:avLst/>
                  </a:prstGeom>
                </pic:spPr>
              </pic:pic>
            </a:graphicData>
          </a:graphic>
          <wp14:sizeRelH relativeFrom="margin">
            <wp14:pctWidth>0</wp14:pctWidth>
          </wp14:sizeRelH>
          <wp14:sizeRelV relativeFrom="margin">
            <wp14:pctHeight>0</wp14:pctHeight>
          </wp14:sizeRelV>
        </wp:anchor>
      </w:drawing>
    </w:r>
    <w:r w:rsidRPr="00247D76">
      <w:rPr>
        <w:rFonts w:eastAsia="Calibri" w:cs="Times New Roman"/>
        <w:b/>
        <w:sz w:val="20"/>
        <w:szCs w:val="20"/>
      </w:rPr>
      <w:fldChar w:fldCharType="begin"/>
    </w:r>
    <w:r w:rsidRPr="00247D76">
      <w:rPr>
        <w:rFonts w:eastAsia="Calibri" w:cs="Times New Roman"/>
        <w:b/>
        <w:sz w:val="20"/>
        <w:szCs w:val="20"/>
      </w:rPr>
      <w:instrText>PAGE   \* MERGEFORMAT</w:instrText>
    </w:r>
    <w:r w:rsidRPr="00247D76">
      <w:rPr>
        <w:rFonts w:eastAsia="Calibri" w:cs="Times New Roman"/>
        <w:b/>
        <w:sz w:val="20"/>
        <w:szCs w:val="20"/>
      </w:rPr>
      <w:fldChar w:fldCharType="separate"/>
    </w:r>
    <w:r w:rsidR="00CC05A7">
      <w:rPr>
        <w:rFonts w:eastAsia="Calibri" w:cs="Times New Roman"/>
        <w:b/>
        <w:noProof/>
        <w:sz w:val="20"/>
        <w:szCs w:val="20"/>
      </w:rPr>
      <w:t>79</w:t>
    </w:r>
    <w:r w:rsidRPr="00247D76">
      <w:rPr>
        <w:rFonts w:eastAsia="Calibri" w:cs="Times New Roman"/>
        <w:b/>
        <w:sz w:val="20"/>
        <w:szCs w:val="20"/>
      </w:rPr>
      <w:fldChar w:fldCharType="end"/>
    </w:r>
    <w:r w:rsidRPr="00247D76">
      <w:rPr>
        <w:rFonts w:eastAsia="Calibri" w:cs="Times New Roman"/>
        <w:sz w:val="20"/>
        <w:szCs w:val="20"/>
      </w:rPr>
      <w:t xml:space="preserve">        </w:t>
    </w:r>
    <w:r>
      <w:rPr>
        <w:rFonts w:eastAsia="Calibri" w:cs="Times New Roman"/>
        <w:sz w:val="20"/>
        <w:szCs w:val="20"/>
      </w:rPr>
      <w:t>ΕΑΡΙΝΗ</w:t>
    </w:r>
    <w:r w:rsidRPr="00247D76">
      <w:rPr>
        <w:rFonts w:eastAsia="Calibri" w:cs="Times New Roman"/>
        <w:sz w:val="20"/>
        <w:szCs w:val="20"/>
      </w:rPr>
      <w:t xml:space="preserve"> ΕΚΘΕΣΗ 20</w:t>
    </w:r>
    <w:r>
      <w:rPr>
        <w:rFonts w:eastAsia="Calibri" w:cs="Times New Roman"/>
        <w:sz w:val="20"/>
        <w:szCs w:val="20"/>
      </w:rPr>
      <w:t>2</w:t>
    </w:r>
    <w:r>
      <w:rPr>
        <w:rFonts w:eastAsia="Calibri" w:cs="Times New Roman"/>
        <w:sz w:val="20"/>
        <w:szCs w:val="20"/>
        <w:lang w:val="en-US"/>
      </w:rPr>
      <w:t>1</w:t>
    </w:r>
    <w:r>
      <w:rPr>
        <w:rFonts w:eastAsia="Calibri" w:cs="Times New Roman"/>
        <w:sz w:val="20"/>
        <w:szCs w:val="20"/>
      </w:rPr>
      <w:t xml:space="preserve"> –</w:t>
    </w:r>
    <w:r w:rsidRPr="00247D76">
      <w:rPr>
        <w:rFonts w:eastAsia="Calibri" w:cs="Times New Roman"/>
        <w:sz w:val="20"/>
        <w:szCs w:val="20"/>
      </w:rPr>
      <w:t xml:space="preserve"> </w:t>
    </w:r>
    <w:r>
      <w:rPr>
        <w:rFonts w:eastAsia="Calibri" w:cs="Times New Roman"/>
        <w:sz w:val="20"/>
        <w:szCs w:val="20"/>
        <w:lang w:val="en-US"/>
      </w:rPr>
      <w:t>ΜΑ</w:t>
    </w:r>
    <w:r>
      <w:rPr>
        <w:rFonts w:eastAsia="Calibri" w:cs="Times New Roman"/>
        <w:sz w:val="20"/>
        <w:szCs w:val="20"/>
      </w:rPr>
      <w:t>ΪΟΣ</w:t>
    </w:r>
    <w:r w:rsidRPr="00247D76">
      <w:rPr>
        <w:rFonts w:eastAsia="Calibri" w:cs="Times New Roman"/>
        <w:sz w:val="20"/>
        <w:szCs w:val="20"/>
      </w:rPr>
      <w:t xml:space="preserve"> </w:t>
    </w:r>
  </w:p>
  <w:p w14:paraId="089E156F" w14:textId="77777777" w:rsidR="0003377E" w:rsidRDefault="000337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D23516" w14:textId="77777777" w:rsidR="00D5744E" w:rsidRDefault="00D5744E" w:rsidP="00B95D8A">
      <w:pPr>
        <w:spacing w:after="0" w:line="240" w:lineRule="auto"/>
      </w:pPr>
      <w:r>
        <w:separator/>
      </w:r>
    </w:p>
  </w:footnote>
  <w:footnote w:type="continuationSeparator" w:id="0">
    <w:p w14:paraId="1C597D3B" w14:textId="77777777" w:rsidR="00D5744E" w:rsidRDefault="00D5744E" w:rsidP="00B95D8A">
      <w:pPr>
        <w:spacing w:after="0" w:line="240" w:lineRule="auto"/>
      </w:pPr>
      <w:r>
        <w:continuationSeparator/>
      </w:r>
    </w:p>
  </w:footnote>
  <w:footnote w:id="1">
    <w:p w14:paraId="312DB4D0" w14:textId="40DDEB6E" w:rsidR="0003377E" w:rsidRPr="00AA5D63" w:rsidRDefault="0003377E" w:rsidP="00AA5D63">
      <w:pPr>
        <w:pStyle w:val="FootnoteText"/>
        <w:jc w:val="both"/>
        <w:rPr>
          <w:rFonts w:ascii="Trebuchet MS" w:hAnsi="Trebuchet MS"/>
          <w:sz w:val="18"/>
          <w:szCs w:val="18"/>
        </w:rPr>
      </w:pPr>
      <w:r w:rsidRPr="00AA5D63">
        <w:rPr>
          <w:rStyle w:val="FootnoteReference"/>
          <w:rFonts w:ascii="Trebuchet MS" w:hAnsi="Trebuchet MS"/>
          <w:sz w:val="18"/>
          <w:szCs w:val="18"/>
        </w:rPr>
        <w:footnoteRef/>
      </w:r>
      <w:r w:rsidRPr="00AA5D63">
        <w:rPr>
          <w:rFonts w:ascii="Trebuchet MS" w:hAnsi="Trebuchet MS"/>
          <w:sz w:val="18"/>
          <w:szCs w:val="18"/>
        </w:rPr>
        <w:t xml:space="preserve"> Αφορά κατασκευές πλην κατοικιών, όπως δημόσια έργα, ΣΔΙΤ, ιδιωτικές κατασκευές (π.χ ξενοδοχειακές εγκαταστάσεις) κλπ</w:t>
      </w:r>
    </w:p>
  </w:footnote>
  <w:footnote w:id="2">
    <w:p w14:paraId="40B41E48" w14:textId="77777777" w:rsidR="0003377E" w:rsidRPr="005A299E" w:rsidRDefault="0003377E" w:rsidP="00065BF4">
      <w:pPr>
        <w:pStyle w:val="FootnoteText"/>
        <w:rPr>
          <w:rFonts w:ascii="Trebuchet MS" w:hAnsi="Trebuchet MS"/>
          <w:sz w:val="18"/>
          <w:szCs w:val="18"/>
        </w:rPr>
      </w:pPr>
      <w:r w:rsidRPr="00AA5D63">
        <w:rPr>
          <w:rStyle w:val="FootnoteReference"/>
          <w:rFonts w:ascii="Trebuchet MS" w:hAnsi="Trebuchet MS"/>
          <w:sz w:val="18"/>
          <w:szCs w:val="18"/>
        </w:rPr>
        <w:footnoteRef/>
      </w:r>
      <w:r w:rsidRPr="00AA5D63">
        <w:rPr>
          <w:rFonts w:ascii="Trebuchet MS" w:hAnsi="Trebuchet MS"/>
          <w:sz w:val="18"/>
          <w:szCs w:val="18"/>
        </w:rPr>
        <w:t xml:space="preserve"> Βάσει κωδικού NACE 2</w:t>
      </w:r>
    </w:p>
  </w:footnote>
  <w:footnote w:id="3">
    <w:p w14:paraId="67EF1A16" w14:textId="77777777" w:rsidR="0003377E" w:rsidRPr="005A299E" w:rsidRDefault="0003377E" w:rsidP="0075506B">
      <w:pPr>
        <w:pStyle w:val="FootnoteText"/>
        <w:rPr>
          <w:rFonts w:ascii="Trebuchet MS" w:hAnsi="Trebuchet MS"/>
          <w:sz w:val="18"/>
          <w:szCs w:val="18"/>
        </w:rPr>
      </w:pPr>
      <w:r w:rsidRPr="005A299E">
        <w:rPr>
          <w:rStyle w:val="FootnoteReference"/>
          <w:rFonts w:ascii="Trebuchet MS" w:hAnsi="Trebuchet MS"/>
          <w:sz w:val="18"/>
          <w:szCs w:val="18"/>
        </w:rPr>
        <w:footnoteRef/>
      </w:r>
      <w:r w:rsidRPr="005A299E">
        <w:rPr>
          <w:rFonts w:ascii="Trebuchet MS" w:hAnsi="Trebuchet MS"/>
          <w:sz w:val="18"/>
          <w:szCs w:val="18"/>
        </w:rPr>
        <w:t xml:space="preserve"> Η μείωση άρχισε να ισχύει από 1/6/2020. </w:t>
      </w:r>
    </w:p>
  </w:footnote>
  <w:footnote w:id="4">
    <w:p w14:paraId="16256B99" w14:textId="77777777" w:rsidR="0003377E" w:rsidRPr="0015524E" w:rsidRDefault="0003377E" w:rsidP="005A299E">
      <w:pPr>
        <w:pStyle w:val="FootnoteText"/>
        <w:rPr>
          <w:rFonts w:ascii="Trebuchet MS" w:hAnsi="Trebuchet MS"/>
          <w:sz w:val="18"/>
          <w:szCs w:val="18"/>
        </w:rPr>
      </w:pPr>
      <w:r w:rsidRPr="0015524E">
        <w:rPr>
          <w:rStyle w:val="FootnoteReference"/>
          <w:rFonts w:ascii="Trebuchet MS" w:hAnsi="Trebuchet MS"/>
          <w:sz w:val="18"/>
          <w:szCs w:val="18"/>
        </w:rPr>
        <w:footnoteRef/>
      </w:r>
      <w:r w:rsidRPr="0015524E">
        <w:rPr>
          <w:rFonts w:ascii="Trebuchet MS" w:hAnsi="Trebuchet MS"/>
          <w:sz w:val="18"/>
          <w:szCs w:val="18"/>
        </w:rPr>
        <w:t xml:space="preserve"> Περιλαμβάνει το πετρέλαιο κίνησης και τη βενζίνη. </w:t>
      </w:r>
    </w:p>
  </w:footnote>
  <w:footnote w:id="5">
    <w:p w14:paraId="349D939D" w14:textId="77777777" w:rsidR="0003377E" w:rsidRDefault="0003377E" w:rsidP="005A299E">
      <w:pPr>
        <w:pStyle w:val="FootnoteText"/>
      </w:pPr>
      <w:r w:rsidRPr="0015524E">
        <w:rPr>
          <w:rStyle w:val="FootnoteReference"/>
          <w:rFonts w:ascii="Trebuchet MS" w:hAnsi="Trebuchet MS"/>
          <w:sz w:val="18"/>
          <w:szCs w:val="18"/>
        </w:rPr>
        <w:footnoteRef/>
      </w:r>
      <w:r w:rsidRPr="0015524E">
        <w:rPr>
          <w:rFonts w:ascii="Trebuchet MS" w:hAnsi="Trebuchet MS"/>
          <w:sz w:val="18"/>
          <w:szCs w:val="18"/>
        </w:rPr>
        <w:t xml:space="preserve"> Περιλαμβάνει το πετρέλαιο θέρμανσης.</w:t>
      </w:r>
    </w:p>
  </w:footnote>
  <w:footnote w:id="6">
    <w:p w14:paraId="4E4BAF16" w14:textId="64C1415A" w:rsidR="0003377E" w:rsidRPr="00C86770" w:rsidRDefault="0003377E" w:rsidP="00C86770">
      <w:pPr>
        <w:pStyle w:val="FootnoteText"/>
        <w:jc w:val="both"/>
        <w:rPr>
          <w:rFonts w:ascii="Trebuchet MS" w:hAnsi="Trebuchet MS"/>
          <w:sz w:val="18"/>
          <w:szCs w:val="18"/>
        </w:rPr>
      </w:pPr>
      <w:r w:rsidRPr="00C86770">
        <w:rPr>
          <w:rStyle w:val="FootnoteReference"/>
          <w:rFonts w:ascii="Trebuchet MS" w:hAnsi="Trebuchet MS"/>
          <w:sz w:val="18"/>
          <w:szCs w:val="18"/>
        </w:rPr>
        <w:footnoteRef/>
      </w:r>
      <w:r w:rsidRPr="00C86770">
        <w:rPr>
          <w:rFonts w:ascii="Trebuchet MS" w:hAnsi="Trebuchet MS"/>
          <w:sz w:val="18"/>
          <w:szCs w:val="18"/>
        </w:rPr>
        <w:t xml:space="preserve"> Με βάση τις κατευθύνσεις της Ευρωπαϊκής Στατιστικής Υπηρεσίας (Eurostat) προς τα κράτη μέλη για την Έρευνα Εργατικού Δυναμικού, λόγω της πανδημίας, τα άτομα που τίθενται σε αναστολή σύμβασης εξακολουθούν να θεωρούνται απασχολούμενοι, εφόσον η διάρκεια της αναστολής είναι μικρότερη από 3 μήνες</w:t>
      </w:r>
      <w:r>
        <w:rPr>
          <w:rFonts w:ascii="Trebuchet MS" w:hAnsi="Trebuchet MS"/>
          <w:sz w:val="18"/>
          <w:szCs w:val="18"/>
        </w:rPr>
        <w:t xml:space="preserve"> όπως επίσης εάν </w:t>
      </w:r>
      <w:r w:rsidRPr="00C86770">
        <w:rPr>
          <w:rFonts w:ascii="Trebuchet MS" w:hAnsi="Trebuchet MS"/>
          <w:sz w:val="18"/>
          <w:szCs w:val="18"/>
        </w:rPr>
        <w:t>λαμβάνουν περισσότερο από το 50% των αποδοχών τους.</w:t>
      </w:r>
    </w:p>
  </w:footnote>
  <w:footnote w:id="7">
    <w:p w14:paraId="26E12E0D" w14:textId="77777777" w:rsidR="0003377E" w:rsidRPr="00AE74EB" w:rsidRDefault="0003377E" w:rsidP="00D11975">
      <w:pPr>
        <w:pStyle w:val="FootnoteText"/>
        <w:rPr>
          <w:rFonts w:ascii="Trebuchet MS" w:hAnsi="Trebuchet MS"/>
          <w:sz w:val="18"/>
          <w:szCs w:val="18"/>
        </w:rPr>
      </w:pPr>
      <w:r w:rsidRPr="00AE74EB">
        <w:rPr>
          <w:rStyle w:val="FootnoteReference"/>
          <w:rFonts w:ascii="Trebuchet MS" w:hAnsi="Trebuchet MS"/>
          <w:sz w:val="18"/>
          <w:szCs w:val="18"/>
        </w:rPr>
        <w:footnoteRef/>
      </w:r>
      <w:r w:rsidRPr="00AE74EB">
        <w:rPr>
          <w:rFonts w:ascii="Trebuchet MS" w:hAnsi="Trebuchet MS"/>
          <w:sz w:val="18"/>
          <w:szCs w:val="18"/>
        </w:rPr>
        <w:t xml:space="preserve"> Συμπεριλαμβάνονται στατιστικά στοιχεία από κρουαζιέρες επιπλέον της Έρευνας Συνόρων.</w:t>
      </w:r>
    </w:p>
  </w:footnote>
  <w:footnote w:id="8">
    <w:p w14:paraId="2E296390" w14:textId="0A83E982" w:rsidR="0003377E" w:rsidRPr="00EF4140" w:rsidRDefault="0003377E" w:rsidP="00E13E88">
      <w:pPr>
        <w:pStyle w:val="FootnoteText"/>
        <w:jc w:val="both"/>
        <w:rPr>
          <w:rFonts w:ascii="Trebuchet MS" w:hAnsi="Trebuchet MS"/>
          <w:sz w:val="18"/>
          <w:szCs w:val="18"/>
        </w:rPr>
      </w:pPr>
      <w:r w:rsidRPr="00EF4140">
        <w:rPr>
          <w:rStyle w:val="FootnoteReference"/>
          <w:rFonts w:ascii="Trebuchet MS" w:hAnsi="Trebuchet MS"/>
          <w:sz w:val="18"/>
          <w:szCs w:val="18"/>
        </w:rPr>
        <w:footnoteRef/>
      </w:r>
      <w:r w:rsidR="003D6EFA">
        <w:rPr>
          <w:rFonts w:ascii="Trebuchet MS" w:hAnsi="Trebuchet MS"/>
          <w:sz w:val="18"/>
          <w:szCs w:val="18"/>
        </w:rPr>
        <w:t xml:space="preserve"> Το ΕΔΣ έχει υιοθετήσει</w:t>
      </w:r>
      <w:r w:rsidRPr="00EF4140">
        <w:rPr>
          <w:rFonts w:ascii="Trebuchet MS" w:hAnsi="Trebuchet MS"/>
          <w:sz w:val="18"/>
          <w:szCs w:val="18"/>
        </w:rPr>
        <w:t xml:space="preserve"> τις προβλέψεις του Υπουργείου Οικονομικών για ρ</w:t>
      </w:r>
      <w:r w:rsidR="003D6EFA">
        <w:rPr>
          <w:rFonts w:ascii="Trebuchet MS" w:hAnsi="Trebuchet MS"/>
          <w:sz w:val="18"/>
          <w:szCs w:val="18"/>
        </w:rPr>
        <w:t xml:space="preserve">υθμό μεγέθυνσης το 2021 της </w:t>
      </w:r>
      <w:r w:rsidRPr="00EF4140">
        <w:rPr>
          <w:rFonts w:ascii="Trebuchet MS" w:hAnsi="Trebuchet MS"/>
          <w:sz w:val="18"/>
          <w:szCs w:val="18"/>
        </w:rPr>
        <w:t xml:space="preserve">τάξης του 3,6%. </w:t>
      </w:r>
    </w:p>
    <w:p w14:paraId="1B5449C3" w14:textId="2EBD45BE" w:rsidR="0003377E" w:rsidRPr="00E13E88" w:rsidRDefault="0003377E" w:rsidP="00E13E88">
      <w:pPr>
        <w:pStyle w:val="FootnoteText"/>
        <w:jc w:val="both"/>
      </w:pPr>
      <w:r w:rsidRPr="00EF4140">
        <w:rPr>
          <w:rFonts w:ascii="Trebuchet MS" w:hAnsi="Trebuchet MS"/>
          <w:sz w:val="18"/>
          <w:szCs w:val="18"/>
        </w:rPr>
        <w:t>https://hfisc.gr/ekfrasi-gnomis/i-gnomi-toy-eds-pano-stis-makrooikonomikes-provlepseis-toy-programmatos-0</w:t>
      </w:r>
    </w:p>
  </w:footnote>
  <w:footnote w:id="9">
    <w:p w14:paraId="2F05A7E9" w14:textId="64E95C68" w:rsidR="0003377E" w:rsidRPr="00EF4140" w:rsidRDefault="0003377E" w:rsidP="00EF4140">
      <w:pPr>
        <w:pStyle w:val="FootnoteText"/>
        <w:jc w:val="both"/>
        <w:rPr>
          <w:rFonts w:ascii="Trebuchet MS" w:hAnsi="Trebuchet MS"/>
          <w:sz w:val="18"/>
          <w:szCs w:val="18"/>
        </w:rPr>
      </w:pPr>
      <w:r w:rsidRPr="00EF4140">
        <w:rPr>
          <w:rStyle w:val="FootnoteReference"/>
          <w:rFonts w:ascii="Trebuchet MS" w:hAnsi="Trebuchet MS"/>
          <w:sz w:val="18"/>
          <w:szCs w:val="18"/>
        </w:rPr>
        <w:footnoteRef/>
      </w:r>
      <w:r w:rsidRPr="00EF4140">
        <w:rPr>
          <w:rFonts w:ascii="Trebuchet MS" w:hAnsi="Trebuchet MS"/>
          <w:sz w:val="18"/>
          <w:szCs w:val="18"/>
        </w:rPr>
        <w:t xml:space="preserve"> Με δεδομένο ότι δεν υπάρχουν σημαντικές αποκλίσεις στις εκτιμήσεις των τριών φορέων για την μεταβολή του ΑΕΠ και το δημοσιονομικό έλλειμμα το 2021, η απόκλιση αυτή πιθανώς να σχετίζεται με την αξιοποίηση μέρους των ταμειακών αποθεμάτων ασφαλείας για τη χρηματοδότηση των δημοσιονομικών αναγκών από </w:t>
      </w:r>
      <w:r w:rsidR="008156B8">
        <w:rPr>
          <w:rFonts w:ascii="Trebuchet MS" w:hAnsi="Trebuchet MS"/>
          <w:sz w:val="18"/>
          <w:szCs w:val="18"/>
        </w:rPr>
        <w:t>τ</w:t>
      </w:r>
      <w:r w:rsidRPr="00EF4140">
        <w:rPr>
          <w:rFonts w:ascii="Trebuchet MS" w:hAnsi="Trebuchet MS"/>
          <w:sz w:val="18"/>
          <w:szCs w:val="18"/>
        </w:rPr>
        <w:t>ο Υπουργείο Οικονομικών, εντός του 2021. Μία τέτοια χρήση θα συγκρατούσε την αύξηση του δημοσίου χρέους.</w:t>
      </w:r>
    </w:p>
  </w:footnote>
  <w:footnote w:id="10">
    <w:p w14:paraId="41643EEA" w14:textId="77777777" w:rsidR="0003377E" w:rsidRPr="0007389A" w:rsidRDefault="0003377E" w:rsidP="006B1918">
      <w:pPr>
        <w:pStyle w:val="FootnoteText"/>
        <w:rPr>
          <w:rFonts w:ascii="Trebuchet MS" w:hAnsi="Trebuchet MS"/>
          <w:sz w:val="18"/>
          <w:szCs w:val="18"/>
        </w:rPr>
      </w:pPr>
      <w:r w:rsidRPr="0007389A">
        <w:rPr>
          <w:rStyle w:val="FootnoteReference"/>
          <w:rFonts w:ascii="Trebuchet MS" w:hAnsi="Trebuchet MS"/>
          <w:sz w:val="18"/>
          <w:szCs w:val="18"/>
        </w:rPr>
        <w:footnoteRef/>
      </w:r>
      <w:r w:rsidRPr="0007389A">
        <w:rPr>
          <w:rFonts w:ascii="Trebuchet MS" w:hAnsi="Trebuchet MS"/>
          <w:sz w:val="18"/>
          <w:szCs w:val="18"/>
        </w:rPr>
        <w:t xml:space="preserve"> https://www.gov.uk/guidance/red-amber-and-green-list-rules-for-entering-england#amber-list</w:t>
      </w:r>
    </w:p>
  </w:footnote>
  <w:footnote w:id="11">
    <w:p w14:paraId="3DCE7DCF" w14:textId="77777777" w:rsidR="0003377E" w:rsidRDefault="0003377E" w:rsidP="006B1918">
      <w:pPr>
        <w:pStyle w:val="FootnoteText"/>
      </w:pPr>
      <w:r w:rsidRPr="0007389A">
        <w:rPr>
          <w:rStyle w:val="FootnoteReference"/>
          <w:rFonts w:ascii="Trebuchet MS" w:hAnsi="Trebuchet MS"/>
          <w:sz w:val="18"/>
          <w:szCs w:val="18"/>
        </w:rPr>
        <w:footnoteRef/>
      </w:r>
      <w:r w:rsidRPr="0007389A">
        <w:rPr>
          <w:rFonts w:ascii="Trebuchet MS" w:hAnsi="Trebuchet MS"/>
          <w:sz w:val="18"/>
          <w:szCs w:val="18"/>
        </w:rPr>
        <w:t xml:space="preserve"> https://travel.state.gov/content/travel/en/international-travel/International-Travel-Country-Information-Pages/Greece.html</w:t>
      </w:r>
    </w:p>
  </w:footnote>
  <w:footnote w:id="12">
    <w:p w14:paraId="197FFCF3" w14:textId="77777777" w:rsidR="0003377E" w:rsidRPr="00D17235" w:rsidRDefault="0003377E" w:rsidP="00D17235">
      <w:pPr>
        <w:pStyle w:val="FootnoteText"/>
        <w:rPr>
          <w:rFonts w:ascii="Trebuchet MS" w:hAnsi="Trebuchet MS"/>
          <w:sz w:val="18"/>
          <w:szCs w:val="18"/>
        </w:rPr>
      </w:pPr>
      <w:r w:rsidRPr="00D17235">
        <w:rPr>
          <w:rStyle w:val="FootnoteReference"/>
          <w:rFonts w:ascii="Trebuchet MS" w:hAnsi="Trebuchet MS"/>
          <w:sz w:val="18"/>
          <w:szCs w:val="18"/>
        </w:rPr>
        <w:footnoteRef/>
      </w:r>
      <w:r w:rsidRPr="00D17235">
        <w:rPr>
          <w:rFonts w:ascii="Trebuchet MS" w:hAnsi="Trebuchet MS"/>
          <w:sz w:val="18"/>
          <w:szCs w:val="18"/>
        </w:rPr>
        <w:t xml:space="preserve"> Εκτενής ανάλυση θα πραγματοποιηθεί στην επόμενη ενότητα που αφορά στον ΚΠ 2020</w:t>
      </w:r>
    </w:p>
  </w:footnote>
  <w:footnote w:id="13">
    <w:p w14:paraId="56E9636E" w14:textId="77777777" w:rsidR="0003377E" w:rsidRPr="00EF4140" w:rsidRDefault="0003377E" w:rsidP="00D07140">
      <w:pPr>
        <w:pStyle w:val="FootnoteText"/>
        <w:rPr>
          <w:rFonts w:ascii="Trebuchet MS" w:hAnsi="Trebuchet MS"/>
          <w:sz w:val="18"/>
          <w:szCs w:val="18"/>
        </w:rPr>
      </w:pPr>
      <w:r w:rsidRPr="00EF4140">
        <w:rPr>
          <w:rStyle w:val="FootnoteReference"/>
          <w:rFonts w:ascii="Trebuchet MS" w:hAnsi="Trebuchet MS"/>
          <w:sz w:val="18"/>
          <w:szCs w:val="18"/>
        </w:rPr>
        <w:footnoteRef/>
      </w:r>
      <w:r w:rsidRPr="00EF4140">
        <w:rPr>
          <w:rFonts w:ascii="Trebuchet MS" w:hAnsi="Trebuchet MS"/>
          <w:sz w:val="18"/>
          <w:szCs w:val="18"/>
        </w:rPr>
        <w:t xml:space="preserve"> Συμπεριλαμβανομένων των επιστροφών φόρων.</w:t>
      </w:r>
    </w:p>
  </w:footnote>
  <w:footnote w:id="14">
    <w:p w14:paraId="24726DD6" w14:textId="18E37AC4" w:rsidR="0003377E" w:rsidRPr="006814B0" w:rsidRDefault="0003377E" w:rsidP="009741B0">
      <w:pPr>
        <w:pStyle w:val="FootnoteText"/>
        <w:jc w:val="both"/>
        <w:rPr>
          <w:rFonts w:ascii="Trebuchet MS" w:hAnsi="Trebuchet MS"/>
          <w:sz w:val="18"/>
          <w:szCs w:val="18"/>
        </w:rPr>
      </w:pPr>
      <w:r w:rsidRPr="006814B0">
        <w:rPr>
          <w:rStyle w:val="FootnoteReference"/>
          <w:rFonts w:ascii="Trebuchet MS" w:hAnsi="Trebuchet MS"/>
          <w:sz w:val="18"/>
          <w:szCs w:val="18"/>
        </w:rPr>
        <w:footnoteRef/>
      </w:r>
      <w:r w:rsidRPr="006814B0">
        <w:rPr>
          <w:rFonts w:ascii="Trebuchet MS" w:hAnsi="Trebuchet MS"/>
          <w:sz w:val="18"/>
          <w:szCs w:val="18"/>
        </w:rPr>
        <w:t xml:space="preserve"> Αυτή η κατηγορία ενώ στο παρελθόν συμπεριελάμβανε κοινωνικά επιδόματα του Οργανισμού Προνο</w:t>
      </w:r>
      <w:r w:rsidR="00A56139">
        <w:rPr>
          <w:rFonts w:ascii="Trebuchet MS" w:hAnsi="Trebuchet MS"/>
          <w:sz w:val="18"/>
          <w:szCs w:val="18"/>
        </w:rPr>
        <w:t>μ</w:t>
      </w:r>
      <w:r w:rsidRPr="006814B0">
        <w:rPr>
          <w:rFonts w:ascii="Trebuchet MS" w:hAnsi="Trebuchet MS"/>
          <w:sz w:val="18"/>
          <w:szCs w:val="18"/>
        </w:rPr>
        <w:t>ιακών Επιδομάτων και Κοινωνικής Αλληλεγγύης (ΟΠΕΚΑ), πλέον θα καταγράφονται ως αποδιδόμενα από τον ίδιο τον φορέα και συνεπώς περιλαμβάνονται στη κατηγορία των εγχώριων μεταβιβάσεων.</w:t>
      </w:r>
    </w:p>
  </w:footnote>
  <w:footnote w:id="15">
    <w:p w14:paraId="280C49FA" w14:textId="527CEF21" w:rsidR="0003377E" w:rsidRDefault="0003377E" w:rsidP="006814B0">
      <w:pPr>
        <w:pStyle w:val="FootnoteText"/>
        <w:jc w:val="both"/>
      </w:pPr>
      <w:r w:rsidRPr="006814B0">
        <w:rPr>
          <w:rStyle w:val="FootnoteReference"/>
          <w:rFonts w:ascii="Trebuchet MS" w:hAnsi="Trebuchet MS"/>
          <w:sz w:val="18"/>
          <w:szCs w:val="18"/>
        </w:rPr>
        <w:footnoteRef/>
      </w:r>
      <w:r w:rsidRPr="006814B0">
        <w:rPr>
          <w:rFonts w:ascii="Trebuchet MS" w:hAnsi="Trebuchet MS"/>
          <w:sz w:val="18"/>
          <w:szCs w:val="18"/>
        </w:rPr>
        <w:t xml:space="preserve"> </w:t>
      </w:r>
      <w:r>
        <w:rPr>
          <w:rFonts w:ascii="Trebuchet MS" w:hAnsi="Trebuchet MS"/>
          <w:sz w:val="18"/>
          <w:szCs w:val="18"/>
        </w:rPr>
        <w:t xml:space="preserve">Θα πρέπει να σημειωθεί ωστόσο, ότι η ένταξη ενός τόσο μεγάλου ποσού στο ΠΔΕ το οποίο δεν σχετίζεται με δημόσιες επενδύσεις είναι πιθανό να δημιουργεί </w:t>
      </w:r>
      <w:r w:rsidRPr="006814B0">
        <w:rPr>
          <w:rFonts w:ascii="Trebuchet MS" w:hAnsi="Trebuchet MS"/>
          <w:sz w:val="18"/>
          <w:szCs w:val="18"/>
        </w:rPr>
        <w:t>δημοσιονομική ασάφεια</w:t>
      </w:r>
      <w:r>
        <w:rPr>
          <w:rFonts w:ascii="Trebuchet MS" w:hAnsi="Trebuchet MS"/>
          <w:sz w:val="18"/>
          <w:szCs w:val="18"/>
        </w:rPr>
        <w:t xml:space="preserve">, ενώ παράλληλα θα δυσχεραίνει την οποιαδήποτε </w:t>
      </w:r>
      <w:r w:rsidRPr="006814B0">
        <w:rPr>
          <w:rFonts w:ascii="Trebuchet MS" w:hAnsi="Trebuchet MS"/>
          <w:sz w:val="18"/>
          <w:szCs w:val="18"/>
        </w:rPr>
        <w:t>μελέτη της ιστορικής εξέλιξης τ</w:t>
      </w:r>
      <w:r>
        <w:rPr>
          <w:rFonts w:ascii="Trebuchet MS" w:hAnsi="Trebuchet MS"/>
          <w:sz w:val="18"/>
          <w:szCs w:val="18"/>
        </w:rPr>
        <w:t>ου ύψους του ΠΔΕ.</w:t>
      </w:r>
    </w:p>
  </w:footnote>
  <w:footnote w:id="16">
    <w:p w14:paraId="0CA34733" w14:textId="77777777" w:rsidR="0003377E" w:rsidRPr="0077743D" w:rsidRDefault="0003377E" w:rsidP="00EC35DA">
      <w:pPr>
        <w:pStyle w:val="FootnoteText"/>
        <w:rPr>
          <w:rFonts w:ascii="Trebuchet MS" w:hAnsi="Trebuchet MS"/>
          <w:sz w:val="18"/>
          <w:szCs w:val="18"/>
        </w:rPr>
      </w:pPr>
      <w:r w:rsidRPr="0077743D">
        <w:rPr>
          <w:rStyle w:val="FootnoteReference"/>
          <w:rFonts w:ascii="Trebuchet MS" w:hAnsi="Trebuchet MS"/>
          <w:sz w:val="18"/>
          <w:szCs w:val="18"/>
        </w:rPr>
        <w:footnoteRef/>
      </w:r>
      <w:r w:rsidRPr="0077743D">
        <w:rPr>
          <w:rFonts w:ascii="Trebuchet MS" w:hAnsi="Trebuchet MS"/>
          <w:sz w:val="18"/>
          <w:szCs w:val="18"/>
        </w:rPr>
        <w:t xml:space="preserve"> Ν.4714/2020 (άρθρο 114) και Ν.4734/2020 (άρθρο 33). Τα σχετικά ποσά συμπεριλαμβάνονται στην κατηγορία των μεταβιβάσεων.</w:t>
      </w:r>
    </w:p>
  </w:footnote>
  <w:footnote w:id="17">
    <w:p w14:paraId="1063587C" w14:textId="77777777" w:rsidR="0003377E" w:rsidRDefault="0003377E" w:rsidP="000F4F90">
      <w:pPr>
        <w:pStyle w:val="FootnoteText"/>
      </w:pPr>
      <w:r>
        <w:rPr>
          <w:rStyle w:val="FootnoteReference"/>
        </w:rPr>
        <w:footnoteRef/>
      </w:r>
      <w:r>
        <w:t xml:space="preserve"> Συμπεριλαμβανομένων των επιστροφών φόρων.</w:t>
      </w:r>
    </w:p>
  </w:footnote>
  <w:footnote w:id="18">
    <w:p w14:paraId="56ED460A" w14:textId="77777777" w:rsidR="0003377E" w:rsidRPr="00C14992" w:rsidRDefault="0003377E" w:rsidP="00DF2770">
      <w:pPr>
        <w:pStyle w:val="FootnoteText"/>
        <w:jc w:val="both"/>
        <w:rPr>
          <w:rFonts w:ascii="Trebuchet MS" w:hAnsi="Trebuchet MS"/>
          <w:sz w:val="18"/>
          <w:szCs w:val="18"/>
        </w:rPr>
      </w:pPr>
      <w:r w:rsidRPr="00C14992">
        <w:rPr>
          <w:rStyle w:val="FootnoteReference"/>
          <w:rFonts w:ascii="Trebuchet MS" w:hAnsi="Trebuchet MS"/>
          <w:sz w:val="18"/>
          <w:szCs w:val="18"/>
        </w:rPr>
        <w:footnoteRef/>
      </w:r>
      <w:r w:rsidRPr="00C14992">
        <w:rPr>
          <w:rFonts w:ascii="Trebuchet MS" w:hAnsi="Trebuchet MS"/>
          <w:sz w:val="18"/>
          <w:szCs w:val="18"/>
          <w:vertAlign w:val="superscript"/>
        </w:rPr>
        <w:t xml:space="preserve"> </w:t>
      </w:r>
      <w:r w:rsidRPr="00C14992">
        <w:rPr>
          <w:rFonts w:ascii="Trebuchet MS" w:hAnsi="Trebuchet MS"/>
          <w:sz w:val="18"/>
          <w:szCs w:val="18"/>
        </w:rPr>
        <w:t>Οι ληξιπρόθεσμες υποχρεώσεις των Νοσοκομείων αυξήθηκαν από 502 εκατ.</w:t>
      </w:r>
      <w:r>
        <w:rPr>
          <w:rFonts w:ascii="Trebuchet MS" w:hAnsi="Trebuchet MS"/>
          <w:sz w:val="18"/>
          <w:szCs w:val="18"/>
        </w:rPr>
        <w:t xml:space="preserve"> </w:t>
      </w:r>
      <w:r w:rsidRPr="00C14992">
        <w:rPr>
          <w:rFonts w:ascii="Trebuchet MS" w:hAnsi="Trebuchet MS"/>
          <w:sz w:val="18"/>
          <w:szCs w:val="18"/>
        </w:rPr>
        <w:t>ευρώ το Δεκέμβριο του 2020 σε 893 εκατ.</w:t>
      </w:r>
      <w:r>
        <w:rPr>
          <w:rFonts w:ascii="Trebuchet MS" w:hAnsi="Trebuchet MS"/>
          <w:sz w:val="18"/>
          <w:szCs w:val="18"/>
        </w:rPr>
        <w:t xml:space="preserve"> </w:t>
      </w:r>
      <w:r w:rsidRPr="00C14992">
        <w:rPr>
          <w:rFonts w:ascii="Trebuchet MS" w:hAnsi="Trebuchet MS"/>
          <w:sz w:val="18"/>
          <w:szCs w:val="18"/>
        </w:rPr>
        <w:t xml:space="preserve">ευρώ το Μάρτιο του 2021 ωστόσο, αναμένεται να αποκλιμακωθούν σημαντικά μετά την ολοκλήρωση της διαδικασίας συμψηφισμού των υποχρεώσεων με τα οφειλόμενα ποσά από τους μηχανισμούς αυτόματων επιστροφών και εκπτώσεων (clawback και rebate). </w:t>
      </w:r>
    </w:p>
  </w:footnote>
  <w:footnote w:id="19">
    <w:p w14:paraId="67A4C167" w14:textId="425039C2" w:rsidR="0003377E" w:rsidRDefault="0003377E" w:rsidP="00DF2770">
      <w:pPr>
        <w:pStyle w:val="FootnoteText"/>
        <w:jc w:val="both"/>
      </w:pPr>
      <w:r w:rsidRPr="00C14992">
        <w:rPr>
          <w:rFonts w:ascii="Trebuchet MS" w:hAnsi="Trebuchet MS"/>
          <w:sz w:val="18"/>
          <w:szCs w:val="18"/>
          <w:vertAlign w:val="superscript"/>
        </w:rPr>
        <w:footnoteRef/>
      </w:r>
      <w:r w:rsidRPr="00C14992">
        <w:rPr>
          <w:rFonts w:ascii="Trebuchet MS" w:hAnsi="Trebuchet MS"/>
          <w:sz w:val="18"/>
          <w:szCs w:val="18"/>
          <w:vertAlign w:val="superscript"/>
        </w:rPr>
        <w:t xml:space="preserve"> </w:t>
      </w:r>
      <w:r w:rsidRPr="00C14992">
        <w:rPr>
          <w:rFonts w:ascii="Trebuchet MS" w:hAnsi="Trebuchet MS"/>
          <w:sz w:val="18"/>
          <w:szCs w:val="18"/>
        </w:rPr>
        <w:t>Σε όρους ενισχυμένης εποπτείας το ποσό αυτό είναι μικρότερο κατά 400 εκατ.</w:t>
      </w:r>
      <w:r>
        <w:rPr>
          <w:rFonts w:ascii="Trebuchet MS" w:hAnsi="Trebuchet MS"/>
          <w:sz w:val="18"/>
          <w:szCs w:val="18"/>
        </w:rPr>
        <w:t xml:space="preserve"> </w:t>
      </w:r>
      <w:r w:rsidRPr="00C14992">
        <w:rPr>
          <w:rFonts w:ascii="Trebuchet MS" w:hAnsi="Trebuchet MS"/>
          <w:sz w:val="18"/>
          <w:szCs w:val="18"/>
        </w:rPr>
        <w:t xml:space="preserve">ευρώ περίπου καθότι δεν λαμβάνονται υπόψη οι εκκρεμείς επιστροφές φόρων για τις οποίες δεν έχουν παρέλθει 90 ημέρες, οι ληξιπρόθεσμες απαιτήσεις σχετικές με συμπληρωματικές συντάξεις, οι ληξιπρόθεσμες υποχρεώσεις οι οποίες δεν μπορούν </w:t>
      </w:r>
      <w:r w:rsidR="00C80D28">
        <w:rPr>
          <w:rFonts w:ascii="Trebuchet MS" w:hAnsi="Trebuchet MS"/>
          <w:sz w:val="18"/>
          <w:szCs w:val="18"/>
        </w:rPr>
        <w:t>να εκκαθαριστούν λόγω τεχνικών ή</w:t>
      </w:r>
      <w:r w:rsidRPr="00C14992">
        <w:rPr>
          <w:rFonts w:ascii="Trebuchet MS" w:hAnsi="Trebuchet MS"/>
          <w:sz w:val="18"/>
          <w:szCs w:val="18"/>
        </w:rPr>
        <w:t xml:space="preserve"> νομικών προβλημάτων, συμπεριλαμβανομένων και αυτών που έχουν συσσωρευτεί λόγω καθυστέρησης της διαδικασίας συμψηφισμού από clawback και rebate.</w:t>
      </w:r>
      <w:r>
        <w:rPr>
          <w:sz w:val="16"/>
          <w:szCs w:val="16"/>
        </w:rPr>
        <w:t xml:space="preserve"> </w:t>
      </w:r>
    </w:p>
  </w:footnote>
  <w:footnote w:id="20">
    <w:p w14:paraId="36F14295" w14:textId="77777777" w:rsidR="0003377E" w:rsidRPr="00AA4EDB" w:rsidRDefault="0003377E" w:rsidP="00AA4EDB">
      <w:pPr>
        <w:pStyle w:val="FootnoteText"/>
        <w:jc w:val="both"/>
        <w:rPr>
          <w:rFonts w:ascii="Trebuchet MS" w:hAnsi="Trebuchet MS" w:cstheme="minorHAnsi"/>
          <w:i/>
          <w:noProof/>
          <w:sz w:val="18"/>
          <w:szCs w:val="18"/>
          <w:lang w:eastAsia="el-GR"/>
        </w:rPr>
      </w:pPr>
      <w:r w:rsidRPr="00AA4EDB">
        <w:rPr>
          <w:rStyle w:val="FootnoteReference"/>
          <w:rFonts w:ascii="Trebuchet MS" w:hAnsi="Trebuchet MS" w:cstheme="minorHAnsi"/>
          <w:sz w:val="18"/>
          <w:szCs w:val="18"/>
        </w:rPr>
        <w:footnoteRef/>
      </w:r>
      <w:r w:rsidRPr="00AA4EDB">
        <w:rPr>
          <w:rFonts w:ascii="Trebuchet MS" w:hAnsi="Trebuchet MS" w:cstheme="minorHAnsi"/>
          <w:sz w:val="18"/>
          <w:szCs w:val="18"/>
        </w:rPr>
        <w:t xml:space="preserve"> </w:t>
      </w:r>
      <w:r w:rsidRPr="00AA4EDB">
        <w:rPr>
          <w:rFonts w:ascii="Trebuchet MS" w:hAnsi="Trebuchet MS" w:cstheme="minorHAnsi"/>
          <w:noProof/>
          <w:sz w:val="18"/>
          <w:szCs w:val="18"/>
          <w:lang w:eastAsia="el-GR"/>
        </w:rPr>
        <w:t>Στο «νέο Ληξιπρόθεσμο χρέος» δεν συμπεριλαμβάνονται οι «μη φορολογικές κατηγορίες» οι οποίες είναι οι εξής: Λοιπές Εισφορές, Έμμεσοι Υπέρ Τρίτων, Μισθώματα, Υπηρεσίες, Δάνεια, Υπέρ Διαφόρων Τρίτων, Λοιπά Πρόστιμα μη Φορολογικά, Παράβολα, Καταλογισμοί και Λοιπά μη Φορολογικά.</w:t>
      </w:r>
      <w:r w:rsidRPr="00AA4EDB">
        <w:rPr>
          <w:rFonts w:ascii="Trebuchet MS" w:hAnsi="Trebuchet MS" w:cstheme="minorHAnsi"/>
          <w:i/>
          <w:noProof/>
          <w:sz w:val="18"/>
          <w:szCs w:val="18"/>
          <w:lang w:eastAsia="el-GR"/>
        </w:rPr>
        <w:t xml:space="preserve">  </w:t>
      </w:r>
    </w:p>
  </w:footnote>
  <w:footnote w:id="21">
    <w:p w14:paraId="14500BA5" w14:textId="0148E98E" w:rsidR="0003377E" w:rsidRDefault="0003377E" w:rsidP="000F4F90">
      <w:pPr>
        <w:pStyle w:val="FootnoteText"/>
        <w:jc w:val="both"/>
      </w:pPr>
      <w:r w:rsidRPr="00AA4EDB">
        <w:rPr>
          <w:rStyle w:val="FootnoteReference"/>
          <w:rFonts w:ascii="Trebuchet MS" w:hAnsi="Trebuchet MS"/>
          <w:sz w:val="18"/>
          <w:szCs w:val="18"/>
        </w:rPr>
        <w:footnoteRef/>
      </w:r>
      <w:r w:rsidRPr="00AA4EDB">
        <w:rPr>
          <w:rFonts w:ascii="Trebuchet MS" w:hAnsi="Trebuchet MS"/>
          <w:sz w:val="18"/>
          <w:szCs w:val="18"/>
        </w:rPr>
        <w:t xml:space="preserve"> Από τα 636 εκατ. ευρώ που κατέβαλε το ΕΔ για πληρωμές καταπτώσεων το 2020, τα 581 εκατ. ευρώ αφορούσαν παρελθούσες δανειακές υποχρεώσεις του ΟΣΕ. Η πληρωμή του ανωτέρω ποσού, λόγω κατάπτωσης της εγγύησης, δεν αποτελεί δαπάνη του ΚΠ καθόσον αφορά καταπτώσεις εγγυήσεων φορέων των οποίων τις δανειακές υποχρεώσεις έχει αναλάβει π</w:t>
      </w:r>
      <w:r w:rsidR="00F60FC9">
        <w:rPr>
          <w:rFonts w:ascii="Trebuchet MS" w:hAnsi="Trebuchet MS"/>
          <w:sz w:val="18"/>
          <w:szCs w:val="18"/>
        </w:rPr>
        <w:t>ροηγουμένως το ελληνικό δημόσιο</w:t>
      </w:r>
      <w:r w:rsidRPr="00AA4EDB">
        <w:rPr>
          <w:rFonts w:ascii="Trebuchet MS" w:hAnsi="Trebuchet MS"/>
          <w:sz w:val="18"/>
          <w:szCs w:val="18"/>
        </w:rPr>
        <w:t>. Συνέπεια της πρακτικής αυτής είναι η αύξηση του δημοσίου χρέους, την ημερομη</w:t>
      </w:r>
      <w:r w:rsidR="00F60FC9">
        <w:rPr>
          <w:rFonts w:ascii="Trebuchet MS" w:hAnsi="Trebuchet MS"/>
          <w:sz w:val="18"/>
          <w:szCs w:val="18"/>
        </w:rPr>
        <w:t>νία ανάληψης του χρέους, ενώ τη</w:t>
      </w:r>
      <w:r w:rsidRPr="00AA4EDB">
        <w:rPr>
          <w:rFonts w:ascii="Trebuchet MS" w:hAnsi="Trebuchet MS"/>
          <w:sz w:val="18"/>
          <w:szCs w:val="18"/>
        </w:rPr>
        <w:t xml:space="preserve"> χρονική στιγμή κατάπτωσης της εγγύησης δεν προκύπτει αντίστοιχη επιβάρυνση των δαπανών του τακτικού προϋπολογισμού, με το αποτέλεσμα να είναι πλέον ουδέτερο σε επίπεδο ΓΚ.</w:t>
      </w:r>
      <w:r w:rsidRPr="00264B30">
        <w:rPr>
          <w:rFonts w:ascii="Trebuchet MS" w:hAnsi="Trebuchet MS"/>
          <w:sz w:val="16"/>
          <w:szCs w:val="16"/>
        </w:rPr>
        <w:t xml:space="preserve">  </w:t>
      </w:r>
    </w:p>
  </w:footnote>
  <w:footnote w:id="22">
    <w:p w14:paraId="3E1B01FE" w14:textId="7E7947D9" w:rsidR="0003377E" w:rsidRDefault="0003377E" w:rsidP="00AA4EDB">
      <w:pPr>
        <w:pStyle w:val="FootnoteText"/>
      </w:pPr>
      <w:r>
        <w:rPr>
          <w:rStyle w:val="FootnoteReference"/>
        </w:rPr>
        <w:footnoteRef/>
      </w:r>
      <w:r>
        <w:t xml:space="preserve"> </w:t>
      </w:r>
      <w:r w:rsidRPr="00B82331">
        <w:rPr>
          <w:rFonts w:ascii="Trebuchet MS" w:hAnsi="Trebuchet MS"/>
          <w:sz w:val="16"/>
          <w:szCs w:val="16"/>
        </w:rPr>
        <w:t>με το ν. 4549/2018 (άρθρα 91-108)</w:t>
      </w:r>
      <w:r>
        <w:rPr>
          <w:rFonts w:ascii="Trebuchet MS" w:hAnsi="Trebuchet MS"/>
          <w:sz w:val="16"/>
          <w:szCs w:val="16"/>
        </w:rPr>
        <w:t>.</w:t>
      </w:r>
    </w:p>
  </w:footnote>
  <w:footnote w:id="23">
    <w:p w14:paraId="2D2846D0" w14:textId="4EDEF7FC" w:rsidR="0003377E" w:rsidRDefault="0003377E" w:rsidP="00AA4EDB">
      <w:pPr>
        <w:pStyle w:val="FootnoteText"/>
      </w:pPr>
      <w:r>
        <w:rPr>
          <w:rStyle w:val="FootnoteReference"/>
        </w:rPr>
        <w:footnoteRef/>
      </w:r>
      <w:r>
        <w:t xml:space="preserve"> </w:t>
      </w:r>
      <w:r w:rsidRPr="00B82331">
        <w:rPr>
          <w:rFonts w:ascii="Trebuchet MS" w:hAnsi="Trebuchet MS"/>
          <w:sz w:val="16"/>
          <w:szCs w:val="16"/>
        </w:rPr>
        <w:t>Βλ. Παράρτημα 1 της εαρινής έκθεσης του ΕΔΣ 2017</w:t>
      </w:r>
      <w:r>
        <w:rPr>
          <w:rFonts w:ascii="Trebuchet MS" w:hAnsi="Trebuchet MS"/>
          <w:sz w:val="16"/>
          <w:szCs w:val="16"/>
        </w:rPr>
        <w:t>.</w:t>
      </w:r>
    </w:p>
  </w:footnote>
  <w:footnote w:id="24">
    <w:p w14:paraId="7D3175B9" w14:textId="46FA59C8" w:rsidR="0003377E" w:rsidRDefault="0003377E" w:rsidP="00AA4EDB">
      <w:pPr>
        <w:pStyle w:val="FootnoteText"/>
      </w:pPr>
      <w:r>
        <w:rPr>
          <w:rStyle w:val="FootnoteReference"/>
        </w:rPr>
        <w:footnoteRef/>
      </w:r>
      <w:r>
        <w:t xml:space="preserve"> </w:t>
      </w:r>
      <w:r w:rsidRPr="00B97D25">
        <w:rPr>
          <w:rFonts w:ascii="Trebuchet MS" w:hAnsi="Trebuchet MS"/>
          <w:sz w:val="16"/>
          <w:szCs w:val="16"/>
        </w:rPr>
        <w:t>Επιπλέον παρασχέθηκαν εγγυήσεις  5 εκατ.</w:t>
      </w:r>
      <w:r>
        <w:rPr>
          <w:rFonts w:ascii="Trebuchet MS" w:hAnsi="Trebuchet MS"/>
          <w:sz w:val="16"/>
          <w:szCs w:val="16"/>
        </w:rPr>
        <w:t xml:space="preserve"> </w:t>
      </w:r>
      <w:r w:rsidRPr="00B97D25">
        <w:rPr>
          <w:rFonts w:ascii="Trebuchet MS" w:hAnsi="Trebuchet MS"/>
          <w:sz w:val="16"/>
          <w:szCs w:val="16"/>
        </w:rPr>
        <w:t>ευρώ για παροχή δανείου στον Δήμο Θεσσαλονίκης</w:t>
      </w:r>
      <w:r>
        <w:rPr>
          <w:rFonts w:ascii="Trebuchet MS" w:hAnsi="Trebuchet MS"/>
          <w:sz w:val="16"/>
          <w:szCs w:val="16"/>
        </w:rPr>
        <w:t>.</w:t>
      </w:r>
      <w:r>
        <w:t xml:space="preserve"> </w:t>
      </w:r>
    </w:p>
  </w:footnote>
  <w:footnote w:id="25">
    <w:p w14:paraId="130E7A28" w14:textId="77777777" w:rsidR="0003377E" w:rsidRPr="004E445E" w:rsidRDefault="0003377E" w:rsidP="00AA4EDB">
      <w:pPr>
        <w:pStyle w:val="FootnoteText"/>
        <w:jc w:val="both"/>
      </w:pPr>
      <w:r>
        <w:rPr>
          <w:rStyle w:val="FootnoteReference"/>
        </w:rPr>
        <w:footnoteRef/>
      </w:r>
      <w:r>
        <w:t xml:space="preserve"> </w:t>
      </w:r>
      <w:r w:rsidRPr="00C35A21">
        <w:rPr>
          <w:rFonts w:ascii="Trebuchet MS" w:hAnsi="Trebuchet MS"/>
          <w:sz w:val="16"/>
          <w:szCs w:val="16"/>
        </w:rPr>
        <w:t>Περιλαμβάνεται η αυτοματοποίηση της βεβαίωσης οφειλών στις Δ</w:t>
      </w:r>
      <w:r>
        <w:rPr>
          <w:rFonts w:ascii="Trebuchet MS" w:hAnsi="Trebuchet MS"/>
          <w:sz w:val="16"/>
          <w:szCs w:val="16"/>
        </w:rPr>
        <w:t>ΟΥ</w:t>
      </w:r>
      <w:r w:rsidRPr="00C35A21">
        <w:rPr>
          <w:rFonts w:ascii="Trebuchet MS" w:hAnsi="Trebuchet MS"/>
          <w:sz w:val="16"/>
          <w:szCs w:val="16"/>
        </w:rPr>
        <w:t>, η παρακολούθηση του δανειολήπτη μέσω του Ολοκληρωμένου Πληροφοριακού Συστήματος Δημοσιονομικής Πολιτικής και του taxis καθώς και η λειτουργία συστήματος για την ηλεκτρονική διαχείριση των εγγράφων που συνοδεύουν τα αιτήματα κατάπτωσης.</w:t>
      </w:r>
      <w:r>
        <w:t xml:space="preserve"> </w:t>
      </w:r>
    </w:p>
  </w:footnote>
  <w:footnote w:id="26">
    <w:p w14:paraId="2D711F48" w14:textId="77777777" w:rsidR="0003377E" w:rsidRDefault="0003377E" w:rsidP="00AA4EDB">
      <w:pPr>
        <w:pStyle w:val="FootnoteText"/>
      </w:pPr>
      <w:r>
        <w:rPr>
          <w:rStyle w:val="FootnoteReference"/>
        </w:rPr>
        <w:footnoteRef/>
      </w:r>
      <w:r>
        <w:t xml:space="preserve"> </w:t>
      </w:r>
      <w:r w:rsidRPr="00913EC0">
        <w:t xml:space="preserve">ΚΥΑ αριθμ 2/18649/0025 05/06/2020 </w:t>
      </w:r>
    </w:p>
  </w:footnote>
  <w:footnote w:id="27">
    <w:p w14:paraId="67C9E352" w14:textId="6F6D0123" w:rsidR="0003377E" w:rsidRDefault="0003377E" w:rsidP="00AA4EDB">
      <w:pPr>
        <w:pStyle w:val="FootnoteText"/>
        <w:jc w:val="both"/>
      </w:pPr>
      <w:r>
        <w:rPr>
          <w:rStyle w:val="FootnoteReference"/>
        </w:rPr>
        <w:footnoteRef/>
      </w:r>
      <w:r>
        <w:t xml:space="preserve"> </w:t>
      </w:r>
      <w:r w:rsidRPr="00484E51">
        <w:rPr>
          <w:rFonts w:ascii="Trebuchet MS" w:hAnsi="Trebuchet MS"/>
          <w:sz w:val="16"/>
          <w:szCs w:val="16"/>
        </w:rPr>
        <w:t xml:space="preserve">Σε εφαρμογή  </w:t>
      </w:r>
      <w:r w:rsidRPr="00A25098">
        <w:rPr>
          <w:rFonts w:ascii="Trebuchet MS" w:hAnsi="Trebuchet MS"/>
          <w:sz w:val="16"/>
          <w:szCs w:val="16"/>
        </w:rPr>
        <w:t>του άρθρου 293 του ν. 4738/2020 (Α΄ 207)</w:t>
      </w:r>
      <w:r>
        <w:rPr>
          <w:rFonts w:ascii="Trebuchet MS" w:hAnsi="Trebuchet MS"/>
          <w:sz w:val="16"/>
          <w:szCs w:val="16"/>
        </w:rPr>
        <w:t xml:space="preserve"> εκδόθηκε η </w:t>
      </w:r>
      <w:r w:rsidRPr="00A25098">
        <w:rPr>
          <w:rFonts w:ascii="Trebuchet MS" w:hAnsi="Trebuchet MS"/>
          <w:sz w:val="16"/>
          <w:szCs w:val="16"/>
        </w:rPr>
        <w:t>Ε 2073</w:t>
      </w:r>
      <w:r>
        <w:rPr>
          <w:rFonts w:ascii="Trebuchet MS" w:hAnsi="Trebuchet MS"/>
          <w:sz w:val="16"/>
          <w:szCs w:val="16"/>
        </w:rPr>
        <w:t>/06-04-2021 εγκύκλιος με την οποία παρέχονται Δ</w:t>
      </w:r>
      <w:r w:rsidRPr="00A25098">
        <w:rPr>
          <w:rFonts w:ascii="Trebuchet MS" w:hAnsi="Trebuchet MS"/>
          <w:sz w:val="16"/>
          <w:szCs w:val="16"/>
        </w:rPr>
        <w:t xml:space="preserve">ιευκρινίσεις  </w:t>
      </w:r>
      <w:r>
        <w:rPr>
          <w:rFonts w:ascii="Trebuchet MS" w:hAnsi="Trebuchet MS"/>
          <w:sz w:val="16"/>
          <w:szCs w:val="16"/>
        </w:rPr>
        <w:t xml:space="preserve">και οδηγίες επί των διατάξεων του εν λόγω νόμου, </w:t>
      </w:r>
      <w:r w:rsidRPr="00A25098">
        <w:rPr>
          <w:rFonts w:ascii="Trebuchet MS" w:hAnsi="Trebuchet MS"/>
          <w:sz w:val="16"/>
          <w:szCs w:val="16"/>
        </w:rPr>
        <w:t xml:space="preserve">για την ενιαία εφαρμογή της ρύθμισης οφειλών που προέρχονται από επιχειρηματικά δάνεια και δάνεια φυσικών προσώπων, </w:t>
      </w:r>
      <w:r w:rsidR="007D6536">
        <w:rPr>
          <w:rFonts w:ascii="Trebuchet MS" w:hAnsi="Trebuchet MS"/>
          <w:sz w:val="16"/>
          <w:szCs w:val="16"/>
        </w:rPr>
        <w:t xml:space="preserve">καθώς και από καταπτώσεις  της </w:t>
      </w:r>
      <w:r w:rsidRPr="00A25098">
        <w:rPr>
          <w:rFonts w:ascii="Trebuchet MS" w:hAnsi="Trebuchet MS"/>
          <w:sz w:val="16"/>
          <w:szCs w:val="16"/>
        </w:rPr>
        <w:t>Ελληνικής Αναπτυξιακής Τράπεζας»</w:t>
      </w:r>
      <w:r>
        <w:rPr>
          <w:rFonts w:ascii="Trebuchet MS" w:hAnsi="Trebuchet MS"/>
          <w:sz w:val="16"/>
          <w:szCs w:val="16"/>
        </w:rPr>
        <w:t>.</w:t>
      </w:r>
    </w:p>
  </w:footnote>
  <w:footnote w:id="28">
    <w:p w14:paraId="63EBF320" w14:textId="77777777" w:rsidR="0003377E" w:rsidRPr="00EF4140" w:rsidRDefault="0003377E" w:rsidP="000F4F90">
      <w:pPr>
        <w:pStyle w:val="FootnoteText"/>
        <w:jc w:val="both"/>
        <w:rPr>
          <w:rFonts w:ascii="Trebuchet MS" w:hAnsi="Trebuchet MS"/>
          <w:sz w:val="18"/>
          <w:szCs w:val="18"/>
        </w:rPr>
      </w:pPr>
      <w:r w:rsidRPr="00BA65F0">
        <w:rPr>
          <w:rStyle w:val="FootnoteReference"/>
          <w:rFonts w:ascii="Trebuchet MS" w:hAnsi="Trebuchet MS"/>
          <w:sz w:val="16"/>
          <w:szCs w:val="16"/>
        </w:rPr>
        <w:footnoteRef/>
      </w:r>
      <w:r w:rsidRPr="00BA65F0">
        <w:rPr>
          <w:rFonts w:ascii="Trebuchet MS" w:hAnsi="Trebuchet MS"/>
          <w:sz w:val="16"/>
          <w:szCs w:val="16"/>
        </w:rPr>
        <w:t xml:space="preserve"> </w:t>
      </w:r>
      <w:r w:rsidRPr="00EF4140">
        <w:rPr>
          <w:rFonts w:ascii="Trebuchet MS" w:hAnsi="Trebuchet MS"/>
          <w:sz w:val="18"/>
          <w:szCs w:val="18"/>
        </w:rPr>
        <w:t>Στο ποσό αυτό δεν συμπεριλαμβάνονται οι εγγυήσεις του ΕΔ προς τα πιστωτικά ιδρύματα για την παροχή ρευστότητας (Ν. 3723/2008) ύψους 320 εκατ.ευρώ, τα δάνεια επιχειρηματικότητας της ΕΤΕπ σε ελληνικές τράπεζες ύψους 1.604,07 εκατ. ευρώ, οι εγγυήσεις του ΕΔ προς την Τράπεζα της Ελλάδος για κάλυψη πιστώσεων πιστωτικών ιδρυμάτων που εδρεύουν στην Ελλάδα, με σκοπό την αντιμετώπιση προσωρινών βραχυχρόνιων προβλημάτων ρευστότητας (Emergency Liquidity Assistance-ELA) (Ν. 3845/2010), καθώς και οι εγγυήσεις που παρασχέθηκαν από το ΕΔ στο πλαίσιο εφαρμογής του σχεδίου «Ηρακλής» ύψους 2.409,32 εκατ.ευρώ, για την κάλυψη ομολογιών υψηλής διαβάθμισης που προκύπτουν από τιτλοποιήσεις Μη Εξυπηρετούμενων Δανείων των ελληνικών πιστωτικών ιδρυμάτων (Αποφ. 53519/10/10/2019 της Ευρωπαϊκής Επιτροπής).</w:t>
      </w:r>
    </w:p>
  </w:footnote>
  <w:footnote w:id="29">
    <w:p w14:paraId="49CD7522" w14:textId="151A3A52" w:rsidR="0003377E" w:rsidRPr="00EF4140" w:rsidRDefault="0003377E" w:rsidP="000F4F90">
      <w:pPr>
        <w:pStyle w:val="FootnoteText"/>
        <w:rPr>
          <w:rFonts w:ascii="Trebuchet MS" w:hAnsi="Trebuchet MS"/>
          <w:sz w:val="18"/>
          <w:szCs w:val="18"/>
        </w:rPr>
      </w:pPr>
      <w:r w:rsidRPr="00EF4140">
        <w:rPr>
          <w:rStyle w:val="FootnoteReference"/>
          <w:rFonts w:ascii="Trebuchet MS" w:hAnsi="Trebuchet MS"/>
          <w:sz w:val="18"/>
          <w:szCs w:val="18"/>
        </w:rPr>
        <w:footnoteRef/>
      </w:r>
      <w:r w:rsidR="00A134DA">
        <w:rPr>
          <w:rFonts w:ascii="Trebuchet MS" w:hAnsi="Trebuchet MS"/>
          <w:sz w:val="18"/>
          <w:szCs w:val="18"/>
        </w:rPr>
        <w:t xml:space="preserve"> Το Πανευρωπαϊκό Ταμείο</w:t>
      </w:r>
      <w:r w:rsidRPr="00EF4140">
        <w:rPr>
          <w:rFonts w:ascii="Trebuchet MS" w:hAnsi="Trebuchet MS"/>
          <w:sz w:val="18"/>
          <w:szCs w:val="18"/>
        </w:rPr>
        <w:t xml:space="preserve"> Εγγυήσεων («Pan-European Guarantee Fund»), συστήθηκε στο πλαίσιο του ΕΤΕπ, για την αντιμετώπιση των επιπτώσεων της πανδημίας στα κράτη μέλη της ΕΕ.</w:t>
      </w:r>
    </w:p>
  </w:footnote>
  <w:footnote w:id="30">
    <w:p w14:paraId="6A136B66" w14:textId="02E7EA33" w:rsidR="0003377E" w:rsidRPr="00EF4140" w:rsidRDefault="0003377E" w:rsidP="000F4F90">
      <w:pPr>
        <w:pStyle w:val="FootnoteText"/>
        <w:jc w:val="both"/>
        <w:rPr>
          <w:rFonts w:ascii="Trebuchet MS" w:hAnsi="Trebuchet MS"/>
          <w:sz w:val="18"/>
          <w:szCs w:val="18"/>
        </w:rPr>
      </w:pPr>
      <w:r w:rsidRPr="00EF4140">
        <w:rPr>
          <w:rStyle w:val="FootnoteReference"/>
          <w:rFonts w:ascii="Trebuchet MS" w:hAnsi="Trebuchet MS"/>
          <w:sz w:val="18"/>
          <w:szCs w:val="18"/>
        </w:rPr>
        <w:footnoteRef/>
      </w:r>
      <w:r w:rsidR="00913F25">
        <w:rPr>
          <w:rFonts w:ascii="Trebuchet MS" w:hAnsi="Trebuchet MS"/>
          <w:sz w:val="18"/>
          <w:szCs w:val="18"/>
        </w:rPr>
        <w:t xml:space="preserve"> Το ΕΔ, σ</w:t>
      </w:r>
      <w:r w:rsidRPr="00EF4140">
        <w:rPr>
          <w:rFonts w:ascii="Trebuchet MS" w:hAnsi="Trebuchet MS"/>
          <w:sz w:val="18"/>
          <w:szCs w:val="18"/>
        </w:rPr>
        <w:t>το πλαίσιο του κανονισμού 2020/672 του Ευρωπαϊκού Συμβουλίου, σχετικά με την θέσπιση ευρωπαϊκού μέσου προσωρινής στήριξης για τον μετριασμό των κινδύνων ανεργίας σε κατάσταση έκτακτης ανάγκης (SURE) και σύμφωνα με την Αποφ.2/22377/0025/2020/03.06.2020, παρείχε στην ΕΕ εγγυήσεις για την αντιμετώπιση της κοινωνικοοικονομικής κατάστασης λόγω της επιδημικής έκρηξης της νόσου COVID-19. Η Ευρωπαϊκή Επιτροπή (εξ ονόματος της Ευρωπαϊκής Ένωσης), έχοντας συγκεντρώσει το σύνολο των εγγυήσεων και από τα υπόλοιπα κ-μ, προτίθεται να δανειστεί από τις κεφαλαιαγορές ή από χρηματοοικονομικούς οργανισμούς για</w:t>
      </w:r>
      <w:r w:rsidR="00913F25">
        <w:rPr>
          <w:rFonts w:ascii="Trebuchet MS" w:hAnsi="Trebuchet MS"/>
          <w:sz w:val="18"/>
          <w:szCs w:val="18"/>
        </w:rPr>
        <w:t xml:space="preserve"> το σκοπό αυτό 100 δις € για τη</w:t>
      </w:r>
      <w:r w:rsidRPr="00EF4140">
        <w:rPr>
          <w:rFonts w:ascii="Trebuchet MS" w:hAnsi="Trebuchet MS"/>
          <w:sz w:val="18"/>
          <w:szCs w:val="18"/>
        </w:rPr>
        <w:t xml:space="preserve"> στήριξη των κρατών. Προκειμένου να έχει επαρκείς πόρους στην περίπτωση κατά την οποία κάποιο κράτος μέλος δεν ανταποκριθεί στην υποχρέωση αποπληρωμής του δανείου του, η ΕΕ σύναψε σε προγενέστερο στάδιο με όλα τα κράτη μέλη και το καθένα ξεχωριστά συμφωνία εγγύησης συνολικού ύψους 25 δις.</w:t>
      </w:r>
    </w:p>
  </w:footnote>
  <w:footnote w:id="31">
    <w:p w14:paraId="060C14EE" w14:textId="3D4E4296" w:rsidR="0003377E" w:rsidRDefault="0003377E" w:rsidP="000F4F90">
      <w:pPr>
        <w:pStyle w:val="FootnoteText"/>
        <w:jc w:val="both"/>
      </w:pPr>
      <w:r w:rsidRPr="00EF4140">
        <w:rPr>
          <w:rStyle w:val="FootnoteReference"/>
          <w:rFonts w:ascii="Trebuchet MS" w:hAnsi="Trebuchet MS"/>
          <w:sz w:val="18"/>
          <w:szCs w:val="18"/>
        </w:rPr>
        <w:footnoteRef/>
      </w:r>
      <w:r w:rsidRPr="00EF4140">
        <w:rPr>
          <w:rFonts w:ascii="Trebuchet MS" w:hAnsi="Trebuchet MS"/>
          <w:sz w:val="18"/>
          <w:szCs w:val="18"/>
        </w:rPr>
        <w:t xml:space="preserve"> Με την ΥΑ 2500/6/2020 (ΦΕΚ 1768/08.05.2020), συστήθηκε Ταμείο Εγγυοδοσίας με την επωνυμία «ΤΑΜΕΙΟ ΕΓΓΥΟΔΟΣΙΑΣ ΕΠΙΧΕΙΡΗΣΕΩΝ COVID-19», ως χωριστή χρηματοδοτική μονάδα εντός της Ελληνικής Αναπτυξιακής Τράπεζας ΑΕ (ΕΑΤ),</w:t>
      </w:r>
      <w:r w:rsidR="00913F25">
        <w:rPr>
          <w:rFonts w:ascii="Trebuchet MS" w:hAnsi="Trebuchet MS"/>
          <w:sz w:val="18"/>
          <w:szCs w:val="18"/>
        </w:rPr>
        <w:t xml:space="preserve"> </w:t>
      </w:r>
      <w:r w:rsidRPr="00EF4140">
        <w:rPr>
          <w:rFonts w:ascii="Trebuchet MS" w:hAnsi="Trebuchet MS"/>
          <w:sz w:val="18"/>
          <w:szCs w:val="18"/>
        </w:rPr>
        <w:t>σύμφωνα με τις διατάξεις του Κανονισμού (ΕΕ) αριθ. 1303/2013 όπως ισχύει, καθώς και του Προσωρινού Πλαισίου για τη λήψη μέτρων Κρατικής Ενίσχυσης με σκοπό να στηριχθεί η ελληνική οικονομία κατά τη διάρκεια της τρέχουσας έξαρσης της νόσου COVID-19 (2020/C 91 I/01).</w:t>
      </w:r>
    </w:p>
  </w:footnote>
  <w:footnote w:id="32">
    <w:p w14:paraId="5A87CDDB" w14:textId="720BEA2C" w:rsidR="0003377E" w:rsidRPr="00EF4140" w:rsidRDefault="0003377E" w:rsidP="006E4035">
      <w:pPr>
        <w:pStyle w:val="FootnoteText"/>
        <w:jc w:val="both"/>
        <w:rPr>
          <w:rFonts w:ascii="Trebuchet MS" w:hAnsi="Trebuchet MS"/>
          <w:sz w:val="18"/>
          <w:szCs w:val="18"/>
        </w:rPr>
      </w:pPr>
      <w:r w:rsidRPr="00EF4140">
        <w:rPr>
          <w:rStyle w:val="FootnoteReference"/>
          <w:rFonts w:ascii="Trebuchet MS" w:hAnsi="Trebuchet MS"/>
          <w:sz w:val="18"/>
          <w:szCs w:val="18"/>
        </w:rPr>
        <w:footnoteRef/>
      </w:r>
      <w:r w:rsidRPr="00EF4140">
        <w:rPr>
          <w:rStyle w:val="FootnoteReference"/>
          <w:rFonts w:ascii="Trebuchet MS" w:hAnsi="Trebuchet MS"/>
          <w:sz w:val="18"/>
          <w:szCs w:val="18"/>
        </w:rPr>
        <w:t xml:space="preserve"> </w:t>
      </w:r>
      <w:r w:rsidRPr="00EF4140">
        <w:rPr>
          <w:rFonts w:ascii="Trebuchet MS" w:hAnsi="Trebuchet MS"/>
          <w:sz w:val="18"/>
          <w:szCs w:val="18"/>
        </w:rPr>
        <w:t>Ο βραχυπρόθεσμος δανεισμός του Ελληνικού Δημοσίου πραγματοποιήθηκε μέσω εκδόσεων εντόκων γραμματίων τρίμηνης, εξάμηνης και ετήσιας</w:t>
      </w:r>
      <w:r w:rsidR="00620234">
        <w:rPr>
          <w:rFonts w:ascii="Trebuchet MS" w:hAnsi="Trebuchet MS"/>
          <w:sz w:val="18"/>
          <w:szCs w:val="18"/>
        </w:rPr>
        <w:t xml:space="preserve"> διάρκειας, καθώς επίσης και </w:t>
      </w:r>
      <w:r w:rsidRPr="00EF4140">
        <w:rPr>
          <w:rFonts w:ascii="Trebuchet MS" w:hAnsi="Trebuchet MS"/>
          <w:sz w:val="18"/>
          <w:szCs w:val="18"/>
        </w:rPr>
        <w:t>πράξεων διαχείρισης ταμειακής ρευστότητας υπό τη μορφή repo agreements, με τις οποίες  ο Οργανισμός Διαχείρισης Δημοσίου Χρέους (ΟΔΔΗΧ) αξιοποιεί τα ταμειακά διαθέσιμα των φορέων της Γενικής Κυβέρνησης προκειμένου να καλύψει τις βραχυχρόνιες ανάγκες ρευστότητας.</w:t>
      </w:r>
    </w:p>
  </w:footnote>
  <w:footnote w:id="33">
    <w:p w14:paraId="71778481" w14:textId="77777777" w:rsidR="0003377E" w:rsidRPr="006E4035" w:rsidRDefault="0003377E" w:rsidP="000E314E">
      <w:pPr>
        <w:pStyle w:val="FootnoteText"/>
        <w:jc w:val="both"/>
        <w:rPr>
          <w:rFonts w:ascii="Trebuchet MS" w:hAnsi="Trebuchet MS"/>
          <w:sz w:val="18"/>
          <w:szCs w:val="18"/>
        </w:rPr>
      </w:pPr>
      <w:r w:rsidRPr="006E4035">
        <w:rPr>
          <w:rStyle w:val="FootnoteReference"/>
          <w:rFonts w:ascii="Trebuchet MS" w:hAnsi="Trebuchet MS"/>
          <w:sz w:val="18"/>
          <w:szCs w:val="18"/>
        </w:rPr>
        <w:footnoteRef/>
      </w:r>
      <w:r w:rsidRPr="006E4035">
        <w:rPr>
          <w:rFonts w:ascii="Trebuchet MS" w:hAnsi="Trebuchet MS"/>
          <w:sz w:val="18"/>
          <w:szCs w:val="18"/>
        </w:rPr>
        <w:t>Η εφαρμογή των βραχυπρόθεσμων και μεσοπρόθεσμων μέτρων ελάφρυνσης του ελληνικού χρέους, αναπροσάρμοσε τη δομή του δημοσίου χρέους, προεκτείνοντας το χρονικό ορίζοντα λήξης του έως το 2070, προκειμένου οι Ακαθάριστες Χρηματοδοτικές Ανάγκες (GFN), να είναι σε επίπεδα πολύ κάτω του 15% μεσοπρόθεσμα, ενώ δεν αναμένονταν να ξεπεράσουν το 20% μακροπρόθεσμα.</w:t>
      </w:r>
    </w:p>
  </w:footnote>
  <w:footnote w:id="34">
    <w:p w14:paraId="11234061" w14:textId="77777777" w:rsidR="0003377E" w:rsidRPr="006E4035" w:rsidRDefault="0003377E" w:rsidP="000E314E">
      <w:pPr>
        <w:pStyle w:val="FootnoteText"/>
        <w:jc w:val="both"/>
        <w:rPr>
          <w:rFonts w:ascii="Trebuchet MS" w:hAnsi="Trebuchet MS"/>
          <w:sz w:val="18"/>
          <w:szCs w:val="18"/>
        </w:rPr>
      </w:pPr>
      <w:r w:rsidRPr="006E4035">
        <w:rPr>
          <w:rStyle w:val="FootnoteReference"/>
          <w:rFonts w:ascii="Trebuchet MS" w:hAnsi="Trebuchet MS"/>
          <w:sz w:val="18"/>
          <w:szCs w:val="18"/>
        </w:rPr>
        <w:footnoteRef/>
      </w:r>
      <w:r w:rsidRPr="006E4035">
        <w:rPr>
          <w:rFonts w:ascii="Trebuchet MS" w:hAnsi="Trebuchet MS"/>
          <w:sz w:val="18"/>
          <w:szCs w:val="18"/>
        </w:rPr>
        <w:t xml:space="preserve"> Στο πλαίσιο της προγραμματικής περιόδου 2021-2027, οι πόροι που αναμένονται να διοχετευτούν στην ελληνική οικονομία θα φτάσουν τα 19 δισ. Ευρώ περίπου, μέσω του Ευρωπαϊκού Ταμείου Περιφερειακής Ανάπτυξης (10,1 δισ. ευρώ), του Ευρωπαϊκού Κοινωνικού Ταμείου (5,2 δις.ευρώ), του Ταμείου Συνοχής (5,2 δισ. ευρώ) και της Ευρωπαϊκής Εδαφικής Συνεργασίας (112 εκατ. Ευρώ)</w:t>
      </w:r>
    </w:p>
  </w:footnote>
  <w:footnote w:id="35">
    <w:p w14:paraId="106971ED" w14:textId="700A6BFB" w:rsidR="0003377E" w:rsidRPr="006E4035" w:rsidRDefault="0003377E" w:rsidP="009D302C">
      <w:pPr>
        <w:pStyle w:val="FootnoteText"/>
        <w:jc w:val="both"/>
        <w:rPr>
          <w:rFonts w:ascii="Trebuchet MS" w:hAnsi="Trebuchet MS"/>
          <w:sz w:val="18"/>
          <w:szCs w:val="18"/>
        </w:rPr>
      </w:pPr>
      <w:r w:rsidRPr="006E4035">
        <w:rPr>
          <w:rStyle w:val="FootnoteReference"/>
          <w:rFonts w:ascii="Trebuchet MS" w:hAnsi="Trebuchet MS"/>
          <w:sz w:val="18"/>
          <w:szCs w:val="18"/>
        </w:rPr>
        <w:footnoteRef/>
      </w:r>
      <w:r w:rsidRPr="006E4035">
        <w:rPr>
          <w:rFonts w:ascii="Trebuchet MS" w:hAnsi="Trebuchet MS"/>
          <w:sz w:val="18"/>
          <w:szCs w:val="18"/>
        </w:rPr>
        <w:t xml:space="preserve"> Το</w:t>
      </w:r>
      <w:r w:rsidR="00142E91">
        <w:rPr>
          <w:rFonts w:ascii="Trebuchet MS" w:hAnsi="Trebuchet MS"/>
          <w:sz w:val="18"/>
          <w:szCs w:val="18"/>
        </w:rPr>
        <w:t>ν</w:t>
      </w:r>
      <w:r w:rsidRPr="006E4035">
        <w:rPr>
          <w:rFonts w:ascii="Trebuchet MS" w:hAnsi="Trebuchet MS"/>
          <w:sz w:val="18"/>
          <w:szCs w:val="18"/>
        </w:rPr>
        <w:t xml:space="preserve"> Μάϊο του 2020 η Ευρωπαϊκή Επιτροπή παρουσίασε ένα διευρυμένο πακέτο εργαλείων προκειμένου να ενισχύσει τις προσπάθειες των κρατών-μελών να αντιμετωπίσουν τις επιπτώσεις της πανδημίας στις</w:t>
      </w:r>
      <w:r w:rsidRPr="006E4035">
        <w:rPr>
          <w:rFonts w:ascii="Trebuchet MS" w:hAnsi="Trebuchet MS"/>
          <w:i/>
          <w:sz w:val="18"/>
          <w:szCs w:val="18"/>
        </w:rPr>
        <w:t xml:space="preserve"> </w:t>
      </w:r>
      <w:r w:rsidRPr="006E4035">
        <w:rPr>
          <w:rFonts w:ascii="Trebuchet MS" w:hAnsi="Trebuchet MS"/>
          <w:sz w:val="18"/>
          <w:szCs w:val="18"/>
        </w:rPr>
        <w:t>οικονομίες τους. Το κυριότερο εξ’ αυτών αφορούσε το “Next Generation EU” του οποίου βασική συνιστώσα αποτελεί ο Μηχανισμός Ανάκαμψης και Ανθεκτικότητας μέσω του οποίου αναμένεται να εισρεύσουν στην ελληνική οικονομία κεφάλαια συνολικού ύψους 30,5 δισ. ευρώ έω</w:t>
      </w:r>
      <w:r w:rsidR="00D44B3E">
        <w:rPr>
          <w:rFonts w:ascii="Trebuchet MS" w:hAnsi="Trebuchet MS"/>
          <w:sz w:val="18"/>
          <w:szCs w:val="18"/>
        </w:rPr>
        <w:t>ς το 2026 (17,8 δισ. ευρώ με τη</w:t>
      </w:r>
      <w:r w:rsidRPr="006E4035">
        <w:rPr>
          <w:rFonts w:ascii="Trebuchet MS" w:hAnsi="Trebuchet MS"/>
          <w:sz w:val="18"/>
          <w:szCs w:val="18"/>
        </w:rPr>
        <w:t xml:space="preserve"> μορφή επιχορη</w:t>
      </w:r>
      <w:r w:rsidR="00D44B3E">
        <w:rPr>
          <w:rFonts w:ascii="Trebuchet MS" w:hAnsi="Trebuchet MS"/>
          <w:sz w:val="18"/>
          <w:szCs w:val="18"/>
        </w:rPr>
        <w:t>γήσεων και 12,7 δισ. ευρώ με τη</w:t>
      </w:r>
      <w:r w:rsidRPr="006E4035">
        <w:rPr>
          <w:rFonts w:ascii="Trebuchet MS" w:hAnsi="Trebuchet MS"/>
          <w:sz w:val="18"/>
          <w:szCs w:val="18"/>
        </w:rPr>
        <w:t xml:space="preserve"> μορφή δανεικών κεφαλαίων).</w:t>
      </w:r>
    </w:p>
  </w:footnote>
  <w:footnote w:id="36">
    <w:p w14:paraId="4BF29A55" w14:textId="77777777" w:rsidR="0003377E" w:rsidRPr="006E4035" w:rsidRDefault="0003377E" w:rsidP="00850AD9">
      <w:pPr>
        <w:pStyle w:val="FootnoteText"/>
        <w:jc w:val="both"/>
        <w:rPr>
          <w:rFonts w:ascii="Trebuchet MS" w:hAnsi="Trebuchet MS"/>
          <w:sz w:val="18"/>
          <w:szCs w:val="18"/>
        </w:rPr>
      </w:pPr>
      <w:r w:rsidRPr="006E4035">
        <w:rPr>
          <w:rStyle w:val="FootnoteReference"/>
          <w:rFonts w:ascii="Trebuchet MS" w:hAnsi="Trebuchet MS"/>
          <w:sz w:val="18"/>
          <w:szCs w:val="18"/>
        </w:rPr>
        <w:footnoteRef/>
      </w:r>
      <w:r w:rsidRPr="006E4035">
        <w:rPr>
          <w:rFonts w:ascii="Trebuchet MS" w:hAnsi="Trebuchet MS"/>
          <w:sz w:val="18"/>
          <w:szCs w:val="18"/>
        </w:rPr>
        <w:t xml:space="preserve"> </w:t>
      </w:r>
      <w:r>
        <w:rPr>
          <w:rFonts w:ascii="Trebuchet MS" w:hAnsi="Trebuchet MS"/>
          <w:sz w:val="18"/>
          <w:szCs w:val="18"/>
        </w:rPr>
        <w:t xml:space="preserve">GLF: </w:t>
      </w:r>
      <w:r w:rsidRPr="006E4035">
        <w:rPr>
          <w:rFonts w:ascii="Trebuchet MS" w:hAnsi="Trebuchet MS"/>
          <w:sz w:val="18"/>
          <w:szCs w:val="18"/>
        </w:rPr>
        <w:t>Greek Loan Facility / Διακρατικά δάνεια που παρασχέ</w:t>
      </w:r>
      <w:r>
        <w:rPr>
          <w:rFonts w:ascii="Trebuchet MS" w:hAnsi="Trebuchet MS"/>
          <w:sz w:val="18"/>
          <w:szCs w:val="18"/>
        </w:rPr>
        <w:t xml:space="preserve">θηκαν στην Ελλάδα μέσω του GLF </w:t>
      </w:r>
      <w:r w:rsidRPr="006E4035">
        <w:rPr>
          <w:rFonts w:ascii="Trebuchet MS" w:hAnsi="Trebuchet MS"/>
          <w:sz w:val="18"/>
          <w:szCs w:val="18"/>
        </w:rPr>
        <w:t xml:space="preserve"> </w:t>
      </w:r>
    </w:p>
    <w:p w14:paraId="35177EAE" w14:textId="77777777" w:rsidR="0003377E" w:rsidRPr="006E4035" w:rsidRDefault="0003377E" w:rsidP="00850AD9">
      <w:pPr>
        <w:pStyle w:val="FootnoteText"/>
        <w:jc w:val="both"/>
        <w:rPr>
          <w:rFonts w:ascii="Trebuchet MS" w:hAnsi="Trebuchet MS"/>
          <w:sz w:val="18"/>
          <w:szCs w:val="18"/>
        </w:rPr>
      </w:pPr>
      <w:r>
        <w:rPr>
          <w:rFonts w:ascii="Trebuchet MS" w:hAnsi="Trebuchet MS"/>
          <w:sz w:val="18"/>
          <w:szCs w:val="18"/>
        </w:rPr>
        <w:t xml:space="preserve">EFSF: </w:t>
      </w:r>
      <w:r w:rsidRPr="006E4035">
        <w:rPr>
          <w:rFonts w:ascii="Trebuchet MS" w:hAnsi="Trebuchet MS"/>
          <w:sz w:val="18"/>
          <w:szCs w:val="18"/>
        </w:rPr>
        <w:t>Ευρωπαϊκό Ταμείο Χρηματοπιστωτικής Σταθερότητας (European Financial Stability Facility)</w:t>
      </w:r>
    </w:p>
    <w:p w14:paraId="61639DD8" w14:textId="77777777" w:rsidR="0003377E" w:rsidRPr="006E4035" w:rsidRDefault="0003377E" w:rsidP="00850AD9">
      <w:pPr>
        <w:pStyle w:val="FootnoteText"/>
        <w:jc w:val="both"/>
        <w:rPr>
          <w:rFonts w:ascii="Trebuchet MS" w:hAnsi="Trebuchet MS"/>
          <w:sz w:val="18"/>
          <w:szCs w:val="18"/>
        </w:rPr>
      </w:pPr>
      <w:r>
        <w:rPr>
          <w:rFonts w:ascii="Trebuchet MS" w:hAnsi="Trebuchet MS"/>
          <w:sz w:val="18"/>
          <w:szCs w:val="18"/>
        </w:rPr>
        <w:t xml:space="preserve">ESM: </w:t>
      </w:r>
      <w:r w:rsidRPr="006E4035">
        <w:rPr>
          <w:rFonts w:ascii="Trebuchet MS" w:hAnsi="Trebuchet MS"/>
          <w:sz w:val="18"/>
          <w:szCs w:val="18"/>
        </w:rPr>
        <w:t>European Stability Mechanism (Ευρωπαϊκός Μηχανισμός Σταθερότητας)</w:t>
      </w:r>
    </w:p>
  </w:footnote>
  <w:footnote w:id="37">
    <w:p w14:paraId="45AB4FFE" w14:textId="3EC46ECA" w:rsidR="0003377E" w:rsidRPr="001C36E7" w:rsidRDefault="0003377E" w:rsidP="00850AD9">
      <w:pPr>
        <w:pStyle w:val="FootnoteText"/>
        <w:jc w:val="both"/>
        <w:rPr>
          <w:rFonts w:ascii="Trebuchet MS" w:hAnsi="Trebuchet MS"/>
          <w:sz w:val="18"/>
          <w:szCs w:val="18"/>
        </w:rPr>
      </w:pPr>
      <w:r w:rsidRPr="006E4035">
        <w:rPr>
          <w:rStyle w:val="FootnoteReference"/>
          <w:rFonts w:ascii="Trebuchet MS" w:hAnsi="Trebuchet MS"/>
          <w:sz w:val="18"/>
          <w:szCs w:val="18"/>
        </w:rPr>
        <w:footnoteRef/>
      </w:r>
      <w:r w:rsidRPr="006E4035">
        <w:rPr>
          <w:rFonts w:ascii="Trebuchet MS" w:hAnsi="Trebuchet MS"/>
          <w:sz w:val="18"/>
          <w:szCs w:val="18"/>
        </w:rPr>
        <w:t xml:space="preserve"> Το</w:t>
      </w:r>
      <w:r w:rsidR="001C36E7">
        <w:rPr>
          <w:rFonts w:ascii="Trebuchet MS" w:hAnsi="Trebuchet MS"/>
          <w:sz w:val="18"/>
          <w:szCs w:val="18"/>
        </w:rPr>
        <w:t>ν Μάρτιο το ελληνικό δημόσιο</w:t>
      </w:r>
      <w:r w:rsidRPr="006E4035">
        <w:rPr>
          <w:rFonts w:ascii="Trebuchet MS" w:hAnsi="Trebuchet MS"/>
          <w:sz w:val="18"/>
          <w:szCs w:val="18"/>
        </w:rPr>
        <w:t xml:space="preserve"> αξιοποιώντας τα ταμειακά διαθέσιμα, αποπλήρωσε πρόωρα το μεγαλύτερο μέρος του δανεισμού του προς το ΔΝΤ (3,3 δισ. ευρώ) μειώνοντας τις ακαθάριστες χρηματοδοτικές ανάγκες για την επόμενη διετία και βελτιώνοντας το</w:t>
      </w:r>
      <w:r w:rsidR="001C36E7">
        <w:rPr>
          <w:rFonts w:ascii="Trebuchet MS" w:hAnsi="Trebuchet MS"/>
          <w:sz w:val="18"/>
          <w:szCs w:val="18"/>
        </w:rPr>
        <w:t>ν</w:t>
      </w:r>
      <w:r w:rsidRPr="006E4035">
        <w:rPr>
          <w:rFonts w:ascii="Trebuchet MS" w:hAnsi="Trebuchet MS"/>
          <w:sz w:val="18"/>
          <w:szCs w:val="18"/>
        </w:rPr>
        <w:t xml:space="preserve"> λόγο χρέος/ΑΕΠ.</w:t>
      </w:r>
    </w:p>
  </w:footnote>
  <w:footnote w:id="38">
    <w:p w14:paraId="31A8034E" w14:textId="77777777" w:rsidR="0003377E" w:rsidRPr="009D302C" w:rsidRDefault="0003377E" w:rsidP="000E314E">
      <w:pPr>
        <w:pStyle w:val="FootnoteText"/>
        <w:jc w:val="both"/>
        <w:rPr>
          <w:rFonts w:ascii="Trebuchet MS" w:hAnsi="Trebuchet MS"/>
          <w:sz w:val="18"/>
          <w:szCs w:val="18"/>
        </w:rPr>
      </w:pPr>
      <w:r w:rsidRPr="009D302C">
        <w:rPr>
          <w:rStyle w:val="FootnoteReference"/>
          <w:rFonts w:ascii="Trebuchet MS" w:hAnsi="Trebuchet MS"/>
          <w:sz w:val="18"/>
          <w:szCs w:val="18"/>
        </w:rPr>
        <w:footnoteRef/>
      </w:r>
      <w:r w:rsidRPr="009D302C">
        <w:rPr>
          <w:rFonts w:ascii="Trebuchet MS" w:hAnsi="Trebuchet MS"/>
          <w:sz w:val="18"/>
          <w:szCs w:val="18"/>
        </w:rPr>
        <w:t xml:space="preserve"> Περιλαμβάνεται ο βραχυχρόνιος δανεισμός μέσω εντόκων γραμματίων ενώ δεν περιλαμβάνονται οι συμφωνίες επαναγοράς (repos).</w:t>
      </w:r>
    </w:p>
  </w:footnote>
  <w:footnote w:id="39">
    <w:p w14:paraId="08772BE6" w14:textId="2E4C424B" w:rsidR="0003377E" w:rsidRPr="00A96468" w:rsidRDefault="0003377E" w:rsidP="000E314E">
      <w:pPr>
        <w:pStyle w:val="FootnoteText"/>
        <w:jc w:val="both"/>
      </w:pPr>
      <w:r w:rsidRPr="009D302C">
        <w:rPr>
          <w:rStyle w:val="FootnoteReference"/>
          <w:rFonts w:ascii="Trebuchet MS" w:hAnsi="Trebuchet MS"/>
          <w:sz w:val="18"/>
          <w:szCs w:val="18"/>
        </w:rPr>
        <w:footnoteRef/>
      </w:r>
      <w:r w:rsidRPr="009D302C">
        <w:rPr>
          <w:rFonts w:ascii="Trebuchet MS" w:hAnsi="Trebuchet MS"/>
          <w:sz w:val="18"/>
          <w:szCs w:val="18"/>
        </w:rPr>
        <w:t xml:space="preserve"> Γ</w:t>
      </w:r>
      <w:r w:rsidR="00651B9C">
        <w:rPr>
          <w:rFonts w:ascii="Trebuchet MS" w:hAnsi="Trebuchet MS"/>
          <w:sz w:val="18"/>
          <w:szCs w:val="18"/>
        </w:rPr>
        <w:t>ια τον υπολογισμό των Ακαθάριστω</w:t>
      </w:r>
      <w:r w:rsidRPr="009D302C">
        <w:rPr>
          <w:rFonts w:ascii="Trebuchet MS" w:hAnsi="Trebuchet MS"/>
          <w:sz w:val="18"/>
          <w:szCs w:val="18"/>
        </w:rPr>
        <w:t>ν Χρηματοδοτικών Αναγκών σε ετήσια βάση, έχουν χρησιμοποιηθεί οι δημοσιονομικές και μακροοικονομικές προβλέψεις του προγράμματος Σταθερότητας 2022-2024, ενώ για την περίοδο 2025-2031, χρησιμοποιήθηκαν οι προβλέψεις της Ευρωπαϊκής Επιτροπής που χρησιμοποιεί για την ανάλυση της διατηρησιμότητας του ελληνικού χρέους, όσον αφορά τους ρυθμούς μεγέθυνσης, το μέσο σταθμικό επιτόκιο και το πρωτογενές αποτέλεσμα. Επιπλέον σε αυτές έχει συμπεριληφθεί όριο 12 δισ. ευρώ ετησίως για τις ανάγκες αναχρηματοδότησης του βραχυχρόνιου</w:t>
      </w:r>
      <w:r w:rsidRPr="00450BC1">
        <w:rPr>
          <w:rFonts w:ascii="Trebuchet MS" w:hAnsi="Trebuchet MS"/>
          <w:i/>
          <w:sz w:val="18"/>
          <w:szCs w:val="18"/>
        </w:rPr>
        <w:t xml:space="preserve"> </w:t>
      </w:r>
      <w:r w:rsidRPr="009D302C">
        <w:rPr>
          <w:rFonts w:ascii="Trebuchet MS" w:hAnsi="Trebuchet MS"/>
          <w:sz w:val="18"/>
          <w:szCs w:val="18"/>
        </w:rPr>
        <w:t>δανεισμού μέσω εντόκων γραμματίων.</w:t>
      </w:r>
    </w:p>
  </w:footnote>
  <w:footnote w:id="40">
    <w:p w14:paraId="4D527193" w14:textId="77777777" w:rsidR="0003377E" w:rsidRPr="009D302C" w:rsidRDefault="0003377E" w:rsidP="00EF4140">
      <w:pPr>
        <w:pStyle w:val="FootnoteText"/>
        <w:jc w:val="both"/>
        <w:rPr>
          <w:rFonts w:ascii="Trebuchet MS" w:hAnsi="Trebuchet MS"/>
          <w:sz w:val="18"/>
          <w:szCs w:val="18"/>
        </w:rPr>
      </w:pPr>
      <w:r w:rsidRPr="009D302C">
        <w:rPr>
          <w:rStyle w:val="FootnoteReference"/>
          <w:rFonts w:ascii="Trebuchet MS" w:hAnsi="Trebuchet MS"/>
          <w:sz w:val="18"/>
          <w:szCs w:val="18"/>
        </w:rPr>
        <w:footnoteRef/>
      </w:r>
      <w:r w:rsidRPr="009D302C">
        <w:rPr>
          <w:rFonts w:ascii="Trebuchet MS" w:hAnsi="Trebuchet MS"/>
          <w:sz w:val="18"/>
          <w:szCs w:val="18"/>
        </w:rPr>
        <w:t xml:space="preserve"> Ενδεχόμενη αξιοποίηση των ταμειακών διαθεσίμων θα προκαλούσε επιπλέον μείωση των Ακαθάριστων Χρηματοδοτικών Αναγκών </w:t>
      </w:r>
    </w:p>
  </w:footnote>
  <w:footnote w:id="41">
    <w:p w14:paraId="6EDBF428" w14:textId="77777777" w:rsidR="0003377E" w:rsidRPr="009D302C" w:rsidRDefault="0003377E" w:rsidP="00EF4140">
      <w:pPr>
        <w:pStyle w:val="FootnoteText"/>
        <w:jc w:val="both"/>
        <w:rPr>
          <w:rFonts w:ascii="Trebuchet MS" w:hAnsi="Trebuchet MS"/>
          <w:sz w:val="18"/>
          <w:szCs w:val="18"/>
        </w:rPr>
      </w:pPr>
      <w:r w:rsidRPr="009D302C">
        <w:rPr>
          <w:rFonts w:ascii="Trebuchet MS" w:hAnsi="Trebuchet MS"/>
          <w:sz w:val="18"/>
          <w:szCs w:val="18"/>
          <w:vertAlign w:val="superscript"/>
        </w:rPr>
        <w:footnoteRef/>
      </w:r>
      <w:r w:rsidRPr="009D302C">
        <w:rPr>
          <w:rFonts w:ascii="Trebuchet MS" w:hAnsi="Trebuchet MS"/>
          <w:sz w:val="18"/>
          <w:szCs w:val="18"/>
          <w:vertAlign w:val="superscript"/>
        </w:rPr>
        <w:t xml:space="preserve"> </w:t>
      </w:r>
      <w:r w:rsidRPr="009D302C">
        <w:rPr>
          <w:rFonts w:ascii="Trebuchet MS" w:hAnsi="Trebuchet MS"/>
          <w:sz w:val="18"/>
          <w:szCs w:val="18"/>
        </w:rPr>
        <w:t>Σύμφωνα με τις εκτιμήσεις του Προγράμματος Σταθερότητας 2022-2024.</w:t>
      </w:r>
    </w:p>
  </w:footnote>
  <w:footnote w:id="42">
    <w:p w14:paraId="3A88BD6E" w14:textId="77777777" w:rsidR="0003377E" w:rsidRPr="00EF4140" w:rsidRDefault="0003377E" w:rsidP="00850AD9">
      <w:pPr>
        <w:pStyle w:val="FootnoteText"/>
        <w:rPr>
          <w:rFonts w:ascii="Trebuchet MS" w:hAnsi="Trebuchet MS"/>
          <w:sz w:val="18"/>
          <w:szCs w:val="18"/>
        </w:rPr>
      </w:pPr>
      <w:r w:rsidRPr="00EF4140">
        <w:rPr>
          <w:rStyle w:val="FootnoteReference"/>
          <w:rFonts w:ascii="Trebuchet MS" w:hAnsi="Trebuchet MS"/>
          <w:sz w:val="18"/>
          <w:szCs w:val="18"/>
        </w:rPr>
        <w:footnoteRef/>
      </w:r>
      <w:r w:rsidRPr="00EF4140">
        <w:rPr>
          <w:rFonts w:ascii="Trebuchet MS" w:hAnsi="Trebuchet MS"/>
          <w:sz w:val="18"/>
          <w:szCs w:val="18"/>
        </w:rPr>
        <w:t xml:space="preserve"> Εξακολουθούν να βρίσκονται ακόμα χαμηλότερα της «επενδυτικής βαθμίδας» (</w:t>
      </w:r>
      <w:r w:rsidRPr="00EF4140">
        <w:rPr>
          <w:rFonts w:ascii="Trebuchet MS" w:hAnsi="Trebuchet MS"/>
          <w:sz w:val="18"/>
          <w:szCs w:val="18"/>
          <w:lang w:val="en-US"/>
        </w:rPr>
        <w:t>investment</w:t>
      </w:r>
      <w:r w:rsidRPr="00EF4140">
        <w:rPr>
          <w:rFonts w:ascii="Trebuchet MS" w:hAnsi="Trebuchet MS"/>
          <w:sz w:val="18"/>
          <w:szCs w:val="18"/>
        </w:rPr>
        <w:t xml:space="preserve"> </w:t>
      </w:r>
      <w:r w:rsidRPr="00EF4140">
        <w:rPr>
          <w:rFonts w:ascii="Trebuchet MS" w:hAnsi="Trebuchet MS"/>
          <w:sz w:val="18"/>
          <w:szCs w:val="18"/>
          <w:lang w:val="en-US"/>
        </w:rPr>
        <w:t>grade</w:t>
      </w:r>
      <w:r w:rsidRPr="00EF4140">
        <w:rPr>
          <w:rFonts w:ascii="Trebuchet MS" w:hAnsi="Trebuchet MS"/>
          <w:sz w:val="18"/>
          <w:szCs w:val="18"/>
        </w:rPr>
        <w:t>).</w:t>
      </w:r>
    </w:p>
  </w:footnote>
  <w:footnote w:id="43">
    <w:p w14:paraId="62BAB6CC" w14:textId="77777777" w:rsidR="0003377E" w:rsidRPr="00EF4140" w:rsidRDefault="0003377E" w:rsidP="00E61F69">
      <w:pPr>
        <w:pStyle w:val="FootnoteText"/>
        <w:rPr>
          <w:rFonts w:ascii="Trebuchet MS" w:hAnsi="Trebuchet MS"/>
          <w:sz w:val="18"/>
          <w:szCs w:val="18"/>
        </w:rPr>
      </w:pPr>
      <w:r w:rsidRPr="00EF4140">
        <w:rPr>
          <w:rStyle w:val="FootnoteReference"/>
          <w:rFonts w:ascii="Trebuchet MS" w:hAnsi="Trebuchet MS"/>
          <w:sz w:val="18"/>
          <w:szCs w:val="18"/>
        </w:rPr>
        <w:footnoteRef/>
      </w:r>
      <w:r w:rsidRPr="00EF4140">
        <w:rPr>
          <w:rFonts w:ascii="Trebuchet MS" w:hAnsi="Trebuchet MS"/>
          <w:sz w:val="18"/>
          <w:szCs w:val="18"/>
        </w:rPr>
        <w:t xml:space="preserve"> Κεφάλαιο ΙΙ, ενότητα 2</w:t>
      </w:r>
    </w:p>
  </w:footnote>
  <w:footnote w:id="44">
    <w:p w14:paraId="26BFED95" w14:textId="1D49CA81" w:rsidR="0003377E" w:rsidRPr="00C00D83" w:rsidRDefault="0003377E" w:rsidP="00C00D83">
      <w:pPr>
        <w:pStyle w:val="FootnoteText"/>
        <w:ind w:left="90" w:hanging="90"/>
        <w:jc w:val="both"/>
        <w:rPr>
          <w:rFonts w:ascii="Trebuchet MS" w:hAnsi="Trebuchet MS"/>
          <w:sz w:val="18"/>
          <w:szCs w:val="18"/>
        </w:rPr>
      </w:pPr>
      <w:r w:rsidRPr="00C00D83">
        <w:rPr>
          <w:rStyle w:val="FootnoteReference"/>
          <w:rFonts w:ascii="Trebuchet MS" w:hAnsi="Trebuchet MS"/>
          <w:sz w:val="18"/>
          <w:szCs w:val="18"/>
        </w:rPr>
        <w:footnoteRef/>
      </w:r>
      <w:r w:rsidRPr="00C00D83">
        <w:rPr>
          <w:rFonts w:ascii="Trebuchet MS" w:hAnsi="Trebuchet MS"/>
          <w:sz w:val="18"/>
          <w:szCs w:val="18"/>
        </w:rPr>
        <w:t xml:space="preserve"> Προς την κατεύθυνση αυτή, προϋπόθεση για την έγκριση των Σχεδίων, είναι η επεξήγηση του τρόπου με τον οποίο διασφαλίζει ότι κανένα μέτρο για την εφαρμογή μεταρρυθμίσεων και επενδύσεων δεν βλάπτει σημαντικά τους περιβαλλοντικούς στόχους κατά την έννοια του άρθρου 17 του κανονισμού (ΕΕ) 2020/852 (αρχή της «μη πρόκλησης σημαντικής βλάβης)</w:t>
      </w:r>
    </w:p>
  </w:footnote>
  <w:footnote w:id="45">
    <w:p w14:paraId="2C0A2374" w14:textId="38C7B1EF" w:rsidR="0003377E" w:rsidRPr="00C00D83" w:rsidRDefault="0003377E" w:rsidP="00C00D83">
      <w:pPr>
        <w:pStyle w:val="FootnoteText"/>
        <w:ind w:left="142" w:hanging="142"/>
        <w:jc w:val="both"/>
        <w:rPr>
          <w:rFonts w:ascii="Trebuchet MS" w:hAnsi="Trebuchet MS"/>
          <w:sz w:val="18"/>
          <w:szCs w:val="18"/>
        </w:rPr>
      </w:pPr>
      <w:r w:rsidRPr="00C00D83">
        <w:rPr>
          <w:rStyle w:val="FootnoteReference"/>
          <w:rFonts w:ascii="Trebuchet MS" w:hAnsi="Trebuchet MS"/>
          <w:sz w:val="18"/>
          <w:szCs w:val="18"/>
        </w:rPr>
        <w:footnoteRef/>
      </w:r>
      <w:r w:rsidRPr="00C00D83">
        <w:rPr>
          <w:rFonts w:ascii="Trebuchet MS" w:hAnsi="Trebuchet MS"/>
          <w:sz w:val="18"/>
          <w:szCs w:val="18"/>
        </w:rPr>
        <w:t xml:space="preserve"> Η χώρα μας συμπεριλαμβάνεται στις πλέον επωφελούμενες χώρες από το Μηχανισμό καθότι το 70 % της εν λόγω μέγιστης χρηματοδοτικής συνεισφοράς θα πρέπει να υπολογίζεται με βάση τον πληθυσμό, το αντίστροφο του κατά κεφαλήν ΑΕγχΠ και το σχετικό ποσοστό ανεργίας κάθε κράτους μέλους. Το υπόλοιπο 30 % της εν λόγω μέγιστης χρηματοδοτικής συνεισφοράς θα πρέπει να υπολογίζεται με βάση τον πληθυσμό, το αντίστροφο του κατά κεφαλήν ΑΕγχΠ και, σε ίση αναλογία, τη μεταβολή του πραγματικού ΑΕγχΠ το 2020 και τη συγκεντρωτική μεταβολή του πραγματικού ΑΕγχΠ κατά την π</w:t>
      </w:r>
      <w:r w:rsidR="00A4473C">
        <w:rPr>
          <w:rFonts w:ascii="Trebuchet MS" w:hAnsi="Trebuchet MS"/>
          <w:sz w:val="18"/>
          <w:szCs w:val="18"/>
        </w:rPr>
        <w:t>ερίοδο 2020-2021.</w:t>
      </w:r>
    </w:p>
  </w:footnote>
  <w:footnote w:id="46">
    <w:p w14:paraId="1BFEE712" w14:textId="77777777" w:rsidR="0003377E" w:rsidRDefault="0003377E" w:rsidP="00C00D83">
      <w:pPr>
        <w:pStyle w:val="FootnoteText"/>
        <w:ind w:left="142" w:hanging="142"/>
        <w:jc w:val="both"/>
      </w:pPr>
      <w:r w:rsidRPr="00C00D83">
        <w:rPr>
          <w:rFonts w:ascii="Trebuchet MS" w:hAnsi="Trebuchet MS"/>
          <w:sz w:val="18"/>
          <w:szCs w:val="18"/>
        </w:rPr>
        <w:footnoteRef/>
      </w:r>
      <w:r w:rsidRPr="00C00D83">
        <w:rPr>
          <w:rFonts w:ascii="Trebuchet MS" w:hAnsi="Trebuchet MS"/>
          <w:sz w:val="18"/>
          <w:szCs w:val="18"/>
        </w:rPr>
        <w:t xml:space="preserve"> Το πεδίο εφαρμογής του μηχανισμού αναφέρεται σε τομείς πολιτικής με ευρωπαϊκή σημασία, διαρθρωμένους σε έξι πυλώνες: α) πράσινη μετάβαση, β) ψηφιακός μετασχηματισμός, γ) έξυπνη, βιώσιμη και χωρίς αποκλεισμούς ανάπτυξη, με οικονομική συνοχή, απασχόληση, παραγωγικότητα, ανταγωνιστικότητα, έρευνα, ανάπτυξη και καινοτομία, και μια εύρυθμα λειτουργούσα εσωτερική αγορά με ισχυρές ΜΜΕ, δ) κοινωνική και εδαφική συνοχή, ε) υγεία και οικονομική, κοινωνική και θεσμική ανθεκτικότητα, με σκοπό, μεταξύ άλλων, την αύξηση της ετοιμότητας για την αντιμετώπιση κρίσεων και της ικανότητας αντίδρασης σε κρίσεις, και στ) πολιτικές για την επόμενη γενιά, τα παιδιά και τους νέους, όπως η εκπαίδευση και οι δεξιότητες.</w:t>
      </w:r>
    </w:p>
  </w:footnote>
  <w:footnote w:id="47">
    <w:p w14:paraId="49AA0F9C" w14:textId="738E3170" w:rsidR="0003377E" w:rsidRPr="00F20485" w:rsidRDefault="0003377E" w:rsidP="00F20485">
      <w:pPr>
        <w:pStyle w:val="FootnoteText"/>
        <w:jc w:val="both"/>
        <w:rPr>
          <w:rFonts w:ascii="Trebuchet MS" w:hAnsi="Trebuchet MS"/>
          <w:sz w:val="18"/>
          <w:szCs w:val="18"/>
        </w:rPr>
      </w:pPr>
      <w:r>
        <w:rPr>
          <w:rStyle w:val="FootnoteReference"/>
        </w:rPr>
        <w:footnoteRef/>
      </w:r>
      <w:r>
        <w:t xml:space="preserve"> </w:t>
      </w:r>
      <w:r w:rsidRPr="00F20485">
        <w:rPr>
          <w:rFonts w:ascii="Trebuchet MS" w:hAnsi="Trebuchet MS"/>
          <w:sz w:val="18"/>
          <w:szCs w:val="18"/>
        </w:rPr>
        <w:t>"Παρ.1 Άρθρου 19 του Κανονισμού  (ΕΕ) 2021/241 Του Ευρωπαϊκού Κοινοβουλίου και του Συμβουλίου  της 12ης Φεβρουαρίου 2021 για τη θέσπιση του μηχανισμού ανάκαμψης και ανθεκτικότητας".</w:t>
      </w:r>
    </w:p>
  </w:footnote>
  <w:footnote w:id="48">
    <w:p w14:paraId="1E847ABC" w14:textId="7550F102" w:rsidR="0003377E" w:rsidRDefault="0003377E" w:rsidP="00F20485">
      <w:pPr>
        <w:pStyle w:val="FootnoteText"/>
        <w:jc w:val="both"/>
      </w:pPr>
      <w:r w:rsidRPr="00F20485">
        <w:rPr>
          <w:rStyle w:val="FootnoteReference"/>
          <w:rFonts w:ascii="Trebuchet MS" w:hAnsi="Trebuchet MS"/>
          <w:sz w:val="18"/>
          <w:szCs w:val="18"/>
        </w:rPr>
        <w:footnoteRef/>
      </w:r>
      <w:r w:rsidRPr="00F20485">
        <w:rPr>
          <w:rFonts w:ascii="Trebuchet MS" w:hAnsi="Trebuchet MS"/>
          <w:sz w:val="18"/>
          <w:szCs w:val="18"/>
        </w:rPr>
        <w:t xml:space="preserve"> " Παρ.7 Άρθρου 20 του Κανονισμού  (ΕΕ) 2021/241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B3506"/>
    <w:multiLevelType w:val="hybridMultilevel"/>
    <w:tmpl w:val="D01EC1D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B8D5929"/>
    <w:multiLevelType w:val="hybridMultilevel"/>
    <w:tmpl w:val="AA5E6520"/>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FE317B5"/>
    <w:multiLevelType w:val="hybridMultilevel"/>
    <w:tmpl w:val="A0E86F70"/>
    <w:lvl w:ilvl="0" w:tplc="7C7C3FF8">
      <w:start w:val="1"/>
      <w:numFmt w:val="upperRoman"/>
      <w:pStyle w:val="a"/>
      <w:suff w:val="space"/>
      <w:lvlText w:val="ΚΕΦΑΛΑΙΟ %1:"/>
      <w:lvlJc w:val="left"/>
      <w:pPr>
        <w:ind w:left="0" w:firstLine="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14386E44"/>
    <w:multiLevelType w:val="multilevel"/>
    <w:tmpl w:val="1BEA49B4"/>
    <w:lvl w:ilvl="0">
      <w:start w:val="1"/>
      <w:numFmt w:val="decimal"/>
      <w:pStyle w:val="a0"/>
      <w:suff w:val="space"/>
      <w:lvlText w:val="%1."/>
      <w:lvlJc w:val="left"/>
      <w:pPr>
        <w:ind w:left="142" w:firstLine="0"/>
      </w:pPr>
      <w:rPr>
        <w:rFonts w:hint="default"/>
      </w:rPr>
    </w:lvl>
    <w:lvl w:ilvl="1">
      <w:start w:val="1"/>
      <w:numFmt w:val="decimal"/>
      <w:pStyle w:val="a1"/>
      <w:suff w:val="space"/>
      <w:lvlText w:val="%1.%2."/>
      <w:lvlJc w:val="left"/>
      <w:pPr>
        <w:ind w:left="709" w:firstLine="0"/>
      </w:pPr>
      <w:rPr>
        <w:rFonts w:hint="default"/>
        <w:color w:val="00A3E0"/>
      </w:rPr>
    </w:lvl>
    <w:lvl w:ilvl="2">
      <w:start w:val="1"/>
      <w:numFmt w:val="decimal"/>
      <w:pStyle w:val="a2"/>
      <w:suff w:val="space"/>
      <w:lvlText w:val="%1.%2.%3."/>
      <w:lvlJc w:val="left"/>
      <w:pPr>
        <w:ind w:left="-3969" w:firstLine="0"/>
      </w:pPr>
      <w:rPr>
        <w:rFonts w:hint="default"/>
      </w:rPr>
    </w:lvl>
    <w:lvl w:ilvl="3">
      <w:start w:val="1"/>
      <w:numFmt w:val="decimal"/>
      <w:lvlText w:val="%1.%2.%3.%4."/>
      <w:lvlJc w:val="left"/>
      <w:pPr>
        <w:ind w:left="-3969" w:firstLine="0"/>
      </w:pPr>
      <w:rPr>
        <w:rFonts w:hint="default"/>
      </w:rPr>
    </w:lvl>
    <w:lvl w:ilvl="4">
      <w:start w:val="1"/>
      <w:numFmt w:val="decimal"/>
      <w:lvlText w:val="%1.%2.%3.%4.%5."/>
      <w:lvlJc w:val="left"/>
      <w:pPr>
        <w:ind w:left="-3969" w:firstLine="0"/>
      </w:pPr>
      <w:rPr>
        <w:rFonts w:hint="default"/>
      </w:rPr>
    </w:lvl>
    <w:lvl w:ilvl="5">
      <w:start w:val="1"/>
      <w:numFmt w:val="decimal"/>
      <w:lvlText w:val="%1.%2.%3.%4.%5.%6."/>
      <w:lvlJc w:val="left"/>
      <w:pPr>
        <w:ind w:left="-3969" w:firstLine="0"/>
      </w:pPr>
      <w:rPr>
        <w:rFonts w:hint="default"/>
      </w:rPr>
    </w:lvl>
    <w:lvl w:ilvl="6">
      <w:start w:val="1"/>
      <w:numFmt w:val="decimal"/>
      <w:lvlText w:val="%1.%2.%3.%4.%5.%6.%7."/>
      <w:lvlJc w:val="left"/>
      <w:pPr>
        <w:ind w:left="-3969" w:firstLine="0"/>
      </w:pPr>
      <w:rPr>
        <w:rFonts w:hint="default"/>
      </w:rPr>
    </w:lvl>
    <w:lvl w:ilvl="7">
      <w:start w:val="1"/>
      <w:numFmt w:val="decimal"/>
      <w:lvlText w:val="%1.%2.%3.%4.%5.%6.%7.%8."/>
      <w:lvlJc w:val="left"/>
      <w:pPr>
        <w:ind w:left="-3969" w:firstLine="0"/>
      </w:pPr>
      <w:rPr>
        <w:rFonts w:hint="default"/>
      </w:rPr>
    </w:lvl>
    <w:lvl w:ilvl="8">
      <w:start w:val="1"/>
      <w:numFmt w:val="decimal"/>
      <w:lvlText w:val="%1.%2.%3.%4.%5.%6.%7.%8.%9."/>
      <w:lvlJc w:val="left"/>
      <w:pPr>
        <w:ind w:left="-3969" w:firstLine="0"/>
      </w:pPr>
      <w:rPr>
        <w:rFonts w:hint="default"/>
      </w:rPr>
    </w:lvl>
  </w:abstractNum>
  <w:abstractNum w:abstractNumId="4" w15:restartNumberingAfterBreak="0">
    <w:nsid w:val="21B26A73"/>
    <w:multiLevelType w:val="hybridMultilevel"/>
    <w:tmpl w:val="F1B20404"/>
    <w:lvl w:ilvl="0" w:tplc="04080013">
      <w:start w:val="1"/>
      <w:numFmt w:val="upperRoman"/>
      <w:lvlText w:val="%1."/>
      <w:lvlJc w:val="right"/>
      <w:pPr>
        <w:ind w:left="1146" w:hanging="360"/>
      </w:pPr>
    </w:lvl>
    <w:lvl w:ilvl="1" w:tplc="04080019" w:tentative="1">
      <w:start w:val="1"/>
      <w:numFmt w:val="lowerLetter"/>
      <w:lvlText w:val="%2."/>
      <w:lvlJc w:val="left"/>
      <w:pPr>
        <w:ind w:left="1866" w:hanging="360"/>
      </w:pPr>
    </w:lvl>
    <w:lvl w:ilvl="2" w:tplc="0408001B" w:tentative="1">
      <w:start w:val="1"/>
      <w:numFmt w:val="lowerRoman"/>
      <w:lvlText w:val="%3."/>
      <w:lvlJc w:val="right"/>
      <w:pPr>
        <w:ind w:left="2586" w:hanging="180"/>
      </w:pPr>
    </w:lvl>
    <w:lvl w:ilvl="3" w:tplc="0408000F" w:tentative="1">
      <w:start w:val="1"/>
      <w:numFmt w:val="decimal"/>
      <w:lvlText w:val="%4."/>
      <w:lvlJc w:val="left"/>
      <w:pPr>
        <w:ind w:left="3306" w:hanging="360"/>
      </w:pPr>
    </w:lvl>
    <w:lvl w:ilvl="4" w:tplc="04080019" w:tentative="1">
      <w:start w:val="1"/>
      <w:numFmt w:val="lowerLetter"/>
      <w:lvlText w:val="%5."/>
      <w:lvlJc w:val="left"/>
      <w:pPr>
        <w:ind w:left="4026" w:hanging="360"/>
      </w:pPr>
    </w:lvl>
    <w:lvl w:ilvl="5" w:tplc="0408001B" w:tentative="1">
      <w:start w:val="1"/>
      <w:numFmt w:val="lowerRoman"/>
      <w:lvlText w:val="%6."/>
      <w:lvlJc w:val="right"/>
      <w:pPr>
        <w:ind w:left="4746" w:hanging="180"/>
      </w:pPr>
    </w:lvl>
    <w:lvl w:ilvl="6" w:tplc="0408000F" w:tentative="1">
      <w:start w:val="1"/>
      <w:numFmt w:val="decimal"/>
      <w:lvlText w:val="%7."/>
      <w:lvlJc w:val="left"/>
      <w:pPr>
        <w:ind w:left="5466" w:hanging="360"/>
      </w:pPr>
    </w:lvl>
    <w:lvl w:ilvl="7" w:tplc="04080019" w:tentative="1">
      <w:start w:val="1"/>
      <w:numFmt w:val="lowerLetter"/>
      <w:lvlText w:val="%8."/>
      <w:lvlJc w:val="left"/>
      <w:pPr>
        <w:ind w:left="6186" w:hanging="360"/>
      </w:pPr>
    </w:lvl>
    <w:lvl w:ilvl="8" w:tplc="0408001B" w:tentative="1">
      <w:start w:val="1"/>
      <w:numFmt w:val="lowerRoman"/>
      <w:lvlText w:val="%9."/>
      <w:lvlJc w:val="right"/>
      <w:pPr>
        <w:ind w:left="6906" w:hanging="180"/>
      </w:pPr>
    </w:lvl>
  </w:abstractNum>
  <w:abstractNum w:abstractNumId="5" w15:restartNumberingAfterBreak="0">
    <w:nsid w:val="2BA34888"/>
    <w:multiLevelType w:val="hybridMultilevel"/>
    <w:tmpl w:val="DF5C7D7C"/>
    <w:lvl w:ilvl="0" w:tplc="882205B8">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4A794BCA"/>
    <w:multiLevelType w:val="hybridMultilevel"/>
    <w:tmpl w:val="66BA6268"/>
    <w:lvl w:ilvl="0" w:tplc="B170C684">
      <w:numFmt w:val="bullet"/>
      <w:lvlText w:val=""/>
      <w:lvlJc w:val="left"/>
      <w:pPr>
        <w:ind w:left="720" w:hanging="360"/>
      </w:pPr>
      <w:rPr>
        <w:rFonts w:ascii="Symbol" w:eastAsia="Calibri" w:hAnsi="Symbol" w:cs="Times New Roman"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52F95C22"/>
    <w:multiLevelType w:val="hybridMultilevel"/>
    <w:tmpl w:val="F3B05384"/>
    <w:lvl w:ilvl="0" w:tplc="0408000F">
      <w:start w:val="1"/>
      <w:numFmt w:val="decimal"/>
      <w:lvlText w:val="%1."/>
      <w:lvlJc w:val="left"/>
      <w:pPr>
        <w:ind w:left="720" w:hanging="360"/>
      </w:pPr>
      <w:rPr>
        <w:rFonts w:hint="default"/>
        <w:b w:val="0"/>
        <w:color w:val="auto"/>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59E57C06"/>
    <w:multiLevelType w:val="hybridMultilevel"/>
    <w:tmpl w:val="5E08ED84"/>
    <w:lvl w:ilvl="0" w:tplc="0BB4521A">
      <w:start w:val="2"/>
      <w:numFmt w:val="bullet"/>
      <w:lvlText w:val="-"/>
      <w:lvlJc w:val="left"/>
      <w:pPr>
        <w:ind w:left="720" w:hanging="360"/>
      </w:pPr>
      <w:rPr>
        <w:rFonts w:ascii="Trebuchet MS" w:eastAsia="Calibri" w:hAnsi="Trebuchet MS" w:cs="Calibri" w:hint="default"/>
      </w:rPr>
    </w:lvl>
    <w:lvl w:ilvl="1" w:tplc="DB76EF88">
      <w:numFmt w:val="bullet"/>
      <w:lvlText w:val="•"/>
      <w:lvlJc w:val="left"/>
      <w:pPr>
        <w:ind w:left="1440" w:hanging="360"/>
      </w:pPr>
      <w:rPr>
        <w:rFonts w:ascii="Trebuchet MS" w:eastAsia="Calibri" w:hAnsi="Trebuchet MS" w:cs="Times New Roman" w:hint="default"/>
      </w:rPr>
    </w:lvl>
    <w:lvl w:ilvl="2" w:tplc="04080005">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5D152627"/>
    <w:multiLevelType w:val="hybridMultilevel"/>
    <w:tmpl w:val="A2DA00F8"/>
    <w:lvl w:ilvl="0" w:tplc="78E2D7B4">
      <w:start w:val="1"/>
      <w:numFmt w:val="upperRoman"/>
      <w:pStyle w:val="a3"/>
      <w:suff w:val="space"/>
      <w:lvlText w:val="ΠΑΡΑΡΤΗΜΑ %1:"/>
      <w:lvlJc w:val="left"/>
      <w:pPr>
        <w:ind w:left="0" w:firstLine="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15:restartNumberingAfterBreak="0">
    <w:nsid w:val="5F021BFE"/>
    <w:multiLevelType w:val="hybridMultilevel"/>
    <w:tmpl w:val="3D04524E"/>
    <w:lvl w:ilvl="0" w:tplc="0BB4521A">
      <w:start w:val="2"/>
      <w:numFmt w:val="bullet"/>
      <w:lvlText w:val="-"/>
      <w:lvlJc w:val="left"/>
      <w:pPr>
        <w:ind w:left="720" w:hanging="360"/>
      </w:pPr>
      <w:rPr>
        <w:rFonts w:ascii="Trebuchet MS" w:eastAsia="Calibri" w:hAnsi="Trebuchet MS" w:cs="Calibri"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69D44287"/>
    <w:multiLevelType w:val="hybridMultilevel"/>
    <w:tmpl w:val="DCFA011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78F52D20"/>
    <w:multiLevelType w:val="hybridMultilevel"/>
    <w:tmpl w:val="AAA2990E"/>
    <w:lvl w:ilvl="0" w:tplc="02B2A1A0">
      <w:start w:val="1"/>
      <w:numFmt w:val="decimal"/>
      <w:pStyle w:val="a4"/>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2"/>
  </w:num>
  <w:num w:numId="2">
    <w:abstractNumId w:val="12"/>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0"/>
  </w:num>
  <w:num w:numId="6">
    <w:abstractNumId w:val="8"/>
  </w:num>
  <w:num w:numId="7">
    <w:abstractNumId w:val="3"/>
  </w:num>
  <w:num w:numId="8">
    <w:abstractNumId w:val="1"/>
  </w:num>
  <w:num w:numId="9">
    <w:abstractNumId w:val="3"/>
  </w:num>
  <w:num w:numId="10">
    <w:abstractNumId w:val="3"/>
  </w:num>
  <w:num w:numId="11">
    <w:abstractNumId w:val="3"/>
  </w:num>
  <w:num w:numId="12">
    <w:abstractNumId w:val="3"/>
  </w:num>
  <w:num w:numId="13">
    <w:abstractNumId w:val="3"/>
  </w:num>
  <w:num w:numId="14">
    <w:abstractNumId w:val="3"/>
  </w:num>
  <w:num w:numId="15">
    <w:abstractNumId w:val="3"/>
  </w:num>
  <w:num w:numId="16">
    <w:abstractNumId w:val="3"/>
  </w:num>
  <w:num w:numId="17">
    <w:abstractNumId w:val="3"/>
  </w:num>
  <w:num w:numId="18">
    <w:abstractNumId w:val="3"/>
  </w:num>
  <w:num w:numId="19">
    <w:abstractNumId w:val="3"/>
  </w:num>
  <w:num w:numId="20">
    <w:abstractNumId w:val="3"/>
  </w:num>
  <w:num w:numId="21">
    <w:abstractNumId w:val="6"/>
  </w:num>
  <w:num w:numId="22">
    <w:abstractNumId w:val="3"/>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num>
  <w:num w:numId="25">
    <w:abstractNumId w:val="11"/>
  </w:num>
  <w:num w:numId="26">
    <w:abstractNumId w:val="5"/>
  </w:num>
  <w:num w:numId="27">
    <w:abstractNumId w:val="7"/>
  </w:num>
  <w:num w:numId="28">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M1szQ3tjA0tTQwNDFQ0lEKTi0uzszPAykwrAUAYHRB6CwAAAA="/>
  </w:docVars>
  <w:rsids>
    <w:rsidRoot w:val="009E6471"/>
    <w:rsid w:val="00000C44"/>
    <w:rsid w:val="00001F92"/>
    <w:rsid w:val="000056DF"/>
    <w:rsid w:val="00005C7D"/>
    <w:rsid w:val="00006386"/>
    <w:rsid w:val="00007AB2"/>
    <w:rsid w:val="000106BB"/>
    <w:rsid w:val="0001597F"/>
    <w:rsid w:val="00021023"/>
    <w:rsid w:val="000218D8"/>
    <w:rsid w:val="00021DED"/>
    <w:rsid w:val="0002304F"/>
    <w:rsid w:val="00024931"/>
    <w:rsid w:val="00025433"/>
    <w:rsid w:val="000256B9"/>
    <w:rsid w:val="00026B88"/>
    <w:rsid w:val="00026D96"/>
    <w:rsid w:val="00026FA6"/>
    <w:rsid w:val="000270D0"/>
    <w:rsid w:val="00031448"/>
    <w:rsid w:val="000317F1"/>
    <w:rsid w:val="00031AC4"/>
    <w:rsid w:val="00033488"/>
    <w:rsid w:val="0003377E"/>
    <w:rsid w:val="00035CB0"/>
    <w:rsid w:val="00036B7C"/>
    <w:rsid w:val="000404A5"/>
    <w:rsid w:val="000410AF"/>
    <w:rsid w:val="0004110F"/>
    <w:rsid w:val="00042469"/>
    <w:rsid w:val="000429EF"/>
    <w:rsid w:val="00042D74"/>
    <w:rsid w:val="00043229"/>
    <w:rsid w:val="00046A2A"/>
    <w:rsid w:val="00047365"/>
    <w:rsid w:val="00047DE3"/>
    <w:rsid w:val="00050F48"/>
    <w:rsid w:val="00051128"/>
    <w:rsid w:val="000525D7"/>
    <w:rsid w:val="00052856"/>
    <w:rsid w:val="000528BD"/>
    <w:rsid w:val="000545F5"/>
    <w:rsid w:val="00054D40"/>
    <w:rsid w:val="000559A0"/>
    <w:rsid w:val="00055C15"/>
    <w:rsid w:val="00056874"/>
    <w:rsid w:val="000576D2"/>
    <w:rsid w:val="00060886"/>
    <w:rsid w:val="00060A5E"/>
    <w:rsid w:val="00063B15"/>
    <w:rsid w:val="0006400A"/>
    <w:rsid w:val="0006426C"/>
    <w:rsid w:val="0006501E"/>
    <w:rsid w:val="00065BF4"/>
    <w:rsid w:val="0007081D"/>
    <w:rsid w:val="00071E02"/>
    <w:rsid w:val="00071EA1"/>
    <w:rsid w:val="0007389A"/>
    <w:rsid w:val="0007616B"/>
    <w:rsid w:val="0007739A"/>
    <w:rsid w:val="00077852"/>
    <w:rsid w:val="00077A1D"/>
    <w:rsid w:val="00081268"/>
    <w:rsid w:val="000815B4"/>
    <w:rsid w:val="00081821"/>
    <w:rsid w:val="00081CED"/>
    <w:rsid w:val="00082288"/>
    <w:rsid w:val="00083C63"/>
    <w:rsid w:val="000908EA"/>
    <w:rsid w:val="000913F9"/>
    <w:rsid w:val="000947DE"/>
    <w:rsid w:val="00096728"/>
    <w:rsid w:val="000A02D5"/>
    <w:rsid w:val="000A05B3"/>
    <w:rsid w:val="000A18AA"/>
    <w:rsid w:val="000A1A6E"/>
    <w:rsid w:val="000A1F54"/>
    <w:rsid w:val="000A235F"/>
    <w:rsid w:val="000A2589"/>
    <w:rsid w:val="000A2B48"/>
    <w:rsid w:val="000A2DF7"/>
    <w:rsid w:val="000A3AEF"/>
    <w:rsid w:val="000A3E69"/>
    <w:rsid w:val="000A4ABB"/>
    <w:rsid w:val="000B01F2"/>
    <w:rsid w:val="000B080D"/>
    <w:rsid w:val="000B38C0"/>
    <w:rsid w:val="000B4A3E"/>
    <w:rsid w:val="000B4BEE"/>
    <w:rsid w:val="000B4F2A"/>
    <w:rsid w:val="000B53AB"/>
    <w:rsid w:val="000B57B8"/>
    <w:rsid w:val="000B711F"/>
    <w:rsid w:val="000B7D15"/>
    <w:rsid w:val="000B7FDF"/>
    <w:rsid w:val="000C1B4D"/>
    <w:rsid w:val="000C2DEB"/>
    <w:rsid w:val="000C35DB"/>
    <w:rsid w:val="000C4F41"/>
    <w:rsid w:val="000C5C21"/>
    <w:rsid w:val="000C6462"/>
    <w:rsid w:val="000D3B8F"/>
    <w:rsid w:val="000D5979"/>
    <w:rsid w:val="000D6BFD"/>
    <w:rsid w:val="000E076C"/>
    <w:rsid w:val="000E08E1"/>
    <w:rsid w:val="000E314E"/>
    <w:rsid w:val="000E6D2F"/>
    <w:rsid w:val="000E76AC"/>
    <w:rsid w:val="000E7AF6"/>
    <w:rsid w:val="000F02FF"/>
    <w:rsid w:val="000F0FEE"/>
    <w:rsid w:val="000F1C30"/>
    <w:rsid w:val="000F1D10"/>
    <w:rsid w:val="000F4F90"/>
    <w:rsid w:val="000F61FF"/>
    <w:rsid w:val="000F7708"/>
    <w:rsid w:val="0010051A"/>
    <w:rsid w:val="00100EFE"/>
    <w:rsid w:val="0010678F"/>
    <w:rsid w:val="00106E39"/>
    <w:rsid w:val="001070CC"/>
    <w:rsid w:val="001076F5"/>
    <w:rsid w:val="0010792E"/>
    <w:rsid w:val="00107AE5"/>
    <w:rsid w:val="00111FAE"/>
    <w:rsid w:val="00114433"/>
    <w:rsid w:val="00114A26"/>
    <w:rsid w:val="0011538B"/>
    <w:rsid w:val="00116A47"/>
    <w:rsid w:val="001179A3"/>
    <w:rsid w:val="001202A3"/>
    <w:rsid w:val="00120AED"/>
    <w:rsid w:val="00120B81"/>
    <w:rsid w:val="00121603"/>
    <w:rsid w:val="001218FC"/>
    <w:rsid w:val="00121B6B"/>
    <w:rsid w:val="00121DB0"/>
    <w:rsid w:val="00122A77"/>
    <w:rsid w:val="00124001"/>
    <w:rsid w:val="00124649"/>
    <w:rsid w:val="00124FC7"/>
    <w:rsid w:val="0012543E"/>
    <w:rsid w:val="0012567A"/>
    <w:rsid w:val="0013199F"/>
    <w:rsid w:val="00132214"/>
    <w:rsid w:val="001322F7"/>
    <w:rsid w:val="001357FD"/>
    <w:rsid w:val="001368E1"/>
    <w:rsid w:val="00136923"/>
    <w:rsid w:val="001371AB"/>
    <w:rsid w:val="00137320"/>
    <w:rsid w:val="00142E91"/>
    <w:rsid w:val="00143B76"/>
    <w:rsid w:val="00144402"/>
    <w:rsid w:val="0014685A"/>
    <w:rsid w:val="0015524E"/>
    <w:rsid w:val="00155B2A"/>
    <w:rsid w:val="0015703C"/>
    <w:rsid w:val="001606A9"/>
    <w:rsid w:val="00160B7B"/>
    <w:rsid w:val="001621A6"/>
    <w:rsid w:val="001657CF"/>
    <w:rsid w:val="001667AC"/>
    <w:rsid w:val="00167869"/>
    <w:rsid w:val="00167E2D"/>
    <w:rsid w:val="00170DAB"/>
    <w:rsid w:val="001718DC"/>
    <w:rsid w:val="00171E1B"/>
    <w:rsid w:val="0017386C"/>
    <w:rsid w:val="00173FEE"/>
    <w:rsid w:val="001741AB"/>
    <w:rsid w:val="00174E94"/>
    <w:rsid w:val="001801C1"/>
    <w:rsid w:val="001820F2"/>
    <w:rsid w:val="00183ADF"/>
    <w:rsid w:val="00183CE6"/>
    <w:rsid w:val="00184620"/>
    <w:rsid w:val="001848C2"/>
    <w:rsid w:val="001849B7"/>
    <w:rsid w:val="00185C43"/>
    <w:rsid w:val="00186866"/>
    <w:rsid w:val="001868DC"/>
    <w:rsid w:val="00187557"/>
    <w:rsid w:val="00187726"/>
    <w:rsid w:val="00191B73"/>
    <w:rsid w:val="00192968"/>
    <w:rsid w:val="0019422B"/>
    <w:rsid w:val="00194631"/>
    <w:rsid w:val="00194766"/>
    <w:rsid w:val="00195F86"/>
    <w:rsid w:val="001977C9"/>
    <w:rsid w:val="001A13FD"/>
    <w:rsid w:val="001A2000"/>
    <w:rsid w:val="001A296A"/>
    <w:rsid w:val="001A2A56"/>
    <w:rsid w:val="001A303F"/>
    <w:rsid w:val="001A32AB"/>
    <w:rsid w:val="001A36B5"/>
    <w:rsid w:val="001A390F"/>
    <w:rsid w:val="001A4BDA"/>
    <w:rsid w:val="001A793C"/>
    <w:rsid w:val="001A7A75"/>
    <w:rsid w:val="001B067E"/>
    <w:rsid w:val="001B0842"/>
    <w:rsid w:val="001B1D9E"/>
    <w:rsid w:val="001B26E5"/>
    <w:rsid w:val="001B29EC"/>
    <w:rsid w:val="001B4F9C"/>
    <w:rsid w:val="001B7791"/>
    <w:rsid w:val="001C0808"/>
    <w:rsid w:val="001C1D2B"/>
    <w:rsid w:val="001C2453"/>
    <w:rsid w:val="001C2571"/>
    <w:rsid w:val="001C3378"/>
    <w:rsid w:val="001C36E7"/>
    <w:rsid w:val="001C42D8"/>
    <w:rsid w:val="001C5083"/>
    <w:rsid w:val="001C5AF2"/>
    <w:rsid w:val="001D1BA7"/>
    <w:rsid w:val="001D22BF"/>
    <w:rsid w:val="001D2814"/>
    <w:rsid w:val="001D2F95"/>
    <w:rsid w:val="001D5250"/>
    <w:rsid w:val="001D5345"/>
    <w:rsid w:val="001D53FA"/>
    <w:rsid w:val="001D5746"/>
    <w:rsid w:val="001D59C3"/>
    <w:rsid w:val="001E0895"/>
    <w:rsid w:val="001E08CC"/>
    <w:rsid w:val="001E180D"/>
    <w:rsid w:val="001E18D3"/>
    <w:rsid w:val="001E247D"/>
    <w:rsid w:val="001E6E0F"/>
    <w:rsid w:val="001E74FC"/>
    <w:rsid w:val="001E7630"/>
    <w:rsid w:val="001E777D"/>
    <w:rsid w:val="001F1C47"/>
    <w:rsid w:val="001F32F4"/>
    <w:rsid w:val="001F3AAE"/>
    <w:rsid w:val="001F6951"/>
    <w:rsid w:val="001F7209"/>
    <w:rsid w:val="0020141B"/>
    <w:rsid w:val="00201646"/>
    <w:rsid w:val="00201C60"/>
    <w:rsid w:val="00201E10"/>
    <w:rsid w:val="00203C86"/>
    <w:rsid w:val="002044A1"/>
    <w:rsid w:val="00204577"/>
    <w:rsid w:val="0020516B"/>
    <w:rsid w:val="00205580"/>
    <w:rsid w:val="0020671F"/>
    <w:rsid w:val="002075DF"/>
    <w:rsid w:val="00207ACC"/>
    <w:rsid w:val="00211132"/>
    <w:rsid w:val="002111F5"/>
    <w:rsid w:val="00212AF1"/>
    <w:rsid w:val="00213187"/>
    <w:rsid w:val="00216727"/>
    <w:rsid w:val="00216BEB"/>
    <w:rsid w:val="00220E13"/>
    <w:rsid w:val="002230D5"/>
    <w:rsid w:val="00223FD2"/>
    <w:rsid w:val="00224518"/>
    <w:rsid w:val="00224B7D"/>
    <w:rsid w:val="00226105"/>
    <w:rsid w:val="00226C4E"/>
    <w:rsid w:val="00227184"/>
    <w:rsid w:val="002279AE"/>
    <w:rsid w:val="00230B3D"/>
    <w:rsid w:val="002314CC"/>
    <w:rsid w:val="0023158A"/>
    <w:rsid w:val="002315AE"/>
    <w:rsid w:val="002324F7"/>
    <w:rsid w:val="0023311F"/>
    <w:rsid w:val="002340A8"/>
    <w:rsid w:val="00234451"/>
    <w:rsid w:val="00236493"/>
    <w:rsid w:val="00237589"/>
    <w:rsid w:val="00240D0F"/>
    <w:rsid w:val="002427EF"/>
    <w:rsid w:val="00243DDC"/>
    <w:rsid w:val="00244E8E"/>
    <w:rsid w:val="0024509F"/>
    <w:rsid w:val="0024515B"/>
    <w:rsid w:val="00245666"/>
    <w:rsid w:val="0024786C"/>
    <w:rsid w:val="00247D76"/>
    <w:rsid w:val="00247E25"/>
    <w:rsid w:val="00247F80"/>
    <w:rsid w:val="00251E1E"/>
    <w:rsid w:val="00252070"/>
    <w:rsid w:val="00253996"/>
    <w:rsid w:val="00254A8E"/>
    <w:rsid w:val="00254E38"/>
    <w:rsid w:val="00255070"/>
    <w:rsid w:val="00261B65"/>
    <w:rsid w:val="00263C13"/>
    <w:rsid w:val="00263EBC"/>
    <w:rsid w:val="0026661A"/>
    <w:rsid w:val="00266E15"/>
    <w:rsid w:val="00267863"/>
    <w:rsid w:val="00270F02"/>
    <w:rsid w:val="0027337A"/>
    <w:rsid w:val="0027345C"/>
    <w:rsid w:val="002747C4"/>
    <w:rsid w:val="002750FC"/>
    <w:rsid w:val="00275EE8"/>
    <w:rsid w:val="002765EB"/>
    <w:rsid w:val="002766AC"/>
    <w:rsid w:val="00277732"/>
    <w:rsid w:val="00280A59"/>
    <w:rsid w:val="00281D02"/>
    <w:rsid w:val="00282ED5"/>
    <w:rsid w:val="00283030"/>
    <w:rsid w:val="00283200"/>
    <w:rsid w:val="00283274"/>
    <w:rsid w:val="002840F1"/>
    <w:rsid w:val="00287771"/>
    <w:rsid w:val="00290214"/>
    <w:rsid w:val="00291072"/>
    <w:rsid w:val="00292DA6"/>
    <w:rsid w:val="002932EC"/>
    <w:rsid w:val="00293573"/>
    <w:rsid w:val="00293ADD"/>
    <w:rsid w:val="00294F52"/>
    <w:rsid w:val="0029618A"/>
    <w:rsid w:val="0029676C"/>
    <w:rsid w:val="002A11B0"/>
    <w:rsid w:val="002A2597"/>
    <w:rsid w:val="002A3DBF"/>
    <w:rsid w:val="002A3F01"/>
    <w:rsid w:val="002A406C"/>
    <w:rsid w:val="002A5431"/>
    <w:rsid w:val="002A5C01"/>
    <w:rsid w:val="002A6D40"/>
    <w:rsid w:val="002A7510"/>
    <w:rsid w:val="002A75D9"/>
    <w:rsid w:val="002B0D8A"/>
    <w:rsid w:val="002B1237"/>
    <w:rsid w:val="002B21DB"/>
    <w:rsid w:val="002B30FE"/>
    <w:rsid w:val="002B38DB"/>
    <w:rsid w:val="002B406C"/>
    <w:rsid w:val="002B4888"/>
    <w:rsid w:val="002B4974"/>
    <w:rsid w:val="002B5E9D"/>
    <w:rsid w:val="002B7057"/>
    <w:rsid w:val="002B71E6"/>
    <w:rsid w:val="002B7E97"/>
    <w:rsid w:val="002C01EC"/>
    <w:rsid w:val="002C2118"/>
    <w:rsid w:val="002C53EE"/>
    <w:rsid w:val="002C6316"/>
    <w:rsid w:val="002C643A"/>
    <w:rsid w:val="002C64CB"/>
    <w:rsid w:val="002C6C38"/>
    <w:rsid w:val="002C6CB9"/>
    <w:rsid w:val="002C7146"/>
    <w:rsid w:val="002C73E1"/>
    <w:rsid w:val="002D10C1"/>
    <w:rsid w:val="002D1BF1"/>
    <w:rsid w:val="002D2979"/>
    <w:rsid w:val="002D536C"/>
    <w:rsid w:val="002D5955"/>
    <w:rsid w:val="002D6876"/>
    <w:rsid w:val="002E0DEF"/>
    <w:rsid w:val="002E1D1D"/>
    <w:rsid w:val="002E30A9"/>
    <w:rsid w:val="002E44A7"/>
    <w:rsid w:val="002E54A9"/>
    <w:rsid w:val="002E54AB"/>
    <w:rsid w:val="002E5A0A"/>
    <w:rsid w:val="002E5E2E"/>
    <w:rsid w:val="002E6E84"/>
    <w:rsid w:val="002E7539"/>
    <w:rsid w:val="002F1168"/>
    <w:rsid w:val="002F175E"/>
    <w:rsid w:val="002F34E1"/>
    <w:rsid w:val="002F3D6A"/>
    <w:rsid w:val="002F459F"/>
    <w:rsid w:val="002F4C72"/>
    <w:rsid w:val="002F55A7"/>
    <w:rsid w:val="002F5A77"/>
    <w:rsid w:val="002F6E7E"/>
    <w:rsid w:val="003004C7"/>
    <w:rsid w:val="00301125"/>
    <w:rsid w:val="00302B44"/>
    <w:rsid w:val="00302E04"/>
    <w:rsid w:val="0030501D"/>
    <w:rsid w:val="00305965"/>
    <w:rsid w:val="00305B0F"/>
    <w:rsid w:val="003067C4"/>
    <w:rsid w:val="00307F6E"/>
    <w:rsid w:val="003101EB"/>
    <w:rsid w:val="003104C5"/>
    <w:rsid w:val="0031087E"/>
    <w:rsid w:val="003114F7"/>
    <w:rsid w:val="00311828"/>
    <w:rsid w:val="0031195F"/>
    <w:rsid w:val="003128DA"/>
    <w:rsid w:val="00312FFB"/>
    <w:rsid w:val="003131C6"/>
    <w:rsid w:val="0031389F"/>
    <w:rsid w:val="00313BB5"/>
    <w:rsid w:val="003150A4"/>
    <w:rsid w:val="00317216"/>
    <w:rsid w:val="003179EE"/>
    <w:rsid w:val="00317D8D"/>
    <w:rsid w:val="0032018E"/>
    <w:rsid w:val="0032260A"/>
    <w:rsid w:val="00323C22"/>
    <w:rsid w:val="00325C33"/>
    <w:rsid w:val="00325EEB"/>
    <w:rsid w:val="003301A6"/>
    <w:rsid w:val="0033253A"/>
    <w:rsid w:val="00333346"/>
    <w:rsid w:val="003338AE"/>
    <w:rsid w:val="00335656"/>
    <w:rsid w:val="00335B3E"/>
    <w:rsid w:val="00340A39"/>
    <w:rsid w:val="00340F1E"/>
    <w:rsid w:val="0034114C"/>
    <w:rsid w:val="00341B86"/>
    <w:rsid w:val="00342DDC"/>
    <w:rsid w:val="00343755"/>
    <w:rsid w:val="00343FE1"/>
    <w:rsid w:val="003459B2"/>
    <w:rsid w:val="00347E65"/>
    <w:rsid w:val="00350D4B"/>
    <w:rsid w:val="003539B8"/>
    <w:rsid w:val="00354FDE"/>
    <w:rsid w:val="00357752"/>
    <w:rsid w:val="00357913"/>
    <w:rsid w:val="0036231D"/>
    <w:rsid w:val="003673DB"/>
    <w:rsid w:val="003674CA"/>
    <w:rsid w:val="00367525"/>
    <w:rsid w:val="003703A4"/>
    <w:rsid w:val="00370866"/>
    <w:rsid w:val="00371D4C"/>
    <w:rsid w:val="003728CF"/>
    <w:rsid w:val="00372FD1"/>
    <w:rsid w:val="00375794"/>
    <w:rsid w:val="003777A6"/>
    <w:rsid w:val="003807CB"/>
    <w:rsid w:val="003825A1"/>
    <w:rsid w:val="00386179"/>
    <w:rsid w:val="003867BD"/>
    <w:rsid w:val="00386D1D"/>
    <w:rsid w:val="00391170"/>
    <w:rsid w:val="00391422"/>
    <w:rsid w:val="00396F69"/>
    <w:rsid w:val="00397279"/>
    <w:rsid w:val="003A015E"/>
    <w:rsid w:val="003A34F9"/>
    <w:rsid w:val="003A3673"/>
    <w:rsid w:val="003A4DA8"/>
    <w:rsid w:val="003A5420"/>
    <w:rsid w:val="003A5F69"/>
    <w:rsid w:val="003A5F80"/>
    <w:rsid w:val="003A7799"/>
    <w:rsid w:val="003B0C2B"/>
    <w:rsid w:val="003B2E92"/>
    <w:rsid w:val="003B3E65"/>
    <w:rsid w:val="003B51F0"/>
    <w:rsid w:val="003B6458"/>
    <w:rsid w:val="003C0BEE"/>
    <w:rsid w:val="003C30D2"/>
    <w:rsid w:val="003C3404"/>
    <w:rsid w:val="003C42B0"/>
    <w:rsid w:val="003C5705"/>
    <w:rsid w:val="003C5A2E"/>
    <w:rsid w:val="003C792F"/>
    <w:rsid w:val="003D2BE2"/>
    <w:rsid w:val="003D2E8E"/>
    <w:rsid w:val="003D3266"/>
    <w:rsid w:val="003D4E1C"/>
    <w:rsid w:val="003D6600"/>
    <w:rsid w:val="003D6ADA"/>
    <w:rsid w:val="003D6EFA"/>
    <w:rsid w:val="003D726D"/>
    <w:rsid w:val="003D72C8"/>
    <w:rsid w:val="003E0E92"/>
    <w:rsid w:val="003E1A67"/>
    <w:rsid w:val="003E1A8B"/>
    <w:rsid w:val="003E2548"/>
    <w:rsid w:val="003E45FF"/>
    <w:rsid w:val="003E49D1"/>
    <w:rsid w:val="003E69BF"/>
    <w:rsid w:val="003E6A21"/>
    <w:rsid w:val="003E6BC0"/>
    <w:rsid w:val="003E6FD7"/>
    <w:rsid w:val="003F0505"/>
    <w:rsid w:val="003F0C9A"/>
    <w:rsid w:val="003F1938"/>
    <w:rsid w:val="003F65CC"/>
    <w:rsid w:val="003F684E"/>
    <w:rsid w:val="003F7017"/>
    <w:rsid w:val="00400FAF"/>
    <w:rsid w:val="00402083"/>
    <w:rsid w:val="0040310A"/>
    <w:rsid w:val="00403C12"/>
    <w:rsid w:val="00404804"/>
    <w:rsid w:val="00405766"/>
    <w:rsid w:val="00405F4D"/>
    <w:rsid w:val="00410AEF"/>
    <w:rsid w:val="00410CEF"/>
    <w:rsid w:val="00410E69"/>
    <w:rsid w:val="004117A4"/>
    <w:rsid w:val="00411F17"/>
    <w:rsid w:val="004120FB"/>
    <w:rsid w:val="004122F6"/>
    <w:rsid w:val="004127EA"/>
    <w:rsid w:val="00412880"/>
    <w:rsid w:val="00412A7F"/>
    <w:rsid w:val="00413CB2"/>
    <w:rsid w:val="00414A41"/>
    <w:rsid w:val="00416466"/>
    <w:rsid w:val="004165DE"/>
    <w:rsid w:val="00417A7F"/>
    <w:rsid w:val="00417CD3"/>
    <w:rsid w:val="0042300F"/>
    <w:rsid w:val="00425B54"/>
    <w:rsid w:val="00425BF3"/>
    <w:rsid w:val="00426885"/>
    <w:rsid w:val="00426FA4"/>
    <w:rsid w:val="00427A15"/>
    <w:rsid w:val="00430EF5"/>
    <w:rsid w:val="00430F3D"/>
    <w:rsid w:val="00430FC2"/>
    <w:rsid w:val="00431AD3"/>
    <w:rsid w:val="00434786"/>
    <w:rsid w:val="00434929"/>
    <w:rsid w:val="00434B00"/>
    <w:rsid w:val="00437A72"/>
    <w:rsid w:val="00437D7B"/>
    <w:rsid w:val="0044009E"/>
    <w:rsid w:val="00440F71"/>
    <w:rsid w:val="004413B3"/>
    <w:rsid w:val="004426D8"/>
    <w:rsid w:val="00443209"/>
    <w:rsid w:val="0044447D"/>
    <w:rsid w:val="0044506B"/>
    <w:rsid w:val="00450BC1"/>
    <w:rsid w:val="00451802"/>
    <w:rsid w:val="00451AD9"/>
    <w:rsid w:val="00451EE6"/>
    <w:rsid w:val="00455A35"/>
    <w:rsid w:val="00455A6B"/>
    <w:rsid w:val="004621A9"/>
    <w:rsid w:val="00465D6A"/>
    <w:rsid w:val="004664B9"/>
    <w:rsid w:val="00466581"/>
    <w:rsid w:val="0046745B"/>
    <w:rsid w:val="004703FE"/>
    <w:rsid w:val="00470AC2"/>
    <w:rsid w:val="00473FFA"/>
    <w:rsid w:val="0047430C"/>
    <w:rsid w:val="00476BBD"/>
    <w:rsid w:val="00476C02"/>
    <w:rsid w:val="004844E8"/>
    <w:rsid w:val="00485450"/>
    <w:rsid w:val="00486DB5"/>
    <w:rsid w:val="00487E51"/>
    <w:rsid w:val="0049002D"/>
    <w:rsid w:val="004949E2"/>
    <w:rsid w:val="00494BDC"/>
    <w:rsid w:val="00496AF7"/>
    <w:rsid w:val="00496FBC"/>
    <w:rsid w:val="00497057"/>
    <w:rsid w:val="004971D0"/>
    <w:rsid w:val="0049730B"/>
    <w:rsid w:val="004A3501"/>
    <w:rsid w:val="004A4E2B"/>
    <w:rsid w:val="004A5101"/>
    <w:rsid w:val="004A53AF"/>
    <w:rsid w:val="004A7FE0"/>
    <w:rsid w:val="004B0E78"/>
    <w:rsid w:val="004B1CC9"/>
    <w:rsid w:val="004B2F35"/>
    <w:rsid w:val="004B3926"/>
    <w:rsid w:val="004B5FF4"/>
    <w:rsid w:val="004B7FEF"/>
    <w:rsid w:val="004C25A4"/>
    <w:rsid w:val="004C691F"/>
    <w:rsid w:val="004C6CCC"/>
    <w:rsid w:val="004C7503"/>
    <w:rsid w:val="004D012B"/>
    <w:rsid w:val="004D1A1F"/>
    <w:rsid w:val="004D2790"/>
    <w:rsid w:val="004D2F39"/>
    <w:rsid w:val="004D398D"/>
    <w:rsid w:val="004D522D"/>
    <w:rsid w:val="004D7DAD"/>
    <w:rsid w:val="004E0C8C"/>
    <w:rsid w:val="004E1712"/>
    <w:rsid w:val="004E26F0"/>
    <w:rsid w:val="004E2ABD"/>
    <w:rsid w:val="004E5FD1"/>
    <w:rsid w:val="004E5FD9"/>
    <w:rsid w:val="004F0D85"/>
    <w:rsid w:val="004F108E"/>
    <w:rsid w:val="004F1144"/>
    <w:rsid w:val="004F23AB"/>
    <w:rsid w:val="004F315D"/>
    <w:rsid w:val="004F32AD"/>
    <w:rsid w:val="004F59E8"/>
    <w:rsid w:val="004F7507"/>
    <w:rsid w:val="00500CB0"/>
    <w:rsid w:val="00501045"/>
    <w:rsid w:val="00502F2A"/>
    <w:rsid w:val="0050508D"/>
    <w:rsid w:val="00505E48"/>
    <w:rsid w:val="005072FE"/>
    <w:rsid w:val="00511BF9"/>
    <w:rsid w:val="0051242F"/>
    <w:rsid w:val="0051257B"/>
    <w:rsid w:val="00514DC0"/>
    <w:rsid w:val="0051525A"/>
    <w:rsid w:val="005159E1"/>
    <w:rsid w:val="005166C3"/>
    <w:rsid w:val="00517639"/>
    <w:rsid w:val="00520007"/>
    <w:rsid w:val="0052086E"/>
    <w:rsid w:val="00520A0C"/>
    <w:rsid w:val="0052156F"/>
    <w:rsid w:val="005228A1"/>
    <w:rsid w:val="005236B1"/>
    <w:rsid w:val="00523840"/>
    <w:rsid w:val="00524960"/>
    <w:rsid w:val="005271AD"/>
    <w:rsid w:val="00530477"/>
    <w:rsid w:val="0053314B"/>
    <w:rsid w:val="00533E4A"/>
    <w:rsid w:val="00535DC8"/>
    <w:rsid w:val="0053605E"/>
    <w:rsid w:val="005369C0"/>
    <w:rsid w:val="005376E2"/>
    <w:rsid w:val="00540289"/>
    <w:rsid w:val="00541AE2"/>
    <w:rsid w:val="00542634"/>
    <w:rsid w:val="00542B07"/>
    <w:rsid w:val="00543F2D"/>
    <w:rsid w:val="00545A42"/>
    <w:rsid w:val="005460A4"/>
    <w:rsid w:val="005476D0"/>
    <w:rsid w:val="00550EFF"/>
    <w:rsid w:val="0055198C"/>
    <w:rsid w:val="005520E8"/>
    <w:rsid w:val="00554274"/>
    <w:rsid w:val="00555CF9"/>
    <w:rsid w:val="00556A68"/>
    <w:rsid w:val="00556DE8"/>
    <w:rsid w:val="00560728"/>
    <w:rsid w:val="0056085F"/>
    <w:rsid w:val="00565700"/>
    <w:rsid w:val="00565940"/>
    <w:rsid w:val="00565C82"/>
    <w:rsid w:val="00566997"/>
    <w:rsid w:val="00567A9A"/>
    <w:rsid w:val="0057063E"/>
    <w:rsid w:val="005706CA"/>
    <w:rsid w:val="00570C16"/>
    <w:rsid w:val="005716FD"/>
    <w:rsid w:val="00572B14"/>
    <w:rsid w:val="005735F6"/>
    <w:rsid w:val="00573F59"/>
    <w:rsid w:val="0057504A"/>
    <w:rsid w:val="00576AD0"/>
    <w:rsid w:val="00577A22"/>
    <w:rsid w:val="00577E8B"/>
    <w:rsid w:val="005804EA"/>
    <w:rsid w:val="005808FB"/>
    <w:rsid w:val="00581A92"/>
    <w:rsid w:val="00581E23"/>
    <w:rsid w:val="0058209A"/>
    <w:rsid w:val="00583EBB"/>
    <w:rsid w:val="0058486E"/>
    <w:rsid w:val="00587260"/>
    <w:rsid w:val="00587E55"/>
    <w:rsid w:val="00593C0B"/>
    <w:rsid w:val="0059528A"/>
    <w:rsid w:val="00595E07"/>
    <w:rsid w:val="0059604A"/>
    <w:rsid w:val="005A0E7C"/>
    <w:rsid w:val="005A26CC"/>
    <w:rsid w:val="005A299E"/>
    <w:rsid w:val="005A3AD3"/>
    <w:rsid w:val="005A45C7"/>
    <w:rsid w:val="005A5444"/>
    <w:rsid w:val="005A765C"/>
    <w:rsid w:val="005B15D7"/>
    <w:rsid w:val="005B25AD"/>
    <w:rsid w:val="005B2938"/>
    <w:rsid w:val="005B2D89"/>
    <w:rsid w:val="005B3360"/>
    <w:rsid w:val="005B362C"/>
    <w:rsid w:val="005B3753"/>
    <w:rsid w:val="005B3C5B"/>
    <w:rsid w:val="005B49EA"/>
    <w:rsid w:val="005B7181"/>
    <w:rsid w:val="005C1648"/>
    <w:rsid w:val="005C47FA"/>
    <w:rsid w:val="005C553F"/>
    <w:rsid w:val="005C5A2C"/>
    <w:rsid w:val="005C7049"/>
    <w:rsid w:val="005C7EA1"/>
    <w:rsid w:val="005D1512"/>
    <w:rsid w:val="005D1684"/>
    <w:rsid w:val="005D22C9"/>
    <w:rsid w:val="005D39F5"/>
    <w:rsid w:val="005D632A"/>
    <w:rsid w:val="005D73F7"/>
    <w:rsid w:val="005E0EB1"/>
    <w:rsid w:val="005E3027"/>
    <w:rsid w:val="005E40F4"/>
    <w:rsid w:val="005E53EA"/>
    <w:rsid w:val="005E59F2"/>
    <w:rsid w:val="005E65FE"/>
    <w:rsid w:val="005E6861"/>
    <w:rsid w:val="005F108C"/>
    <w:rsid w:val="005F443C"/>
    <w:rsid w:val="005F4C14"/>
    <w:rsid w:val="005F6AAD"/>
    <w:rsid w:val="005F7182"/>
    <w:rsid w:val="00601DE7"/>
    <w:rsid w:val="00602220"/>
    <w:rsid w:val="00605379"/>
    <w:rsid w:val="00605E00"/>
    <w:rsid w:val="00606EC0"/>
    <w:rsid w:val="00607398"/>
    <w:rsid w:val="00607C89"/>
    <w:rsid w:val="00611773"/>
    <w:rsid w:val="00614A13"/>
    <w:rsid w:val="006161CB"/>
    <w:rsid w:val="00616598"/>
    <w:rsid w:val="0061739C"/>
    <w:rsid w:val="00617806"/>
    <w:rsid w:val="00620234"/>
    <w:rsid w:val="00621F5D"/>
    <w:rsid w:val="006226A7"/>
    <w:rsid w:val="006237EF"/>
    <w:rsid w:val="00623925"/>
    <w:rsid w:val="00623940"/>
    <w:rsid w:val="00623ADB"/>
    <w:rsid w:val="006253E5"/>
    <w:rsid w:val="006302B6"/>
    <w:rsid w:val="0063120D"/>
    <w:rsid w:val="00631FA9"/>
    <w:rsid w:val="00633360"/>
    <w:rsid w:val="00633809"/>
    <w:rsid w:val="00633FD9"/>
    <w:rsid w:val="00634009"/>
    <w:rsid w:val="006359FD"/>
    <w:rsid w:val="00635DC2"/>
    <w:rsid w:val="00636B7B"/>
    <w:rsid w:val="00640F19"/>
    <w:rsid w:val="00641354"/>
    <w:rsid w:val="0064168B"/>
    <w:rsid w:val="006432AF"/>
    <w:rsid w:val="006466DD"/>
    <w:rsid w:val="00647659"/>
    <w:rsid w:val="00650482"/>
    <w:rsid w:val="00650A47"/>
    <w:rsid w:val="00650D40"/>
    <w:rsid w:val="006516D7"/>
    <w:rsid w:val="00651B9C"/>
    <w:rsid w:val="00651CBA"/>
    <w:rsid w:val="00651CEA"/>
    <w:rsid w:val="00652223"/>
    <w:rsid w:val="0065262E"/>
    <w:rsid w:val="006535B0"/>
    <w:rsid w:val="006536BE"/>
    <w:rsid w:val="0065437A"/>
    <w:rsid w:val="00660173"/>
    <w:rsid w:val="00660743"/>
    <w:rsid w:val="00661EC3"/>
    <w:rsid w:val="00661F3D"/>
    <w:rsid w:val="006621AA"/>
    <w:rsid w:val="006629A1"/>
    <w:rsid w:val="00662C54"/>
    <w:rsid w:val="00663964"/>
    <w:rsid w:val="006643BD"/>
    <w:rsid w:val="0066713B"/>
    <w:rsid w:val="00670F96"/>
    <w:rsid w:val="00673297"/>
    <w:rsid w:val="00673AB1"/>
    <w:rsid w:val="00674652"/>
    <w:rsid w:val="006750F2"/>
    <w:rsid w:val="006757D9"/>
    <w:rsid w:val="00676102"/>
    <w:rsid w:val="00676DBF"/>
    <w:rsid w:val="00676E5C"/>
    <w:rsid w:val="0068122D"/>
    <w:rsid w:val="006814B0"/>
    <w:rsid w:val="006818DD"/>
    <w:rsid w:val="00682D56"/>
    <w:rsid w:val="006842C3"/>
    <w:rsid w:val="0068574A"/>
    <w:rsid w:val="00686349"/>
    <w:rsid w:val="00687A24"/>
    <w:rsid w:val="00687DCC"/>
    <w:rsid w:val="0069089F"/>
    <w:rsid w:val="00691EED"/>
    <w:rsid w:val="0069280C"/>
    <w:rsid w:val="00692931"/>
    <w:rsid w:val="0069363D"/>
    <w:rsid w:val="00693A88"/>
    <w:rsid w:val="00694126"/>
    <w:rsid w:val="006A1BED"/>
    <w:rsid w:val="006A4FA4"/>
    <w:rsid w:val="006A57CA"/>
    <w:rsid w:val="006A5846"/>
    <w:rsid w:val="006A69C4"/>
    <w:rsid w:val="006A6D24"/>
    <w:rsid w:val="006B0321"/>
    <w:rsid w:val="006B0BFA"/>
    <w:rsid w:val="006B0D52"/>
    <w:rsid w:val="006B1193"/>
    <w:rsid w:val="006B1918"/>
    <w:rsid w:val="006B31CC"/>
    <w:rsid w:val="006B3806"/>
    <w:rsid w:val="006B384E"/>
    <w:rsid w:val="006B47CE"/>
    <w:rsid w:val="006B523B"/>
    <w:rsid w:val="006B5E71"/>
    <w:rsid w:val="006B6CAF"/>
    <w:rsid w:val="006B71F5"/>
    <w:rsid w:val="006C0F8B"/>
    <w:rsid w:val="006C1826"/>
    <w:rsid w:val="006C312A"/>
    <w:rsid w:val="006C3A07"/>
    <w:rsid w:val="006C3AF3"/>
    <w:rsid w:val="006C4768"/>
    <w:rsid w:val="006C739B"/>
    <w:rsid w:val="006D0658"/>
    <w:rsid w:val="006D2A20"/>
    <w:rsid w:val="006D3964"/>
    <w:rsid w:val="006D3D2C"/>
    <w:rsid w:val="006D4017"/>
    <w:rsid w:val="006D5D0D"/>
    <w:rsid w:val="006D5FA7"/>
    <w:rsid w:val="006E33C4"/>
    <w:rsid w:val="006E4035"/>
    <w:rsid w:val="006E4812"/>
    <w:rsid w:val="006E61FC"/>
    <w:rsid w:val="006E6DAA"/>
    <w:rsid w:val="006E7434"/>
    <w:rsid w:val="006F0E9D"/>
    <w:rsid w:val="006F18CF"/>
    <w:rsid w:val="006F1C1F"/>
    <w:rsid w:val="006F1DA6"/>
    <w:rsid w:val="006F318D"/>
    <w:rsid w:val="006F5192"/>
    <w:rsid w:val="0070092E"/>
    <w:rsid w:val="00700F02"/>
    <w:rsid w:val="007020A8"/>
    <w:rsid w:val="00702C48"/>
    <w:rsid w:val="00702ED8"/>
    <w:rsid w:val="00704A1F"/>
    <w:rsid w:val="00705CDA"/>
    <w:rsid w:val="00707C90"/>
    <w:rsid w:val="00710ED7"/>
    <w:rsid w:val="00711884"/>
    <w:rsid w:val="007131F1"/>
    <w:rsid w:val="007145C0"/>
    <w:rsid w:val="00716F89"/>
    <w:rsid w:val="00720272"/>
    <w:rsid w:val="00720ED0"/>
    <w:rsid w:val="00721A4A"/>
    <w:rsid w:val="00723610"/>
    <w:rsid w:val="0072431E"/>
    <w:rsid w:val="00725712"/>
    <w:rsid w:val="00726256"/>
    <w:rsid w:val="00726423"/>
    <w:rsid w:val="0073047E"/>
    <w:rsid w:val="007311D7"/>
    <w:rsid w:val="007320E4"/>
    <w:rsid w:val="007328AF"/>
    <w:rsid w:val="00735672"/>
    <w:rsid w:val="00735D4F"/>
    <w:rsid w:val="0074203A"/>
    <w:rsid w:val="00743A5E"/>
    <w:rsid w:val="007443A9"/>
    <w:rsid w:val="00744796"/>
    <w:rsid w:val="007447BD"/>
    <w:rsid w:val="00745906"/>
    <w:rsid w:val="00745D00"/>
    <w:rsid w:val="007464AB"/>
    <w:rsid w:val="00747088"/>
    <w:rsid w:val="0075194B"/>
    <w:rsid w:val="00752724"/>
    <w:rsid w:val="00752B48"/>
    <w:rsid w:val="0075506B"/>
    <w:rsid w:val="00757B17"/>
    <w:rsid w:val="00757B40"/>
    <w:rsid w:val="00760092"/>
    <w:rsid w:val="007607DE"/>
    <w:rsid w:val="007608A4"/>
    <w:rsid w:val="00760C60"/>
    <w:rsid w:val="00760DEC"/>
    <w:rsid w:val="00760FCD"/>
    <w:rsid w:val="007613A4"/>
    <w:rsid w:val="007614C1"/>
    <w:rsid w:val="00761934"/>
    <w:rsid w:val="00761ABD"/>
    <w:rsid w:val="00762D1B"/>
    <w:rsid w:val="00762E6B"/>
    <w:rsid w:val="00764EA4"/>
    <w:rsid w:val="00767F09"/>
    <w:rsid w:val="00770DF2"/>
    <w:rsid w:val="00772487"/>
    <w:rsid w:val="00773F9F"/>
    <w:rsid w:val="00775107"/>
    <w:rsid w:val="00776DF1"/>
    <w:rsid w:val="0077743D"/>
    <w:rsid w:val="00777E40"/>
    <w:rsid w:val="00780143"/>
    <w:rsid w:val="00781029"/>
    <w:rsid w:val="007815E1"/>
    <w:rsid w:val="00783D7E"/>
    <w:rsid w:val="00785C66"/>
    <w:rsid w:val="00787B67"/>
    <w:rsid w:val="00787D3C"/>
    <w:rsid w:val="0079126A"/>
    <w:rsid w:val="0079218A"/>
    <w:rsid w:val="00792A28"/>
    <w:rsid w:val="00792E82"/>
    <w:rsid w:val="0079419D"/>
    <w:rsid w:val="00794BF4"/>
    <w:rsid w:val="00794C96"/>
    <w:rsid w:val="00795583"/>
    <w:rsid w:val="007962E1"/>
    <w:rsid w:val="00797ED5"/>
    <w:rsid w:val="007A1CEA"/>
    <w:rsid w:val="007A2299"/>
    <w:rsid w:val="007A5AA4"/>
    <w:rsid w:val="007A5ABC"/>
    <w:rsid w:val="007A7A63"/>
    <w:rsid w:val="007B0ABA"/>
    <w:rsid w:val="007B0EEF"/>
    <w:rsid w:val="007B1443"/>
    <w:rsid w:val="007B1A86"/>
    <w:rsid w:val="007B28B6"/>
    <w:rsid w:val="007B2B82"/>
    <w:rsid w:val="007B30D3"/>
    <w:rsid w:val="007B4CC0"/>
    <w:rsid w:val="007B72E4"/>
    <w:rsid w:val="007C0217"/>
    <w:rsid w:val="007C0934"/>
    <w:rsid w:val="007C0D3D"/>
    <w:rsid w:val="007C4299"/>
    <w:rsid w:val="007C569A"/>
    <w:rsid w:val="007C738D"/>
    <w:rsid w:val="007D12E1"/>
    <w:rsid w:val="007D6510"/>
    <w:rsid w:val="007D6536"/>
    <w:rsid w:val="007D7BA5"/>
    <w:rsid w:val="007E23BD"/>
    <w:rsid w:val="007E2EA9"/>
    <w:rsid w:val="007E37D3"/>
    <w:rsid w:val="007E4040"/>
    <w:rsid w:val="007E4421"/>
    <w:rsid w:val="007E4468"/>
    <w:rsid w:val="007E4882"/>
    <w:rsid w:val="007E513B"/>
    <w:rsid w:val="007E748A"/>
    <w:rsid w:val="007E75BB"/>
    <w:rsid w:val="007F0532"/>
    <w:rsid w:val="007F0661"/>
    <w:rsid w:val="007F070F"/>
    <w:rsid w:val="007F1FE9"/>
    <w:rsid w:val="007F3B80"/>
    <w:rsid w:val="007F3FC3"/>
    <w:rsid w:val="007F4FF2"/>
    <w:rsid w:val="007F5B70"/>
    <w:rsid w:val="007F6518"/>
    <w:rsid w:val="007F79C0"/>
    <w:rsid w:val="00800604"/>
    <w:rsid w:val="00800F86"/>
    <w:rsid w:val="0080194C"/>
    <w:rsid w:val="00801E63"/>
    <w:rsid w:val="008026D4"/>
    <w:rsid w:val="00802BC2"/>
    <w:rsid w:val="0080314C"/>
    <w:rsid w:val="00804DB6"/>
    <w:rsid w:val="00805132"/>
    <w:rsid w:val="008064F9"/>
    <w:rsid w:val="008065C3"/>
    <w:rsid w:val="0080727E"/>
    <w:rsid w:val="00810BC2"/>
    <w:rsid w:val="0081100C"/>
    <w:rsid w:val="00811B32"/>
    <w:rsid w:val="00812324"/>
    <w:rsid w:val="0081432C"/>
    <w:rsid w:val="00814599"/>
    <w:rsid w:val="008156B8"/>
    <w:rsid w:val="00816DA1"/>
    <w:rsid w:val="0081724E"/>
    <w:rsid w:val="00817AF3"/>
    <w:rsid w:val="00822DF4"/>
    <w:rsid w:val="008234B8"/>
    <w:rsid w:val="0082370A"/>
    <w:rsid w:val="0082379B"/>
    <w:rsid w:val="00823C8C"/>
    <w:rsid w:val="00823D6E"/>
    <w:rsid w:val="00826C6B"/>
    <w:rsid w:val="008321D5"/>
    <w:rsid w:val="00832330"/>
    <w:rsid w:val="00833B43"/>
    <w:rsid w:val="0083464D"/>
    <w:rsid w:val="00836328"/>
    <w:rsid w:val="00836A4D"/>
    <w:rsid w:val="008379B7"/>
    <w:rsid w:val="00842F73"/>
    <w:rsid w:val="00844286"/>
    <w:rsid w:val="008458D2"/>
    <w:rsid w:val="008508C7"/>
    <w:rsid w:val="00850AD9"/>
    <w:rsid w:val="00851951"/>
    <w:rsid w:val="00851D48"/>
    <w:rsid w:val="00852143"/>
    <w:rsid w:val="008537DC"/>
    <w:rsid w:val="00853AFA"/>
    <w:rsid w:val="00854B21"/>
    <w:rsid w:val="0085547C"/>
    <w:rsid w:val="00855638"/>
    <w:rsid w:val="00860A02"/>
    <w:rsid w:val="00862E7B"/>
    <w:rsid w:val="0086325B"/>
    <w:rsid w:val="00864462"/>
    <w:rsid w:val="00864F67"/>
    <w:rsid w:val="008651A3"/>
    <w:rsid w:val="00865FD4"/>
    <w:rsid w:val="00866253"/>
    <w:rsid w:val="0086788C"/>
    <w:rsid w:val="00870249"/>
    <w:rsid w:val="00870C06"/>
    <w:rsid w:val="00871325"/>
    <w:rsid w:val="00871D96"/>
    <w:rsid w:val="008736CD"/>
    <w:rsid w:val="00873E5D"/>
    <w:rsid w:val="0087410B"/>
    <w:rsid w:val="008746CC"/>
    <w:rsid w:val="008752C8"/>
    <w:rsid w:val="008753FE"/>
    <w:rsid w:val="008759C2"/>
    <w:rsid w:val="00875CA9"/>
    <w:rsid w:val="00875D7F"/>
    <w:rsid w:val="00876902"/>
    <w:rsid w:val="00876B49"/>
    <w:rsid w:val="00876BB3"/>
    <w:rsid w:val="008805E3"/>
    <w:rsid w:val="00881266"/>
    <w:rsid w:val="00883EB9"/>
    <w:rsid w:val="00885B80"/>
    <w:rsid w:val="00885FDF"/>
    <w:rsid w:val="008866AA"/>
    <w:rsid w:val="00892E85"/>
    <w:rsid w:val="00893455"/>
    <w:rsid w:val="00895358"/>
    <w:rsid w:val="008961C4"/>
    <w:rsid w:val="00896920"/>
    <w:rsid w:val="00896E59"/>
    <w:rsid w:val="008A07A4"/>
    <w:rsid w:val="008A0828"/>
    <w:rsid w:val="008A0D57"/>
    <w:rsid w:val="008A2F72"/>
    <w:rsid w:val="008A3DF5"/>
    <w:rsid w:val="008A40EB"/>
    <w:rsid w:val="008A46CD"/>
    <w:rsid w:val="008A478D"/>
    <w:rsid w:val="008A5BB3"/>
    <w:rsid w:val="008A61D6"/>
    <w:rsid w:val="008B04D6"/>
    <w:rsid w:val="008B0E32"/>
    <w:rsid w:val="008B1BC3"/>
    <w:rsid w:val="008B2FF0"/>
    <w:rsid w:val="008B415B"/>
    <w:rsid w:val="008B7685"/>
    <w:rsid w:val="008C10A9"/>
    <w:rsid w:val="008C1BEC"/>
    <w:rsid w:val="008C2875"/>
    <w:rsid w:val="008C4011"/>
    <w:rsid w:val="008C443E"/>
    <w:rsid w:val="008C6B9B"/>
    <w:rsid w:val="008C7473"/>
    <w:rsid w:val="008D2932"/>
    <w:rsid w:val="008D5DC4"/>
    <w:rsid w:val="008D7E86"/>
    <w:rsid w:val="008E141E"/>
    <w:rsid w:val="008E17B4"/>
    <w:rsid w:val="008E18A1"/>
    <w:rsid w:val="008E275F"/>
    <w:rsid w:val="008E319E"/>
    <w:rsid w:val="008E320A"/>
    <w:rsid w:val="008E3B9A"/>
    <w:rsid w:val="008E45D7"/>
    <w:rsid w:val="008E47D6"/>
    <w:rsid w:val="008E4F76"/>
    <w:rsid w:val="008E5601"/>
    <w:rsid w:val="008F2F07"/>
    <w:rsid w:val="008F2FB2"/>
    <w:rsid w:val="008F37BD"/>
    <w:rsid w:val="008F3D9D"/>
    <w:rsid w:val="008F4EA2"/>
    <w:rsid w:val="008F5B87"/>
    <w:rsid w:val="0090083B"/>
    <w:rsid w:val="00900D32"/>
    <w:rsid w:val="009035EC"/>
    <w:rsid w:val="009043C3"/>
    <w:rsid w:val="00904FBB"/>
    <w:rsid w:val="00906505"/>
    <w:rsid w:val="009101E1"/>
    <w:rsid w:val="00910A2D"/>
    <w:rsid w:val="00910A75"/>
    <w:rsid w:val="00913F25"/>
    <w:rsid w:val="00915850"/>
    <w:rsid w:val="00915AEC"/>
    <w:rsid w:val="009175DC"/>
    <w:rsid w:val="00920BC7"/>
    <w:rsid w:val="00921649"/>
    <w:rsid w:val="00921B80"/>
    <w:rsid w:val="00921DAC"/>
    <w:rsid w:val="009256D6"/>
    <w:rsid w:val="00925F3E"/>
    <w:rsid w:val="0092686C"/>
    <w:rsid w:val="00930689"/>
    <w:rsid w:val="00930D86"/>
    <w:rsid w:val="00931776"/>
    <w:rsid w:val="009334FD"/>
    <w:rsid w:val="009337BD"/>
    <w:rsid w:val="00933D4A"/>
    <w:rsid w:val="0093456A"/>
    <w:rsid w:val="00934A93"/>
    <w:rsid w:val="0093506F"/>
    <w:rsid w:val="00935562"/>
    <w:rsid w:val="0093695D"/>
    <w:rsid w:val="00936C06"/>
    <w:rsid w:val="009376C0"/>
    <w:rsid w:val="009403B1"/>
    <w:rsid w:val="009414C6"/>
    <w:rsid w:val="009434FF"/>
    <w:rsid w:val="009439EF"/>
    <w:rsid w:val="009444E7"/>
    <w:rsid w:val="009458A1"/>
    <w:rsid w:val="00946991"/>
    <w:rsid w:val="00947B4E"/>
    <w:rsid w:val="00950EB7"/>
    <w:rsid w:val="0095190D"/>
    <w:rsid w:val="009522E3"/>
    <w:rsid w:val="0095557D"/>
    <w:rsid w:val="00955CCA"/>
    <w:rsid w:val="009604DE"/>
    <w:rsid w:val="00961E43"/>
    <w:rsid w:val="00962D20"/>
    <w:rsid w:val="009634C3"/>
    <w:rsid w:val="009637E2"/>
    <w:rsid w:val="0096439B"/>
    <w:rsid w:val="00965470"/>
    <w:rsid w:val="00966554"/>
    <w:rsid w:val="0096778D"/>
    <w:rsid w:val="0097094E"/>
    <w:rsid w:val="00970A14"/>
    <w:rsid w:val="00970BD9"/>
    <w:rsid w:val="009714CF"/>
    <w:rsid w:val="009741B0"/>
    <w:rsid w:val="0097452F"/>
    <w:rsid w:val="00975AF5"/>
    <w:rsid w:val="00976A85"/>
    <w:rsid w:val="00977E2D"/>
    <w:rsid w:val="00980F59"/>
    <w:rsid w:val="009832EA"/>
    <w:rsid w:val="00985A1E"/>
    <w:rsid w:val="00986E21"/>
    <w:rsid w:val="00990B1C"/>
    <w:rsid w:val="009911F1"/>
    <w:rsid w:val="00991721"/>
    <w:rsid w:val="00991DF7"/>
    <w:rsid w:val="00992120"/>
    <w:rsid w:val="00993403"/>
    <w:rsid w:val="00994326"/>
    <w:rsid w:val="00994552"/>
    <w:rsid w:val="00995B64"/>
    <w:rsid w:val="00996D5A"/>
    <w:rsid w:val="009A0DE1"/>
    <w:rsid w:val="009A0EBC"/>
    <w:rsid w:val="009A1AC1"/>
    <w:rsid w:val="009A1EEA"/>
    <w:rsid w:val="009A2221"/>
    <w:rsid w:val="009A41EF"/>
    <w:rsid w:val="009A5073"/>
    <w:rsid w:val="009A69A4"/>
    <w:rsid w:val="009B1401"/>
    <w:rsid w:val="009B172B"/>
    <w:rsid w:val="009B1BB9"/>
    <w:rsid w:val="009B2CE3"/>
    <w:rsid w:val="009B3264"/>
    <w:rsid w:val="009B41DA"/>
    <w:rsid w:val="009B4E47"/>
    <w:rsid w:val="009B5089"/>
    <w:rsid w:val="009B6321"/>
    <w:rsid w:val="009B70F8"/>
    <w:rsid w:val="009B7CCC"/>
    <w:rsid w:val="009B7E42"/>
    <w:rsid w:val="009C091D"/>
    <w:rsid w:val="009C0BB4"/>
    <w:rsid w:val="009C162F"/>
    <w:rsid w:val="009C188C"/>
    <w:rsid w:val="009C21A0"/>
    <w:rsid w:val="009C2B7A"/>
    <w:rsid w:val="009C3CE1"/>
    <w:rsid w:val="009C41DC"/>
    <w:rsid w:val="009C7EF9"/>
    <w:rsid w:val="009D008C"/>
    <w:rsid w:val="009D04BB"/>
    <w:rsid w:val="009D056D"/>
    <w:rsid w:val="009D1D38"/>
    <w:rsid w:val="009D302C"/>
    <w:rsid w:val="009D4BEB"/>
    <w:rsid w:val="009D577C"/>
    <w:rsid w:val="009D6138"/>
    <w:rsid w:val="009E0659"/>
    <w:rsid w:val="009E11D9"/>
    <w:rsid w:val="009E1A5C"/>
    <w:rsid w:val="009E221B"/>
    <w:rsid w:val="009E2CC9"/>
    <w:rsid w:val="009E33CE"/>
    <w:rsid w:val="009E3BDB"/>
    <w:rsid w:val="009E3C51"/>
    <w:rsid w:val="009E46C6"/>
    <w:rsid w:val="009E578C"/>
    <w:rsid w:val="009E6275"/>
    <w:rsid w:val="009E6471"/>
    <w:rsid w:val="009F022C"/>
    <w:rsid w:val="009F0EFC"/>
    <w:rsid w:val="009F1EF9"/>
    <w:rsid w:val="009F2148"/>
    <w:rsid w:val="009F2B6C"/>
    <w:rsid w:val="009F332D"/>
    <w:rsid w:val="009F409F"/>
    <w:rsid w:val="009F4C11"/>
    <w:rsid w:val="009F4E13"/>
    <w:rsid w:val="009F6033"/>
    <w:rsid w:val="009F753D"/>
    <w:rsid w:val="00A00398"/>
    <w:rsid w:val="00A00CF0"/>
    <w:rsid w:val="00A0168C"/>
    <w:rsid w:val="00A026DC"/>
    <w:rsid w:val="00A04C82"/>
    <w:rsid w:val="00A05383"/>
    <w:rsid w:val="00A06690"/>
    <w:rsid w:val="00A06A79"/>
    <w:rsid w:val="00A070DA"/>
    <w:rsid w:val="00A076BA"/>
    <w:rsid w:val="00A07AE0"/>
    <w:rsid w:val="00A109E6"/>
    <w:rsid w:val="00A111EC"/>
    <w:rsid w:val="00A11C04"/>
    <w:rsid w:val="00A134DA"/>
    <w:rsid w:val="00A150F3"/>
    <w:rsid w:val="00A179EB"/>
    <w:rsid w:val="00A207ED"/>
    <w:rsid w:val="00A21F10"/>
    <w:rsid w:val="00A2393F"/>
    <w:rsid w:val="00A260F9"/>
    <w:rsid w:val="00A26616"/>
    <w:rsid w:val="00A3184B"/>
    <w:rsid w:val="00A31A85"/>
    <w:rsid w:val="00A31B11"/>
    <w:rsid w:val="00A32453"/>
    <w:rsid w:val="00A3535A"/>
    <w:rsid w:val="00A4015A"/>
    <w:rsid w:val="00A40670"/>
    <w:rsid w:val="00A41476"/>
    <w:rsid w:val="00A41AE4"/>
    <w:rsid w:val="00A43677"/>
    <w:rsid w:val="00A4473C"/>
    <w:rsid w:val="00A44850"/>
    <w:rsid w:val="00A44859"/>
    <w:rsid w:val="00A45F61"/>
    <w:rsid w:val="00A46A06"/>
    <w:rsid w:val="00A47BF9"/>
    <w:rsid w:val="00A53728"/>
    <w:rsid w:val="00A53758"/>
    <w:rsid w:val="00A5583B"/>
    <w:rsid w:val="00A56139"/>
    <w:rsid w:val="00A56345"/>
    <w:rsid w:val="00A563EF"/>
    <w:rsid w:val="00A57BC2"/>
    <w:rsid w:val="00A601FC"/>
    <w:rsid w:val="00A6576F"/>
    <w:rsid w:val="00A65AB6"/>
    <w:rsid w:val="00A74DB9"/>
    <w:rsid w:val="00A75629"/>
    <w:rsid w:val="00A769DE"/>
    <w:rsid w:val="00A77BE5"/>
    <w:rsid w:val="00A77D80"/>
    <w:rsid w:val="00A8013C"/>
    <w:rsid w:val="00A8160E"/>
    <w:rsid w:val="00A82C85"/>
    <w:rsid w:val="00A83F46"/>
    <w:rsid w:val="00A8470A"/>
    <w:rsid w:val="00A85009"/>
    <w:rsid w:val="00A85FFA"/>
    <w:rsid w:val="00A87CE7"/>
    <w:rsid w:val="00A9028B"/>
    <w:rsid w:val="00A92488"/>
    <w:rsid w:val="00A92643"/>
    <w:rsid w:val="00A93454"/>
    <w:rsid w:val="00A934EC"/>
    <w:rsid w:val="00A943A5"/>
    <w:rsid w:val="00A949CF"/>
    <w:rsid w:val="00A94AB4"/>
    <w:rsid w:val="00A96983"/>
    <w:rsid w:val="00A976B5"/>
    <w:rsid w:val="00A97944"/>
    <w:rsid w:val="00A97CC0"/>
    <w:rsid w:val="00AA0708"/>
    <w:rsid w:val="00AA1458"/>
    <w:rsid w:val="00AA1DDD"/>
    <w:rsid w:val="00AA3E57"/>
    <w:rsid w:val="00AA4DDB"/>
    <w:rsid w:val="00AA4EDB"/>
    <w:rsid w:val="00AA5D63"/>
    <w:rsid w:val="00AA66D3"/>
    <w:rsid w:val="00AA6792"/>
    <w:rsid w:val="00AA7283"/>
    <w:rsid w:val="00AB2DDA"/>
    <w:rsid w:val="00AB5DA1"/>
    <w:rsid w:val="00AB6131"/>
    <w:rsid w:val="00AC2E14"/>
    <w:rsid w:val="00AC3695"/>
    <w:rsid w:val="00AC4002"/>
    <w:rsid w:val="00AC73CE"/>
    <w:rsid w:val="00AC76DA"/>
    <w:rsid w:val="00AD1538"/>
    <w:rsid w:val="00AD18D5"/>
    <w:rsid w:val="00AD202F"/>
    <w:rsid w:val="00AD31D9"/>
    <w:rsid w:val="00AD4E71"/>
    <w:rsid w:val="00AD774A"/>
    <w:rsid w:val="00AD7D11"/>
    <w:rsid w:val="00AE0373"/>
    <w:rsid w:val="00AE0C8B"/>
    <w:rsid w:val="00AE1B04"/>
    <w:rsid w:val="00AE3BC4"/>
    <w:rsid w:val="00AE3BF2"/>
    <w:rsid w:val="00AE5EBE"/>
    <w:rsid w:val="00AE68E5"/>
    <w:rsid w:val="00AE74EB"/>
    <w:rsid w:val="00AE797D"/>
    <w:rsid w:val="00AE7A0A"/>
    <w:rsid w:val="00AF007C"/>
    <w:rsid w:val="00AF1CAD"/>
    <w:rsid w:val="00AF2C40"/>
    <w:rsid w:val="00AF3A02"/>
    <w:rsid w:val="00AF4A00"/>
    <w:rsid w:val="00AF4B66"/>
    <w:rsid w:val="00AF7022"/>
    <w:rsid w:val="00B0009B"/>
    <w:rsid w:val="00B02022"/>
    <w:rsid w:val="00B02BE6"/>
    <w:rsid w:val="00B03333"/>
    <w:rsid w:val="00B03FFA"/>
    <w:rsid w:val="00B04CA7"/>
    <w:rsid w:val="00B05865"/>
    <w:rsid w:val="00B062B3"/>
    <w:rsid w:val="00B07789"/>
    <w:rsid w:val="00B07D1A"/>
    <w:rsid w:val="00B103F0"/>
    <w:rsid w:val="00B10C69"/>
    <w:rsid w:val="00B1212D"/>
    <w:rsid w:val="00B15130"/>
    <w:rsid w:val="00B155B9"/>
    <w:rsid w:val="00B20796"/>
    <w:rsid w:val="00B21764"/>
    <w:rsid w:val="00B23619"/>
    <w:rsid w:val="00B23841"/>
    <w:rsid w:val="00B24C26"/>
    <w:rsid w:val="00B27400"/>
    <w:rsid w:val="00B3072F"/>
    <w:rsid w:val="00B30A92"/>
    <w:rsid w:val="00B334DD"/>
    <w:rsid w:val="00B33657"/>
    <w:rsid w:val="00B33A42"/>
    <w:rsid w:val="00B34621"/>
    <w:rsid w:val="00B3544F"/>
    <w:rsid w:val="00B368D3"/>
    <w:rsid w:val="00B36DF4"/>
    <w:rsid w:val="00B40BEA"/>
    <w:rsid w:val="00B40C64"/>
    <w:rsid w:val="00B47A74"/>
    <w:rsid w:val="00B511C3"/>
    <w:rsid w:val="00B52880"/>
    <w:rsid w:val="00B54D00"/>
    <w:rsid w:val="00B564CC"/>
    <w:rsid w:val="00B57943"/>
    <w:rsid w:val="00B60209"/>
    <w:rsid w:val="00B605C6"/>
    <w:rsid w:val="00B60DDB"/>
    <w:rsid w:val="00B61C7C"/>
    <w:rsid w:val="00B661AE"/>
    <w:rsid w:val="00B661D6"/>
    <w:rsid w:val="00B66463"/>
    <w:rsid w:val="00B70BA2"/>
    <w:rsid w:val="00B7198B"/>
    <w:rsid w:val="00B728FF"/>
    <w:rsid w:val="00B73100"/>
    <w:rsid w:val="00B73D24"/>
    <w:rsid w:val="00B756F8"/>
    <w:rsid w:val="00B75733"/>
    <w:rsid w:val="00B75ED3"/>
    <w:rsid w:val="00B76165"/>
    <w:rsid w:val="00B76452"/>
    <w:rsid w:val="00B76A9B"/>
    <w:rsid w:val="00B770DB"/>
    <w:rsid w:val="00B81EA0"/>
    <w:rsid w:val="00B82E53"/>
    <w:rsid w:val="00B832DB"/>
    <w:rsid w:val="00B83987"/>
    <w:rsid w:val="00B84822"/>
    <w:rsid w:val="00B849EF"/>
    <w:rsid w:val="00B85462"/>
    <w:rsid w:val="00B877B8"/>
    <w:rsid w:val="00B8785C"/>
    <w:rsid w:val="00B92325"/>
    <w:rsid w:val="00B94EBC"/>
    <w:rsid w:val="00B95D8A"/>
    <w:rsid w:val="00B96E51"/>
    <w:rsid w:val="00B97FD4"/>
    <w:rsid w:val="00BA05F1"/>
    <w:rsid w:val="00BA075B"/>
    <w:rsid w:val="00BA0A56"/>
    <w:rsid w:val="00BA2E5D"/>
    <w:rsid w:val="00BA3E54"/>
    <w:rsid w:val="00BA5457"/>
    <w:rsid w:val="00BA5877"/>
    <w:rsid w:val="00BA75FF"/>
    <w:rsid w:val="00BB09A7"/>
    <w:rsid w:val="00BB0F02"/>
    <w:rsid w:val="00BB266F"/>
    <w:rsid w:val="00BB2DE2"/>
    <w:rsid w:val="00BB3627"/>
    <w:rsid w:val="00BB415F"/>
    <w:rsid w:val="00BB427E"/>
    <w:rsid w:val="00BB5F1E"/>
    <w:rsid w:val="00BC2A36"/>
    <w:rsid w:val="00BC329B"/>
    <w:rsid w:val="00BC33A4"/>
    <w:rsid w:val="00BC3CAB"/>
    <w:rsid w:val="00BC516B"/>
    <w:rsid w:val="00BC5361"/>
    <w:rsid w:val="00BC7A7E"/>
    <w:rsid w:val="00BD083F"/>
    <w:rsid w:val="00BD344F"/>
    <w:rsid w:val="00BD37C5"/>
    <w:rsid w:val="00BD3E0E"/>
    <w:rsid w:val="00BD412E"/>
    <w:rsid w:val="00BD4FFB"/>
    <w:rsid w:val="00BD56A8"/>
    <w:rsid w:val="00BD5A22"/>
    <w:rsid w:val="00BD6B30"/>
    <w:rsid w:val="00BE1677"/>
    <w:rsid w:val="00BE488F"/>
    <w:rsid w:val="00BE4FFF"/>
    <w:rsid w:val="00BE6641"/>
    <w:rsid w:val="00BF090B"/>
    <w:rsid w:val="00BF4169"/>
    <w:rsid w:val="00BF6DEF"/>
    <w:rsid w:val="00C0053A"/>
    <w:rsid w:val="00C007D7"/>
    <w:rsid w:val="00C00D83"/>
    <w:rsid w:val="00C01E1D"/>
    <w:rsid w:val="00C02D43"/>
    <w:rsid w:val="00C037B8"/>
    <w:rsid w:val="00C043E0"/>
    <w:rsid w:val="00C0478B"/>
    <w:rsid w:val="00C056B7"/>
    <w:rsid w:val="00C061EE"/>
    <w:rsid w:val="00C06A2E"/>
    <w:rsid w:val="00C07036"/>
    <w:rsid w:val="00C11043"/>
    <w:rsid w:val="00C12016"/>
    <w:rsid w:val="00C138CA"/>
    <w:rsid w:val="00C14316"/>
    <w:rsid w:val="00C14992"/>
    <w:rsid w:val="00C1558B"/>
    <w:rsid w:val="00C20D96"/>
    <w:rsid w:val="00C2131D"/>
    <w:rsid w:val="00C233BE"/>
    <w:rsid w:val="00C24BC9"/>
    <w:rsid w:val="00C24E6E"/>
    <w:rsid w:val="00C265EF"/>
    <w:rsid w:val="00C268D1"/>
    <w:rsid w:val="00C26CD3"/>
    <w:rsid w:val="00C332BC"/>
    <w:rsid w:val="00C33D2E"/>
    <w:rsid w:val="00C347CF"/>
    <w:rsid w:val="00C35819"/>
    <w:rsid w:val="00C40655"/>
    <w:rsid w:val="00C4325E"/>
    <w:rsid w:val="00C43457"/>
    <w:rsid w:val="00C45E3C"/>
    <w:rsid w:val="00C46142"/>
    <w:rsid w:val="00C4685D"/>
    <w:rsid w:val="00C50375"/>
    <w:rsid w:val="00C518C9"/>
    <w:rsid w:val="00C51E06"/>
    <w:rsid w:val="00C535A5"/>
    <w:rsid w:val="00C55F4D"/>
    <w:rsid w:val="00C56A6B"/>
    <w:rsid w:val="00C57BFF"/>
    <w:rsid w:val="00C602EF"/>
    <w:rsid w:val="00C60337"/>
    <w:rsid w:val="00C6163E"/>
    <w:rsid w:val="00C6170E"/>
    <w:rsid w:val="00C61A31"/>
    <w:rsid w:val="00C61E5B"/>
    <w:rsid w:val="00C6335A"/>
    <w:rsid w:val="00C64A62"/>
    <w:rsid w:val="00C65D56"/>
    <w:rsid w:val="00C65FD8"/>
    <w:rsid w:val="00C668F3"/>
    <w:rsid w:val="00C670BF"/>
    <w:rsid w:val="00C71748"/>
    <w:rsid w:val="00C72BD8"/>
    <w:rsid w:val="00C73338"/>
    <w:rsid w:val="00C75C22"/>
    <w:rsid w:val="00C76E14"/>
    <w:rsid w:val="00C80A26"/>
    <w:rsid w:val="00C80D28"/>
    <w:rsid w:val="00C81756"/>
    <w:rsid w:val="00C828A6"/>
    <w:rsid w:val="00C84EBB"/>
    <w:rsid w:val="00C85F22"/>
    <w:rsid w:val="00C86770"/>
    <w:rsid w:val="00C87B60"/>
    <w:rsid w:val="00C90401"/>
    <w:rsid w:val="00C91415"/>
    <w:rsid w:val="00C92F2B"/>
    <w:rsid w:val="00C9333D"/>
    <w:rsid w:val="00C93B02"/>
    <w:rsid w:val="00C94DD0"/>
    <w:rsid w:val="00C95B85"/>
    <w:rsid w:val="00C95E7B"/>
    <w:rsid w:val="00CA1548"/>
    <w:rsid w:val="00CA1920"/>
    <w:rsid w:val="00CA3AC5"/>
    <w:rsid w:val="00CA568F"/>
    <w:rsid w:val="00CA7C47"/>
    <w:rsid w:val="00CB0573"/>
    <w:rsid w:val="00CB19FB"/>
    <w:rsid w:val="00CB3479"/>
    <w:rsid w:val="00CB45A0"/>
    <w:rsid w:val="00CB6B59"/>
    <w:rsid w:val="00CC05A7"/>
    <w:rsid w:val="00CC0B22"/>
    <w:rsid w:val="00CC2A53"/>
    <w:rsid w:val="00CC2E40"/>
    <w:rsid w:val="00CD01C6"/>
    <w:rsid w:val="00CD07F3"/>
    <w:rsid w:val="00CD4CD7"/>
    <w:rsid w:val="00CD4E82"/>
    <w:rsid w:val="00CE045F"/>
    <w:rsid w:val="00CE1F55"/>
    <w:rsid w:val="00CE2260"/>
    <w:rsid w:val="00CE26D9"/>
    <w:rsid w:val="00CE4178"/>
    <w:rsid w:val="00CE6E23"/>
    <w:rsid w:val="00CF0184"/>
    <w:rsid w:val="00CF01E6"/>
    <w:rsid w:val="00CF2D50"/>
    <w:rsid w:val="00CF3677"/>
    <w:rsid w:val="00CF4B33"/>
    <w:rsid w:val="00CF4E34"/>
    <w:rsid w:val="00D00327"/>
    <w:rsid w:val="00D01673"/>
    <w:rsid w:val="00D0231E"/>
    <w:rsid w:val="00D0444F"/>
    <w:rsid w:val="00D045DA"/>
    <w:rsid w:val="00D0480C"/>
    <w:rsid w:val="00D051BA"/>
    <w:rsid w:val="00D05D57"/>
    <w:rsid w:val="00D06E8C"/>
    <w:rsid w:val="00D07140"/>
    <w:rsid w:val="00D11975"/>
    <w:rsid w:val="00D12B9D"/>
    <w:rsid w:val="00D130E2"/>
    <w:rsid w:val="00D1401A"/>
    <w:rsid w:val="00D16D45"/>
    <w:rsid w:val="00D17235"/>
    <w:rsid w:val="00D17B8D"/>
    <w:rsid w:val="00D24EB7"/>
    <w:rsid w:val="00D26724"/>
    <w:rsid w:val="00D32ED6"/>
    <w:rsid w:val="00D333AD"/>
    <w:rsid w:val="00D339AA"/>
    <w:rsid w:val="00D34119"/>
    <w:rsid w:val="00D34CCA"/>
    <w:rsid w:val="00D35474"/>
    <w:rsid w:val="00D365BB"/>
    <w:rsid w:val="00D37923"/>
    <w:rsid w:val="00D412A4"/>
    <w:rsid w:val="00D433A8"/>
    <w:rsid w:val="00D435C2"/>
    <w:rsid w:val="00D4395D"/>
    <w:rsid w:val="00D44193"/>
    <w:rsid w:val="00D44320"/>
    <w:rsid w:val="00D44B3E"/>
    <w:rsid w:val="00D5158D"/>
    <w:rsid w:val="00D51681"/>
    <w:rsid w:val="00D53B4C"/>
    <w:rsid w:val="00D54042"/>
    <w:rsid w:val="00D540E2"/>
    <w:rsid w:val="00D5549E"/>
    <w:rsid w:val="00D560DA"/>
    <w:rsid w:val="00D562F0"/>
    <w:rsid w:val="00D56524"/>
    <w:rsid w:val="00D56B21"/>
    <w:rsid w:val="00D56BA5"/>
    <w:rsid w:val="00D5744E"/>
    <w:rsid w:val="00D57770"/>
    <w:rsid w:val="00D60FCC"/>
    <w:rsid w:val="00D61B10"/>
    <w:rsid w:val="00D64F50"/>
    <w:rsid w:val="00D65F57"/>
    <w:rsid w:val="00D66C6A"/>
    <w:rsid w:val="00D7150F"/>
    <w:rsid w:val="00D72642"/>
    <w:rsid w:val="00D726AC"/>
    <w:rsid w:val="00D72A05"/>
    <w:rsid w:val="00D7510E"/>
    <w:rsid w:val="00D77320"/>
    <w:rsid w:val="00D810D8"/>
    <w:rsid w:val="00D817FA"/>
    <w:rsid w:val="00D82AF3"/>
    <w:rsid w:val="00D84BFC"/>
    <w:rsid w:val="00D85054"/>
    <w:rsid w:val="00D85F60"/>
    <w:rsid w:val="00D867DA"/>
    <w:rsid w:val="00D90E0A"/>
    <w:rsid w:val="00D92246"/>
    <w:rsid w:val="00D9275D"/>
    <w:rsid w:val="00D9510B"/>
    <w:rsid w:val="00D954FD"/>
    <w:rsid w:val="00D96190"/>
    <w:rsid w:val="00D96404"/>
    <w:rsid w:val="00D96D68"/>
    <w:rsid w:val="00D9724F"/>
    <w:rsid w:val="00DA114D"/>
    <w:rsid w:val="00DA1289"/>
    <w:rsid w:val="00DA5B54"/>
    <w:rsid w:val="00DA648D"/>
    <w:rsid w:val="00DA68AA"/>
    <w:rsid w:val="00DB0231"/>
    <w:rsid w:val="00DB083A"/>
    <w:rsid w:val="00DB19D0"/>
    <w:rsid w:val="00DB1DCB"/>
    <w:rsid w:val="00DB296C"/>
    <w:rsid w:val="00DB411C"/>
    <w:rsid w:val="00DB5E8A"/>
    <w:rsid w:val="00DB6F39"/>
    <w:rsid w:val="00DC2590"/>
    <w:rsid w:val="00DC3838"/>
    <w:rsid w:val="00DC4F60"/>
    <w:rsid w:val="00DC5CD0"/>
    <w:rsid w:val="00DC62CD"/>
    <w:rsid w:val="00DC64FC"/>
    <w:rsid w:val="00DC7A26"/>
    <w:rsid w:val="00DD0F18"/>
    <w:rsid w:val="00DD1914"/>
    <w:rsid w:val="00DD283F"/>
    <w:rsid w:val="00DD284E"/>
    <w:rsid w:val="00DD2DB8"/>
    <w:rsid w:val="00DD33D4"/>
    <w:rsid w:val="00DD3495"/>
    <w:rsid w:val="00DD3CA8"/>
    <w:rsid w:val="00DD3CC6"/>
    <w:rsid w:val="00DD6ED7"/>
    <w:rsid w:val="00DE0074"/>
    <w:rsid w:val="00DE07A3"/>
    <w:rsid w:val="00DE16B9"/>
    <w:rsid w:val="00DE44FD"/>
    <w:rsid w:val="00DE464B"/>
    <w:rsid w:val="00DE4EBC"/>
    <w:rsid w:val="00DE6363"/>
    <w:rsid w:val="00DE7F32"/>
    <w:rsid w:val="00DF1023"/>
    <w:rsid w:val="00DF2770"/>
    <w:rsid w:val="00DF4ABD"/>
    <w:rsid w:val="00DF5916"/>
    <w:rsid w:val="00DF722A"/>
    <w:rsid w:val="00DF7C60"/>
    <w:rsid w:val="00E0059C"/>
    <w:rsid w:val="00E00CA5"/>
    <w:rsid w:val="00E04146"/>
    <w:rsid w:val="00E0512F"/>
    <w:rsid w:val="00E0558E"/>
    <w:rsid w:val="00E1051D"/>
    <w:rsid w:val="00E10F7A"/>
    <w:rsid w:val="00E118BF"/>
    <w:rsid w:val="00E11B4E"/>
    <w:rsid w:val="00E1223C"/>
    <w:rsid w:val="00E12465"/>
    <w:rsid w:val="00E124F1"/>
    <w:rsid w:val="00E12CCE"/>
    <w:rsid w:val="00E13E88"/>
    <w:rsid w:val="00E14117"/>
    <w:rsid w:val="00E14AA8"/>
    <w:rsid w:val="00E14B4C"/>
    <w:rsid w:val="00E15555"/>
    <w:rsid w:val="00E158AF"/>
    <w:rsid w:val="00E165F5"/>
    <w:rsid w:val="00E220C1"/>
    <w:rsid w:val="00E238F2"/>
    <w:rsid w:val="00E23A9F"/>
    <w:rsid w:val="00E24F21"/>
    <w:rsid w:val="00E264DD"/>
    <w:rsid w:val="00E27190"/>
    <w:rsid w:val="00E272D5"/>
    <w:rsid w:val="00E30CBA"/>
    <w:rsid w:val="00E32ACF"/>
    <w:rsid w:val="00E33D27"/>
    <w:rsid w:val="00E34C52"/>
    <w:rsid w:val="00E35DBB"/>
    <w:rsid w:val="00E36210"/>
    <w:rsid w:val="00E37242"/>
    <w:rsid w:val="00E40FE1"/>
    <w:rsid w:val="00E4102F"/>
    <w:rsid w:val="00E423C9"/>
    <w:rsid w:val="00E4268B"/>
    <w:rsid w:val="00E42B36"/>
    <w:rsid w:val="00E45AAC"/>
    <w:rsid w:val="00E45AC2"/>
    <w:rsid w:val="00E46322"/>
    <w:rsid w:val="00E468E1"/>
    <w:rsid w:val="00E4691D"/>
    <w:rsid w:val="00E47E2C"/>
    <w:rsid w:val="00E51379"/>
    <w:rsid w:val="00E52EF1"/>
    <w:rsid w:val="00E5492C"/>
    <w:rsid w:val="00E54F45"/>
    <w:rsid w:val="00E5697D"/>
    <w:rsid w:val="00E56B80"/>
    <w:rsid w:val="00E56EEC"/>
    <w:rsid w:val="00E57E1C"/>
    <w:rsid w:val="00E57E80"/>
    <w:rsid w:val="00E6111F"/>
    <w:rsid w:val="00E61F69"/>
    <w:rsid w:val="00E6372E"/>
    <w:rsid w:val="00E64357"/>
    <w:rsid w:val="00E648C9"/>
    <w:rsid w:val="00E6582E"/>
    <w:rsid w:val="00E723B5"/>
    <w:rsid w:val="00E74C66"/>
    <w:rsid w:val="00E74D02"/>
    <w:rsid w:val="00E74D1F"/>
    <w:rsid w:val="00E777C4"/>
    <w:rsid w:val="00E77F7B"/>
    <w:rsid w:val="00E80589"/>
    <w:rsid w:val="00E830EB"/>
    <w:rsid w:val="00E85212"/>
    <w:rsid w:val="00E855F2"/>
    <w:rsid w:val="00E8624C"/>
    <w:rsid w:val="00E86D97"/>
    <w:rsid w:val="00E907F8"/>
    <w:rsid w:val="00E90CC6"/>
    <w:rsid w:val="00E90D64"/>
    <w:rsid w:val="00E920C7"/>
    <w:rsid w:val="00E932C1"/>
    <w:rsid w:val="00E9364E"/>
    <w:rsid w:val="00E93EDB"/>
    <w:rsid w:val="00E942BB"/>
    <w:rsid w:val="00E95B96"/>
    <w:rsid w:val="00EA0D84"/>
    <w:rsid w:val="00EA1451"/>
    <w:rsid w:val="00EA37BD"/>
    <w:rsid w:val="00EA3B88"/>
    <w:rsid w:val="00EA545C"/>
    <w:rsid w:val="00EA55B8"/>
    <w:rsid w:val="00EA56B7"/>
    <w:rsid w:val="00EA62A6"/>
    <w:rsid w:val="00EA7F54"/>
    <w:rsid w:val="00EB0785"/>
    <w:rsid w:val="00EB14D9"/>
    <w:rsid w:val="00EB268E"/>
    <w:rsid w:val="00EB2D89"/>
    <w:rsid w:val="00EB3827"/>
    <w:rsid w:val="00EB57AC"/>
    <w:rsid w:val="00EB6DD5"/>
    <w:rsid w:val="00EB7AF8"/>
    <w:rsid w:val="00EC16AC"/>
    <w:rsid w:val="00EC2BBF"/>
    <w:rsid w:val="00EC35DA"/>
    <w:rsid w:val="00EC4452"/>
    <w:rsid w:val="00EC4631"/>
    <w:rsid w:val="00EC5548"/>
    <w:rsid w:val="00EC77DB"/>
    <w:rsid w:val="00ED37B4"/>
    <w:rsid w:val="00ED4A55"/>
    <w:rsid w:val="00ED4AF6"/>
    <w:rsid w:val="00ED4CE1"/>
    <w:rsid w:val="00ED52C5"/>
    <w:rsid w:val="00ED6840"/>
    <w:rsid w:val="00ED7A36"/>
    <w:rsid w:val="00EE256D"/>
    <w:rsid w:val="00EE3465"/>
    <w:rsid w:val="00EE355D"/>
    <w:rsid w:val="00EE38EF"/>
    <w:rsid w:val="00EE5123"/>
    <w:rsid w:val="00EE5DE6"/>
    <w:rsid w:val="00EF1BFD"/>
    <w:rsid w:val="00EF2018"/>
    <w:rsid w:val="00EF247E"/>
    <w:rsid w:val="00EF2926"/>
    <w:rsid w:val="00EF3C0F"/>
    <w:rsid w:val="00EF4140"/>
    <w:rsid w:val="00EF5D3A"/>
    <w:rsid w:val="00F00161"/>
    <w:rsid w:val="00F00881"/>
    <w:rsid w:val="00F025D9"/>
    <w:rsid w:val="00F03007"/>
    <w:rsid w:val="00F03309"/>
    <w:rsid w:val="00F03E17"/>
    <w:rsid w:val="00F05479"/>
    <w:rsid w:val="00F0764F"/>
    <w:rsid w:val="00F20485"/>
    <w:rsid w:val="00F2070C"/>
    <w:rsid w:val="00F21A31"/>
    <w:rsid w:val="00F22DAD"/>
    <w:rsid w:val="00F233A7"/>
    <w:rsid w:val="00F24989"/>
    <w:rsid w:val="00F27098"/>
    <w:rsid w:val="00F30A6C"/>
    <w:rsid w:val="00F31053"/>
    <w:rsid w:val="00F320F2"/>
    <w:rsid w:val="00F32DD6"/>
    <w:rsid w:val="00F33134"/>
    <w:rsid w:val="00F342DD"/>
    <w:rsid w:val="00F37928"/>
    <w:rsid w:val="00F37C23"/>
    <w:rsid w:val="00F40A68"/>
    <w:rsid w:val="00F41E97"/>
    <w:rsid w:val="00F41E9F"/>
    <w:rsid w:val="00F41ED1"/>
    <w:rsid w:val="00F41F8B"/>
    <w:rsid w:val="00F43567"/>
    <w:rsid w:val="00F439B1"/>
    <w:rsid w:val="00F44FA8"/>
    <w:rsid w:val="00F45B7E"/>
    <w:rsid w:val="00F45CA6"/>
    <w:rsid w:val="00F471FE"/>
    <w:rsid w:val="00F47383"/>
    <w:rsid w:val="00F47586"/>
    <w:rsid w:val="00F50558"/>
    <w:rsid w:val="00F5293A"/>
    <w:rsid w:val="00F53A2C"/>
    <w:rsid w:val="00F541F0"/>
    <w:rsid w:val="00F5434A"/>
    <w:rsid w:val="00F55668"/>
    <w:rsid w:val="00F55EC3"/>
    <w:rsid w:val="00F56176"/>
    <w:rsid w:val="00F6034B"/>
    <w:rsid w:val="00F60788"/>
    <w:rsid w:val="00F60FC9"/>
    <w:rsid w:val="00F62115"/>
    <w:rsid w:val="00F64B37"/>
    <w:rsid w:val="00F70DC0"/>
    <w:rsid w:val="00F71CF0"/>
    <w:rsid w:val="00F7379C"/>
    <w:rsid w:val="00F74C5F"/>
    <w:rsid w:val="00F76DD9"/>
    <w:rsid w:val="00F76EE0"/>
    <w:rsid w:val="00F778C1"/>
    <w:rsid w:val="00F813E4"/>
    <w:rsid w:val="00F814D5"/>
    <w:rsid w:val="00F82C03"/>
    <w:rsid w:val="00F833AF"/>
    <w:rsid w:val="00F83A3F"/>
    <w:rsid w:val="00F850BD"/>
    <w:rsid w:val="00F853DD"/>
    <w:rsid w:val="00F8550F"/>
    <w:rsid w:val="00F85F68"/>
    <w:rsid w:val="00F86EAD"/>
    <w:rsid w:val="00F906C8"/>
    <w:rsid w:val="00F919DB"/>
    <w:rsid w:val="00F93479"/>
    <w:rsid w:val="00F9391C"/>
    <w:rsid w:val="00F94211"/>
    <w:rsid w:val="00F944A5"/>
    <w:rsid w:val="00F94E52"/>
    <w:rsid w:val="00F9516E"/>
    <w:rsid w:val="00F963A3"/>
    <w:rsid w:val="00F964D9"/>
    <w:rsid w:val="00F97FC4"/>
    <w:rsid w:val="00FA0E9F"/>
    <w:rsid w:val="00FA17B4"/>
    <w:rsid w:val="00FA1937"/>
    <w:rsid w:val="00FA29F8"/>
    <w:rsid w:val="00FA720A"/>
    <w:rsid w:val="00FA7D7A"/>
    <w:rsid w:val="00FB0EFC"/>
    <w:rsid w:val="00FB1907"/>
    <w:rsid w:val="00FB3FEF"/>
    <w:rsid w:val="00FB6D33"/>
    <w:rsid w:val="00FB729C"/>
    <w:rsid w:val="00FC1507"/>
    <w:rsid w:val="00FC4A9B"/>
    <w:rsid w:val="00FD204F"/>
    <w:rsid w:val="00FD2CDD"/>
    <w:rsid w:val="00FD7878"/>
    <w:rsid w:val="00FD7C60"/>
    <w:rsid w:val="00FE1977"/>
    <w:rsid w:val="00FE1DB4"/>
    <w:rsid w:val="00FE2F0D"/>
    <w:rsid w:val="00FE53D7"/>
    <w:rsid w:val="00FE5C76"/>
    <w:rsid w:val="00FE65A7"/>
    <w:rsid w:val="00FE69FD"/>
    <w:rsid w:val="00FE71C5"/>
    <w:rsid w:val="00FE77FD"/>
    <w:rsid w:val="00FE79AF"/>
    <w:rsid w:val="00FF008C"/>
    <w:rsid w:val="00FF0990"/>
    <w:rsid w:val="00FF0FF7"/>
    <w:rsid w:val="00FF25AF"/>
    <w:rsid w:val="00FF29E2"/>
    <w:rsid w:val="00FF3B0A"/>
    <w:rsid w:val="00FF55B8"/>
    <w:rsid w:val="00FF58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A5FCC1"/>
  <w15:docId w15:val="{C7052195-E600-4030-8BC6-CDAEB90519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6142"/>
    <w:pPr>
      <w:spacing w:after="200" w:line="276" w:lineRule="auto"/>
      <w:jc w:val="both"/>
    </w:pPr>
    <w:rPr>
      <w:rFonts w:ascii="Trebuchet MS" w:hAnsi="Trebuchet MS"/>
      <w:color w:val="676A6E"/>
    </w:rPr>
  </w:style>
  <w:style w:type="paragraph" w:styleId="Heading1">
    <w:name w:val="heading 1"/>
    <w:basedOn w:val="Normal"/>
    <w:next w:val="Normal"/>
    <w:link w:val="Heading1Char"/>
    <w:uiPriority w:val="9"/>
    <w:qFormat/>
    <w:rsid w:val="0067329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B0333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354FDE"/>
    <w:pPr>
      <w:keepNext/>
      <w:spacing w:before="240" w:after="60"/>
      <w:outlineLvl w:val="2"/>
    </w:pPr>
    <w:rPr>
      <w:rFonts w:ascii="Calibri Light" w:eastAsia="Times New Roman" w:hAnsi="Calibri Light"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3297"/>
    <w:rPr>
      <w:rFonts w:asciiTheme="majorHAnsi" w:eastAsiaTheme="majorEastAsia" w:hAnsiTheme="majorHAnsi" w:cstheme="majorBidi"/>
      <w:color w:val="2E74B5" w:themeColor="accent1" w:themeShade="BF"/>
      <w:sz w:val="32"/>
      <w:szCs w:val="32"/>
    </w:rPr>
  </w:style>
  <w:style w:type="paragraph" w:customStyle="1" w:styleId="a">
    <w:name w:val="Τιτλος Κεφαλαίου"/>
    <w:next w:val="Normal"/>
    <w:qFormat/>
    <w:rsid w:val="008F4EA2"/>
    <w:pPr>
      <w:numPr>
        <w:numId w:val="1"/>
      </w:numPr>
      <w:pBdr>
        <w:bottom w:val="single" w:sz="4" w:space="1" w:color="00A3E0"/>
      </w:pBdr>
      <w:spacing w:after="240" w:line="276" w:lineRule="auto"/>
      <w:outlineLvl w:val="0"/>
    </w:pPr>
    <w:rPr>
      <w:rFonts w:ascii="Trebuchet MS" w:hAnsi="Trebuchet MS"/>
      <w:b/>
      <w:color w:val="00A3E0"/>
      <w:sz w:val="40"/>
    </w:rPr>
  </w:style>
  <w:style w:type="paragraph" w:styleId="TOCHeading">
    <w:name w:val="TOC Heading"/>
    <w:basedOn w:val="Heading1"/>
    <w:next w:val="Normal"/>
    <w:uiPriority w:val="39"/>
    <w:unhideWhenUsed/>
    <w:qFormat/>
    <w:rsid w:val="005D632A"/>
    <w:pPr>
      <w:spacing w:line="259" w:lineRule="auto"/>
      <w:outlineLvl w:val="9"/>
    </w:pPr>
    <w:rPr>
      <w:lang w:eastAsia="el-GR"/>
    </w:rPr>
  </w:style>
  <w:style w:type="paragraph" w:styleId="TOC1">
    <w:name w:val="toc 1"/>
    <w:basedOn w:val="Normal"/>
    <w:next w:val="Normal"/>
    <w:autoRedefine/>
    <w:uiPriority w:val="39"/>
    <w:unhideWhenUsed/>
    <w:rsid w:val="00A94AB4"/>
    <w:pPr>
      <w:tabs>
        <w:tab w:val="right" w:leader="dot" w:pos="8296"/>
      </w:tabs>
      <w:spacing w:after="120" w:line="240" w:lineRule="auto"/>
    </w:pPr>
    <w:rPr>
      <w:rFonts w:eastAsia="Calibri" w:cs="Times New Roman"/>
      <w:i/>
      <w:noProof/>
      <w:color w:val="00B0F0"/>
      <w:spacing w:val="20"/>
      <w:lang w:eastAsia="el-GR"/>
    </w:rPr>
  </w:style>
  <w:style w:type="character" w:styleId="Hyperlink">
    <w:name w:val="Hyperlink"/>
    <w:basedOn w:val="DefaultParagraphFont"/>
    <w:uiPriority w:val="99"/>
    <w:unhideWhenUsed/>
    <w:rsid w:val="00783D7E"/>
    <w:rPr>
      <w:color w:val="0563C1" w:themeColor="hyperlink"/>
      <w:u w:val="single"/>
    </w:rPr>
  </w:style>
  <w:style w:type="paragraph" w:customStyle="1" w:styleId="a5">
    <w:name w:val="Τιτλος Ενοτητας Κεφαλαίου"/>
    <w:basedOn w:val="Normal"/>
    <w:link w:val="Char"/>
    <w:qFormat/>
    <w:rsid w:val="00EB3827"/>
    <w:pPr>
      <w:outlineLvl w:val="1"/>
    </w:pPr>
    <w:rPr>
      <w:b/>
      <w:color w:val="00A3E0"/>
      <w:sz w:val="36"/>
    </w:rPr>
  </w:style>
  <w:style w:type="paragraph" w:styleId="TOC2">
    <w:name w:val="toc 2"/>
    <w:basedOn w:val="Normal"/>
    <w:next w:val="Normal"/>
    <w:autoRedefine/>
    <w:uiPriority w:val="39"/>
    <w:unhideWhenUsed/>
    <w:rsid w:val="00174E94"/>
    <w:pPr>
      <w:tabs>
        <w:tab w:val="right" w:leader="dot" w:pos="8296"/>
      </w:tabs>
      <w:spacing w:after="100"/>
    </w:pPr>
    <w:rPr>
      <w:noProof/>
      <w:color w:val="auto"/>
    </w:rPr>
  </w:style>
  <w:style w:type="paragraph" w:customStyle="1" w:styleId="a6">
    <w:name w:val="Σχόλιο Ενότητας Κεφαλαίου"/>
    <w:basedOn w:val="Normal"/>
    <w:next w:val="Normal"/>
    <w:qFormat/>
    <w:rsid w:val="004D7DAD"/>
    <w:pPr>
      <w:outlineLvl w:val="0"/>
    </w:pPr>
    <w:rPr>
      <w:b/>
      <w:i/>
      <w:color w:val="84BD00"/>
      <w:spacing w:val="20"/>
    </w:rPr>
  </w:style>
  <w:style w:type="paragraph" w:customStyle="1" w:styleId="a4">
    <w:name w:val="Τίτλος Υποενότητας Κεφαλαίου"/>
    <w:basedOn w:val="a5"/>
    <w:next w:val="Normal"/>
    <w:link w:val="Char0"/>
    <w:rsid w:val="00500CB0"/>
    <w:pPr>
      <w:numPr>
        <w:numId w:val="2"/>
      </w:numPr>
      <w:tabs>
        <w:tab w:val="num" w:pos="360"/>
      </w:tabs>
      <w:ind w:left="0" w:firstLine="0"/>
      <w:outlineLvl w:val="2"/>
    </w:pPr>
    <w:rPr>
      <w:sz w:val="32"/>
    </w:rPr>
  </w:style>
  <w:style w:type="paragraph" w:styleId="TOC3">
    <w:name w:val="toc 3"/>
    <w:basedOn w:val="Normal"/>
    <w:next w:val="Normal"/>
    <w:autoRedefine/>
    <w:uiPriority w:val="39"/>
    <w:unhideWhenUsed/>
    <w:rsid w:val="00B103F0"/>
    <w:pPr>
      <w:tabs>
        <w:tab w:val="right" w:leader="dot" w:pos="8302"/>
      </w:tabs>
      <w:spacing w:after="100"/>
    </w:pPr>
    <w:rPr>
      <w:i/>
      <w:noProof/>
      <w:color w:val="auto"/>
      <w:sz w:val="20"/>
      <w:szCs w:val="20"/>
    </w:rPr>
  </w:style>
  <w:style w:type="character" w:customStyle="1" w:styleId="Char">
    <w:name w:val="Τιτλος Ενοτητας Κεφαλαίου Char"/>
    <w:basedOn w:val="DefaultParagraphFont"/>
    <w:link w:val="a5"/>
    <w:rsid w:val="00500CB0"/>
    <w:rPr>
      <w:rFonts w:ascii="Trebuchet MS" w:hAnsi="Trebuchet MS"/>
      <w:b/>
      <w:color w:val="00A3E0"/>
      <w:sz w:val="36"/>
    </w:rPr>
  </w:style>
  <w:style w:type="character" w:customStyle="1" w:styleId="Char0">
    <w:name w:val="Τίτλος Υποενότητας Κεφαλαίου Char"/>
    <w:basedOn w:val="Char"/>
    <w:link w:val="a4"/>
    <w:rsid w:val="00500CB0"/>
    <w:rPr>
      <w:rFonts w:ascii="Trebuchet MS" w:hAnsi="Trebuchet MS"/>
      <w:b/>
      <w:color w:val="00A3E0"/>
      <w:sz w:val="32"/>
    </w:rPr>
  </w:style>
  <w:style w:type="paragraph" w:styleId="ListParagraph">
    <w:name w:val="List Paragraph"/>
    <w:basedOn w:val="Normal"/>
    <w:uiPriority w:val="34"/>
    <w:qFormat/>
    <w:rsid w:val="00EA0D84"/>
    <w:pPr>
      <w:ind w:left="720"/>
      <w:contextualSpacing/>
    </w:pPr>
  </w:style>
  <w:style w:type="paragraph" w:customStyle="1" w:styleId="a0">
    <w:name w:val="Τίτλος Ενότητας"/>
    <w:basedOn w:val="a5"/>
    <w:next w:val="Normal"/>
    <w:qFormat/>
    <w:rsid w:val="00EA0D84"/>
    <w:pPr>
      <w:numPr>
        <w:numId w:val="7"/>
      </w:numPr>
    </w:pPr>
  </w:style>
  <w:style w:type="paragraph" w:customStyle="1" w:styleId="a1">
    <w:name w:val="Τίτλος Υποενότητας Κεφ"/>
    <w:basedOn w:val="a5"/>
    <w:next w:val="Normal"/>
    <w:qFormat/>
    <w:rsid w:val="00EA0D84"/>
    <w:pPr>
      <w:numPr>
        <w:ilvl w:val="1"/>
        <w:numId w:val="7"/>
      </w:numPr>
      <w:outlineLvl w:val="2"/>
    </w:pPr>
    <w:rPr>
      <w:sz w:val="32"/>
    </w:rPr>
  </w:style>
  <w:style w:type="paragraph" w:customStyle="1" w:styleId="a2">
    <w:name w:val="Τίτλος υπουποενότητας"/>
    <w:basedOn w:val="a5"/>
    <w:qFormat/>
    <w:rsid w:val="00E00CA5"/>
    <w:pPr>
      <w:numPr>
        <w:ilvl w:val="2"/>
        <w:numId w:val="7"/>
      </w:numPr>
      <w:outlineLvl w:val="3"/>
    </w:pPr>
    <w:rPr>
      <w:sz w:val="28"/>
    </w:rPr>
  </w:style>
  <w:style w:type="paragraph" w:styleId="TOC4">
    <w:name w:val="toc 4"/>
    <w:basedOn w:val="Normal"/>
    <w:next w:val="Normal"/>
    <w:autoRedefine/>
    <w:uiPriority w:val="39"/>
    <w:unhideWhenUsed/>
    <w:rsid w:val="00236493"/>
    <w:pPr>
      <w:spacing w:after="100"/>
    </w:pPr>
  </w:style>
  <w:style w:type="paragraph" w:customStyle="1" w:styleId="a3">
    <w:name w:val="Παραρτημα"/>
    <w:next w:val="Normal"/>
    <w:qFormat/>
    <w:rsid w:val="00E74D02"/>
    <w:pPr>
      <w:numPr>
        <w:numId w:val="4"/>
      </w:numPr>
      <w:pBdr>
        <w:bottom w:val="single" w:sz="4" w:space="1" w:color="00A3E0"/>
      </w:pBdr>
      <w:spacing w:line="360" w:lineRule="auto"/>
      <w:outlineLvl w:val="0"/>
    </w:pPr>
    <w:rPr>
      <w:rFonts w:ascii="Trebuchet MS" w:hAnsi="Trebuchet MS"/>
      <w:b/>
      <w:color w:val="00A3E0"/>
      <w:sz w:val="40"/>
    </w:rPr>
  </w:style>
  <w:style w:type="paragraph" w:styleId="TOC5">
    <w:name w:val="toc 5"/>
    <w:basedOn w:val="Normal"/>
    <w:next w:val="Normal"/>
    <w:autoRedefine/>
    <w:uiPriority w:val="39"/>
    <w:unhideWhenUsed/>
    <w:rsid w:val="00236493"/>
    <w:pPr>
      <w:spacing w:after="100"/>
    </w:pPr>
  </w:style>
  <w:style w:type="paragraph" w:styleId="Caption">
    <w:name w:val="caption"/>
    <w:basedOn w:val="Normal"/>
    <w:next w:val="Normal"/>
    <w:uiPriority w:val="35"/>
    <w:unhideWhenUsed/>
    <w:qFormat/>
    <w:rsid w:val="00AA3E57"/>
    <w:pPr>
      <w:spacing w:line="240" w:lineRule="auto"/>
    </w:pPr>
    <w:rPr>
      <w:i/>
      <w:iCs/>
      <w:color w:val="44546A" w:themeColor="text2"/>
      <w:sz w:val="18"/>
      <w:szCs w:val="18"/>
    </w:rPr>
  </w:style>
  <w:style w:type="table" w:styleId="TableGrid">
    <w:name w:val="Table Grid"/>
    <w:basedOn w:val="TableNormal"/>
    <w:uiPriority w:val="39"/>
    <w:rsid w:val="00AA3E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8E5601"/>
    <w:pPr>
      <w:spacing w:after="0"/>
    </w:pPr>
  </w:style>
  <w:style w:type="paragraph" w:styleId="FootnoteText">
    <w:name w:val="footnote text"/>
    <w:basedOn w:val="Normal"/>
    <w:link w:val="FootnoteTextChar"/>
    <w:uiPriority w:val="99"/>
    <w:unhideWhenUsed/>
    <w:rsid w:val="00B95D8A"/>
    <w:pPr>
      <w:spacing w:after="0" w:line="240" w:lineRule="auto"/>
      <w:jc w:val="left"/>
    </w:pPr>
    <w:rPr>
      <w:rFonts w:asciiTheme="minorHAnsi" w:hAnsiTheme="minorHAnsi"/>
      <w:color w:val="auto"/>
      <w:sz w:val="20"/>
      <w:szCs w:val="20"/>
    </w:rPr>
  </w:style>
  <w:style w:type="character" w:customStyle="1" w:styleId="FootnoteTextChar">
    <w:name w:val="Footnote Text Char"/>
    <w:basedOn w:val="DefaultParagraphFont"/>
    <w:link w:val="FootnoteText"/>
    <w:uiPriority w:val="99"/>
    <w:rsid w:val="00B95D8A"/>
    <w:rPr>
      <w:sz w:val="20"/>
      <w:szCs w:val="20"/>
    </w:rPr>
  </w:style>
  <w:style w:type="character" w:styleId="FootnoteReference">
    <w:name w:val="footnote reference"/>
    <w:basedOn w:val="DefaultParagraphFont"/>
    <w:uiPriority w:val="99"/>
    <w:unhideWhenUsed/>
    <w:qFormat/>
    <w:rsid w:val="00B95D8A"/>
    <w:rPr>
      <w:vertAlign w:val="superscript"/>
    </w:rPr>
  </w:style>
  <w:style w:type="character" w:styleId="CommentReference">
    <w:name w:val="annotation reference"/>
    <w:basedOn w:val="DefaultParagraphFont"/>
    <w:uiPriority w:val="99"/>
    <w:semiHidden/>
    <w:unhideWhenUsed/>
    <w:rsid w:val="00B95D8A"/>
    <w:rPr>
      <w:sz w:val="16"/>
      <w:szCs w:val="16"/>
    </w:rPr>
  </w:style>
  <w:style w:type="paragraph" w:styleId="CommentText">
    <w:name w:val="annotation text"/>
    <w:basedOn w:val="Normal"/>
    <w:link w:val="CommentTextChar"/>
    <w:uiPriority w:val="99"/>
    <w:unhideWhenUsed/>
    <w:rsid w:val="00B95D8A"/>
    <w:pPr>
      <w:spacing w:after="160" w:line="240" w:lineRule="auto"/>
      <w:jc w:val="left"/>
    </w:pPr>
    <w:rPr>
      <w:rFonts w:asciiTheme="minorHAnsi" w:hAnsiTheme="minorHAnsi"/>
      <w:color w:val="auto"/>
      <w:sz w:val="20"/>
      <w:szCs w:val="20"/>
    </w:rPr>
  </w:style>
  <w:style w:type="character" w:customStyle="1" w:styleId="CommentTextChar">
    <w:name w:val="Comment Text Char"/>
    <w:basedOn w:val="DefaultParagraphFont"/>
    <w:link w:val="CommentText"/>
    <w:uiPriority w:val="99"/>
    <w:rsid w:val="00B95D8A"/>
    <w:rPr>
      <w:sz w:val="20"/>
      <w:szCs w:val="20"/>
    </w:rPr>
  </w:style>
  <w:style w:type="paragraph" w:styleId="BalloonText">
    <w:name w:val="Balloon Text"/>
    <w:basedOn w:val="Normal"/>
    <w:link w:val="BalloonTextChar"/>
    <w:uiPriority w:val="99"/>
    <w:semiHidden/>
    <w:unhideWhenUsed/>
    <w:rsid w:val="002D53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536C"/>
    <w:rPr>
      <w:rFonts w:ascii="Tahoma" w:hAnsi="Tahoma" w:cs="Tahoma"/>
      <w:color w:val="676A6E"/>
      <w:sz w:val="16"/>
      <w:szCs w:val="16"/>
    </w:rPr>
  </w:style>
  <w:style w:type="character" w:styleId="FollowedHyperlink">
    <w:name w:val="FollowedHyperlink"/>
    <w:basedOn w:val="DefaultParagraphFont"/>
    <w:uiPriority w:val="99"/>
    <w:semiHidden/>
    <w:unhideWhenUsed/>
    <w:rsid w:val="001179A3"/>
    <w:rPr>
      <w:color w:val="954F72" w:themeColor="followedHyperlink"/>
      <w:u w:val="single"/>
    </w:rPr>
  </w:style>
  <w:style w:type="paragraph" w:styleId="Header">
    <w:name w:val="header"/>
    <w:basedOn w:val="Normal"/>
    <w:link w:val="HeaderChar"/>
    <w:uiPriority w:val="99"/>
    <w:unhideWhenUsed/>
    <w:rsid w:val="00247D76"/>
    <w:pPr>
      <w:tabs>
        <w:tab w:val="center" w:pos="4153"/>
        <w:tab w:val="right" w:pos="8306"/>
      </w:tabs>
      <w:spacing w:after="0" w:line="240" w:lineRule="auto"/>
    </w:pPr>
  </w:style>
  <w:style w:type="character" w:customStyle="1" w:styleId="HeaderChar">
    <w:name w:val="Header Char"/>
    <w:basedOn w:val="DefaultParagraphFont"/>
    <w:link w:val="Header"/>
    <w:uiPriority w:val="99"/>
    <w:rsid w:val="00247D76"/>
    <w:rPr>
      <w:rFonts w:ascii="Trebuchet MS" w:hAnsi="Trebuchet MS"/>
      <w:color w:val="676A6E"/>
    </w:rPr>
  </w:style>
  <w:style w:type="paragraph" w:styleId="Footer">
    <w:name w:val="footer"/>
    <w:basedOn w:val="Normal"/>
    <w:link w:val="FooterChar"/>
    <w:uiPriority w:val="99"/>
    <w:unhideWhenUsed/>
    <w:rsid w:val="00247D76"/>
    <w:pPr>
      <w:tabs>
        <w:tab w:val="center" w:pos="4153"/>
        <w:tab w:val="right" w:pos="8306"/>
      </w:tabs>
      <w:spacing w:after="0" w:line="240" w:lineRule="auto"/>
    </w:pPr>
  </w:style>
  <w:style w:type="character" w:customStyle="1" w:styleId="FooterChar">
    <w:name w:val="Footer Char"/>
    <w:basedOn w:val="DefaultParagraphFont"/>
    <w:link w:val="Footer"/>
    <w:uiPriority w:val="99"/>
    <w:rsid w:val="00247D76"/>
    <w:rPr>
      <w:rFonts w:ascii="Trebuchet MS" w:hAnsi="Trebuchet MS"/>
      <w:color w:val="676A6E"/>
    </w:rPr>
  </w:style>
  <w:style w:type="paragraph" w:styleId="NoSpacing">
    <w:name w:val="No Spacing"/>
    <w:link w:val="NoSpacingChar"/>
    <w:uiPriority w:val="1"/>
    <w:qFormat/>
    <w:rsid w:val="00946991"/>
    <w:pPr>
      <w:spacing w:after="0" w:line="240" w:lineRule="auto"/>
    </w:pPr>
    <w:rPr>
      <w:rFonts w:eastAsiaTheme="minorEastAsia"/>
      <w:lang w:eastAsia="el-GR"/>
    </w:rPr>
  </w:style>
  <w:style w:type="paragraph" w:styleId="Index1">
    <w:name w:val="index 1"/>
    <w:basedOn w:val="Normal"/>
    <w:next w:val="Normal"/>
    <w:autoRedefine/>
    <w:uiPriority w:val="99"/>
    <w:semiHidden/>
    <w:unhideWhenUsed/>
    <w:rsid w:val="00247E25"/>
    <w:pPr>
      <w:spacing w:after="0" w:line="240" w:lineRule="auto"/>
      <w:ind w:left="220" w:hanging="220"/>
    </w:pPr>
  </w:style>
  <w:style w:type="character" w:customStyle="1" w:styleId="NoSpacingChar">
    <w:name w:val="No Spacing Char"/>
    <w:basedOn w:val="DefaultParagraphFont"/>
    <w:link w:val="NoSpacing"/>
    <w:uiPriority w:val="1"/>
    <w:rsid w:val="00946991"/>
    <w:rPr>
      <w:rFonts w:eastAsiaTheme="minorEastAsia"/>
      <w:lang w:eastAsia="el-GR"/>
    </w:rPr>
  </w:style>
  <w:style w:type="paragraph" w:customStyle="1" w:styleId="Default">
    <w:name w:val="Default"/>
    <w:rsid w:val="00B770DB"/>
    <w:pPr>
      <w:autoSpaceDE w:val="0"/>
      <w:autoSpaceDN w:val="0"/>
      <w:adjustRightInd w:val="0"/>
      <w:spacing w:after="0" w:line="240" w:lineRule="auto"/>
    </w:pPr>
    <w:rPr>
      <w:rFonts w:ascii="Tahoma" w:hAnsi="Tahoma" w:cs="Tahoma"/>
      <w:color w:val="000000"/>
      <w:sz w:val="24"/>
      <w:szCs w:val="24"/>
    </w:rPr>
  </w:style>
  <w:style w:type="paragraph" w:styleId="CommentSubject">
    <w:name w:val="annotation subject"/>
    <w:basedOn w:val="CommentText"/>
    <w:next w:val="CommentText"/>
    <w:link w:val="CommentSubjectChar"/>
    <w:uiPriority w:val="99"/>
    <w:semiHidden/>
    <w:unhideWhenUsed/>
    <w:rsid w:val="002324F7"/>
    <w:pPr>
      <w:spacing w:after="200"/>
      <w:jc w:val="both"/>
    </w:pPr>
    <w:rPr>
      <w:rFonts w:ascii="Trebuchet MS" w:hAnsi="Trebuchet MS"/>
      <w:b/>
      <w:bCs/>
      <w:color w:val="676A6E"/>
    </w:rPr>
  </w:style>
  <w:style w:type="character" w:customStyle="1" w:styleId="CommentSubjectChar">
    <w:name w:val="Comment Subject Char"/>
    <w:basedOn w:val="CommentTextChar"/>
    <w:link w:val="CommentSubject"/>
    <w:uiPriority w:val="99"/>
    <w:semiHidden/>
    <w:rsid w:val="002324F7"/>
    <w:rPr>
      <w:rFonts w:ascii="Trebuchet MS" w:hAnsi="Trebuchet MS"/>
      <w:b/>
      <w:bCs/>
      <w:color w:val="676A6E"/>
      <w:sz w:val="20"/>
      <w:szCs w:val="20"/>
    </w:rPr>
  </w:style>
  <w:style w:type="character" w:customStyle="1" w:styleId="Heading2Char">
    <w:name w:val="Heading 2 Char"/>
    <w:basedOn w:val="DefaultParagraphFont"/>
    <w:link w:val="Heading2"/>
    <w:uiPriority w:val="9"/>
    <w:semiHidden/>
    <w:rsid w:val="00B03333"/>
    <w:rPr>
      <w:rFonts w:asciiTheme="majorHAnsi" w:eastAsiaTheme="majorEastAsia" w:hAnsiTheme="majorHAnsi" w:cstheme="majorBidi"/>
      <w:color w:val="2E74B5" w:themeColor="accent1" w:themeShade="BF"/>
      <w:sz w:val="26"/>
      <w:szCs w:val="26"/>
    </w:rPr>
  </w:style>
  <w:style w:type="paragraph" w:styleId="Revision">
    <w:name w:val="Revision"/>
    <w:hidden/>
    <w:uiPriority w:val="99"/>
    <w:semiHidden/>
    <w:rsid w:val="00B40BEA"/>
    <w:pPr>
      <w:spacing w:after="0" w:line="240" w:lineRule="auto"/>
    </w:pPr>
    <w:rPr>
      <w:rFonts w:ascii="Trebuchet MS" w:hAnsi="Trebuchet MS"/>
      <w:color w:val="676A6E"/>
    </w:rPr>
  </w:style>
  <w:style w:type="paragraph" w:styleId="EndnoteText">
    <w:name w:val="endnote text"/>
    <w:basedOn w:val="Normal"/>
    <w:link w:val="EndnoteTextChar"/>
    <w:uiPriority w:val="99"/>
    <w:semiHidden/>
    <w:unhideWhenUsed/>
    <w:rsid w:val="006B71F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B71F5"/>
    <w:rPr>
      <w:rFonts w:ascii="Trebuchet MS" w:hAnsi="Trebuchet MS"/>
      <w:color w:val="676A6E"/>
      <w:sz w:val="20"/>
      <w:szCs w:val="20"/>
    </w:rPr>
  </w:style>
  <w:style w:type="character" w:styleId="EndnoteReference">
    <w:name w:val="endnote reference"/>
    <w:basedOn w:val="DefaultParagraphFont"/>
    <w:uiPriority w:val="99"/>
    <w:semiHidden/>
    <w:unhideWhenUsed/>
    <w:rsid w:val="006B71F5"/>
    <w:rPr>
      <w:vertAlign w:val="superscript"/>
    </w:rPr>
  </w:style>
  <w:style w:type="table" w:customStyle="1" w:styleId="1">
    <w:name w:val="Πλέγμα πίνακα1"/>
    <w:basedOn w:val="TableNormal"/>
    <w:next w:val="TableGrid"/>
    <w:uiPriority w:val="39"/>
    <w:rsid w:val="004E5F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Πλέγμα πίνακα2"/>
    <w:basedOn w:val="TableNormal"/>
    <w:next w:val="TableGrid"/>
    <w:uiPriority w:val="39"/>
    <w:rsid w:val="009317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Πλέγμα πίνακα3"/>
    <w:basedOn w:val="TableNormal"/>
    <w:next w:val="TableGrid"/>
    <w:uiPriority w:val="39"/>
    <w:rsid w:val="009317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Πλέγμα πίνακα4"/>
    <w:basedOn w:val="TableNormal"/>
    <w:next w:val="TableGrid"/>
    <w:uiPriority w:val="39"/>
    <w:rsid w:val="00B062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Πλέγμα πίνακα5"/>
    <w:basedOn w:val="TableNormal"/>
    <w:next w:val="TableGrid"/>
    <w:uiPriority w:val="39"/>
    <w:rsid w:val="00636B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
    <w:name w:val="Χωρίς λίστα1"/>
    <w:next w:val="NoList"/>
    <w:uiPriority w:val="99"/>
    <w:semiHidden/>
    <w:unhideWhenUsed/>
    <w:rsid w:val="0097094E"/>
  </w:style>
  <w:style w:type="table" w:customStyle="1" w:styleId="6">
    <w:name w:val="Πλέγμα πίνακα6"/>
    <w:basedOn w:val="TableNormal"/>
    <w:next w:val="TableGrid"/>
    <w:uiPriority w:val="39"/>
    <w:rsid w:val="009709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6">
    <w:name w:val="toc 6"/>
    <w:basedOn w:val="Normal"/>
    <w:next w:val="Normal"/>
    <w:autoRedefine/>
    <w:uiPriority w:val="39"/>
    <w:unhideWhenUsed/>
    <w:rsid w:val="005B2D89"/>
    <w:pPr>
      <w:spacing w:after="100" w:line="259" w:lineRule="auto"/>
      <w:ind w:left="1100"/>
      <w:jc w:val="left"/>
    </w:pPr>
    <w:rPr>
      <w:rFonts w:asciiTheme="minorHAnsi" w:eastAsiaTheme="minorEastAsia" w:hAnsiTheme="minorHAnsi"/>
      <w:color w:val="auto"/>
      <w:lang w:eastAsia="el-GR"/>
    </w:rPr>
  </w:style>
  <w:style w:type="paragraph" w:styleId="TOC7">
    <w:name w:val="toc 7"/>
    <w:basedOn w:val="Normal"/>
    <w:next w:val="Normal"/>
    <w:autoRedefine/>
    <w:uiPriority w:val="39"/>
    <w:unhideWhenUsed/>
    <w:rsid w:val="005B2D89"/>
    <w:pPr>
      <w:spacing w:after="100" w:line="259" w:lineRule="auto"/>
      <w:ind w:left="1320"/>
      <w:jc w:val="left"/>
    </w:pPr>
    <w:rPr>
      <w:rFonts w:asciiTheme="minorHAnsi" w:eastAsiaTheme="minorEastAsia" w:hAnsiTheme="minorHAnsi"/>
      <w:color w:val="auto"/>
      <w:lang w:eastAsia="el-GR"/>
    </w:rPr>
  </w:style>
  <w:style w:type="paragraph" w:styleId="TOC8">
    <w:name w:val="toc 8"/>
    <w:basedOn w:val="Normal"/>
    <w:next w:val="Normal"/>
    <w:autoRedefine/>
    <w:uiPriority w:val="39"/>
    <w:unhideWhenUsed/>
    <w:rsid w:val="005B2D89"/>
    <w:pPr>
      <w:spacing w:after="100" w:line="259" w:lineRule="auto"/>
      <w:ind w:left="1540"/>
      <w:jc w:val="left"/>
    </w:pPr>
    <w:rPr>
      <w:rFonts w:asciiTheme="minorHAnsi" w:eastAsiaTheme="minorEastAsia" w:hAnsiTheme="minorHAnsi"/>
      <w:color w:val="auto"/>
      <w:lang w:eastAsia="el-GR"/>
    </w:rPr>
  </w:style>
  <w:style w:type="paragraph" w:styleId="TOC9">
    <w:name w:val="toc 9"/>
    <w:basedOn w:val="Normal"/>
    <w:next w:val="Normal"/>
    <w:autoRedefine/>
    <w:uiPriority w:val="39"/>
    <w:unhideWhenUsed/>
    <w:rsid w:val="005B2D89"/>
    <w:pPr>
      <w:spacing w:after="100" w:line="259" w:lineRule="auto"/>
      <w:ind w:left="1760"/>
      <w:jc w:val="left"/>
    </w:pPr>
    <w:rPr>
      <w:rFonts w:asciiTheme="minorHAnsi" w:eastAsiaTheme="minorEastAsia" w:hAnsiTheme="minorHAnsi"/>
      <w:color w:val="auto"/>
      <w:lang w:eastAsia="el-GR"/>
    </w:rPr>
  </w:style>
  <w:style w:type="table" w:customStyle="1" w:styleId="7">
    <w:name w:val="Πλέγμα πίνακα7"/>
    <w:basedOn w:val="TableNormal"/>
    <w:next w:val="TableGrid"/>
    <w:uiPriority w:val="39"/>
    <w:rsid w:val="00DF72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
    <w:name w:val="Χωρίς λίστα2"/>
    <w:next w:val="NoList"/>
    <w:uiPriority w:val="99"/>
    <w:semiHidden/>
    <w:unhideWhenUsed/>
    <w:rsid w:val="00DF722A"/>
  </w:style>
  <w:style w:type="table" w:customStyle="1" w:styleId="8">
    <w:name w:val="Πλέγμα πίνακα8"/>
    <w:basedOn w:val="TableNormal"/>
    <w:next w:val="TableGrid"/>
    <w:uiPriority w:val="39"/>
    <w:rsid w:val="00DF72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7">
    <w:name w:val="ΠΙΝΑΚΑΣ ΕΚΘΕΣΗΣ"/>
    <w:basedOn w:val="Normal"/>
    <w:link w:val="Char1"/>
    <w:qFormat/>
    <w:rsid w:val="00797ED5"/>
    <w:pPr>
      <w:spacing w:after="0" w:line="240" w:lineRule="auto"/>
      <w:jc w:val="left"/>
    </w:pPr>
    <w:rPr>
      <w:rFonts w:eastAsia="Times New Roman" w:cs="Times New Roman"/>
      <w:color w:val="auto"/>
      <w:sz w:val="18"/>
      <w:szCs w:val="18"/>
      <w:lang w:eastAsia="el-GR"/>
    </w:rPr>
  </w:style>
  <w:style w:type="character" w:customStyle="1" w:styleId="Char1">
    <w:name w:val="ΠΙΝΑΚΑΣ ΕΚΘΕΣΗΣ Char"/>
    <w:basedOn w:val="DefaultParagraphFont"/>
    <w:link w:val="a7"/>
    <w:rsid w:val="00797ED5"/>
    <w:rPr>
      <w:rFonts w:ascii="Trebuchet MS" w:eastAsia="Times New Roman" w:hAnsi="Trebuchet MS" w:cs="Times New Roman"/>
      <w:sz w:val="18"/>
      <w:szCs w:val="18"/>
      <w:lang w:eastAsia="el-GR"/>
    </w:rPr>
  </w:style>
  <w:style w:type="character" w:customStyle="1" w:styleId="Heading3Char">
    <w:name w:val="Heading 3 Char"/>
    <w:basedOn w:val="DefaultParagraphFont"/>
    <w:link w:val="Heading3"/>
    <w:uiPriority w:val="9"/>
    <w:semiHidden/>
    <w:rsid w:val="00354FDE"/>
    <w:rPr>
      <w:rFonts w:ascii="Calibri Light" w:eastAsia="Times New Roman" w:hAnsi="Calibri Light" w:cs="Times New Roman"/>
      <w:b/>
      <w:bCs/>
      <w:color w:val="676A6E"/>
      <w:sz w:val="26"/>
      <w:szCs w:val="26"/>
    </w:rPr>
  </w:style>
  <w:style w:type="numbering" w:customStyle="1" w:styleId="30">
    <w:name w:val="Χωρίς λίστα3"/>
    <w:next w:val="NoList"/>
    <w:uiPriority w:val="99"/>
    <w:semiHidden/>
    <w:unhideWhenUsed/>
    <w:rsid w:val="00354FDE"/>
  </w:style>
  <w:style w:type="table" w:customStyle="1" w:styleId="9">
    <w:name w:val="Πλέγμα πίνακα9"/>
    <w:basedOn w:val="TableNormal"/>
    <w:next w:val="TableGrid"/>
    <w:uiPriority w:val="39"/>
    <w:rsid w:val="00354FDE"/>
    <w:pPr>
      <w:spacing w:after="0" w:line="240" w:lineRule="auto"/>
    </w:pPr>
    <w:rPr>
      <w:rFonts w:ascii="Calibri" w:eastAsia="Calibri" w:hAnsi="Calibri" w:cs="Times New Roman"/>
      <w:sz w:val="20"/>
      <w:szCs w:val="20"/>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Πλέγμα πίνακα11"/>
    <w:basedOn w:val="TableNormal"/>
    <w:next w:val="TableGrid"/>
    <w:uiPriority w:val="39"/>
    <w:rsid w:val="00354FDE"/>
    <w:pPr>
      <w:spacing w:after="0" w:line="240" w:lineRule="auto"/>
    </w:pPr>
    <w:rPr>
      <w:rFonts w:ascii="Calibri" w:eastAsia="Calibri" w:hAnsi="Calibri" w:cs="Times New Roman"/>
      <w:sz w:val="20"/>
      <w:szCs w:val="20"/>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Πλέγμα πίνακα21"/>
    <w:basedOn w:val="TableNormal"/>
    <w:next w:val="TableGrid"/>
    <w:uiPriority w:val="39"/>
    <w:rsid w:val="00354FDE"/>
    <w:pPr>
      <w:spacing w:after="0" w:line="240" w:lineRule="auto"/>
    </w:pPr>
    <w:rPr>
      <w:rFonts w:ascii="Calibri" w:eastAsia="Calibri" w:hAnsi="Calibri" w:cs="Times New Roman"/>
      <w:sz w:val="20"/>
      <w:szCs w:val="20"/>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Πλέγμα πίνακα31"/>
    <w:basedOn w:val="TableNormal"/>
    <w:next w:val="TableGrid"/>
    <w:uiPriority w:val="39"/>
    <w:rsid w:val="00354FDE"/>
    <w:pPr>
      <w:spacing w:after="0" w:line="240" w:lineRule="auto"/>
    </w:pPr>
    <w:rPr>
      <w:rFonts w:ascii="Calibri" w:eastAsia="Calibri" w:hAnsi="Calibri" w:cs="Times New Roman"/>
      <w:sz w:val="20"/>
      <w:szCs w:val="20"/>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Πλέγμα πίνακα41"/>
    <w:basedOn w:val="TableNormal"/>
    <w:next w:val="TableGrid"/>
    <w:uiPriority w:val="39"/>
    <w:rsid w:val="00354FDE"/>
    <w:pPr>
      <w:spacing w:after="0" w:line="240" w:lineRule="auto"/>
    </w:pPr>
    <w:rPr>
      <w:rFonts w:ascii="Calibri" w:eastAsia="Calibri" w:hAnsi="Calibri" w:cs="Times New Roman"/>
      <w:sz w:val="20"/>
      <w:szCs w:val="20"/>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Πλέγμα πίνακα51"/>
    <w:basedOn w:val="TableNormal"/>
    <w:next w:val="TableGrid"/>
    <w:uiPriority w:val="39"/>
    <w:rsid w:val="00354FDE"/>
    <w:pPr>
      <w:spacing w:after="0" w:line="240" w:lineRule="auto"/>
    </w:pPr>
    <w:rPr>
      <w:rFonts w:ascii="Calibri" w:eastAsia="Calibri" w:hAnsi="Calibri" w:cs="Times New Roman"/>
      <w:sz w:val="20"/>
      <w:szCs w:val="20"/>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Χωρίς λίστα11"/>
    <w:next w:val="NoList"/>
    <w:uiPriority w:val="99"/>
    <w:semiHidden/>
    <w:unhideWhenUsed/>
    <w:rsid w:val="00354FDE"/>
  </w:style>
  <w:style w:type="table" w:customStyle="1" w:styleId="61">
    <w:name w:val="Πλέγμα πίνακα61"/>
    <w:basedOn w:val="TableNormal"/>
    <w:next w:val="TableGrid"/>
    <w:uiPriority w:val="39"/>
    <w:rsid w:val="00354FDE"/>
    <w:pPr>
      <w:spacing w:after="0" w:line="240" w:lineRule="auto"/>
    </w:pPr>
    <w:rPr>
      <w:rFonts w:ascii="Calibri" w:eastAsia="Calibri" w:hAnsi="Calibri" w:cs="Times New Roman"/>
      <w:sz w:val="20"/>
      <w:szCs w:val="20"/>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Πλέγμα πίνακα10"/>
    <w:basedOn w:val="TableNormal"/>
    <w:next w:val="TableGrid"/>
    <w:uiPriority w:val="39"/>
    <w:rsid w:val="00AC76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CC0B22"/>
    <w:pPr>
      <w:spacing w:after="0" w:line="240" w:lineRule="auto"/>
    </w:pPr>
    <w:rPr>
      <w:lang w:val="en-GB"/>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42">
    <w:name w:val="Πλέγμα πίνακα42"/>
    <w:basedOn w:val="TableNormal"/>
    <w:next w:val="TableGrid"/>
    <w:uiPriority w:val="39"/>
    <w:rsid w:val="00E920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86993">
      <w:bodyDiv w:val="1"/>
      <w:marLeft w:val="0"/>
      <w:marRight w:val="0"/>
      <w:marTop w:val="0"/>
      <w:marBottom w:val="0"/>
      <w:divBdr>
        <w:top w:val="none" w:sz="0" w:space="0" w:color="auto"/>
        <w:left w:val="none" w:sz="0" w:space="0" w:color="auto"/>
        <w:bottom w:val="none" w:sz="0" w:space="0" w:color="auto"/>
        <w:right w:val="none" w:sz="0" w:space="0" w:color="auto"/>
      </w:divBdr>
    </w:div>
    <w:div w:id="659891714">
      <w:bodyDiv w:val="1"/>
      <w:marLeft w:val="0"/>
      <w:marRight w:val="0"/>
      <w:marTop w:val="0"/>
      <w:marBottom w:val="0"/>
      <w:divBdr>
        <w:top w:val="none" w:sz="0" w:space="0" w:color="auto"/>
        <w:left w:val="none" w:sz="0" w:space="0" w:color="auto"/>
        <w:bottom w:val="none" w:sz="0" w:space="0" w:color="auto"/>
        <w:right w:val="none" w:sz="0" w:space="0" w:color="auto"/>
      </w:divBdr>
    </w:div>
    <w:div w:id="694624251">
      <w:bodyDiv w:val="1"/>
      <w:marLeft w:val="0"/>
      <w:marRight w:val="0"/>
      <w:marTop w:val="0"/>
      <w:marBottom w:val="0"/>
      <w:divBdr>
        <w:top w:val="none" w:sz="0" w:space="0" w:color="auto"/>
        <w:left w:val="none" w:sz="0" w:space="0" w:color="auto"/>
        <w:bottom w:val="none" w:sz="0" w:space="0" w:color="auto"/>
        <w:right w:val="none" w:sz="0" w:space="0" w:color="auto"/>
      </w:divBdr>
    </w:div>
    <w:div w:id="874585934">
      <w:bodyDiv w:val="1"/>
      <w:marLeft w:val="0"/>
      <w:marRight w:val="0"/>
      <w:marTop w:val="0"/>
      <w:marBottom w:val="0"/>
      <w:divBdr>
        <w:top w:val="none" w:sz="0" w:space="0" w:color="auto"/>
        <w:left w:val="none" w:sz="0" w:space="0" w:color="auto"/>
        <w:bottom w:val="none" w:sz="0" w:space="0" w:color="auto"/>
        <w:right w:val="none" w:sz="0" w:space="0" w:color="auto"/>
      </w:divBdr>
    </w:div>
    <w:div w:id="971181099">
      <w:bodyDiv w:val="1"/>
      <w:marLeft w:val="0"/>
      <w:marRight w:val="0"/>
      <w:marTop w:val="0"/>
      <w:marBottom w:val="0"/>
      <w:divBdr>
        <w:top w:val="none" w:sz="0" w:space="0" w:color="auto"/>
        <w:left w:val="none" w:sz="0" w:space="0" w:color="auto"/>
        <w:bottom w:val="none" w:sz="0" w:space="0" w:color="auto"/>
        <w:right w:val="none" w:sz="0" w:space="0" w:color="auto"/>
      </w:divBdr>
    </w:div>
    <w:div w:id="1229612672">
      <w:bodyDiv w:val="1"/>
      <w:marLeft w:val="0"/>
      <w:marRight w:val="0"/>
      <w:marTop w:val="0"/>
      <w:marBottom w:val="0"/>
      <w:divBdr>
        <w:top w:val="none" w:sz="0" w:space="0" w:color="auto"/>
        <w:left w:val="none" w:sz="0" w:space="0" w:color="auto"/>
        <w:bottom w:val="none" w:sz="0" w:space="0" w:color="auto"/>
        <w:right w:val="none" w:sz="0" w:space="0" w:color="auto"/>
      </w:divBdr>
    </w:div>
    <w:div w:id="1377051256">
      <w:bodyDiv w:val="1"/>
      <w:marLeft w:val="0"/>
      <w:marRight w:val="0"/>
      <w:marTop w:val="0"/>
      <w:marBottom w:val="0"/>
      <w:divBdr>
        <w:top w:val="none" w:sz="0" w:space="0" w:color="auto"/>
        <w:left w:val="none" w:sz="0" w:space="0" w:color="auto"/>
        <w:bottom w:val="none" w:sz="0" w:space="0" w:color="auto"/>
        <w:right w:val="none" w:sz="0" w:space="0" w:color="auto"/>
      </w:divBdr>
    </w:div>
    <w:div w:id="1404378779">
      <w:bodyDiv w:val="1"/>
      <w:marLeft w:val="0"/>
      <w:marRight w:val="0"/>
      <w:marTop w:val="0"/>
      <w:marBottom w:val="0"/>
      <w:divBdr>
        <w:top w:val="none" w:sz="0" w:space="0" w:color="auto"/>
        <w:left w:val="none" w:sz="0" w:space="0" w:color="auto"/>
        <w:bottom w:val="none" w:sz="0" w:space="0" w:color="auto"/>
        <w:right w:val="none" w:sz="0" w:space="0" w:color="auto"/>
      </w:divBdr>
    </w:div>
    <w:div w:id="1593318038">
      <w:bodyDiv w:val="1"/>
      <w:marLeft w:val="0"/>
      <w:marRight w:val="0"/>
      <w:marTop w:val="0"/>
      <w:marBottom w:val="0"/>
      <w:divBdr>
        <w:top w:val="none" w:sz="0" w:space="0" w:color="auto"/>
        <w:left w:val="none" w:sz="0" w:space="0" w:color="auto"/>
        <w:bottom w:val="none" w:sz="0" w:space="0" w:color="auto"/>
        <w:right w:val="none" w:sz="0" w:space="0" w:color="auto"/>
      </w:divBdr>
    </w:div>
    <w:div w:id="2122214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5.xml"/><Relationship Id="rId39" Type="http://schemas.openxmlformats.org/officeDocument/2006/relationships/chart" Target="charts/chart28.xml"/><Relationship Id="rId21" Type="http://schemas.openxmlformats.org/officeDocument/2006/relationships/chart" Target="charts/chart10.xml"/><Relationship Id="rId34" Type="http://schemas.openxmlformats.org/officeDocument/2006/relationships/chart" Target="charts/chart23.xml"/><Relationship Id="rId42" Type="http://schemas.openxmlformats.org/officeDocument/2006/relationships/chart" Target="charts/chart31.xml"/><Relationship Id="rId47" Type="http://schemas.openxmlformats.org/officeDocument/2006/relationships/chart" Target="charts/chart36.xml"/><Relationship Id="rId50" Type="http://schemas.openxmlformats.org/officeDocument/2006/relationships/hyperlink" Target="https://www.cnn.gr/tag/pandhmia"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5.xml"/><Relationship Id="rId29" Type="http://schemas.openxmlformats.org/officeDocument/2006/relationships/chart" Target="charts/chart18.xml"/><Relationship Id="rId11" Type="http://schemas.openxmlformats.org/officeDocument/2006/relationships/hyperlink" Target="mailto:hfisc@hfisc.gr" TargetMode="External"/><Relationship Id="rId24" Type="http://schemas.openxmlformats.org/officeDocument/2006/relationships/chart" Target="charts/chart13.xml"/><Relationship Id="rId32" Type="http://schemas.openxmlformats.org/officeDocument/2006/relationships/chart" Target="charts/chart21.xml"/><Relationship Id="rId37" Type="http://schemas.openxmlformats.org/officeDocument/2006/relationships/chart" Target="charts/chart26.xml"/><Relationship Id="rId40" Type="http://schemas.openxmlformats.org/officeDocument/2006/relationships/chart" Target="charts/chart29.xml"/><Relationship Id="rId45" Type="http://schemas.openxmlformats.org/officeDocument/2006/relationships/chart" Target="charts/chart34.xm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www.hfisc.gr" TargetMode="External"/><Relationship Id="rId19" Type="http://schemas.openxmlformats.org/officeDocument/2006/relationships/chart" Target="charts/chart8.xml"/><Relationship Id="rId31" Type="http://schemas.openxmlformats.org/officeDocument/2006/relationships/chart" Target="charts/chart20.xml"/><Relationship Id="rId44" Type="http://schemas.openxmlformats.org/officeDocument/2006/relationships/chart" Target="charts/chart33.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chart" Target="charts/chart24.xml"/><Relationship Id="rId43" Type="http://schemas.openxmlformats.org/officeDocument/2006/relationships/chart" Target="charts/chart32.xml"/><Relationship Id="rId48" Type="http://schemas.openxmlformats.org/officeDocument/2006/relationships/chart" Target="charts/chart37.xml"/><Relationship Id="rId8" Type="http://schemas.openxmlformats.org/officeDocument/2006/relationships/image" Target="media/image1.emf"/><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chart" Target="charts/chart27.xml"/><Relationship Id="rId46" Type="http://schemas.openxmlformats.org/officeDocument/2006/relationships/chart" Target="charts/chart35.xml"/><Relationship Id="rId20" Type="http://schemas.openxmlformats.org/officeDocument/2006/relationships/chart" Target="charts/chart9.xml"/><Relationship Id="rId41" Type="http://schemas.openxmlformats.org/officeDocument/2006/relationships/chart" Target="charts/chart3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chart" Target="charts/chart25.xml"/><Relationship Id="rId49" Type="http://schemas.openxmlformats.org/officeDocument/2006/relationships/hyperlink" Target="https://www.ecb.europa.eu/mopo/implement/pepp/html/index.en.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Geo\Desktop\&#949;&#945;&#961;&#953;&#957;&#942;%20&#941;&#954;&#952;&#949;&#963;&#951;%202021\&#913;&#917;&#928;%20&#967;&#961;&#959;&#957;&#959;&#963;&#949;&#953;&#961;&#940;.xlsx" TargetMode="External"/></Relationships>
</file>

<file path=word/charts/_rels/chart10.xml.rels><?xml version="1.0" encoding="UTF-8" standalone="yes"?>
<Relationships xmlns="http://schemas.openxmlformats.org/package/2006/relationships"><Relationship Id="rId2" Type="http://schemas.openxmlformats.org/officeDocument/2006/relationships/oleObject" Target="file:///D:\&#922;&#945;&#961;&#953;&#941;&#961;&#945;\&#917;&#916;&#931;\&#922;&#959;&#961;&#969;&#957;&#959;&#970;&#972;&#962;\10.%20&#924;&#940;&#953;&#959;&#962;%202021\&#928;&#945;&#961;&#945;&#948;&#959;&#964;&#941;&#945;\&#921;&#963;&#959;&#950;&#973;&#947;&#953;&#959;%20&#960;&#955;&#951;&#961;&#969;&#956;&#974;&#957;%2010_05_21.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D:\&#922;&#945;&#961;&#953;&#941;&#961;&#945;\&#917;&#916;&#931;\&#922;&#959;&#961;&#969;&#957;&#959;&#970;&#972;&#962;\10.%20&#924;&#940;&#953;&#959;&#962;%202021\&#928;&#945;&#961;&#945;&#948;&#959;&#964;&#941;&#945;\&#921;&#963;&#959;&#950;&#973;&#947;&#953;&#959;%20&#960;&#955;&#951;&#961;&#969;&#956;&#974;&#957;%2010_05_21.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D:\&#922;&#945;&#961;&#953;&#941;&#961;&#945;\&#917;&#916;&#931;\&#922;&#959;&#961;&#969;&#957;&#959;&#970;&#972;&#962;\10.%20&#924;&#940;&#953;&#959;&#962;%202021\&#928;&#945;&#961;&#945;&#948;&#959;&#964;&#941;&#945;\&#921;&#963;&#959;&#950;&#973;&#947;&#953;&#959;%20&#960;&#955;&#951;&#961;&#969;&#956;&#974;&#957;%2013_05_21.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D:\&#922;&#945;&#961;&#953;&#941;&#961;&#945;\&#917;&#916;&#931;\&#922;&#959;&#961;&#969;&#957;&#959;&#970;&#972;&#962;\10.%20&#924;&#940;&#953;&#959;&#962;%202021\&#928;&#945;&#961;&#945;&#948;&#959;&#964;&#941;&#945;\&#921;&#963;&#959;&#950;&#973;&#947;&#953;&#959;%20&#960;&#955;&#951;&#961;&#969;&#956;&#974;&#957;%2010_05_21.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Kostakis\Desktop\&#917;&#913;&#929;&#921;&#925;&#919;%202021\NPLS_TIMESERIES_BoG_GR%20(6).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Kostakis\Desktop\&#917;&#913;&#929;&#921;&#925;&#919;%202021\NPLS_TIMESERIES_BoG_GR%20(6).xlsx" TargetMode="External"/></Relationships>
</file>

<file path=word/charts/_rels/chart16.xml.rels><?xml version="1.0" encoding="UTF-8" standalone="yes"?>
<Relationships xmlns="http://schemas.openxmlformats.org/package/2006/relationships"><Relationship Id="rId2" Type="http://schemas.openxmlformats.org/officeDocument/2006/relationships/oleObject" Target="file:///D:\&#922;&#945;&#961;&#953;&#941;&#961;&#945;\&#917;&#916;&#931;\&#922;&#959;&#961;&#969;&#957;&#959;&#970;&#972;&#962;\10.%20&#924;&#940;&#953;&#959;&#962;%202021\&#928;&#945;&#961;&#945;&#948;&#959;&#964;&#941;&#945;\&#928;&#955;&#951;&#952;&#969;&#961;&#953;&#963;&#956;&#972;&#962;%2014_05_21.xlsx"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file:///D:\&#922;&#945;&#961;&#953;&#941;&#961;&#945;\&#917;&#916;&#931;\&#922;&#959;&#961;&#969;&#957;&#959;&#970;&#972;&#962;\10.%20&#924;&#940;&#953;&#959;&#962;%202021\&#928;&#945;&#961;&#945;&#948;&#959;&#964;&#941;&#945;\&#928;&#955;&#951;&#952;&#969;&#961;&#953;&#963;&#956;&#972;&#962;%2014_05_21.xlsx"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oleObject" Target="file:///D:\&#922;&#945;&#961;&#953;&#941;&#961;&#945;\&#917;&#916;&#931;\&#922;&#959;&#961;&#969;&#957;&#959;&#970;&#972;&#962;\10.%20&#924;&#940;&#953;&#959;&#962;%202021\&#928;&#945;&#961;&#945;&#948;&#959;&#964;&#941;&#945;\&#921;&#963;&#959;&#950;&#973;&#947;&#953;&#959;%20&#960;&#955;&#951;&#961;&#969;&#956;&#974;&#957;%2013_05_21.xlsx" TargetMode="External"/><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oleObject" Target="file:///G:\GOOGLE%20DRIVE\HFISC\&#917;&#913;&#929;&#921;&#925;&#919;%202021\FINAL\ei_bssi_m_r2.xls" TargetMode="External"/><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Geo\Desktop\&#949;&#945;&#961;&#953;&#957;&#942;%20&#941;&#954;&#952;&#949;&#963;&#951;%202021\&#931;&#965;&#957;&#953;&#963;&#964;&#974;&#963;&#949;&#962;.xlsx" TargetMode="External"/></Relationships>
</file>

<file path=word/charts/_rels/chart20.xml.rels><?xml version="1.0" encoding="UTF-8" standalone="yes"?>
<Relationships xmlns="http://schemas.openxmlformats.org/package/2006/relationships"><Relationship Id="rId2" Type="http://schemas.openxmlformats.org/officeDocument/2006/relationships/oleObject" Target="file:///G:\GOOGLE%20DRIVE\HFISC\&#917;&#913;&#929;&#921;&#925;&#919;%202021\FINAL\ei_bssi_m_r2.xls" TargetMode="External"/><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935;&#961;&#942;&#963;&#964;&#959;&#962;\Desktop\&#917;&#916;&#931;\&#917;&#922;&#920;&#917;&#931;&#919;_&#917;&#913;&#929;&#921;&#925;&#919;_2021\PMI_New.xlsx" TargetMode="External"/></Relationships>
</file>

<file path=word/charts/_rels/chart22.xml.rels><?xml version="1.0" encoding="UTF-8" standalone="yes"?>
<Relationships xmlns="http://schemas.openxmlformats.org/package/2006/relationships"><Relationship Id="rId2" Type="http://schemas.openxmlformats.org/officeDocument/2006/relationships/oleObject" Target="file:///C:\Users\&#935;&#961;&#942;&#963;&#964;&#959;&#962;\Desktop\&#917;&#916;&#931;\&#917;&#922;&#920;&#917;&#931;&#919;_&#917;&#913;&#929;&#921;&#925;&#919;_2021\sts_inpr_m%20(1).xls" TargetMode="External"/><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oleObject" Target="file:///C:\Users\&#935;&#961;&#942;&#963;&#964;&#959;&#962;\Desktop\&#917;&#916;&#931;\&#917;&#922;&#920;&#917;&#931;&#919;_&#917;&#913;&#929;&#921;&#925;&#919;_2021\sts_inpr_m%20(1).xls" TargetMode="External"/><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oleObject" Target="file:///C:\Users\&#935;&#961;&#942;&#963;&#964;&#959;&#962;\Desktop\&#917;&#916;&#931;\&#917;&#922;&#920;&#917;&#931;&#919;_&#917;&#913;&#929;&#921;&#925;&#919;_2021\sts_inpr_m%20(1).xls" TargetMode="External"/><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oleObject" Target="file:///C:\Users\&#935;&#961;&#942;&#963;&#964;&#959;&#962;\Desktop\&#917;&#916;&#931;\&#917;&#922;&#920;&#917;&#931;&#919;_&#917;&#913;&#929;&#921;&#925;&#919;_2021\sts_inpr_m%20(1).xls" TargetMode="External"/><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oleObject" Target="file:///G:\GOOGLE%20DRIVE\HFISC\&#917;&#913;&#929;&#921;&#925;&#919;%202021\FINAL\&#922;&#945;&#964;&#945;&#952;&#941;&#963;&#949;&#953;&#962;_&#964;&#959;&#956;&#941;&#945;.xls" TargetMode="External"/><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oleObject" Target="file:///G:\GOOGLE%20DRIVE\HFISC\&#917;&#913;&#929;&#921;&#925;&#919;%202021\FINAL\&#922;&#945;&#964;&#945;&#952;&#941;&#963;&#949;&#953;&#962;_&#964;&#959;&#956;&#941;&#945;.xls" TargetMode="External"/><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Kostakis\Desktop\&#917;&#913;&#929;&#921;&#925;&#919;%202021\&#916;&#945;&#957;&#949;&#953;&#945;_1980.xls" TargetMode="External"/></Relationships>
</file>

<file path=word/charts/_rels/chart29.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1.xml"/><Relationship Id="rId4" Type="http://schemas.openxmlformats.org/officeDocument/2006/relationships/oleObject" Target="../embeddings/oleObject1.bin"/></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8.xml"/><Relationship Id="rId1" Type="http://schemas.microsoft.com/office/2011/relationships/chartStyle" Target="style8.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0.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31.xml"/></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5.xlsx"/></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33.xml"/></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7.xlsx"/></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8.xlsx"/></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9.xlsx"/></Relationships>
</file>

<file path=word/charts/_rels/chart4.xml.rels><?xml version="1.0" encoding="UTF-8" standalone="yes"?>
<Relationships xmlns="http://schemas.openxmlformats.org/package/2006/relationships"><Relationship Id="rId2" Type="http://schemas.openxmlformats.org/officeDocument/2006/relationships/oleObject" Target="file:///D:\&#922;&#945;&#961;&#953;&#941;&#961;&#945;\&#917;&#916;&#931;\&#922;&#959;&#961;&#969;&#957;&#959;&#970;&#972;&#962;\10.%20&#924;&#940;&#953;&#959;&#962;%202021\&#928;&#945;&#961;&#945;&#948;&#959;&#964;&#941;&#945;\&#928;&#955;&#951;&#952;&#969;&#961;&#953;&#963;&#956;&#972;&#962;%2014_05_21.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D:\&#922;&#945;&#961;&#953;&#941;&#961;&#945;\&#917;&#916;&#931;\&#922;&#959;&#961;&#969;&#957;&#959;&#970;&#972;&#962;\10.%20&#924;&#940;&#953;&#959;&#962;%202021\&#928;&#945;&#961;&#945;&#948;&#959;&#964;&#941;&#945;\&#928;&#955;&#951;&#952;&#969;&#961;&#953;&#963;&#956;&#972;&#962;%2014_05_21.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D:\&#922;&#945;&#961;&#953;&#941;&#961;&#945;\&#917;&#916;&#931;\&#922;&#959;&#961;&#969;&#957;&#959;&#970;&#972;&#962;\10.%20&#924;&#940;&#953;&#959;&#962;%202021\&#928;&#945;&#961;&#945;&#948;&#959;&#964;&#941;&#945;\&#928;&#955;&#951;&#952;&#969;&#961;&#953;&#963;&#956;&#972;&#962;%2014_05_21.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D:\&#922;&#945;&#961;&#953;&#941;&#961;&#945;\&#917;&#916;&#931;\&#922;&#959;&#961;&#969;&#957;&#959;&#970;&#972;&#962;\10.%20&#924;&#940;&#953;&#959;&#962;%202021\&#928;&#945;&#961;&#945;&#948;&#959;&#964;&#941;&#945;\&#921;&#963;&#959;&#950;&#973;&#947;&#953;&#959;%20&#960;&#955;&#951;&#961;&#969;&#956;&#974;&#957;%2010_05_21.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D:\&#922;&#945;&#961;&#953;&#941;&#961;&#945;\&#917;&#916;&#931;\&#922;&#959;&#961;&#969;&#957;&#959;&#970;&#972;&#962;\10.%20&#924;&#940;&#953;&#959;&#962;%202021\&#928;&#945;&#961;&#945;&#948;&#959;&#964;&#941;&#945;\&#921;&#963;&#959;&#950;&#973;&#947;&#953;&#959;%20&#960;&#955;&#951;&#961;&#969;&#956;&#974;&#957;%2010_05_21.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Data!$I$5</c:f>
              <c:strCache>
                <c:ptCount val="1"/>
                <c:pt idx="0">
                  <c:v>Greece</c:v>
                </c:pt>
              </c:strCache>
            </c:strRef>
          </c:tx>
          <c:spPr>
            <a:solidFill>
              <a:schemeClr val="accent1">
                <a:lumMod val="40000"/>
                <a:lumOff val="60000"/>
              </a:schemeClr>
            </a:solidFill>
            <a:ln>
              <a:noFill/>
            </a:ln>
            <a:effectLst/>
          </c:spPr>
          <c:invertIfNegative val="0"/>
          <c:cat>
            <c:strRef>
              <c:f>Data!$H$6:$H$18</c:f>
              <c:strCach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strCache>
            </c:strRef>
          </c:cat>
          <c:val>
            <c:numRef>
              <c:f>Data!$I$6:$I$18</c:f>
              <c:numCache>
                <c:formatCode>#,##0.0</c:formatCode>
                <c:ptCount val="13"/>
                <c:pt idx="0">
                  <c:v>239096.4</c:v>
                </c:pt>
                <c:pt idx="1">
                  <c:v>228813.5</c:v>
                </c:pt>
                <c:pt idx="2">
                  <c:v>216276.7</c:v>
                </c:pt>
                <c:pt idx="3">
                  <c:v>194326.1</c:v>
                </c:pt>
                <c:pt idx="4">
                  <c:v>180563.20000000001</c:v>
                </c:pt>
                <c:pt idx="5">
                  <c:v>175612.6</c:v>
                </c:pt>
                <c:pt idx="6">
                  <c:v>176838.6</c:v>
                </c:pt>
                <c:pt idx="7">
                  <c:v>176110.2</c:v>
                </c:pt>
                <c:pt idx="8">
                  <c:v>175247.5</c:v>
                </c:pt>
                <c:pt idx="9">
                  <c:v>177492.2</c:v>
                </c:pt>
                <c:pt idx="10">
                  <c:v>180259.20000000001</c:v>
                </c:pt>
                <c:pt idx="11">
                  <c:v>183606</c:v>
                </c:pt>
                <c:pt idx="12">
                  <c:v>168462.7</c:v>
                </c:pt>
              </c:numCache>
            </c:numRef>
          </c:val>
          <c:extLst>
            <c:ext xmlns:c16="http://schemas.microsoft.com/office/drawing/2014/chart" uri="{C3380CC4-5D6E-409C-BE32-E72D297353CC}">
              <c16:uniqueId val="{00000000-C1DF-49CA-90C7-F039CBB7C80D}"/>
            </c:ext>
          </c:extLst>
        </c:ser>
        <c:dLbls>
          <c:showLegendKey val="0"/>
          <c:showVal val="0"/>
          <c:showCatName val="0"/>
          <c:showSerName val="0"/>
          <c:showPercent val="0"/>
          <c:showBubbleSize val="0"/>
        </c:dLbls>
        <c:gapWidth val="219"/>
        <c:overlap val="-27"/>
        <c:axId val="1418290495"/>
        <c:axId val="1418289663"/>
      </c:barChart>
      <c:lineChart>
        <c:grouping val="standard"/>
        <c:varyColors val="0"/>
        <c:ser>
          <c:idx val="1"/>
          <c:order val="1"/>
          <c:tx>
            <c:strRef>
              <c:f>Data!$J$5</c:f>
              <c:strCache>
                <c:ptCount val="1"/>
                <c:pt idx="0">
                  <c:v>Ετήσια μεταβολή</c:v>
                </c:pt>
              </c:strCache>
            </c:strRef>
          </c:tx>
          <c:spPr>
            <a:ln w="19050" cap="rnd">
              <a:solidFill>
                <a:srgbClr val="00B050"/>
              </a:solidFill>
              <a:round/>
            </a:ln>
            <a:effectLst/>
          </c:spPr>
          <c:marker>
            <c:symbol val="square"/>
            <c:size val="5"/>
            <c:spPr>
              <a:solidFill>
                <a:schemeClr val="accent2"/>
              </a:solidFill>
              <a:ln w="19050">
                <a:solidFill>
                  <a:srgbClr val="00B050"/>
                </a:solidFill>
              </a:ln>
              <a:effectLst/>
            </c:spPr>
          </c:marker>
          <c:dPt>
            <c:idx val="6"/>
            <c:marker>
              <c:symbol val="square"/>
              <c:size val="5"/>
              <c:spPr>
                <a:solidFill>
                  <a:schemeClr val="accent6"/>
                </a:solidFill>
                <a:ln w="19050">
                  <a:solidFill>
                    <a:srgbClr val="00B050"/>
                  </a:solidFill>
                </a:ln>
                <a:effectLst/>
              </c:spPr>
            </c:marker>
            <c:bubble3D val="0"/>
            <c:extLst>
              <c:ext xmlns:c16="http://schemas.microsoft.com/office/drawing/2014/chart" uri="{C3380CC4-5D6E-409C-BE32-E72D297353CC}">
                <c16:uniqueId val="{00000001-C1DF-49CA-90C7-F039CBB7C80D}"/>
              </c:ext>
            </c:extLst>
          </c:dPt>
          <c:dPt>
            <c:idx val="9"/>
            <c:marker>
              <c:symbol val="square"/>
              <c:size val="5"/>
              <c:spPr>
                <a:solidFill>
                  <a:schemeClr val="accent6"/>
                </a:solidFill>
                <a:ln w="19050">
                  <a:solidFill>
                    <a:srgbClr val="00B050"/>
                  </a:solidFill>
                </a:ln>
                <a:effectLst/>
              </c:spPr>
            </c:marker>
            <c:bubble3D val="0"/>
            <c:extLst>
              <c:ext xmlns:c16="http://schemas.microsoft.com/office/drawing/2014/chart" uri="{C3380CC4-5D6E-409C-BE32-E72D297353CC}">
                <c16:uniqueId val="{00000002-C1DF-49CA-90C7-F039CBB7C80D}"/>
              </c:ext>
            </c:extLst>
          </c:dPt>
          <c:dPt>
            <c:idx val="10"/>
            <c:marker>
              <c:symbol val="square"/>
              <c:size val="5"/>
              <c:spPr>
                <a:solidFill>
                  <a:schemeClr val="accent6"/>
                </a:solidFill>
                <a:ln w="19050">
                  <a:solidFill>
                    <a:srgbClr val="00B050"/>
                  </a:solidFill>
                </a:ln>
                <a:effectLst/>
              </c:spPr>
            </c:marker>
            <c:bubble3D val="0"/>
            <c:extLst>
              <c:ext xmlns:c16="http://schemas.microsoft.com/office/drawing/2014/chart" uri="{C3380CC4-5D6E-409C-BE32-E72D297353CC}">
                <c16:uniqueId val="{00000003-C1DF-49CA-90C7-F039CBB7C80D}"/>
              </c:ext>
            </c:extLst>
          </c:dPt>
          <c:dPt>
            <c:idx val="11"/>
            <c:marker>
              <c:symbol val="square"/>
              <c:size val="5"/>
              <c:spPr>
                <a:solidFill>
                  <a:schemeClr val="accent6"/>
                </a:solidFill>
                <a:ln w="19050">
                  <a:solidFill>
                    <a:srgbClr val="00B050"/>
                  </a:solidFill>
                </a:ln>
                <a:effectLst/>
              </c:spPr>
            </c:marker>
            <c:bubble3D val="0"/>
            <c:extLst>
              <c:ext xmlns:c16="http://schemas.microsoft.com/office/drawing/2014/chart" uri="{C3380CC4-5D6E-409C-BE32-E72D297353CC}">
                <c16:uniqueId val="{00000004-C1DF-49CA-90C7-F039CBB7C80D}"/>
              </c:ext>
            </c:extLst>
          </c:dPt>
          <c:dLbls>
            <c:dLbl>
              <c:idx val="0"/>
              <c:spPr>
                <a:noFill/>
                <a:ln>
                  <a:noFill/>
                </a:ln>
                <a:effectLst>
                  <a:softEdge rad="38100"/>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2"/>
                      </a:solidFill>
                      <a:latin typeface="+mn-lt"/>
                      <a:ea typeface="+mn-ea"/>
                      <a:cs typeface="+mn-cs"/>
                    </a:defRPr>
                  </a:pPr>
                  <a:endParaRPr lang="en-US"/>
                </a:p>
              </c:txPr>
              <c:dLblPos val="t"/>
              <c:showLegendKey val="0"/>
              <c:showVal val="1"/>
              <c:showCatName val="0"/>
              <c:showSerName val="0"/>
              <c:showPercent val="0"/>
              <c:showBubbleSize val="0"/>
              <c:extLst>
                <c:ext xmlns:c16="http://schemas.microsoft.com/office/drawing/2014/chart" uri="{C3380CC4-5D6E-409C-BE32-E72D297353CC}">
                  <c16:uniqueId val="{00000005-C1DF-49CA-90C7-F039CBB7C80D}"/>
                </c:ext>
              </c:extLst>
            </c:dLbl>
            <c:dLbl>
              <c:idx val="3"/>
              <c:layout>
                <c:manualLayout>
                  <c:x val="-3.4912966330766682E-2"/>
                  <c:y val="-0.10768988076156678"/>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1DF-49CA-90C7-F039CBB7C80D}"/>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6"/>
                      </a:solidFill>
                      <a:latin typeface="+mn-lt"/>
                      <a:ea typeface="+mn-ea"/>
                      <a:cs typeface="+mn-cs"/>
                    </a:defRPr>
                  </a:pPr>
                  <a:endParaRPr lang="en-US"/>
                </a:p>
              </c:txPr>
              <c:dLblPos val="t"/>
              <c:showLegendKey val="0"/>
              <c:showVal val="1"/>
              <c:showCatName val="0"/>
              <c:showSerName val="0"/>
              <c:showPercent val="0"/>
              <c:showBubbleSize val="0"/>
              <c:extLst>
                <c:ext xmlns:c16="http://schemas.microsoft.com/office/drawing/2014/chart" uri="{C3380CC4-5D6E-409C-BE32-E72D297353CC}">
                  <c16:uniqueId val="{00000001-C1DF-49CA-90C7-F039CBB7C80D}"/>
                </c:ext>
              </c:extLst>
            </c:dLbl>
            <c:dLbl>
              <c:idx val="9"/>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6"/>
                      </a:solidFill>
                      <a:latin typeface="+mn-lt"/>
                      <a:ea typeface="+mn-ea"/>
                      <a:cs typeface="+mn-cs"/>
                    </a:defRPr>
                  </a:pPr>
                  <a:endParaRPr lang="en-US"/>
                </a:p>
              </c:txPr>
              <c:dLblPos val="t"/>
              <c:showLegendKey val="0"/>
              <c:showVal val="1"/>
              <c:showCatName val="0"/>
              <c:showSerName val="0"/>
              <c:showPercent val="0"/>
              <c:showBubbleSize val="0"/>
              <c:extLst>
                <c:ext xmlns:c16="http://schemas.microsoft.com/office/drawing/2014/chart" uri="{C3380CC4-5D6E-409C-BE32-E72D297353CC}">
                  <c16:uniqueId val="{00000002-C1DF-49CA-90C7-F039CBB7C80D}"/>
                </c:ext>
              </c:extLst>
            </c:dLbl>
            <c:dLbl>
              <c:idx val="1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6"/>
                      </a:solidFill>
                      <a:latin typeface="+mn-lt"/>
                      <a:ea typeface="+mn-ea"/>
                      <a:cs typeface="+mn-cs"/>
                    </a:defRPr>
                  </a:pPr>
                  <a:endParaRPr lang="en-US"/>
                </a:p>
              </c:txPr>
              <c:dLblPos val="t"/>
              <c:showLegendKey val="0"/>
              <c:showVal val="1"/>
              <c:showCatName val="0"/>
              <c:showSerName val="0"/>
              <c:showPercent val="0"/>
              <c:showBubbleSize val="0"/>
              <c:extLst>
                <c:ext xmlns:c16="http://schemas.microsoft.com/office/drawing/2014/chart" uri="{C3380CC4-5D6E-409C-BE32-E72D297353CC}">
                  <c16:uniqueId val="{00000003-C1DF-49CA-90C7-F039CBB7C80D}"/>
                </c:ext>
              </c:extLst>
            </c:dLbl>
            <c:dLbl>
              <c:idx val="11"/>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6"/>
                      </a:solidFill>
                      <a:latin typeface="+mn-lt"/>
                      <a:ea typeface="+mn-ea"/>
                      <a:cs typeface="+mn-cs"/>
                    </a:defRPr>
                  </a:pPr>
                  <a:endParaRPr lang="en-US"/>
                </a:p>
              </c:txPr>
              <c:dLblPos val="t"/>
              <c:showLegendKey val="0"/>
              <c:showVal val="1"/>
              <c:showCatName val="0"/>
              <c:showSerName val="0"/>
              <c:showPercent val="0"/>
              <c:showBubbleSize val="0"/>
              <c:extLst>
                <c:ext xmlns:c16="http://schemas.microsoft.com/office/drawing/2014/chart" uri="{C3380CC4-5D6E-409C-BE32-E72D297353CC}">
                  <c16:uniqueId val="{00000004-C1DF-49CA-90C7-F039CBB7C80D}"/>
                </c:ext>
              </c:extLst>
            </c:dLbl>
            <c:dLbl>
              <c:idx val="12"/>
              <c:layout>
                <c:manualLayout>
                  <c:x val="-1.1006641928883927E-2"/>
                  <c:y val="-6.47898523529653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1DF-49CA-90C7-F039CBB7C80D}"/>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2"/>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Data!$H$6:$H$18</c:f>
              <c:strCach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strCache>
            </c:strRef>
          </c:cat>
          <c:val>
            <c:numRef>
              <c:f>Data!$J$6:$J$18</c:f>
              <c:numCache>
                <c:formatCode>#,##0.0</c:formatCode>
                <c:ptCount val="13"/>
                <c:pt idx="0">
                  <c:v>-0.3</c:v>
                </c:pt>
                <c:pt idx="1">
                  <c:v>-4.3</c:v>
                </c:pt>
                <c:pt idx="2">
                  <c:v>-5.5</c:v>
                </c:pt>
                <c:pt idx="3">
                  <c:v>-10.1</c:v>
                </c:pt>
                <c:pt idx="4">
                  <c:v>-7.1</c:v>
                </c:pt>
                <c:pt idx="5">
                  <c:v>-2.7</c:v>
                </c:pt>
                <c:pt idx="6">
                  <c:v>0.7</c:v>
                </c:pt>
                <c:pt idx="7">
                  <c:v>-0.4</c:v>
                </c:pt>
                <c:pt idx="8">
                  <c:v>-0.5</c:v>
                </c:pt>
                <c:pt idx="9">
                  <c:v>1.3</c:v>
                </c:pt>
                <c:pt idx="10">
                  <c:v>1.6</c:v>
                </c:pt>
                <c:pt idx="11">
                  <c:v>1.9</c:v>
                </c:pt>
                <c:pt idx="12">
                  <c:v>-8.1999999999999993</c:v>
                </c:pt>
              </c:numCache>
            </c:numRef>
          </c:val>
          <c:smooth val="0"/>
          <c:extLst>
            <c:ext xmlns:c16="http://schemas.microsoft.com/office/drawing/2014/chart" uri="{C3380CC4-5D6E-409C-BE32-E72D297353CC}">
              <c16:uniqueId val="{00000008-C1DF-49CA-90C7-F039CBB7C80D}"/>
            </c:ext>
          </c:extLst>
        </c:ser>
        <c:dLbls>
          <c:showLegendKey val="0"/>
          <c:showVal val="0"/>
          <c:showCatName val="0"/>
          <c:showSerName val="0"/>
          <c:showPercent val="0"/>
          <c:showBubbleSize val="0"/>
        </c:dLbls>
        <c:marker val="1"/>
        <c:smooth val="0"/>
        <c:axId val="1418291327"/>
        <c:axId val="1418290911"/>
      </c:lineChart>
      <c:catAx>
        <c:axId val="14182904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8289663"/>
        <c:crosses val="autoZero"/>
        <c:auto val="1"/>
        <c:lblAlgn val="ctr"/>
        <c:lblOffset val="100"/>
        <c:noMultiLvlLbl val="0"/>
      </c:catAx>
      <c:valAx>
        <c:axId val="141828966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8290495"/>
        <c:crosses val="autoZero"/>
        <c:crossBetween val="between"/>
      </c:valAx>
      <c:valAx>
        <c:axId val="1418290911"/>
        <c:scaling>
          <c:orientation val="minMax"/>
        </c:scaling>
        <c:delete val="0"/>
        <c:axPos val="r"/>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8291327"/>
        <c:crosses val="max"/>
        <c:crossBetween val="between"/>
      </c:valAx>
      <c:catAx>
        <c:axId val="1418291327"/>
        <c:scaling>
          <c:orientation val="minMax"/>
        </c:scaling>
        <c:delete val="1"/>
        <c:axPos val="b"/>
        <c:numFmt formatCode="General" sourceLinked="1"/>
        <c:majorTickMark val="none"/>
        <c:minorTickMark val="none"/>
        <c:tickLblPos val="nextTo"/>
        <c:crossAx val="1418290911"/>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rgbClr val="5B9BD5">
          <a:lumMod val="40000"/>
          <a:lumOff val="60000"/>
        </a:srgb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tx>
            <c:v>Εισαγωγές αγαθών</c:v>
          </c:tx>
          <c:spPr>
            <a:ln w="28575" cap="rnd">
              <a:solidFill>
                <a:srgbClr val="92D050"/>
              </a:solidFill>
              <a:round/>
            </a:ln>
            <a:effectLst/>
          </c:spPr>
          <c:marker>
            <c:symbol val="circle"/>
            <c:size val="5"/>
            <c:spPr>
              <a:solidFill>
                <a:srgbClr val="92D050"/>
              </a:solidFill>
              <a:ln w="9525">
                <a:solidFill>
                  <a:srgbClr val="92D050"/>
                </a:solidFill>
              </a:ln>
              <a:effectLst/>
            </c:spPr>
          </c:marker>
          <c:dLbls>
            <c:numFmt formatCode="#,##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B05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annualy!$P$2:$U$2</c:f>
              <c:strCache>
                <c:ptCount val="6"/>
                <c:pt idx="0">
                  <c:v>2015</c:v>
                </c:pt>
                <c:pt idx="1">
                  <c:v>2016</c:v>
                </c:pt>
                <c:pt idx="2">
                  <c:v>2017</c:v>
                </c:pt>
                <c:pt idx="3">
                  <c:v>2018</c:v>
                </c:pt>
                <c:pt idx="4">
                  <c:v>2019</c:v>
                </c:pt>
                <c:pt idx="5">
                  <c:v>2020</c:v>
                </c:pt>
              </c:strCache>
            </c:strRef>
          </c:cat>
          <c:val>
            <c:numRef>
              <c:f>annualy!$P$17:$U$17</c:f>
              <c:numCache>
                <c:formatCode>#,##0</c:formatCode>
                <c:ptCount val="6"/>
                <c:pt idx="0">
                  <c:v>42471.158835000002</c:v>
                </c:pt>
                <c:pt idx="1">
                  <c:v>42573.480905000004</c:v>
                </c:pt>
                <c:pt idx="2">
                  <c:v>47874.361432999991</c:v>
                </c:pt>
                <c:pt idx="3">
                  <c:v>54861.935192999998</c:v>
                </c:pt>
                <c:pt idx="4">
                  <c:v>55266.889157999998</c:v>
                </c:pt>
                <c:pt idx="5" formatCode="#,##0_ ;\-#,##0\ ">
                  <c:v>47432.504897999999</c:v>
                </c:pt>
              </c:numCache>
            </c:numRef>
          </c:val>
          <c:smooth val="0"/>
          <c:extLst>
            <c:ext xmlns:c16="http://schemas.microsoft.com/office/drawing/2014/chart" uri="{C3380CC4-5D6E-409C-BE32-E72D297353CC}">
              <c16:uniqueId val="{00000000-B79E-43E2-B569-7ED347D0B042}"/>
            </c:ext>
          </c:extLst>
        </c:ser>
        <c:ser>
          <c:idx val="0"/>
          <c:order val="1"/>
          <c:tx>
            <c:v>Εξαγωγές αγαθών</c:v>
          </c:tx>
          <c:spPr>
            <a:ln w="28575" cap="rnd">
              <a:solidFill>
                <a:srgbClr val="00B0F0"/>
              </a:solidFill>
              <a:round/>
            </a:ln>
            <a:effectLst/>
          </c:spPr>
          <c:marker>
            <c:symbol val="circle"/>
            <c:size val="5"/>
            <c:spPr>
              <a:solidFill>
                <a:srgbClr val="00B0F0"/>
              </a:solidFill>
              <a:ln w="9525">
                <a:solidFill>
                  <a:srgbClr val="00B0F0"/>
                </a:solidFill>
              </a:ln>
              <a:effectLst/>
            </c:spPr>
          </c:marker>
          <c:dLbls>
            <c:numFmt formatCode="#,##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B0F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annualy!$P$2:$U$2</c:f>
              <c:strCache>
                <c:ptCount val="6"/>
                <c:pt idx="0">
                  <c:v>2015</c:v>
                </c:pt>
                <c:pt idx="1">
                  <c:v>2016</c:v>
                </c:pt>
                <c:pt idx="2">
                  <c:v>2017</c:v>
                </c:pt>
                <c:pt idx="3">
                  <c:v>2018</c:v>
                </c:pt>
                <c:pt idx="4">
                  <c:v>2019</c:v>
                </c:pt>
                <c:pt idx="5">
                  <c:v>2020</c:v>
                </c:pt>
              </c:strCache>
            </c:strRef>
          </c:cat>
          <c:val>
            <c:numRef>
              <c:f>annualy!$P$13:$U$13</c:f>
              <c:numCache>
                <c:formatCode>#,##0</c:formatCode>
                <c:ptCount val="6"/>
                <c:pt idx="0">
                  <c:v>24805.071255999999</c:v>
                </c:pt>
                <c:pt idx="1">
                  <c:v>24613.226994000001</c:v>
                </c:pt>
                <c:pt idx="2">
                  <c:v>28040.462512999999</c:v>
                </c:pt>
                <c:pt idx="3">
                  <c:v>32372.849307</c:v>
                </c:pt>
                <c:pt idx="4">
                  <c:v>32433.620504999999</c:v>
                </c:pt>
                <c:pt idx="5" formatCode="#,##0_ ;\-#,##0\ ">
                  <c:v>28904.435302000002</c:v>
                </c:pt>
              </c:numCache>
            </c:numRef>
          </c:val>
          <c:smooth val="0"/>
          <c:extLst>
            <c:ext xmlns:c16="http://schemas.microsoft.com/office/drawing/2014/chart" uri="{C3380CC4-5D6E-409C-BE32-E72D297353CC}">
              <c16:uniqueId val="{00000001-B79E-43E2-B569-7ED347D0B042}"/>
            </c:ext>
          </c:extLst>
        </c:ser>
        <c:dLbls>
          <c:showLegendKey val="0"/>
          <c:showVal val="0"/>
          <c:showCatName val="0"/>
          <c:showSerName val="0"/>
          <c:showPercent val="0"/>
          <c:showBubbleSize val="0"/>
        </c:dLbls>
        <c:marker val="1"/>
        <c:smooth val="0"/>
        <c:axId val="124585472"/>
        <c:axId val="124587008"/>
      </c:lineChart>
      <c:catAx>
        <c:axId val="124585472"/>
        <c:scaling>
          <c:orientation val="minMax"/>
        </c:scaling>
        <c:delete val="0"/>
        <c:axPos val="b"/>
        <c:numFmt formatCode="General" sourceLinked="1"/>
        <c:majorTickMark val="none"/>
        <c:minorTickMark val="cross"/>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24587008"/>
        <c:crosses val="autoZero"/>
        <c:auto val="1"/>
        <c:lblAlgn val="ctr"/>
        <c:lblOffset val="100"/>
        <c:noMultiLvlLbl val="0"/>
      </c:catAx>
      <c:valAx>
        <c:axId val="1245870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585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6074931066829641E-2"/>
          <c:y val="5.2568697729988054E-2"/>
          <c:w val="0.88205160275543171"/>
          <c:h val="0.69814763121165035"/>
        </c:manualLayout>
      </c:layout>
      <c:barChart>
        <c:barDir val="col"/>
        <c:grouping val="clustered"/>
        <c:varyColors val="0"/>
        <c:ser>
          <c:idx val="0"/>
          <c:order val="0"/>
          <c:tx>
            <c:v>Ταξιδιωτικό ισοζύγιο</c:v>
          </c:tx>
          <c:spPr>
            <a:solidFill>
              <a:srgbClr val="00B0F0"/>
            </a:solidFill>
            <a:ln>
              <a:noFill/>
            </a:ln>
            <a:effectLst/>
          </c:spPr>
          <c:invertIfNegative val="0"/>
          <c:dLbls>
            <c:dLbl>
              <c:idx val="5"/>
              <c:layout>
                <c:manualLayout>
                  <c:x val="-2.0460691511034045E-2"/>
                  <c:y val="2.00630272386520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9DE-482D-9E8F-61E1B8C1C6B1}"/>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#REF!</c:f>
            </c:multiLvlStrRef>
          </c:cat>
          <c:val>
            <c:numRef>
              <c:f>annualy!$P$31:$U$31</c:f>
              <c:numCache>
                <c:formatCode>#,##0</c:formatCode>
                <c:ptCount val="6"/>
                <c:pt idx="0">
                  <c:v>12088.423000000001</c:v>
                </c:pt>
                <c:pt idx="1">
                  <c:v>11201.405000000001</c:v>
                </c:pt>
                <c:pt idx="2">
                  <c:v>12725.41</c:v>
                </c:pt>
                <c:pt idx="3">
                  <c:v>13894.79</c:v>
                </c:pt>
                <c:pt idx="4">
                  <c:v>15434.951819000002</c:v>
                </c:pt>
                <c:pt idx="5" formatCode="#,##0_ ;\-#,##0\ ">
                  <c:v>3525.94</c:v>
                </c:pt>
              </c:numCache>
            </c:numRef>
          </c:val>
          <c:extLst>
            <c:ext xmlns:c16="http://schemas.microsoft.com/office/drawing/2014/chart" uri="{C3380CC4-5D6E-409C-BE32-E72D297353CC}">
              <c16:uniqueId val="{00000001-A9DE-482D-9E8F-61E1B8C1C6B1}"/>
            </c:ext>
          </c:extLst>
        </c:ser>
        <c:ser>
          <c:idx val="2"/>
          <c:order val="1"/>
          <c:tx>
            <c:v>Ισοζύγιο μεταφορών</c:v>
          </c:tx>
          <c:spPr>
            <a:solidFill>
              <a:srgbClr val="92D050"/>
            </a:solidFill>
            <a:ln>
              <a:noFill/>
            </a:ln>
            <a:effectLst/>
          </c:spPr>
          <c:invertIfNegative val="0"/>
          <c:dLbls>
            <c:dLbl>
              <c:idx val="0"/>
              <c:layout>
                <c:manualLayout>
                  <c:x val="1.1797753330874678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9DE-482D-9E8F-61E1B8C1C6B1}"/>
                </c:ext>
              </c:extLst>
            </c:dLbl>
            <c:dLbl>
              <c:idx val="1"/>
              <c:layout>
                <c:manualLayout>
                  <c:x val="1.011235999789259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9DE-482D-9E8F-61E1B8C1C6B1}"/>
                </c:ext>
              </c:extLst>
            </c:dLbl>
            <c:dLbl>
              <c:idx val="2"/>
              <c:layout>
                <c:manualLayout>
                  <c:x val="1.0112359997892657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9DE-482D-9E8F-61E1B8C1C6B1}"/>
                </c:ext>
              </c:extLst>
            </c:dLbl>
            <c:dLbl>
              <c:idx val="3"/>
              <c:layout>
                <c:manualLayout>
                  <c:x val="1.3483146663856794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9DE-482D-9E8F-61E1B8C1C6B1}"/>
                </c:ext>
              </c:extLst>
            </c:dLbl>
            <c:dLbl>
              <c:idx val="4"/>
              <c:layout>
                <c:manualLayout>
                  <c:x val="1.3483146663856794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9DE-482D-9E8F-61E1B8C1C6B1}"/>
                </c:ext>
              </c:extLst>
            </c:dLbl>
            <c:dLbl>
              <c:idx val="5"/>
              <c:layout>
                <c:manualLayout>
                  <c:x val="8.4269666649106189E-3"/>
                  <c:y val="1.00278542734319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9DE-482D-9E8F-61E1B8C1C6B1}"/>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#REF!</c:f>
            </c:multiLvlStrRef>
          </c:cat>
          <c:val>
            <c:numRef>
              <c:f>annualy!$P$32:$U$32</c:f>
              <c:numCache>
                <c:formatCode>#,##0</c:formatCode>
                <c:ptCount val="6"/>
                <c:pt idx="0">
                  <c:v>4288.9238670000013</c:v>
                </c:pt>
                <c:pt idx="1">
                  <c:v>4585.4644009999993</c:v>
                </c:pt>
                <c:pt idx="2">
                  <c:v>4953.2419320000026</c:v>
                </c:pt>
                <c:pt idx="3">
                  <c:v>5585.571641999999</c:v>
                </c:pt>
                <c:pt idx="4">
                  <c:v>5925.6588539999993</c:v>
                </c:pt>
                <c:pt idx="5" formatCode="#,##0_ ;\-#,##0\ ">
                  <c:v>3941.2000089999983</c:v>
                </c:pt>
              </c:numCache>
            </c:numRef>
          </c:val>
          <c:extLst>
            <c:ext xmlns:c16="http://schemas.microsoft.com/office/drawing/2014/chart" uri="{C3380CC4-5D6E-409C-BE32-E72D297353CC}">
              <c16:uniqueId val="{00000008-A9DE-482D-9E8F-61E1B8C1C6B1}"/>
            </c:ext>
          </c:extLst>
        </c:ser>
        <c:ser>
          <c:idx val="3"/>
          <c:order val="2"/>
          <c:tx>
            <c:v>Ισοζύγιο λοιπών υπηρεσιών</c:v>
          </c:tx>
          <c:spPr>
            <a:solidFill>
              <a:schemeClr val="tx1">
                <a:lumMod val="50000"/>
                <a:lumOff val="50000"/>
              </a:schemeClr>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#REF!</c:f>
            </c:multiLvlStrRef>
          </c:cat>
          <c:val>
            <c:numRef>
              <c:f>annualy!$P$33:$U$33</c:f>
              <c:numCache>
                <c:formatCode>#,##0</c:formatCode>
                <c:ptCount val="6"/>
                <c:pt idx="0">
                  <c:v>203.99054899999919</c:v>
                </c:pt>
                <c:pt idx="1">
                  <c:v>510.70821399999932</c:v>
                </c:pt>
                <c:pt idx="2">
                  <c:v>365.03595200000109</c:v>
                </c:pt>
                <c:pt idx="3">
                  <c:v>-175.98685699999896</c:v>
                </c:pt>
                <c:pt idx="4">
                  <c:v>-244.74364400000104</c:v>
                </c:pt>
                <c:pt idx="5" formatCode="#,##0_ ;\-#,##0\ ">
                  <c:v>-188.81056399999852</c:v>
                </c:pt>
              </c:numCache>
            </c:numRef>
          </c:val>
          <c:extLst>
            <c:ext xmlns:c16="http://schemas.microsoft.com/office/drawing/2014/chart" uri="{C3380CC4-5D6E-409C-BE32-E72D297353CC}">
              <c16:uniqueId val="{00000009-A9DE-482D-9E8F-61E1B8C1C6B1}"/>
            </c:ext>
          </c:extLst>
        </c:ser>
        <c:dLbls>
          <c:showLegendKey val="0"/>
          <c:showVal val="0"/>
          <c:showCatName val="0"/>
          <c:showSerName val="0"/>
          <c:showPercent val="0"/>
          <c:showBubbleSize val="0"/>
        </c:dLbls>
        <c:gapWidth val="219"/>
        <c:axId val="124666624"/>
        <c:axId val="124668160"/>
      </c:barChart>
      <c:lineChart>
        <c:grouping val="standard"/>
        <c:varyColors val="0"/>
        <c:ser>
          <c:idx val="4"/>
          <c:order val="3"/>
          <c:tx>
            <c:v>Ισοζύγιο υπηρεσιών</c:v>
          </c:tx>
          <c:spPr>
            <a:ln w="28575" cap="rnd">
              <a:solidFill>
                <a:schemeClr val="tx2"/>
              </a:solidFill>
              <a:round/>
            </a:ln>
            <a:effectLst/>
          </c:spPr>
          <c:marker>
            <c:symbol val="circle"/>
            <c:size val="5"/>
            <c:spPr>
              <a:solidFill>
                <a:schemeClr val="tx2"/>
              </a:solidFill>
              <a:ln w="9525">
                <a:solidFill>
                  <a:schemeClr val="tx2"/>
                </a:solidFill>
              </a:ln>
              <a:effectLst/>
            </c:spPr>
          </c:marker>
          <c:dLbls>
            <c:dLbl>
              <c:idx val="5"/>
              <c:layout>
                <c:manualLayout>
                  <c:x val="-3.3634270445436196E-2"/>
                  <c:y val="-5.84281814271543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9DE-482D-9E8F-61E1B8C1C6B1}"/>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annualy!$P$2:$U$2</c:f>
              <c:strCache>
                <c:ptCount val="6"/>
                <c:pt idx="0">
                  <c:v>2015</c:v>
                </c:pt>
                <c:pt idx="1">
                  <c:v>2016</c:v>
                </c:pt>
                <c:pt idx="2">
                  <c:v>2017</c:v>
                </c:pt>
                <c:pt idx="3">
                  <c:v>2018</c:v>
                </c:pt>
                <c:pt idx="4">
                  <c:v>2019</c:v>
                </c:pt>
                <c:pt idx="5">
                  <c:v>2020</c:v>
                </c:pt>
              </c:strCache>
            </c:strRef>
          </c:cat>
          <c:val>
            <c:numRef>
              <c:f>annualy!$P$22:$U$22</c:f>
              <c:numCache>
                <c:formatCode>#,##0</c:formatCode>
                <c:ptCount val="6"/>
                <c:pt idx="0">
                  <c:v>16581.337416000002</c:v>
                </c:pt>
                <c:pt idx="1">
                  <c:v>16297.577614999998</c:v>
                </c:pt>
                <c:pt idx="2">
                  <c:v>18043.687883999999</c:v>
                </c:pt>
                <c:pt idx="3">
                  <c:v>19304.374785</c:v>
                </c:pt>
                <c:pt idx="4">
                  <c:v>21115.867029000005</c:v>
                </c:pt>
                <c:pt idx="5" formatCode="#,##0_ ;\-#,##0\ ">
                  <c:v>7278.3294449999994</c:v>
                </c:pt>
              </c:numCache>
            </c:numRef>
          </c:val>
          <c:smooth val="0"/>
          <c:extLst>
            <c:ext xmlns:c16="http://schemas.microsoft.com/office/drawing/2014/chart" uri="{C3380CC4-5D6E-409C-BE32-E72D297353CC}">
              <c16:uniqueId val="{0000000B-A9DE-482D-9E8F-61E1B8C1C6B1}"/>
            </c:ext>
          </c:extLst>
        </c:ser>
        <c:dLbls>
          <c:showLegendKey val="0"/>
          <c:showVal val="0"/>
          <c:showCatName val="0"/>
          <c:showSerName val="0"/>
          <c:showPercent val="0"/>
          <c:showBubbleSize val="0"/>
        </c:dLbls>
        <c:marker val="1"/>
        <c:smooth val="0"/>
        <c:axId val="124666624"/>
        <c:axId val="124668160"/>
      </c:lineChart>
      <c:catAx>
        <c:axId val="124666624"/>
        <c:scaling>
          <c:orientation val="minMax"/>
        </c:scaling>
        <c:delete val="0"/>
        <c:axPos val="b"/>
        <c:numFmt formatCode="0" sourceLinked="1"/>
        <c:majorTickMark val="none"/>
        <c:minorTickMark val="none"/>
        <c:tickLblPos val="low"/>
        <c:spPr>
          <a:noFill/>
          <a:ln w="9525" cap="flat" cmpd="sng" algn="ctr">
            <a:solidFill>
              <a:srgbClr val="C00000"/>
            </a:solidFill>
            <a:prstDash val="dash"/>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24668160"/>
        <c:crosses val="autoZero"/>
        <c:auto val="1"/>
        <c:lblAlgn val="ctr"/>
        <c:lblOffset val="100"/>
        <c:noMultiLvlLbl val="0"/>
      </c:catAx>
      <c:valAx>
        <c:axId val="124668160"/>
        <c:scaling>
          <c:orientation val="minMax"/>
          <c:min val="-30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666624"/>
        <c:crosses val="autoZero"/>
        <c:crossBetween val="between"/>
      </c:valAx>
      <c:spPr>
        <a:noFill/>
        <a:ln>
          <a:noFill/>
        </a:ln>
        <a:effectLst/>
      </c:spPr>
    </c:plotArea>
    <c:legend>
      <c:legendPos val="b"/>
      <c:layout>
        <c:manualLayout>
          <c:xMode val="edge"/>
          <c:yMode val="edge"/>
          <c:x val="0.211900849938884"/>
          <c:y val="0.84395895329137371"/>
          <c:w val="0.66471663966191941"/>
          <c:h val="0.1302281300858897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v>Ταξιδιωτικές εισπράξεις 2020</c:v>
          </c:tx>
          <c:spPr>
            <a:ln w="28575" cap="rnd">
              <a:solidFill>
                <a:srgbClr val="00B0F0"/>
              </a:solidFill>
              <a:round/>
            </a:ln>
            <a:effectLst/>
          </c:spPr>
          <c:marker>
            <c:symbol val="circle"/>
            <c:size val="5"/>
            <c:spPr>
              <a:solidFill>
                <a:srgbClr val="00B0F0"/>
              </a:solidFill>
              <a:ln w="9525">
                <a:solidFill>
                  <a:srgbClr val="00B0F0"/>
                </a:solidFill>
              </a:ln>
              <a:effectLst/>
            </c:spPr>
          </c:marker>
          <c:dLbls>
            <c:dLbl>
              <c:idx val="2"/>
              <c:layout>
                <c:manualLayout>
                  <c:x val="-6.8866564794761052E-3"/>
                  <c:y val="-1.40762489345831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15D-4366-BD21-B7E9EC11FB9B}"/>
                </c:ext>
              </c:extLst>
            </c:dLbl>
            <c:dLbl>
              <c:idx val="3"/>
              <c:layout>
                <c:manualLayout>
                  <c:x val="-2.1641317986753759E-2"/>
                  <c:y val="-2.851327102099356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15D-4366-BD21-B7E9EC11FB9B}"/>
                </c:ext>
              </c:extLst>
            </c:dLbl>
            <c:dLbl>
              <c:idx val="4"/>
              <c:layout>
                <c:manualLayout>
                  <c:x val="-2.3362982106622795E-2"/>
                  <c:y val="-2.851327102099356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15D-4366-BD21-B7E9EC11FB9B}"/>
                </c:ext>
              </c:extLst>
            </c:dLbl>
            <c:dLbl>
              <c:idx val="10"/>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15D-4366-BD21-B7E9EC11FB9B}"/>
                </c:ext>
              </c:extLst>
            </c:dLbl>
            <c:dLbl>
              <c:idx val="11"/>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15D-4366-BD21-B7E9EC11FB9B}"/>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70C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'monthly 2_21'!$HK$1:$HV$1</c:f>
              <c:strCache>
                <c:ptCount val="12"/>
                <c:pt idx="0">
                  <c:v>Ιαν.</c:v>
                </c:pt>
                <c:pt idx="1">
                  <c:v>Φεβ.</c:v>
                </c:pt>
                <c:pt idx="2">
                  <c:v>Μάρ.</c:v>
                </c:pt>
                <c:pt idx="3">
                  <c:v>Απρ.</c:v>
                </c:pt>
                <c:pt idx="4">
                  <c:v>Μάιος</c:v>
                </c:pt>
                <c:pt idx="5">
                  <c:v>Ιούν.</c:v>
                </c:pt>
                <c:pt idx="6">
                  <c:v>Ιούλ.</c:v>
                </c:pt>
                <c:pt idx="7">
                  <c:v>Αύγ.</c:v>
                </c:pt>
                <c:pt idx="8">
                  <c:v>Σεπ.</c:v>
                </c:pt>
                <c:pt idx="9">
                  <c:v>Οκτ.</c:v>
                </c:pt>
                <c:pt idx="10">
                  <c:v>Νοεμ.</c:v>
                </c:pt>
                <c:pt idx="11">
                  <c:v>Δεκ.</c:v>
                </c:pt>
              </c:strCache>
            </c:strRef>
          </c:cat>
          <c:val>
            <c:numRef>
              <c:f>'monthly 2_21'!$HK$25:$HV$25</c:f>
              <c:numCache>
                <c:formatCode>#,##0.0</c:formatCode>
                <c:ptCount val="12"/>
                <c:pt idx="0">
                  <c:v>280.58999999999997</c:v>
                </c:pt>
                <c:pt idx="1">
                  <c:v>221.21</c:v>
                </c:pt>
                <c:pt idx="2">
                  <c:v>91.51</c:v>
                </c:pt>
                <c:pt idx="3">
                  <c:v>13.81</c:v>
                </c:pt>
                <c:pt idx="4">
                  <c:v>43.57</c:v>
                </c:pt>
                <c:pt idx="5">
                  <c:v>83.07</c:v>
                </c:pt>
                <c:pt idx="6">
                  <c:v>677.94</c:v>
                </c:pt>
                <c:pt idx="7">
                  <c:v>1380.83</c:v>
                </c:pt>
                <c:pt idx="8">
                  <c:v>867.6</c:v>
                </c:pt>
                <c:pt idx="9">
                  <c:v>553.57000000000005</c:v>
                </c:pt>
                <c:pt idx="10">
                  <c:v>70.260000000000005</c:v>
                </c:pt>
                <c:pt idx="11">
                  <c:v>34.83</c:v>
                </c:pt>
              </c:numCache>
            </c:numRef>
          </c:val>
          <c:smooth val="0"/>
          <c:extLst>
            <c:ext xmlns:c16="http://schemas.microsoft.com/office/drawing/2014/chart" uri="{C3380CC4-5D6E-409C-BE32-E72D297353CC}">
              <c16:uniqueId val="{00000005-715D-4366-BD21-B7E9EC11FB9B}"/>
            </c:ext>
          </c:extLst>
        </c:ser>
        <c:ser>
          <c:idx val="1"/>
          <c:order val="1"/>
          <c:tx>
            <c:v>Ταξιδιωτικές εισπράξεις 2019</c:v>
          </c:tx>
          <c:spPr>
            <a:ln w="28575" cap="rnd">
              <a:solidFill>
                <a:srgbClr val="92D050"/>
              </a:solidFill>
              <a:round/>
            </a:ln>
            <a:effectLst/>
          </c:spPr>
          <c:marker>
            <c:symbol val="circle"/>
            <c:size val="5"/>
            <c:spPr>
              <a:solidFill>
                <a:srgbClr val="92D050"/>
              </a:solidFill>
              <a:ln w="9525">
                <a:solidFill>
                  <a:srgbClr val="92D050"/>
                </a:solidFill>
              </a:ln>
              <a:effectLst/>
            </c:spPr>
          </c:marker>
          <c:dLbls>
            <c:dLbl>
              <c:idx val="0"/>
              <c:layout>
                <c:manualLayout>
                  <c:x val="-2.772746843254276E-2"/>
                  <c:y val="3.90704577219309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15D-4366-BD21-B7E9EC11FB9B}"/>
                </c:ext>
              </c:extLst>
            </c:dLbl>
            <c:dLbl>
              <c:idx val="1"/>
              <c:layout>
                <c:manualLayout>
                  <c:x val="-2.772746843254276E-2"/>
                  <c:y val="3.55513954882851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15D-4366-BD21-B7E9EC11FB9B}"/>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B05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'monthly 2_21'!$HK$1:$HV$1</c:f>
              <c:strCache>
                <c:ptCount val="12"/>
                <c:pt idx="0">
                  <c:v>Ιαν.</c:v>
                </c:pt>
                <c:pt idx="1">
                  <c:v>Φεβ.</c:v>
                </c:pt>
                <c:pt idx="2">
                  <c:v>Μάρ.</c:v>
                </c:pt>
                <c:pt idx="3">
                  <c:v>Απρ.</c:v>
                </c:pt>
                <c:pt idx="4">
                  <c:v>Μάιος</c:v>
                </c:pt>
                <c:pt idx="5">
                  <c:v>Ιούν.</c:v>
                </c:pt>
                <c:pt idx="6">
                  <c:v>Ιούλ.</c:v>
                </c:pt>
                <c:pt idx="7">
                  <c:v>Αύγ.</c:v>
                </c:pt>
                <c:pt idx="8">
                  <c:v>Σεπ.</c:v>
                </c:pt>
                <c:pt idx="9">
                  <c:v>Οκτ.</c:v>
                </c:pt>
                <c:pt idx="10">
                  <c:v>Νοεμ.</c:v>
                </c:pt>
                <c:pt idx="11">
                  <c:v>Δεκ.</c:v>
                </c:pt>
              </c:strCache>
            </c:strRef>
          </c:cat>
          <c:val>
            <c:numRef>
              <c:f>'monthly 2_21'!$GY$25:$HJ$25</c:f>
              <c:numCache>
                <c:formatCode>#,##0.0</c:formatCode>
                <c:ptCount val="12"/>
                <c:pt idx="0">
                  <c:v>230.38</c:v>
                </c:pt>
                <c:pt idx="1">
                  <c:v>198.46</c:v>
                </c:pt>
                <c:pt idx="2">
                  <c:v>317.697</c:v>
                </c:pt>
                <c:pt idx="3">
                  <c:v>543.45000000000005</c:v>
                </c:pt>
                <c:pt idx="4">
                  <c:v>1566.1</c:v>
                </c:pt>
                <c:pt idx="5">
                  <c:v>2557.64</c:v>
                </c:pt>
                <c:pt idx="6">
                  <c:v>3702.77</c:v>
                </c:pt>
                <c:pt idx="7">
                  <c:v>4104.37</c:v>
                </c:pt>
                <c:pt idx="8">
                  <c:v>2886.25</c:v>
                </c:pt>
                <c:pt idx="9">
                  <c:v>1461.8814540000001</c:v>
                </c:pt>
                <c:pt idx="10">
                  <c:v>315.386008</c:v>
                </c:pt>
                <c:pt idx="11">
                  <c:v>294.40900900000003</c:v>
                </c:pt>
              </c:numCache>
            </c:numRef>
          </c:val>
          <c:smooth val="0"/>
          <c:extLst>
            <c:ext xmlns:c16="http://schemas.microsoft.com/office/drawing/2014/chart" uri="{C3380CC4-5D6E-409C-BE32-E72D297353CC}">
              <c16:uniqueId val="{00000008-715D-4366-BD21-B7E9EC11FB9B}"/>
            </c:ext>
          </c:extLst>
        </c:ser>
        <c:dLbls>
          <c:showLegendKey val="0"/>
          <c:showVal val="0"/>
          <c:showCatName val="0"/>
          <c:showSerName val="0"/>
          <c:showPercent val="0"/>
          <c:showBubbleSize val="0"/>
        </c:dLbls>
        <c:marker val="1"/>
        <c:smooth val="0"/>
        <c:axId val="124711296"/>
        <c:axId val="124712832"/>
      </c:lineChart>
      <c:catAx>
        <c:axId val="124711296"/>
        <c:scaling>
          <c:orientation val="minMax"/>
        </c:scaling>
        <c:delete val="0"/>
        <c:axPos val="b"/>
        <c:numFmt formatCode="General" sourceLinked="1"/>
        <c:majorTickMark val="none"/>
        <c:minorTickMark val="cross"/>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712832"/>
        <c:crosses val="autoZero"/>
        <c:auto val="1"/>
        <c:lblAlgn val="ctr"/>
        <c:lblOffset val="100"/>
        <c:noMultiLvlLbl val="0"/>
      </c:catAx>
      <c:valAx>
        <c:axId val="1247128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711296"/>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rgbClr val="0070C0"/>
                </a:solidFill>
                <a:latin typeface="+mn-lt"/>
                <a:ea typeface="+mn-ea"/>
                <a:cs typeface="+mn-cs"/>
              </a:defRPr>
            </a:pPr>
            <a:endParaRPr lang="en-US"/>
          </a:p>
        </c:txPr>
      </c:legendEntry>
      <c:legendEntry>
        <c:idx val="1"/>
        <c:txPr>
          <a:bodyPr rot="0" spcFirstLastPara="1" vertOverflow="ellipsis" vert="horz" wrap="square" anchor="ctr" anchorCtr="1"/>
          <a:lstStyle/>
          <a:p>
            <a:pPr>
              <a:defRPr sz="900" b="0" i="0" u="none" strike="noStrike" kern="1200" baseline="0">
                <a:solidFill>
                  <a:srgbClr val="00B050"/>
                </a:solidFill>
                <a:latin typeface="+mn-lt"/>
                <a:ea typeface="+mn-ea"/>
                <a:cs typeface="+mn-cs"/>
              </a:defRPr>
            </a:pPr>
            <a:endParaRPr lang="en-US"/>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v>Ξένες άμεσες επενδύσεις</c:v>
          </c:tx>
          <c:spPr>
            <a:solidFill>
              <a:srgbClr val="00B0F0"/>
            </a:solidFill>
            <a:ln w="25400">
              <a:noFill/>
            </a:ln>
          </c:spPr>
          <c:invertIfNegative val="0"/>
          <c:dLbls>
            <c:numFmt formatCode="#,##0_ ;[Red]\-#,##0\ " sourceLinked="0"/>
            <c:spPr>
              <a:noFill/>
              <a:ln>
                <a:noFill/>
              </a:ln>
              <a:effectLst/>
            </c:spPr>
            <c:txPr>
              <a:bodyPr wrap="square" lIns="38100" tIns="19050" rIns="38100" bIns="19050" anchor="ctr">
                <a:spAutoFit/>
              </a:bodyPr>
              <a:lstStyle/>
              <a:p>
                <a:pPr>
                  <a:defRPr sz="1000" b="1">
                    <a:solidFill>
                      <a:srgbClr val="0070C0"/>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annualy!$O$2:$U$2</c:f>
              <c:strCache>
                <c:ptCount val="7"/>
                <c:pt idx="0">
                  <c:v>2014</c:v>
                </c:pt>
                <c:pt idx="1">
                  <c:v>2015</c:v>
                </c:pt>
                <c:pt idx="2">
                  <c:v>2016</c:v>
                </c:pt>
                <c:pt idx="3">
                  <c:v>2017</c:v>
                </c:pt>
                <c:pt idx="4">
                  <c:v>2018</c:v>
                </c:pt>
                <c:pt idx="5">
                  <c:v>2019</c:v>
                </c:pt>
                <c:pt idx="6">
                  <c:v>2020</c:v>
                </c:pt>
              </c:strCache>
            </c:strRef>
          </c:cat>
          <c:val>
            <c:numRef>
              <c:f>annualy!$O$67:$U$67</c:f>
              <c:numCache>
                <c:formatCode>#,##0</c:formatCode>
                <c:ptCount val="7"/>
                <c:pt idx="0">
                  <c:v>2025.8540529999998</c:v>
                </c:pt>
                <c:pt idx="1">
                  <c:v>1146.793144</c:v>
                </c:pt>
                <c:pt idx="2">
                  <c:v>2452.79909</c:v>
                </c:pt>
                <c:pt idx="3">
                  <c:v>3078.7648209999998</c:v>
                </c:pt>
                <c:pt idx="4">
                  <c:v>3398.52358</c:v>
                </c:pt>
                <c:pt idx="5">
                  <c:v>4472.8791500000007</c:v>
                </c:pt>
                <c:pt idx="6" formatCode="#,##0_ ;\-#,##0\ ">
                  <c:v>3215.6594150000001</c:v>
                </c:pt>
              </c:numCache>
            </c:numRef>
          </c:val>
          <c:extLst>
            <c:ext xmlns:c16="http://schemas.microsoft.com/office/drawing/2014/chart" uri="{C3380CC4-5D6E-409C-BE32-E72D297353CC}">
              <c16:uniqueId val="{00000000-2762-4C9D-824C-7C3911D86C77}"/>
            </c:ext>
          </c:extLst>
        </c:ser>
        <c:dLbls>
          <c:dLblPos val="outEnd"/>
          <c:showLegendKey val="0"/>
          <c:showVal val="1"/>
          <c:showCatName val="0"/>
          <c:showSerName val="0"/>
          <c:showPercent val="0"/>
          <c:showBubbleSize val="0"/>
        </c:dLbls>
        <c:gapWidth val="100"/>
        <c:overlap val="100"/>
        <c:axId val="124831232"/>
        <c:axId val="129569152"/>
      </c:barChart>
      <c:catAx>
        <c:axId val="12483123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29569152"/>
        <c:crosses val="autoZero"/>
        <c:auto val="1"/>
        <c:lblAlgn val="ctr"/>
        <c:lblOffset val="100"/>
        <c:noMultiLvlLbl val="0"/>
      </c:catAx>
      <c:valAx>
        <c:axId val="1295691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831232"/>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ΑΠΟΤΕΛΕΣΜΑΤΑ!$A$18</c:f>
              <c:strCache>
                <c:ptCount val="1"/>
                <c:pt idx="0">
                  <c:v>Σύνολο Μη Εξυπηρετούμενων Δανείων (προ προβλέψεων) - ΑΑ</c:v>
                </c:pt>
              </c:strCache>
            </c:strRef>
          </c:tx>
          <c:spPr>
            <a:solidFill>
              <a:schemeClr val="accent1"/>
            </a:solidFill>
            <a:ln>
              <a:solidFill>
                <a:srgbClr val="00B0F0"/>
              </a:solidFill>
            </a:ln>
            <a:effectLst/>
          </c:spPr>
          <c:invertIfNegative val="0"/>
          <c:dLbls>
            <c:dLbl>
              <c:idx val="3"/>
              <c:layout>
                <c:manualLayout>
                  <c:x val="-4.501687304493257E-17"/>
                  <c:y val="0.10486891385767791"/>
                </c:manualLayout>
              </c:layout>
              <c:spPr>
                <a:solidFill>
                  <a:schemeClr val="lt1"/>
                </a:solidFill>
                <a:ln w="12700" cap="flat" cmpd="sng" algn="ctr">
                  <a:solidFill>
                    <a:schemeClr val="accent5"/>
                  </a:solidFill>
                  <a:prstDash val="solid"/>
                  <a:miter lim="800000"/>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dk1"/>
                      </a:solidFill>
                      <a:latin typeface="Trebuchet MS" panose="020B0603020202020204" pitchFamily="34"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45F-4565-B0E4-9055431C0DE0}"/>
                </c:ext>
              </c:extLst>
            </c:dLbl>
            <c:dLbl>
              <c:idx val="7"/>
              <c:layout>
                <c:manualLayout>
                  <c:x val="-9.003374608986514E-17"/>
                  <c:y val="9.4881398252184765E-2"/>
                </c:manualLayout>
              </c:layout>
              <c:spPr>
                <a:solidFill>
                  <a:schemeClr val="lt1"/>
                </a:solidFill>
                <a:ln w="12700" cap="flat" cmpd="sng" algn="ctr">
                  <a:solidFill>
                    <a:schemeClr val="accent5"/>
                  </a:solidFill>
                  <a:prstDash val="solid"/>
                  <a:miter lim="800000"/>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dk1"/>
                      </a:solidFill>
                      <a:latin typeface="Trebuchet MS" panose="020B0603020202020204" pitchFamily="34"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45F-4565-B0E4-9055431C0DE0}"/>
                </c:ext>
              </c:extLst>
            </c:dLbl>
            <c:dLbl>
              <c:idx val="11"/>
              <c:layout>
                <c:manualLayout>
                  <c:x val="2.4554941682013503E-3"/>
                  <c:y val="0.11985018726591765"/>
                </c:manualLayout>
              </c:layout>
              <c:spPr>
                <a:solidFill>
                  <a:schemeClr val="lt1"/>
                </a:solidFill>
                <a:ln w="12700" cap="flat" cmpd="sng" algn="ctr">
                  <a:solidFill>
                    <a:schemeClr val="accent5"/>
                  </a:solidFill>
                  <a:prstDash val="solid"/>
                  <a:miter lim="800000"/>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dk1"/>
                      </a:solidFill>
                      <a:latin typeface="Trebuchet MS" panose="020B0603020202020204" pitchFamily="34"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45F-4565-B0E4-9055431C0DE0}"/>
                </c:ext>
              </c:extLst>
            </c:dLbl>
            <c:dLbl>
              <c:idx val="15"/>
              <c:layout>
                <c:manualLayout>
                  <c:x val="0"/>
                  <c:y val="7.990012484394507E-2"/>
                </c:manualLayout>
              </c:layout>
              <c:spPr>
                <a:solidFill>
                  <a:schemeClr val="lt1"/>
                </a:solidFill>
                <a:ln w="12700" cap="flat" cmpd="sng" algn="ctr">
                  <a:solidFill>
                    <a:schemeClr val="accent5"/>
                  </a:solidFill>
                  <a:prstDash val="solid"/>
                  <a:miter lim="800000"/>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dk1"/>
                      </a:solidFill>
                      <a:latin typeface="Trebuchet MS" panose="020B0603020202020204" pitchFamily="34"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45F-4565-B0E4-9055431C0DE0}"/>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rebuchet MS" panose="020B0603020202020204" pitchFamily="34"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ΑΠΟΤΕΛΕΣΜΑΤΑ!$B$17:$Q$17</c:f>
              <c:numCache>
                <c:formatCode>mmm\ yyyy;@</c:formatCode>
                <c:ptCount val="16"/>
                <c:pt idx="0">
                  <c:v>42825</c:v>
                </c:pt>
                <c:pt idx="1">
                  <c:v>42916</c:v>
                </c:pt>
                <c:pt idx="2">
                  <c:v>43008</c:v>
                </c:pt>
                <c:pt idx="3">
                  <c:v>43100</c:v>
                </c:pt>
                <c:pt idx="4">
                  <c:v>43190</c:v>
                </c:pt>
                <c:pt idx="5">
                  <c:v>43281</c:v>
                </c:pt>
                <c:pt idx="6">
                  <c:v>43373</c:v>
                </c:pt>
                <c:pt idx="7">
                  <c:v>43465</c:v>
                </c:pt>
                <c:pt idx="8">
                  <c:v>43555</c:v>
                </c:pt>
                <c:pt idx="9">
                  <c:v>43646</c:v>
                </c:pt>
                <c:pt idx="10">
                  <c:v>43738</c:v>
                </c:pt>
                <c:pt idx="11">
                  <c:v>43830</c:v>
                </c:pt>
                <c:pt idx="12">
                  <c:v>43921</c:v>
                </c:pt>
                <c:pt idx="13">
                  <c:v>44012</c:v>
                </c:pt>
                <c:pt idx="14">
                  <c:v>44104</c:v>
                </c:pt>
                <c:pt idx="15">
                  <c:v>44196</c:v>
                </c:pt>
              </c:numCache>
            </c:numRef>
          </c:cat>
          <c:val>
            <c:numRef>
              <c:f>ΑΠΟΤΕΛΕΣΜΑΤΑ!$B$18:$Q$18</c:f>
              <c:numCache>
                <c:formatCode>0.0</c:formatCode>
                <c:ptCount val="16"/>
                <c:pt idx="0">
                  <c:v>103.7664862</c:v>
                </c:pt>
                <c:pt idx="1">
                  <c:v>101.8007246</c:v>
                </c:pt>
                <c:pt idx="2">
                  <c:v>99.107240569999988</c:v>
                </c:pt>
                <c:pt idx="3">
                  <c:v>94.432951660000001</c:v>
                </c:pt>
                <c:pt idx="4">
                  <c:v>92.454522130000001</c:v>
                </c:pt>
                <c:pt idx="5">
                  <c:v>88.881227690000003</c:v>
                </c:pt>
                <c:pt idx="6">
                  <c:v>84.718804659999989</c:v>
                </c:pt>
                <c:pt idx="7">
                  <c:v>81.801047220000001</c:v>
                </c:pt>
                <c:pt idx="8">
                  <c:v>79.898628389999985</c:v>
                </c:pt>
                <c:pt idx="9">
                  <c:v>75.378997309999988</c:v>
                </c:pt>
                <c:pt idx="10">
                  <c:v>71.241202639999997</c:v>
                </c:pt>
                <c:pt idx="11">
                  <c:v>68.525383510000012</c:v>
                </c:pt>
                <c:pt idx="12">
                  <c:v>62.233325239999999</c:v>
                </c:pt>
                <c:pt idx="13">
                  <c:v>61.02533025000001</c:v>
                </c:pt>
                <c:pt idx="14">
                  <c:v>60.033130949999993</c:v>
                </c:pt>
                <c:pt idx="15">
                  <c:v>47.445112250000001</c:v>
                </c:pt>
              </c:numCache>
            </c:numRef>
          </c:val>
          <c:extLst>
            <c:ext xmlns:c16="http://schemas.microsoft.com/office/drawing/2014/chart" uri="{C3380CC4-5D6E-409C-BE32-E72D297353CC}">
              <c16:uniqueId val="{00000004-445F-4565-B0E4-9055431C0DE0}"/>
            </c:ext>
          </c:extLst>
        </c:ser>
        <c:dLbls>
          <c:showLegendKey val="0"/>
          <c:showVal val="0"/>
          <c:showCatName val="0"/>
          <c:showSerName val="0"/>
          <c:showPercent val="0"/>
          <c:showBubbleSize val="0"/>
        </c:dLbls>
        <c:gapWidth val="1"/>
        <c:overlap val="-27"/>
        <c:axId val="630455400"/>
        <c:axId val="630453104"/>
      </c:barChart>
      <c:lineChart>
        <c:grouping val="standard"/>
        <c:varyColors val="0"/>
        <c:ser>
          <c:idx val="1"/>
          <c:order val="1"/>
          <c:tx>
            <c:strRef>
              <c:f>ΑΠΟΤΕΛΕΣΜΑΤΑ!$A$19</c:f>
              <c:strCache>
                <c:ptCount val="1"/>
                <c:pt idx="0">
                  <c:v>% Μη εξυπηρετούμενα δάνεια  - ΔΑ</c:v>
                </c:pt>
              </c:strCache>
            </c:strRef>
          </c:tx>
          <c:spPr>
            <a:ln w="28575" cap="rnd">
              <a:solidFill>
                <a:srgbClr val="92D050"/>
              </a:solidFill>
              <a:round/>
            </a:ln>
            <a:effectLst/>
          </c:spPr>
          <c:marker>
            <c:symbol val="circle"/>
            <c:size val="5"/>
            <c:spPr>
              <a:solidFill>
                <a:srgbClr val="92D050"/>
              </a:solidFill>
              <a:ln w="9525">
                <a:solidFill>
                  <a:srgbClr val="92D050"/>
                </a:solidFill>
              </a:ln>
              <a:effectLst/>
            </c:spPr>
          </c:marker>
          <c:dLbls>
            <c:dLbl>
              <c:idx val="0"/>
              <c:layout>
                <c:manualLayout>
                  <c:x val="-3.437691835481891E-2"/>
                  <c:y val="-6.49188514357053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45F-4565-B0E4-9055431C0DE0}"/>
                </c:ext>
              </c:extLst>
            </c:dLbl>
            <c:dLbl>
              <c:idx val="11"/>
              <c:layout>
                <c:manualLayout>
                  <c:x val="-4.4198895027624308E-2"/>
                  <c:y val="-4.494382022471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45F-4565-B0E4-9055431C0DE0}"/>
                </c:ext>
              </c:extLst>
            </c:dLbl>
            <c:dLbl>
              <c:idx val="15"/>
              <c:layout>
                <c:manualLayout>
                  <c:x val="-4.4198895027624308E-2"/>
                  <c:y val="-5.49313358302122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45F-4565-B0E4-9055431C0DE0}"/>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6">
                        <a:lumMod val="75000"/>
                      </a:schemeClr>
                    </a:solidFill>
                    <a:latin typeface="Trebuchet MS" panose="020B0603020202020204" pitchFamily="34"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ΑΠΟΤΕΛΕΣΜΑΤΑ!$B$17:$Q$17</c:f>
              <c:numCache>
                <c:formatCode>mmm\ yyyy;@</c:formatCode>
                <c:ptCount val="16"/>
                <c:pt idx="0">
                  <c:v>42825</c:v>
                </c:pt>
                <c:pt idx="1">
                  <c:v>42916</c:v>
                </c:pt>
                <c:pt idx="2">
                  <c:v>43008</c:v>
                </c:pt>
                <c:pt idx="3">
                  <c:v>43100</c:v>
                </c:pt>
                <c:pt idx="4">
                  <c:v>43190</c:v>
                </c:pt>
                <c:pt idx="5">
                  <c:v>43281</c:v>
                </c:pt>
                <c:pt idx="6">
                  <c:v>43373</c:v>
                </c:pt>
                <c:pt idx="7">
                  <c:v>43465</c:v>
                </c:pt>
                <c:pt idx="8">
                  <c:v>43555</c:v>
                </c:pt>
                <c:pt idx="9">
                  <c:v>43646</c:v>
                </c:pt>
                <c:pt idx="10">
                  <c:v>43738</c:v>
                </c:pt>
                <c:pt idx="11">
                  <c:v>43830</c:v>
                </c:pt>
                <c:pt idx="12">
                  <c:v>43921</c:v>
                </c:pt>
                <c:pt idx="13">
                  <c:v>44012</c:v>
                </c:pt>
                <c:pt idx="14">
                  <c:v>44104</c:v>
                </c:pt>
                <c:pt idx="15">
                  <c:v>44196</c:v>
                </c:pt>
              </c:numCache>
            </c:numRef>
          </c:cat>
          <c:val>
            <c:numRef>
              <c:f>ΑΠΟΤΕΛΕΣΜΑΤΑ!$B$19:$Q$19</c:f>
              <c:numCache>
                <c:formatCode>0.0%</c:formatCode>
                <c:ptCount val="16"/>
                <c:pt idx="0">
                  <c:v>0.49145226853940049</c:v>
                </c:pt>
                <c:pt idx="1">
                  <c:v>0.49090987454788204</c:v>
                </c:pt>
                <c:pt idx="2">
                  <c:v>0.48707553795079611</c:v>
                </c:pt>
                <c:pt idx="3">
                  <c:v>0.47189215342291768</c:v>
                </c:pt>
                <c:pt idx="4">
                  <c:v>0.48561730043018103</c:v>
                </c:pt>
                <c:pt idx="5">
                  <c:v>0.47821581015412484</c:v>
                </c:pt>
                <c:pt idx="6">
                  <c:v>0.46736615417680272</c:v>
                </c:pt>
                <c:pt idx="7">
                  <c:v>0.45399551474979127</c:v>
                </c:pt>
                <c:pt idx="8">
                  <c:v>0.45116090098429418</c:v>
                </c:pt>
                <c:pt idx="9">
                  <c:v>0.43578946512567851</c:v>
                </c:pt>
                <c:pt idx="10">
                  <c:v>0.42071785423366337</c:v>
                </c:pt>
                <c:pt idx="11">
                  <c:v>0.40617882697984997</c:v>
                </c:pt>
                <c:pt idx="12">
                  <c:v>0.37849696485217998</c:v>
                </c:pt>
                <c:pt idx="13">
                  <c:v>0.37185776602061865</c:v>
                </c:pt>
                <c:pt idx="14">
                  <c:v>0.36306869046132528</c:v>
                </c:pt>
                <c:pt idx="15">
                  <c:v>0.30158579397720287</c:v>
                </c:pt>
              </c:numCache>
            </c:numRef>
          </c:val>
          <c:smooth val="0"/>
          <c:extLst>
            <c:ext xmlns:c16="http://schemas.microsoft.com/office/drawing/2014/chart" uri="{C3380CC4-5D6E-409C-BE32-E72D297353CC}">
              <c16:uniqueId val="{00000008-445F-4565-B0E4-9055431C0DE0}"/>
            </c:ext>
          </c:extLst>
        </c:ser>
        <c:dLbls>
          <c:showLegendKey val="0"/>
          <c:showVal val="0"/>
          <c:showCatName val="0"/>
          <c:showSerName val="0"/>
          <c:showPercent val="0"/>
          <c:showBubbleSize val="0"/>
        </c:dLbls>
        <c:marker val="1"/>
        <c:smooth val="0"/>
        <c:axId val="629723760"/>
        <c:axId val="629722776"/>
      </c:lineChart>
      <c:dateAx>
        <c:axId val="630455400"/>
        <c:scaling>
          <c:orientation val="minMax"/>
        </c:scaling>
        <c:delete val="0"/>
        <c:axPos val="b"/>
        <c:numFmt formatCode="mmm\ 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rebuchet MS" panose="020B0603020202020204" pitchFamily="34" charset="0"/>
                <a:ea typeface="+mn-ea"/>
                <a:cs typeface="+mn-cs"/>
              </a:defRPr>
            </a:pPr>
            <a:endParaRPr lang="en-US"/>
          </a:p>
        </c:txPr>
        <c:crossAx val="630453104"/>
        <c:crosses val="autoZero"/>
        <c:auto val="1"/>
        <c:lblOffset val="100"/>
        <c:baseTimeUnit val="months"/>
        <c:majorUnit val="3"/>
        <c:majorTimeUnit val="months"/>
      </c:dateAx>
      <c:valAx>
        <c:axId val="630453104"/>
        <c:scaling>
          <c:orientation val="minMax"/>
          <c:min val="2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rebuchet MS" panose="020B0603020202020204" pitchFamily="34" charset="0"/>
                <a:ea typeface="+mn-ea"/>
                <a:cs typeface="+mn-cs"/>
              </a:defRPr>
            </a:pPr>
            <a:endParaRPr lang="en-US"/>
          </a:p>
        </c:txPr>
        <c:crossAx val="630455400"/>
        <c:crosses val="autoZero"/>
        <c:crossBetween val="between"/>
        <c:majorUnit val="20"/>
      </c:valAx>
      <c:valAx>
        <c:axId val="629722776"/>
        <c:scaling>
          <c:orientation val="minMax"/>
          <c:min val="0"/>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rebuchet MS" panose="020B0603020202020204" pitchFamily="34" charset="0"/>
                <a:ea typeface="+mn-ea"/>
                <a:cs typeface="+mn-cs"/>
              </a:defRPr>
            </a:pPr>
            <a:endParaRPr lang="en-US"/>
          </a:p>
        </c:txPr>
        <c:crossAx val="629723760"/>
        <c:crosses val="max"/>
        <c:crossBetween val="between"/>
      </c:valAx>
      <c:dateAx>
        <c:axId val="629723760"/>
        <c:scaling>
          <c:orientation val="minMax"/>
        </c:scaling>
        <c:delete val="1"/>
        <c:axPos val="b"/>
        <c:numFmt formatCode="mmm\ yyyy;@" sourceLinked="1"/>
        <c:majorTickMark val="out"/>
        <c:minorTickMark val="none"/>
        <c:tickLblPos val="nextTo"/>
        <c:crossAx val="629722776"/>
        <c:crosses val="autoZero"/>
        <c:auto val="1"/>
        <c:lblOffset val="100"/>
        <c:baseTimeUnit val="months"/>
      </c:date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ΑΠΟΤΕΛΕΣΜΑΤΑ!$A$20</c:f>
              <c:strCache>
                <c:ptCount val="1"/>
                <c:pt idx="0">
                  <c:v>Καταναλωτικά</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layout>
                <c:manualLayout>
                  <c:x val="-3.050133387488347E-2"/>
                  <c:y val="-5.07937689674831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089-4A97-B79C-2EA4AF7FDCC7}"/>
                </c:ext>
              </c:extLst>
            </c:dLbl>
            <c:dLbl>
              <c:idx val="11"/>
              <c:layout>
                <c:manualLayout>
                  <c:x val="-3.7514654161781943E-2"/>
                  <c:y val="-4.47872605125653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089-4A97-B79C-2EA4AF7FDCC7}"/>
                </c:ext>
              </c:extLst>
            </c:dLbl>
            <c:dLbl>
              <c:idx val="15"/>
              <c:layout>
                <c:manualLayout>
                  <c:x val="-4.6893317702227429E-3"/>
                  <c:y val="-5.40542658592159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089-4A97-B79C-2EA4AF7FDCC7}"/>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B050"/>
                    </a:solidFill>
                    <a:latin typeface="Trebuchet MS" panose="020B0603020202020204" pitchFamily="34"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ΑΠΟΤΕΛΕΣΜΑΤΑ!$B$17:$Q$17</c:f>
              <c:numCache>
                <c:formatCode>mmm\ yyyy;@</c:formatCode>
                <c:ptCount val="16"/>
                <c:pt idx="0">
                  <c:v>42825</c:v>
                </c:pt>
                <c:pt idx="1">
                  <c:v>42916</c:v>
                </c:pt>
                <c:pt idx="2">
                  <c:v>43008</c:v>
                </c:pt>
                <c:pt idx="3">
                  <c:v>43100</c:v>
                </c:pt>
                <c:pt idx="4">
                  <c:v>43190</c:v>
                </c:pt>
                <c:pt idx="5">
                  <c:v>43281</c:v>
                </c:pt>
                <c:pt idx="6">
                  <c:v>43373</c:v>
                </c:pt>
                <c:pt idx="7">
                  <c:v>43465</c:v>
                </c:pt>
                <c:pt idx="8">
                  <c:v>43555</c:v>
                </c:pt>
                <c:pt idx="9">
                  <c:v>43646</c:v>
                </c:pt>
                <c:pt idx="10">
                  <c:v>43738</c:v>
                </c:pt>
                <c:pt idx="11">
                  <c:v>43830</c:v>
                </c:pt>
                <c:pt idx="12">
                  <c:v>43921</c:v>
                </c:pt>
                <c:pt idx="13">
                  <c:v>44012</c:v>
                </c:pt>
                <c:pt idx="14">
                  <c:v>44104</c:v>
                </c:pt>
                <c:pt idx="15">
                  <c:v>44196</c:v>
                </c:pt>
              </c:numCache>
            </c:numRef>
          </c:cat>
          <c:val>
            <c:numRef>
              <c:f>ΑΠΟΤΕΛΕΣΜΑΤΑ!$B$20:$Q$20</c:f>
              <c:numCache>
                <c:formatCode>0.0%</c:formatCode>
                <c:ptCount val="16"/>
                <c:pt idx="0">
                  <c:v>0.62723424125866178</c:v>
                </c:pt>
                <c:pt idx="1">
                  <c:v>0.62358753362252217</c:v>
                </c:pt>
                <c:pt idx="2">
                  <c:v>0.6170512774475857</c:v>
                </c:pt>
                <c:pt idx="3">
                  <c:v>0.57837425561115419</c:v>
                </c:pt>
                <c:pt idx="4">
                  <c:v>0.57252652120698877</c:v>
                </c:pt>
                <c:pt idx="5">
                  <c:v>0.56975684870965981</c:v>
                </c:pt>
                <c:pt idx="6">
                  <c:v>0.53029938191924653</c:v>
                </c:pt>
                <c:pt idx="7">
                  <c:v>0.52984599354871365</c:v>
                </c:pt>
                <c:pt idx="8">
                  <c:v>0.53961629903659691</c:v>
                </c:pt>
                <c:pt idx="9">
                  <c:v>0.52003784020080768</c:v>
                </c:pt>
                <c:pt idx="10">
                  <c:v>0.49693217539278789</c:v>
                </c:pt>
                <c:pt idx="11">
                  <c:v>0.48628813786580133</c:v>
                </c:pt>
                <c:pt idx="12">
                  <c:v>0.48396368359146202</c:v>
                </c:pt>
                <c:pt idx="13">
                  <c:v>0.48261922598577867</c:v>
                </c:pt>
                <c:pt idx="14">
                  <c:v>0.47885350667267418</c:v>
                </c:pt>
                <c:pt idx="15">
                  <c:v>0.4616201223514898</c:v>
                </c:pt>
              </c:numCache>
            </c:numRef>
          </c:val>
          <c:smooth val="0"/>
          <c:extLst>
            <c:ext xmlns:c16="http://schemas.microsoft.com/office/drawing/2014/chart" uri="{C3380CC4-5D6E-409C-BE32-E72D297353CC}">
              <c16:uniqueId val="{00000003-5089-4A97-B79C-2EA4AF7FDCC7}"/>
            </c:ext>
          </c:extLst>
        </c:ser>
        <c:ser>
          <c:idx val="1"/>
          <c:order val="1"/>
          <c:tx>
            <c:strRef>
              <c:f>ΑΠΟΤΕΛΕΣΜΑΤΑ!$A$21</c:f>
              <c:strCache>
                <c:ptCount val="1"/>
                <c:pt idx="0">
                  <c:v>Στεγαστικά</c:v>
                </c:pt>
              </c:strCache>
            </c:strRef>
          </c:tx>
          <c:spPr>
            <a:ln w="28575" cap="rnd">
              <a:solidFill>
                <a:schemeClr val="tx1">
                  <a:lumMod val="50000"/>
                  <a:lumOff val="50000"/>
                </a:schemeClr>
              </a:solidFill>
              <a:round/>
            </a:ln>
            <a:effectLst/>
          </c:spPr>
          <c:marker>
            <c:symbol val="circle"/>
            <c:size val="5"/>
            <c:spPr>
              <a:solidFill>
                <a:schemeClr val="tx1">
                  <a:lumMod val="50000"/>
                  <a:lumOff val="50000"/>
                </a:schemeClr>
              </a:solidFill>
              <a:ln w="9525">
                <a:solidFill>
                  <a:schemeClr val="tx1">
                    <a:lumMod val="50000"/>
                    <a:lumOff val="50000"/>
                  </a:schemeClr>
                </a:solidFill>
              </a:ln>
              <a:effectLst/>
            </c:spPr>
          </c:marker>
          <c:dLbls>
            <c:dLbl>
              <c:idx val="0"/>
              <c:layout>
                <c:manualLayout>
                  <c:x val="-4.4583175637629119E-2"/>
                  <c:y val="7.01263486627495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089-4A97-B79C-2EA4AF7FDCC7}"/>
                </c:ext>
              </c:extLst>
            </c:dLbl>
            <c:dLbl>
              <c:idx val="11"/>
              <c:layout>
                <c:manualLayout>
                  <c:x val="-3.9859320046893403E-2"/>
                  <c:y val="-4.47872605125653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089-4A97-B79C-2EA4AF7FDCC7}"/>
                </c:ext>
              </c:extLst>
            </c:dLbl>
            <c:dLbl>
              <c:idx val="15"/>
              <c:layout>
                <c:manualLayout>
                  <c:x val="-4.2825230081878687E-3"/>
                  <c:y val="-0.1232080687600042"/>
                </c:manualLayout>
              </c:layout>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tx1">
                          <a:lumMod val="65000"/>
                          <a:lumOff val="35000"/>
                        </a:schemeClr>
                      </a:solidFill>
                      <a:latin typeface="Trebuchet MS" panose="020B0603020202020204" pitchFamily="34"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8.7837276495186037E-2"/>
                      <c:h val="6.7661677896135086E-2"/>
                    </c:manualLayout>
                  </c15:layout>
                </c:ext>
                <c:ext xmlns:c16="http://schemas.microsoft.com/office/drawing/2014/chart" uri="{C3380CC4-5D6E-409C-BE32-E72D297353CC}">
                  <c16:uniqueId val="{00000006-5089-4A97-B79C-2EA4AF7FDCC7}"/>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65000"/>
                        <a:lumOff val="35000"/>
                      </a:schemeClr>
                    </a:solidFill>
                    <a:latin typeface="Trebuchet MS" panose="020B0603020202020204" pitchFamily="34"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ΑΠΟΤΕΛΕΣΜΑΤΑ!$B$17:$Q$17</c:f>
              <c:numCache>
                <c:formatCode>mmm\ yyyy;@</c:formatCode>
                <c:ptCount val="16"/>
                <c:pt idx="0">
                  <c:v>42825</c:v>
                </c:pt>
                <c:pt idx="1">
                  <c:v>42916</c:v>
                </c:pt>
                <c:pt idx="2">
                  <c:v>43008</c:v>
                </c:pt>
                <c:pt idx="3">
                  <c:v>43100</c:v>
                </c:pt>
                <c:pt idx="4">
                  <c:v>43190</c:v>
                </c:pt>
                <c:pt idx="5">
                  <c:v>43281</c:v>
                </c:pt>
                <c:pt idx="6">
                  <c:v>43373</c:v>
                </c:pt>
                <c:pt idx="7">
                  <c:v>43465</c:v>
                </c:pt>
                <c:pt idx="8">
                  <c:v>43555</c:v>
                </c:pt>
                <c:pt idx="9">
                  <c:v>43646</c:v>
                </c:pt>
                <c:pt idx="10">
                  <c:v>43738</c:v>
                </c:pt>
                <c:pt idx="11">
                  <c:v>43830</c:v>
                </c:pt>
                <c:pt idx="12">
                  <c:v>43921</c:v>
                </c:pt>
                <c:pt idx="13">
                  <c:v>44012</c:v>
                </c:pt>
                <c:pt idx="14">
                  <c:v>44104</c:v>
                </c:pt>
                <c:pt idx="15">
                  <c:v>44196</c:v>
                </c:pt>
              </c:numCache>
            </c:numRef>
          </c:cat>
          <c:val>
            <c:numRef>
              <c:f>ΑΠΟΤΕΛΕΣΜΑΤΑ!$B$21:$Q$21</c:f>
              <c:numCache>
                <c:formatCode>0.0%</c:formatCode>
                <c:ptCount val="16"/>
                <c:pt idx="0">
                  <c:v>0.42218977970957766</c:v>
                </c:pt>
                <c:pt idx="1">
                  <c:v>0.42797050455006486</c:v>
                </c:pt>
                <c:pt idx="2">
                  <c:v>0.43320140271877622</c:v>
                </c:pt>
                <c:pt idx="3">
                  <c:v>0.43492668004576124</c:v>
                </c:pt>
                <c:pt idx="4">
                  <c:v>0.43952445559706699</c:v>
                </c:pt>
                <c:pt idx="5">
                  <c:v>0.44310304346480739</c:v>
                </c:pt>
                <c:pt idx="6">
                  <c:v>0.44716510655734948</c:v>
                </c:pt>
                <c:pt idx="7">
                  <c:v>0.44523304678983133</c:v>
                </c:pt>
                <c:pt idx="8">
                  <c:v>0.44741895955373712</c:v>
                </c:pt>
                <c:pt idx="9">
                  <c:v>0.4309619483269248</c:v>
                </c:pt>
                <c:pt idx="10">
                  <c:v>0.43035325320994694</c:v>
                </c:pt>
                <c:pt idx="11">
                  <c:v>0.42419434712246556</c:v>
                </c:pt>
                <c:pt idx="12">
                  <c:v>0.40427301670213711</c:v>
                </c:pt>
                <c:pt idx="13">
                  <c:v>0.40023410768517548</c:v>
                </c:pt>
                <c:pt idx="14">
                  <c:v>0.39601127605066189</c:v>
                </c:pt>
                <c:pt idx="15">
                  <c:v>0.30959154224163393</c:v>
                </c:pt>
              </c:numCache>
            </c:numRef>
          </c:val>
          <c:smooth val="0"/>
          <c:extLst>
            <c:ext xmlns:c16="http://schemas.microsoft.com/office/drawing/2014/chart" uri="{C3380CC4-5D6E-409C-BE32-E72D297353CC}">
              <c16:uniqueId val="{00000007-5089-4A97-B79C-2EA4AF7FDCC7}"/>
            </c:ext>
          </c:extLst>
        </c:ser>
        <c:ser>
          <c:idx val="2"/>
          <c:order val="2"/>
          <c:tx>
            <c:strRef>
              <c:f>ΑΠΟΤΕΛΕΣΜΑΤΑ!$A$22</c:f>
              <c:strCache>
                <c:ptCount val="1"/>
                <c:pt idx="0">
                  <c:v>Επιχειρηματικά</c:v>
                </c:pt>
              </c:strCache>
            </c:strRef>
          </c:tx>
          <c:spPr>
            <a:ln w="28575" cap="rnd">
              <a:solidFill>
                <a:srgbClr val="00B0F0"/>
              </a:solidFill>
              <a:round/>
            </a:ln>
            <a:effectLst/>
          </c:spPr>
          <c:marker>
            <c:symbol val="circle"/>
            <c:size val="5"/>
            <c:spPr>
              <a:solidFill>
                <a:srgbClr val="00B0F0"/>
              </a:solidFill>
              <a:ln w="9525">
                <a:solidFill>
                  <a:srgbClr val="00B0F0"/>
                </a:solidFill>
              </a:ln>
              <a:effectLst/>
            </c:spPr>
          </c:marker>
          <c:dLbls>
            <c:dLbl>
              <c:idx val="0"/>
              <c:layout>
                <c:manualLayout>
                  <c:x val="-4.2224663300440328E-2"/>
                  <c:y val="-5.50264197816277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089-4A97-B79C-2EA4AF7FDCC7}"/>
                </c:ext>
              </c:extLst>
            </c:dLbl>
            <c:dLbl>
              <c:idx val="11"/>
              <c:layout>
                <c:manualLayout>
                  <c:x val="-3.9859320046893403E-2"/>
                  <c:y val="3.98108982333913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089-4A97-B79C-2EA4AF7FDCC7}"/>
                </c:ext>
              </c:extLst>
            </c:dLbl>
            <c:dLbl>
              <c:idx val="15"/>
              <c:layout>
                <c:manualLayout>
                  <c:x val="-1.4109347442680775E-2"/>
                  <c:y val="7.19576719576718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089-4A97-B79C-2EA4AF7FDCC7}"/>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70C0"/>
                    </a:solidFill>
                    <a:latin typeface="Trebuchet MS" panose="020B0603020202020204" pitchFamily="34"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ΑΠΟΤΕΛΕΣΜΑΤΑ!$B$17:$Q$17</c:f>
              <c:numCache>
                <c:formatCode>mmm\ yyyy;@</c:formatCode>
                <c:ptCount val="16"/>
                <c:pt idx="0">
                  <c:v>42825</c:v>
                </c:pt>
                <c:pt idx="1">
                  <c:v>42916</c:v>
                </c:pt>
                <c:pt idx="2">
                  <c:v>43008</c:v>
                </c:pt>
                <c:pt idx="3">
                  <c:v>43100</c:v>
                </c:pt>
                <c:pt idx="4">
                  <c:v>43190</c:v>
                </c:pt>
                <c:pt idx="5">
                  <c:v>43281</c:v>
                </c:pt>
                <c:pt idx="6">
                  <c:v>43373</c:v>
                </c:pt>
                <c:pt idx="7">
                  <c:v>43465</c:v>
                </c:pt>
                <c:pt idx="8">
                  <c:v>43555</c:v>
                </c:pt>
                <c:pt idx="9">
                  <c:v>43646</c:v>
                </c:pt>
                <c:pt idx="10">
                  <c:v>43738</c:v>
                </c:pt>
                <c:pt idx="11">
                  <c:v>43830</c:v>
                </c:pt>
                <c:pt idx="12">
                  <c:v>43921</c:v>
                </c:pt>
                <c:pt idx="13">
                  <c:v>44012</c:v>
                </c:pt>
                <c:pt idx="14">
                  <c:v>44104</c:v>
                </c:pt>
                <c:pt idx="15">
                  <c:v>44196</c:v>
                </c:pt>
              </c:numCache>
            </c:numRef>
          </c:cat>
          <c:val>
            <c:numRef>
              <c:f>ΑΠΟΤΕΛΕΣΜΑΤΑ!$B$22:$Q$22</c:f>
              <c:numCache>
                <c:formatCode>0.0%</c:formatCode>
                <c:ptCount val="16"/>
                <c:pt idx="0">
                  <c:v>0.50324304236294037</c:v>
                </c:pt>
                <c:pt idx="1">
                  <c:v>0.5003870010178908</c:v>
                </c:pt>
                <c:pt idx="2">
                  <c:v>0.49203921080915125</c:v>
                </c:pt>
                <c:pt idx="3">
                  <c:v>0.47374078541421405</c:v>
                </c:pt>
                <c:pt idx="4">
                  <c:v>0.49682223767787032</c:v>
                </c:pt>
                <c:pt idx="5">
                  <c:v>0.48295907781600333</c:v>
                </c:pt>
                <c:pt idx="6">
                  <c:v>0.46925250027396631</c:v>
                </c:pt>
                <c:pt idx="7">
                  <c:v>0.44699078485224947</c:v>
                </c:pt>
                <c:pt idx="8">
                  <c:v>0.43914107977387273</c:v>
                </c:pt>
                <c:pt idx="9">
                  <c:v>0.42574879740326727</c:v>
                </c:pt>
                <c:pt idx="10">
                  <c:v>0.40366443303855221</c:v>
                </c:pt>
                <c:pt idx="11">
                  <c:v>0.38414322192609929</c:v>
                </c:pt>
                <c:pt idx="12">
                  <c:v>0.34929629693495168</c:v>
                </c:pt>
                <c:pt idx="13">
                  <c:v>0.34086553110152423</c:v>
                </c:pt>
                <c:pt idx="14">
                  <c:v>0.32967679515872289</c:v>
                </c:pt>
                <c:pt idx="15">
                  <c:v>0.27782150273571793</c:v>
                </c:pt>
              </c:numCache>
            </c:numRef>
          </c:val>
          <c:smooth val="0"/>
          <c:extLst>
            <c:ext xmlns:c16="http://schemas.microsoft.com/office/drawing/2014/chart" uri="{C3380CC4-5D6E-409C-BE32-E72D297353CC}">
              <c16:uniqueId val="{0000000B-5089-4A97-B79C-2EA4AF7FDCC7}"/>
            </c:ext>
          </c:extLst>
        </c:ser>
        <c:dLbls>
          <c:showLegendKey val="0"/>
          <c:showVal val="0"/>
          <c:showCatName val="0"/>
          <c:showSerName val="0"/>
          <c:showPercent val="0"/>
          <c:showBubbleSize val="0"/>
        </c:dLbls>
        <c:marker val="1"/>
        <c:smooth val="0"/>
        <c:axId val="630441456"/>
        <c:axId val="630442112"/>
      </c:lineChart>
      <c:dateAx>
        <c:axId val="630441456"/>
        <c:scaling>
          <c:orientation val="minMax"/>
        </c:scaling>
        <c:delete val="0"/>
        <c:axPos val="b"/>
        <c:numFmt formatCode="mmm\ yyyy;@" sourceLinked="1"/>
        <c:majorTickMark val="out"/>
        <c:minorTickMark val="none"/>
        <c:tickLblPos val="nextTo"/>
        <c:spPr>
          <a:noFill/>
          <a:ln w="9525" cap="flat" cmpd="sng" algn="ctr">
            <a:solidFill>
              <a:schemeClr val="tx1">
                <a:lumMod val="15000"/>
                <a:lumOff val="85000"/>
              </a:schemeClr>
            </a:solidFill>
            <a:round/>
          </a:ln>
          <a:effectLst/>
        </c:spPr>
        <c:txPr>
          <a:bodyPr rot="-1800000" spcFirstLastPara="1" vertOverflow="ellipsis" wrap="square" anchor="ctr" anchorCtr="1"/>
          <a:lstStyle/>
          <a:p>
            <a:pPr>
              <a:defRPr sz="800" b="0" i="0" u="none" strike="noStrike" kern="1200" baseline="0">
                <a:solidFill>
                  <a:schemeClr val="tx1">
                    <a:lumMod val="65000"/>
                    <a:lumOff val="35000"/>
                  </a:schemeClr>
                </a:solidFill>
                <a:latin typeface="Trebuchet MS" panose="020B0603020202020204" pitchFamily="34" charset="0"/>
                <a:ea typeface="+mn-ea"/>
                <a:cs typeface="+mn-cs"/>
              </a:defRPr>
            </a:pPr>
            <a:endParaRPr lang="en-US"/>
          </a:p>
        </c:txPr>
        <c:crossAx val="630442112"/>
        <c:crosses val="autoZero"/>
        <c:auto val="1"/>
        <c:lblOffset val="100"/>
        <c:baseTimeUnit val="months"/>
        <c:majorUnit val="3"/>
        <c:majorTimeUnit val="months"/>
      </c:dateAx>
      <c:valAx>
        <c:axId val="630442112"/>
        <c:scaling>
          <c:orientation val="minMax"/>
          <c:min val="0.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rebuchet MS" panose="020B0603020202020204" pitchFamily="34" charset="0"/>
                <a:ea typeface="+mn-ea"/>
                <a:cs typeface="+mn-cs"/>
              </a:defRPr>
            </a:pPr>
            <a:endParaRPr lang="en-US"/>
          </a:p>
        </c:txPr>
        <c:crossAx val="630441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rebuchet MS" panose="020B0603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0585471170942344E-2"/>
          <c:y val="7.077684534795714E-2"/>
          <c:w val="0.88310696722476478"/>
          <c:h val="0.67291874230006965"/>
        </c:manualLayout>
      </c:layout>
      <c:lineChart>
        <c:grouping val="standard"/>
        <c:varyColors val="0"/>
        <c:ser>
          <c:idx val="0"/>
          <c:order val="0"/>
          <c:tx>
            <c:v>Εν.ΔΤΚ</c:v>
          </c:tx>
          <c:spPr>
            <a:ln w="28575"/>
          </c:spPr>
          <c:marker>
            <c:spPr>
              <a:ln w="28575"/>
            </c:spPr>
          </c:marker>
          <c:dLbls>
            <c:dLbl>
              <c:idx val="12"/>
              <c:numFmt formatCode="#,##0.0_ ;[Red]\-#,##0.0\ " sourceLinked="0"/>
              <c:spPr/>
              <c:txPr>
                <a:bodyPr/>
                <a:lstStyle/>
                <a:p>
                  <a:pPr>
                    <a:defRPr b="1"/>
                  </a:pPr>
                  <a:endParaRPr lang="en-US"/>
                </a:p>
              </c:txPr>
              <c:dLblPos val="b"/>
              <c:showLegendKey val="0"/>
              <c:showVal val="1"/>
              <c:showCatName val="0"/>
              <c:showSerName val="0"/>
              <c:showPercent val="0"/>
              <c:showBubbleSize val="0"/>
              <c:extLst>
                <c:ext xmlns:c16="http://schemas.microsoft.com/office/drawing/2014/chart" uri="{C3380CC4-5D6E-409C-BE32-E72D297353CC}">
                  <c16:uniqueId val="{00000000-B2B5-451F-9B2A-A617AC668D0B}"/>
                </c:ext>
              </c:extLst>
            </c:dLbl>
            <c:numFmt formatCode="#,##0.0_ ;[Red]\-#,##0.0\ " sourceLinked="0"/>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'monthly+constant'!$F$10:$R$11</c:f>
              <c:multiLvlStrCache>
                <c:ptCount val="13"/>
                <c:lvl>
                  <c:pt idx="0">
                    <c:v>Απρ.</c:v>
                  </c:pt>
                  <c:pt idx="1">
                    <c:v>Μάιος</c:v>
                  </c:pt>
                  <c:pt idx="2">
                    <c:v>Ιούν.</c:v>
                  </c:pt>
                  <c:pt idx="3">
                    <c:v>Ιούλ.</c:v>
                  </c:pt>
                  <c:pt idx="4">
                    <c:v>Αύγ.</c:v>
                  </c:pt>
                  <c:pt idx="5">
                    <c:v>Σεπ.</c:v>
                  </c:pt>
                  <c:pt idx="6">
                    <c:v>Οκτ.</c:v>
                  </c:pt>
                  <c:pt idx="7">
                    <c:v>Νοέμ.</c:v>
                  </c:pt>
                  <c:pt idx="8">
                    <c:v>Δεκ.</c:v>
                  </c:pt>
                  <c:pt idx="9">
                    <c:v>Ιαν.</c:v>
                  </c:pt>
                  <c:pt idx="10">
                    <c:v>Φεβ.</c:v>
                  </c:pt>
                  <c:pt idx="11">
                    <c:v>Μάρ.</c:v>
                  </c:pt>
                  <c:pt idx="12">
                    <c:v>Απρ.</c:v>
                  </c:pt>
                </c:lvl>
                <c:lvl>
                  <c:pt idx="9">
                    <c:v>2021</c:v>
                  </c:pt>
                </c:lvl>
              </c:multiLvlStrCache>
            </c:multiLvlStrRef>
          </c:cat>
          <c:val>
            <c:numRef>
              <c:f>'monthly+constant'!$F$15:$R$15</c:f>
              <c:numCache>
                <c:formatCode>#,##0.0</c:formatCode>
                <c:ptCount val="13"/>
                <c:pt idx="0">
                  <c:v>-0.9</c:v>
                </c:pt>
                <c:pt idx="1">
                  <c:v>-0.7</c:v>
                </c:pt>
                <c:pt idx="2">
                  <c:v>-1.9</c:v>
                </c:pt>
                <c:pt idx="3">
                  <c:v>-2.1</c:v>
                </c:pt>
                <c:pt idx="4">
                  <c:v>-2.2999999999999998</c:v>
                </c:pt>
                <c:pt idx="5">
                  <c:v>-2.2999999999999998</c:v>
                </c:pt>
                <c:pt idx="6">
                  <c:v>-2</c:v>
                </c:pt>
                <c:pt idx="7">
                  <c:v>-2.1</c:v>
                </c:pt>
                <c:pt idx="8">
                  <c:v>-2.4</c:v>
                </c:pt>
                <c:pt idx="9">
                  <c:v>-2.4</c:v>
                </c:pt>
                <c:pt idx="10">
                  <c:v>-1.9</c:v>
                </c:pt>
                <c:pt idx="11">
                  <c:v>-2</c:v>
                </c:pt>
                <c:pt idx="12">
                  <c:v>-1.1000000000000001</c:v>
                </c:pt>
              </c:numCache>
            </c:numRef>
          </c:val>
          <c:smooth val="0"/>
          <c:extLst>
            <c:ext xmlns:c16="http://schemas.microsoft.com/office/drawing/2014/chart" uri="{C3380CC4-5D6E-409C-BE32-E72D297353CC}">
              <c16:uniqueId val="{00000001-B2B5-451F-9B2A-A617AC668D0B}"/>
            </c:ext>
          </c:extLst>
        </c:ser>
        <c:ser>
          <c:idx val="1"/>
          <c:order val="1"/>
          <c:tx>
            <c:v>Εν.ΔΤΚ με σταθερούς φόρους</c:v>
          </c:tx>
          <c:spPr>
            <a:ln>
              <a:solidFill>
                <a:sysClr val="windowText" lastClr="000000">
                  <a:lumMod val="65000"/>
                  <a:lumOff val="35000"/>
                </a:sysClr>
              </a:solidFill>
            </a:ln>
          </c:spPr>
          <c:marker>
            <c:spPr>
              <a:solidFill>
                <a:sysClr val="windowText" lastClr="000000">
                  <a:lumMod val="65000"/>
                  <a:lumOff val="35000"/>
                </a:sysClr>
              </a:solidFill>
              <a:ln>
                <a:solidFill>
                  <a:sysClr val="windowText" lastClr="000000">
                    <a:lumMod val="65000"/>
                    <a:lumOff val="35000"/>
                  </a:sysClr>
                </a:solidFill>
              </a:ln>
            </c:spPr>
          </c:marker>
          <c:dLbls>
            <c:dLbl>
              <c:idx val="6"/>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2B5-451F-9B2A-A617AC668D0B}"/>
                </c:ext>
              </c:extLst>
            </c:dLbl>
            <c:dLbl>
              <c:idx val="11"/>
              <c:numFmt formatCode="#,##0.0_ ;[Red]\-#,##0.0\ " sourceLinked="0"/>
              <c:spPr/>
              <c:txPr>
                <a:bodyPr/>
                <a:lstStyle/>
                <a:p>
                  <a:pPr>
                    <a:defRPr b="1"/>
                  </a:pPr>
                  <a:endParaRPr lang="en-US"/>
                </a:p>
              </c:txPr>
              <c:dLblPos val="t"/>
              <c:showLegendKey val="0"/>
              <c:showVal val="1"/>
              <c:showCatName val="0"/>
              <c:showSerName val="0"/>
              <c:showPercent val="0"/>
              <c:showBubbleSize val="0"/>
              <c:extLst>
                <c:ext xmlns:c16="http://schemas.microsoft.com/office/drawing/2014/chart" uri="{C3380CC4-5D6E-409C-BE32-E72D297353CC}">
                  <c16:uniqueId val="{00000003-B2B5-451F-9B2A-A617AC668D0B}"/>
                </c:ext>
              </c:extLst>
            </c:dLbl>
            <c:dLbl>
              <c:idx val="12"/>
              <c:numFmt formatCode="#,##0.0_ ;[Red]\-#,##0.0\ " sourceLinked="0"/>
              <c:spPr/>
              <c:txPr>
                <a:bodyPr/>
                <a:lstStyle/>
                <a:p>
                  <a:pPr>
                    <a:defRPr b="1"/>
                  </a:pPr>
                  <a:endParaRPr lang="en-US"/>
                </a:p>
              </c:txPr>
              <c:dLblPos val="t"/>
              <c:showLegendKey val="0"/>
              <c:showVal val="1"/>
              <c:showCatName val="0"/>
              <c:showSerName val="0"/>
              <c:showPercent val="0"/>
              <c:showBubbleSize val="0"/>
              <c:extLst>
                <c:ext xmlns:c16="http://schemas.microsoft.com/office/drawing/2014/chart" uri="{C3380CC4-5D6E-409C-BE32-E72D297353CC}">
                  <c16:uniqueId val="{00000004-B2B5-451F-9B2A-A617AC668D0B}"/>
                </c:ext>
              </c:extLst>
            </c:dLbl>
            <c:numFmt formatCode="#,##0.0_ ;[Red]\-#,##0.0\ " sourceLinked="0"/>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'monthly+constant'!$F$10:$R$11</c:f>
              <c:multiLvlStrCache>
                <c:ptCount val="13"/>
                <c:lvl>
                  <c:pt idx="0">
                    <c:v>Απρ.</c:v>
                  </c:pt>
                  <c:pt idx="1">
                    <c:v>Μάιος</c:v>
                  </c:pt>
                  <c:pt idx="2">
                    <c:v>Ιούν.</c:v>
                  </c:pt>
                  <c:pt idx="3">
                    <c:v>Ιούλ.</c:v>
                  </c:pt>
                  <c:pt idx="4">
                    <c:v>Αύγ.</c:v>
                  </c:pt>
                  <c:pt idx="5">
                    <c:v>Σεπ.</c:v>
                  </c:pt>
                  <c:pt idx="6">
                    <c:v>Οκτ.</c:v>
                  </c:pt>
                  <c:pt idx="7">
                    <c:v>Νοέμ.</c:v>
                  </c:pt>
                  <c:pt idx="8">
                    <c:v>Δεκ.</c:v>
                  </c:pt>
                  <c:pt idx="9">
                    <c:v>Ιαν.</c:v>
                  </c:pt>
                  <c:pt idx="10">
                    <c:v>Φεβ.</c:v>
                  </c:pt>
                  <c:pt idx="11">
                    <c:v>Μάρ.</c:v>
                  </c:pt>
                  <c:pt idx="12">
                    <c:v>Απρ.</c:v>
                  </c:pt>
                </c:lvl>
                <c:lvl>
                  <c:pt idx="9">
                    <c:v>2021</c:v>
                  </c:pt>
                </c:lvl>
              </c:multiLvlStrCache>
            </c:multiLvlStrRef>
          </c:cat>
          <c:val>
            <c:numRef>
              <c:f>'monthly+constant'!$F$20:$Q$20</c:f>
              <c:numCache>
                <c:formatCode>#,##0.0</c:formatCode>
                <c:ptCount val="12"/>
                <c:pt idx="0">
                  <c:v>0.5</c:v>
                </c:pt>
                <c:pt idx="1">
                  <c:v>0.6</c:v>
                </c:pt>
                <c:pt idx="2">
                  <c:v>-1</c:v>
                </c:pt>
                <c:pt idx="3">
                  <c:v>-1.2</c:v>
                </c:pt>
                <c:pt idx="4">
                  <c:v>-1.4</c:v>
                </c:pt>
                <c:pt idx="5">
                  <c:v>-1.4</c:v>
                </c:pt>
                <c:pt idx="6">
                  <c:v>-1.1000000000000001</c:v>
                </c:pt>
                <c:pt idx="7">
                  <c:v>-1.3</c:v>
                </c:pt>
                <c:pt idx="8">
                  <c:v>-1.5</c:v>
                </c:pt>
                <c:pt idx="9">
                  <c:v>-1.5</c:v>
                </c:pt>
                <c:pt idx="10">
                  <c:v>-1</c:v>
                </c:pt>
                <c:pt idx="11">
                  <c:v>-1.2</c:v>
                </c:pt>
              </c:numCache>
            </c:numRef>
          </c:val>
          <c:smooth val="0"/>
          <c:extLst>
            <c:ext xmlns:c16="http://schemas.microsoft.com/office/drawing/2014/chart" uri="{C3380CC4-5D6E-409C-BE32-E72D297353CC}">
              <c16:uniqueId val="{00000005-B2B5-451F-9B2A-A617AC668D0B}"/>
            </c:ext>
          </c:extLst>
        </c:ser>
        <c:ser>
          <c:idx val="5"/>
          <c:order val="2"/>
          <c:tx>
            <c:v>Εν.ΔΤΚ - Ευρωζώνη (19 κ-μ)</c:v>
          </c:tx>
          <c:spPr>
            <a:ln>
              <a:solidFill>
                <a:srgbClr val="00B050"/>
              </a:solidFill>
            </a:ln>
          </c:spPr>
          <c:marker>
            <c:spPr>
              <a:solidFill>
                <a:srgbClr val="00B050"/>
              </a:solidFill>
              <a:ln>
                <a:solidFill>
                  <a:srgbClr val="00B050"/>
                </a:solidFill>
              </a:ln>
            </c:spPr>
          </c:marker>
          <c:dLbls>
            <c:dLbl>
              <c:idx val="1"/>
              <c:layout>
                <c:manualLayout>
                  <c:x val="-3.5661995319177159E-2"/>
                  <c:y val="-2.76094059671112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DF5-47CD-B287-1EE91AD6B95A}"/>
                </c:ext>
              </c:extLst>
            </c:dLbl>
            <c:dLbl>
              <c:idx val="5"/>
              <c:layout>
                <c:manualLayout>
                  <c:x val="-3.9344305788491241E-2"/>
                  <c:y val="-3.53839443538945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DF5-47CD-B287-1EE91AD6B95A}"/>
                </c:ext>
              </c:extLst>
            </c:dLbl>
            <c:dLbl>
              <c:idx val="6"/>
              <c:layout>
                <c:manualLayout>
                  <c:x val="-3.9344305788491331E-2"/>
                  <c:y val="-1.98348675803280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DF5-47CD-B287-1EE91AD6B95A}"/>
                </c:ext>
              </c:extLst>
            </c:dLbl>
            <c:dLbl>
              <c:idx val="7"/>
              <c:layout>
                <c:manualLayout>
                  <c:x val="-3.9344305788491241E-2"/>
                  <c:y val="-2.7609405967111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DF5-47CD-B287-1EE91AD6B95A}"/>
                </c:ext>
              </c:extLst>
            </c:dLbl>
            <c:dLbl>
              <c:idx val="8"/>
              <c:layout>
                <c:manualLayout>
                  <c:x val="-3.9344305788491331E-2"/>
                  <c:y val="-3.92712135472862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DF5-47CD-B287-1EE91AD6B95A}"/>
                </c:ext>
              </c:extLst>
            </c:dLbl>
            <c:dLbl>
              <c:idx val="11"/>
              <c:numFmt formatCode="#,##0.0_ ;[Red]\-#,##0.0\ " sourceLinked="0"/>
              <c:spPr/>
              <c:txPr>
                <a:bodyPr/>
                <a:lstStyle/>
                <a:p>
                  <a:pPr>
                    <a:defRPr b="1">
                      <a:solidFill>
                        <a:schemeClr val="accent6">
                          <a:lumMod val="75000"/>
                        </a:schemeClr>
                      </a:solidFill>
                    </a:defRPr>
                  </a:pPr>
                  <a:endParaRPr lang="en-US"/>
                </a:p>
              </c:txPr>
              <c:dLblPos val="t"/>
              <c:showLegendKey val="0"/>
              <c:showVal val="1"/>
              <c:showCatName val="0"/>
              <c:showSerName val="0"/>
              <c:showPercent val="0"/>
              <c:showBubbleSize val="0"/>
              <c:extLst>
                <c:ext xmlns:c16="http://schemas.microsoft.com/office/drawing/2014/chart" uri="{C3380CC4-5D6E-409C-BE32-E72D297353CC}">
                  <c16:uniqueId val="{00000006-B2B5-451F-9B2A-A617AC668D0B}"/>
                </c:ext>
              </c:extLst>
            </c:dLbl>
            <c:dLbl>
              <c:idx val="12"/>
              <c:numFmt formatCode="#,##0.0_ ;[Red]\-#,##0.0\ " sourceLinked="0"/>
              <c:spPr/>
              <c:txPr>
                <a:bodyPr/>
                <a:lstStyle/>
                <a:p>
                  <a:pPr>
                    <a:defRPr b="1">
                      <a:solidFill>
                        <a:schemeClr val="accent6">
                          <a:lumMod val="75000"/>
                        </a:schemeClr>
                      </a:solidFill>
                    </a:defRPr>
                  </a:pPr>
                  <a:endParaRPr lang="en-US"/>
                </a:p>
              </c:txPr>
              <c:dLblPos val="t"/>
              <c:showLegendKey val="0"/>
              <c:showVal val="1"/>
              <c:showCatName val="0"/>
              <c:showSerName val="0"/>
              <c:showPercent val="0"/>
              <c:showBubbleSize val="0"/>
              <c:extLst>
                <c:ext xmlns:c16="http://schemas.microsoft.com/office/drawing/2014/chart" uri="{C3380CC4-5D6E-409C-BE32-E72D297353CC}">
                  <c16:uniqueId val="{00000007-B2B5-451F-9B2A-A617AC668D0B}"/>
                </c:ext>
              </c:extLst>
            </c:dLbl>
            <c:numFmt formatCode="#,##0.0_ ;[Red]\-#,##0.0\ " sourceLinked="0"/>
            <c:spPr>
              <a:noFill/>
              <a:ln>
                <a:noFill/>
              </a:ln>
              <a:effectLst/>
            </c:spPr>
            <c:txPr>
              <a:bodyPr wrap="square" lIns="38100" tIns="19050" rIns="38100" bIns="19050" anchor="ctr">
                <a:spAutoFit/>
              </a:bodyPr>
              <a:lstStyle/>
              <a:p>
                <a:pPr>
                  <a:defRPr>
                    <a:solidFill>
                      <a:schemeClr val="accent6">
                        <a:lumMod val="75000"/>
                      </a:schemeClr>
                    </a:solidFill>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'monthly+constant'!$F$10:$R$11</c:f>
              <c:multiLvlStrCache>
                <c:ptCount val="13"/>
                <c:lvl>
                  <c:pt idx="0">
                    <c:v>Απρ.</c:v>
                  </c:pt>
                  <c:pt idx="1">
                    <c:v>Μάιος</c:v>
                  </c:pt>
                  <c:pt idx="2">
                    <c:v>Ιούν.</c:v>
                  </c:pt>
                  <c:pt idx="3">
                    <c:v>Ιούλ.</c:v>
                  </c:pt>
                  <c:pt idx="4">
                    <c:v>Αύγ.</c:v>
                  </c:pt>
                  <c:pt idx="5">
                    <c:v>Σεπ.</c:v>
                  </c:pt>
                  <c:pt idx="6">
                    <c:v>Οκτ.</c:v>
                  </c:pt>
                  <c:pt idx="7">
                    <c:v>Νοέμ.</c:v>
                  </c:pt>
                  <c:pt idx="8">
                    <c:v>Δεκ.</c:v>
                  </c:pt>
                  <c:pt idx="9">
                    <c:v>Ιαν.</c:v>
                  </c:pt>
                  <c:pt idx="10">
                    <c:v>Φεβ.</c:v>
                  </c:pt>
                  <c:pt idx="11">
                    <c:v>Μάρ.</c:v>
                  </c:pt>
                  <c:pt idx="12">
                    <c:v>Απρ.</c:v>
                  </c:pt>
                </c:lvl>
                <c:lvl>
                  <c:pt idx="9">
                    <c:v>2021</c:v>
                  </c:pt>
                </c:lvl>
              </c:multiLvlStrCache>
            </c:multiLvlStrRef>
          </c:cat>
          <c:val>
            <c:numRef>
              <c:f>'monthly+constant'!$F$14:$Q$14</c:f>
              <c:numCache>
                <c:formatCode>#,##0.0</c:formatCode>
                <c:ptCount val="12"/>
                <c:pt idx="0">
                  <c:v>0.3</c:v>
                </c:pt>
                <c:pt idx="1">
                  <c:v>0.1</c:v>
                </c:pt>
                <c:pt idx="2">
                  <c:v>0.3</c:v>
                </c:pt>
                <c:pt idx="3">
                  <c:v>0.4</c:v>
                </c:pt>
                <c:pt idx="4">
                  <c:v>-0.2</c:v>
                </c:pt>
                <c:pt idx="5">
                  <c:v>-0.3</c:v>
                </c:pt>
                <c:pt idx="6">
                  <c:v>-0.3</c:v>
                </c:pt>
                <c:pt idx="7">
                  <c:v>-0.3</c:v>
                </c:pt>
                <c:pt idx="8">
                  <c:v>-0.3</c:v>
                </c:pt>
                <c:pt idx="9">
                  <c:v>0.9</c:v>
                </c:pt>
                <c:pt idx="10">
                  <c:v>0.9</c:v>
                </c:pt>
                <c:pt idx="11">
                  <c:v>1.3</c:v>
                </c:pt>
              </c:numCache>
            </c:numRef>
          </c:val>
          <c:smooth val="0"/>
          <c:extLst>
            <c:ext xmlns:c16="http://schemas.microsoft.com/office/drawing/2014/chart" uri="{C3380CC4-5D6E-409C-BE32-E72D297353CC}">
              <c16:uniqueId val="{00000008-B2B5-451F-9B2A-A617AC668D0B}"/>
            </c:ext>
          </c:extLst>
        </c:ser>
        <c:dLbls>
          <c:showLegendKey val="0"/>
          <c:showVal val="0"/>
          <c:showCatName val="0"/>
          <c:showSerName val="0"/>
          <c:showPercent val="0"/>
          <c:showBubbleSize val="0"/>
        </c:dLbls>
        <c:marker val="1"/>
        <c:smooth val="0"/>
        <c:axId val="105210240"/>
        <c:axId val="105211776"/>
      </c:lineChart>
      <c:catAx>
        <c:axId val="105210240"/>
        <c:scaling>
          <c:orientation val="minMax"/>
        </c:scaling>
        <c:delete val="0"/>
        <c:axPos val="b"/>
        <c:numFmt formatCode="#,##0.0_ ;[Red]\-#,##0.0\ " sourceLinked="0"/>
        <c:majorTickMark val="none"/>
        <c:minorTickMark val="none"/>
        <c:tickLblPos val="low"/>
        <c:spPr>
          <a:noFill/>
          <a:ln w="19050" cap="flat" cmpd="sng" algn="ctr">
            <a:solidFill>
              <a:srgbClr val="C00000"/>
            </a:solidFill>
            <a:prstDash val="dash"/>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211776"/>
        <c:crossesAt val="0"/>
        <c:auto val="1"/>
        <c:lblAlgn val="ctr"/>
        <c:lblOffset val="100"/>
        <c:noMultiLvlLbl val="0"/>
      </c:catAx>
      <c:valAx>
        <c:axId val="1052117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a:t>%</a:t>
                </a:r>
              </a:p>
            </c:rich>
          </c:tx>
          <c:overlay val="0"/>
          <c:spPr>
            <a:noFill/>
            <a:ln>
              <a:noFill/>
            </a:ln>
            <a:effectLst/>
          </c:spPr>
        </c:title>
        <c:numFmt formatCode="#,##0.0_ ;[Red]\-#,##0.0\ "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210240"/>
        <c:crosses val="autoZero"/>
        <c:crossBetween val="between"/>
      </c:valAx>
      <c:spPr>
        <a:noFill/>
        <a:ln>
          <a:noFill/>
        </a:ln>
        <a:effectLst/>
      </c:spPr>
    </c:plotArea>
    <c:legend>
      <c:legendPos val="b"/>
      <c:layout>
        <c:manualLayout>
          <c:xMode val="edge"/>
          <c:yMode val="edge"/>
          <c:x val="0.13365360015918587"/>
          <c:y val="0.88911304454290152"/>
          <c:w val="0.79680737561234449"/>
          <c:h val="7.143293797136118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6773548613282545"/>
          <c:y val="4.1548630783758263E-2"/>
          <c:w val="0.48764414376000836"/>
          <c:h val="0.80648952113614192"/>
        </c:manualLayout>
      </c:layout>
      <c:barChart>
        <c:barDir val="bar"/>
        <c:grouping val="clustered"/>
        <c:varyColors val="0"/>
        <c:ser>
          <c:idx val="0"/>
          <c:order val="0"/>
          <c:tx>
            <c:v>Εν.ΔΤΚ</c:v>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'monthly+constant'!$A$182:$A$193</c:f>
              <c:strCache>
                <c:ptCount val="12"/>
                <c:pt idx="0">
                  <c:v>Μεταφορές </c:v>
                </c:pt>
                <c:pt idx="1">
                  <c:v>Στέγαση - Ύδρευση - Ηλεκτρισμός - Αέριο</c:v>
                </c:pt>
                <c:pt idx="2">
                  <c:v>Επικοινωνίες </c:v>
                </c:pt>
                <c:pt idx="3">
                  <c:v>Διαρκή αγαθά - Είδη νοικοκυριού και υπηρεσίες </c:v>
                </c:pt>
                <c:pt idx="4">
                  <c:v>Ξενοδοχεία - Καφέ - Εστιατόρια </c:v>
                </c:pt>
                <c:pt idx="5">
                  <c:v>Άλλα αγαθά και υπηρεσίες </c:v>
                </c:pt>
                <c:pt idx="6">
                  <c:v>Αναψυχή - Πολιτιστικές δραστηριότητες </c:v>
                </c:pt>
                <c:pt idx="7">
                  <c:v>Αλκοολούχα ποτά και καπνός </c:v>
                </c:pt>
                <c:pt idx="8">
                  <c:v>Υγεία </c:v>
                </c:pt>
                <c:pt idx="9">
                  <c:v>Εκπαίδευση </c:v>
                </c:pt>
                <c:pt idx="10">
                  <c:v>Ένδυση και υπόδηση </c:v>
                </c:pt>
                <c:pt idx="11">
                  <c:v>Διατροφή και μη αλκοολούχα ποτά </c:v>
                </c:pt>
              </c:strCache>
            </c:strRef>
          </c:cat>
          <c:val>
            <c:numRef>
              <c:f>'monthly+constant'!$B$196:$B$207</c:f>
              <c:numCache>
                <c:formatCode>0.0%</c:formatCode>
                <c:ptCount val="12"/>
                <c:pt idx="0">
                  <c:v>-2.5999999999999999E-2</c:v>
                </c:pt>
                <c:pt idx="1">
                  <c:v>-0.02</c:v>
                </c:pt>
                <c:pt idx="2">
                  <c:v>-1.4E-2</c:v>
                </c:pt>
                <c:pt idx="3">
                  <c:v>-1.4E-2</c:v>
                </c:pt>
                <c:pt idx="4">
                  <c:v>-1.2E-2</c:v>
                </c:pt>
                <c:pt idx="5">
                  <c:v>-1.2E-2</c:v>
                </c:pt>
                <c:pt idx="6">
                  <c:v>-0.01</c:v>
                </c:pt>
                <c:pt idx="7">
                  <c:v>-0.01</c:v>
                </c:pt>
                <c:pt idx="8">
                  <c:v>-8.9999999999999993E-3</c:v>
                </c:pt>
                <c:pt idx="9">
                  <c:v>0</c:v>
                </c:pt>
                <c:pt idx="10">
                  <c:v>0</c:v>
                </c:pt>
                <c:pt idx="11">
                  <c:v>2.1999999999999999E-2</c:v>
                </c:pt>
              </c:numCache>
            </c:numRef>
          </c:val>
          <c:extLst>
            <c:ext xmlns:c16="http://schemas.microsoft.com/office/drawing/2014/chart" uri="{C3380CC4-5D6E-409C-BE32-E72D297353CC}">
              <c16:uniqueId val="{00000000-7196-467B-A80B-DCD03F792094}"/>
            </c:ext>
          </c:extLst>
        </c:ser>
        <c:dLbls>
          <c:showLegendKey val="0"/>
          <c:showVal val="0"/>
          <c:showCatName val="0"/>
          <c:showSerName val="0"/>
          <c:showPercent val="0"/>
          <c:showBubbleSize val="0"/>
        </c:dLbls>
        <c:gapWidth val="50"/>
        <c:axId val="105237120"/>
        <c:axId val="105345408"/>
      </c:barChart>
      <c:catAx>
        <c:axId val="105237120"/>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345408"/>
        <c:crosses val="autoZero"/>
        <c:auto val="1"/>
        <c:lblAlgn val="ctr"/>
        <c:lblOffset val="100"/>
        <c:noMultiLvlLbl val="0"/>
      </c:catAx>
      <c:valAx>
        <c:axId val="1053454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237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v>Ισοζύγιο αγαθών</c:v>
          </c:tx>
          <c:spPr>
            <a:solidFill>
              <a:srgbClr val="00B0F0"/>
            </a:solidFill>
          </c:spPr>
          <c:invertIfNegative val="0"/>
          <c:dLbls>
            <c:numFmt formatCode="#,##0" sourceLinked="0"/>
            <c:spPr>
              <a:noFill/>
              <a:ln>
                <a:noFill/>
              </a:ln>
              <a:effectLst/>
            </c:spPr>
            <c:txPr>
              <a:bodyPr wrap="square" lIns="38100" tIns="19050" rIns="38100" bIns="19050" anchor="ctr">
                <a:spAutoFit/>
              </a:bodyPr>
              <a:lstStyle/>
              <a:p>
                <a:pPr>
                  <a:defRPr b="1"/>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#REF!</c:f>
            </c:multiLvlStrRef>
          </c:cat>
          <c:val>
            <c:numRef>
              <c:f>'monthly 2_21'!$IA$7:$IF$7</c:f>
              <c:numCache>
                <c:formatCode>#,##0</c:formatCode>
                <c:ptCount val="6"/>
                <c:pt idx="0">
                  <c:v>-2769.9181829999998</c:v>
                </c:pt>
                <c:pt idx="1">
                  <c:v>-3407.3593739999997</c:v>
                </c:pt>
                <c:pt idx="2">
                  <c:v>-3610.1957029999994</c:v>
                </c:pt>
                <c:pt idx="3">
                  <c:v>-3877.2108689999995</c:v>
                </c:pt>
                <c:pt idx="4">
                  <c:v>-3791.1997960000003</c:v>
                </c:pt>
                <c:pt idx="5" formatCode="#,##0_ ;\-#,##0\ ">
                  <c:v>-2906.6228440000004</c:v>
                </c:pt>
              </c:numCache>
            </c:numRef>
          </c:val>
          <c:extLst>
            <c:ext xmlns:c16="http://schemas.microsoft.com/office/drawing/2014/chart" uri="{C3380CC4-5D6E-409C-BE32-E72D297353CC}">
              <c16:uniqueId val="{00000000-27F9-435D-925B-E9F42708C0B9}"/>
            </c:ext>
          </c:extLst>
        </c:ser>
        <c:ser>
          <c:idx val="1"/>
          <c:order val="1"/>
          <c:tx>
            <c:v>Ισοζύγιο υπηρεσιών</c:v>
          </c:tx>
          <c:spPr>
            <a:solidFill>
              <a:srgbClr val="92D050"/>
            </a:solidFill>
          </c:spPr>
          <c:invertIfNegative val="0"/>
          <c:dLbls>
            <c:numFmt formatCode="#,##0" sourceLinked="0"/>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#REF!</c:f>
            </c:multiLvlStrRef>
          </c:cat>
          <c:val>
            <c:numRef>
              <c:f>'monthly 2_21'!$IA$23:$IF$23</c:f>
              <c:numCache>
                <c:formatCode>#,##0</c:formatCode>
                <c:ptCount val="6"/>
                <c:pt idx="0">
                  <c:v>577.58323000000041</c:v>
                </c:pt>
                <c:pt idx="1">
                  <c:v>888.82917500000008</c:v>
                </c:pt>
                <c:pt idx="2">
                  <c:v>700.13121700000033</c:v>
                </c:pt>
                <c:pt idx="3">
                  <c:v>933.73481100000095</c:v>
                </c:pt>
                <c:pt idx="4">
                  <c:v>787.91552799999977</c:v>
                </c:pt>
                <c:pt idx="5" formatCode="#,##0_ ;\-#,##0\ ">
                  <c:v>507.19405100000017</c:v>
                </c:pt>
              </c:numCache>
            </c:numRef>
          </c:val>
          <c:extLst>
            <c:ext xmlns:c16="http://schemas.microsoft.com/office/drawing/2014/chart" uri="{C3380CC4-5D6E-409C-BE32-E72D297353CC}">
              <c16:uniqueId val="{00000001-27F9-435D-925B-E9F42708C0B9}"/>
            </c:ext>
          </c:extLst>
        </c:ser>
        <c:ser>
          <c:idx val="2"/>
          <c:order val="2"/>
          <c:tx>
            <c:v>Ισοζύγιο πρωτογενών εισοδημάτων</c:v>
          </c:tx>
          <c:spPr>
            <a:solidFill>
              <a:schemeClr val="tx1">
                <a:lumMod val="50000"/>
                <a:lumOff val="50000"/>
              </a:schemeClr>
            </a:solidFill>
          </c:spPr>
          <c:invertIfNegative val="0"/>
          <c:dLbls>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#REF!</c:f>
            </c:multiLvlStrRef>
          </c:cat>
          <c:val>
            <c:numRef>
              <c:f>'monthly 2_21'!$IA$36:$IF$36</c:f>
              <c:numCache>
                <c:formatCode>#,##0</c:formatCode>
                <c:ptCount val="6"/>
                <c:pt idx="0">
                  <c:v>294.27014550000035</c:v>
                </c:pt>
                <c:pt idx="1">
                  <c:v>590.02126505000001</c:v>
                </c:pt>
                <c:pt idx="2">
                  <c:v>583.27958295000008</c:v>
                </c:pt>
                <c:pt idx="3">
                  <c:v>680.53811070000006</c:v>
                </c:pt>
                <c:pt idx="4">
                  <c:v>547.26587514999994</c:v>
                </c:pt>
                <c:pt idx="5" formatCode="#,##0_ ;\-#,##0\ ">
                  <c:v>1077.2663786999997</c:v>
                </c:pt>
              </c:numCache>
            </c:numRef>
          </c:val>
          <c:extLst>
            <c:ext xmlns:c16="http://schemas.microsoft.com/office/drawing/2014/chart" uri="{C3380CC4-5D6E-409C-BE32-E72D297353CC}">
              <c16:uniqueId val="{00000002-27F9-435D-925B-E9F42708C0B9}"/>
            </c:ext>
          </c:extLst>
        </c:ser>
        <c:ser>
          <c:idx val="3"/>
          <c:order val="3"/>
          <c:tx>
            <c:v>Ισοζύγιο δευτερογενών εισοδημάτων</c:v>
          </c:tx>
          <c:spPr>
            <a:solidFill>
              <a:schemeClr val="bg2">
                <a:lumMod val="90000"/>
              </a:schemeClr>
            </a:solidFill>
          </c:spPr>
          <c:invertIfNegative val="0"/>
          <c:cat>
            <c:multiLvlStrRef>
              <c:f>#REF!</c:f>
            </c:multiLvlStrRef>
          </c:cat>
          <c:val>
            <c:numRef>
              <c:f>'monthly 2_21'!$IA$46:$IF$46</c:f>
              <c:numCache>
                <c:formatCode>#,##0</c:formatCode>
                <c:ptCount val="6"/>
                <c:pt idx="0">
                  <c:v>38.797612500000014</c:v>
                </c:pt>
                <c:pt idx="1">
                  <c:v>322.73999094999999</c:v>
                </c:pt>
                <c:pt idx="2">
                  <c:v>392.1285350500001</c:v>
                </c:pt>
                <c:pt idx="3">
                  <c:v>37.621694300000058</c:v>
                </c:pt>
                <c:pt idx="4">
                  <c:v>11.930470849999949</c:v>
                </c:pt>
                <c:pt idx="5" formatCode="#,##0_ ;\-#,##0\ ">
                  <c:v>46.130777300000091</c:v>
                </c:pt>
              </c:numCache>
            </c:numRef>
          </c:val>
          <c:extLst>
            <c:ext xmlns:c16="http://schemas.microsoft.com/office/drawing/2014/chart" uri="{C3380CC4-5D6E-409C-BE32-E72D297353CC}">
              <c16:uniqueId val="{00000003-27F9-435D-925B-E9F42708C0B9}"/>
            </c:ext>
          </c:extLst>
        </c:ser>
        <c:dLbls>
          <c:showLegendKey val="0"/>
          <c:showVal val="0"/>
          <c:showCatName val="0"/>
          <c:showSerName val="0"/>
          <c:showPercent val="0"/>
          <c:showBubbleSize val="0"/>
        </c:dLbls>
        <c:gapWidth val="100"/>
        <c:overlap val="100"/>
        <c:axId val="129699200"/>
        <c:axId val="129754240"/>
      </c:barChart>
      <c:lineChart>
        <c:grouping val="standard"/>
        <c:varyColors val="0"/>
        <c:ser>
          <c:idx val="4"/>
          <c:order val="4"/>
          <c:tx>
            <c:v>Ισοζύγιο τρεχουσών συναλλαγών</c:v>
          </c:tx>
          <c:spPr>
            <a:ln>
              <a:solidFill>
                <a:schemeClr val="tx2"/>
              </a:solidFill>
            </a:ln>
            <a:effectLst/>
          </c:spPr>
          <c:marker>
            <c:spPr>
              <a:solidFill>
                <a:schemeClr val="tx2"/>
              </a:solidFill>
              <a:ln>
                <a:solidFill>
                  <a:schemeClr val="tx2"/>
                </a:solidFill>
              </a:ln>
              <a:effectLst/>
            </c:spPr>
          </c:marker>
          <c:dLbls>
            <c:numFmt formatCode="#,##0" sourceLinked="0"/>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txPr>
              <a:bodyPr wrap="square" lIns="38100" tIns="19050" rIns="38100" bIns="19050" anchor="ctr">
                <a:spAutoFit/>
              </a:bodyPr>
              <a:lstStyle/>
              <a:p>
                <a:pPr>
                  <a:defRPr b="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'monthly 2_21'!$IA$2:$IF$2</c:f>
              <c:numCache>
                <c:formatCode>0</c:formatCode>
                <c:ptCount val="6"/>
                <c:pt idx="0">
                  <c:v>2016</c:v>
                </c:pt>
                <c:pt idx="1">
                  <c:v>2017</c:v>
                </c:pt>
                <c:pt idx="2">
                  <c:v>2018</c:v>
                </c:pt>
                <c:pt idx="3">
                  <c:v>2019</c:v>
                </c:pt>
                <c:pt idx="4">
                  <c:v>2020</c:v>
                </c:pt>
                <c:pt idx="5">
                  <c:v>2021</c:v>
                </c:pt>
              </c:numCache>
            </c:numRef>
          </c:cat>
          <c:val>
            <c:numRef>
              <c:f>'monthly 2_21'!$IA$3:$IF$3</c:f>
              <c:numCache>
                <c:formatCode>#,##0</c:formatCode>
                <c:ptCount val="6"/>
                <c:pt idx="0">
                  <c:v>-1859.2671949999994</c:v>
                </c:pt>
                <c:pt idx="1">
                  <c:v>-1605.7689429999991</c:v>
                </c:pt>
                <c:pt idx="2">
                  <c:v>-1934.6563679999981</c:v>
                </c:pt>
                <c:pt idx="3">
                  <c:v>-2225.3162529999991</c:v>
                </c:pt>
                <c:pt idx="4">
                  <c:v>-2444.0879220000015</c:v>
                </c:pt>
                <c:pt idx="5" formatCode="#,##0_ ;\-#,##0\ ">
                  <c:v>-1276.031637000001</c:v>
                </c:pt>
              </c:numCache>
            </c:numRef>
          </c:val>
          <c:smooth val="0"/>
          <c:extLst>
            <c:ext xmlns:c16="http://schemas.microsoft.com/office/drawing/2014/chart" uri="{C3380CC4-5D6E-409C-BE32-E72D297353CC}">
              <c16:uniqueId val="{00000004-27F9-435D-925B-E9F42708C0B9}"/>
            </c:ext>
          </c:extLst>
        </c:ser>
        <c:dLbls>
          <c:showLegendKey val="0"/>
          <c:showVal val="0"/>
          <c:showCatName val="0"/>
          <c:showSerName val="0"/>
          <c:showPercent val="0"/>
          <c:showBubbleSize val="0"/>
        </c:dLbls>
        <c:marker val="1"/>
        <c:smooth val="0"/>
        <c:axId val="129699200"/>
        <c:axId val="129754240"/>
      </c:lineChart>
      <c:catAx>
        <c:axId val="129699200"/>
        <c:scaling>
          <c:orientation val="minMax"/>
        </c:scaling>
        <c:delete val="0"/>
        <c:axPos val="b"/>
        <c:numFmt formatCode="0" sourceLinked="1"/>
        <c:majorTickMark val="none"/>
        <c:minorTickMark val="none"/>
        <c:tickLblPos val="low"/>
        <c:txPr>
          <a:bodyPr rot="-60000000" vert="horz"/>
          <a:lstStyle/>
          <a:p>
            <a:pPr>
              <a:defRPr/>
            </a:pPr>
            <a:endParaRPr lang="en-US"/>
          </a:p>
        </c:txPr>
        <c:crossAx val="129754240"/>
        <c:crosses val="autoZero"/>
        <c:auto val="1"/>
        <c:lblAlgn val="ctr"/>
        <c:lblOffset val="100"/>
        <c:noMultiLvlLbl val="0"/>
      </c:catAx>
      <c:valAx>
        <c:axId val="129754240"/>
        <c:scaling>
          <c:orientation val="minMax"/>
        </c:scaling>
        <c:delete val="0"/>
        <c:axPos val="l"/>
        <c:majorGridlines>
          <c:spPr>
            <a:ln>
              <a:solidFill>
                <a:schemeClr val="tx1">
                  <a:lumMod val="15000"/>
                  <a:lumOff val="85000"/>
                </a:schemeClr>
              </a:solidFill>
            </a:ln>
          </c:spPr>
        </c:majorGridlines>
        <c:numFmt formatCode="#,##0" sourceLinked="0"/>
        <c:majorTickMark val="none"/>
        <c:minorTickMark val="none"/>
        <c:tickLblPos val="nextTo"/>
        <c:txPr>
          <a:bodyPr rot="-60000000" vert="horz"/>
          <a:lstStyle/>
          <a:p>
            <a:pPr>
              <a:defRPr/>
            </a:pPr>
            <a:endParaRPr lang="en-US"/>
          </a:p>
        </c:txPr>
        <c:crossAx val="129699200"/>
        <c:crosses val="autoZero"/>
        <c:crossBetween val="between"/>
      </c:valAx>
    </c:plotArea>
    <c:legend>
      <c:legendPos val="b"/>
      <c:layout>
        <c:manualLayout>
          <c:xMode val="edge"/>
          <c:yMode val="edge"/>
          <c:x val="6.3278281550546253E-2"/>
          <c:y val="0.84037371696345931"/>
          <c:w val="0.85863450120976736"/>
          <c:h val="0.1327634045744282"/>
        </c:manualLayout>
      </c:layout>
      <c:overlay val="0"/>
    </c:legend>
    <c:plotVisOnly val="1"/>
    <c:dispBlanksAs val="gap"/>
    <c:showDLblsOverMax val="0"/>
  </c:chart>
  <c:spPr>
    <a:solidFill>
      <a:schemeClr val="bg1"/>
    </a:solidFill>
    <a:ln>
      <a:solidFill>
        <a:schemeClr val="accent1"/>
      </a:solidFill>
    </a:ln>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'ΟΙΚΟΝΟΜΙΚΗ ΚΛΙΜΑ'!$B$1</c:f>
              <c:strCache>
                <c:ptCount val="1"/>
                <c:pt idx="0">
                  <c:v>Οικονομική εμπιστοσύνη - Χώρες Ευρωζώνης</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3"/>
              <c:layout>
                <c:manualLayout>
                  <c:x val="-5.5039849976558877E-2"/>
                  <c:y val="4.1666553024827559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6">
                          <a:lumMod val="75000"/>
                        </a:schemeClr>
                      </a:solidFill>
                      <a:latin typeface="Trebuchet MS" panose="020B0603020202020204" pitchFamily="34" charset="0"/>
                      <a:ea typeface="+mn-ea"/>
                      <a:cs typeface="+mn-cs"/>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ABF-4015-8583-C50816920E59}"/>
                </c:ext>
              </c:extLst>
            </c:dLbl>
            <c:dLbl>
              <c:idx val="15"/>
              <c:layout>
                <c:manualLayout>
                  <c:x val="-2.0370135052831988E-16"/>
                  <c:y val="-5.5555555555555566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6">
                          <a:lumMod val="75000"/>
                        </a:schemeClr>
                      </a:solidFill>
                      <a:latin typeface="Trebuchet MS" panose="020B0603020202020204" pitchFamily="34" charset="0"/>
                      <a:ea typeface="+mn-ea"/>
                      <a:cs typeface="+mn-cs"/>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ABF-4015-8583-C50816920E59}"/>
                </c:ext>
              </c:extLst>
            </c:dLbl>
            <c:spPr>
              <a:noFill/>
              <a:ln>
                <a:noFill/>
              </a:ln>
              <a:effectLst/>
            </c:spPr>
            <c:txPr>
              <a:bodyPr wrap="square" lIns="38100" tIns="19050" rIns="38100" bIns="19050" anchor="ctr">
                <a:spAutoFit/>
              </a:bodyPr>
              <a:lstStyle/>
              <a:p>
                <a:pPr>
                  <a:defRPr sz="800">
                    <a:solidFill>
                      <a:schemeClr val="accent6">
                        <a:lumMod val="75000"/>
                      </a:schemeClr>
                    </a:solidFill>
                    <a:latin typeface="Trebuchet MS" panose="020B0603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'ΟΙΚΟΝΟΜΙΚΗ ΚΛΙΜΑ'!$A$2:$A$17</c:f>
              <c:strCache>
                <c:ptCount val="16"/>
                <c:pt idx="0">
                  <c:v>2020M01</c:v>
                </c:pt>
                <c:pt idx="1">
                  <c:v>2020M02</c:v>
                </c:pt>
                <c:pt idx="2">
                  <c:v>2020M03</c:v>
                </c:pt>
                <c:pt idx="3">
                  <c:v>2020M04</c:v>
                </c:pt>
                <c:pt idx="4">
                  <c:v>2020M05</c:v>
                </c:pt>
                <c:pt idx="5">
                  <c:v>2020M06</c:v>
                </c:pt>
                <c:pt idx="6">
                  <c:v>2020M07</c:v>
                </c:pt>
                <c:pt idx="7">
                  <c:v>2020M08</c:v>
                </c:pt>
                <c:pt idx="8">
                  <c:v>2020M09</c:v>
                </c:pt>
                <c:pt idx="9">
                  <c:v>2020M10</c:v>
                </c:pt>
                <c:pt idx="10">
                  <c:v>2020M11</c:v>
                </c:pt>
                <c:pt idx="11">
                  <c:v>2020M12</c:v>
                </c:pt>
                <c:pt idx="12">
                  <c:v>2021M01</c:v>
                </c:pt>
                <c:pt idx="13">
                  <c:v>2021M02</c:v>
                </c:pt>
                <c:pt idx="14">
                  <c:v>2021M03</c:v>
                </c:pt>
                <c:pt idx="15">
                  <c:v>2021M04</c:v>
                </c:pt>
              </c:strCache>
            </c:strRef>
          </c:cat>
          <c:val>
            <c:numRef>
              <c:f>'ΟΙΚΟΝΟΜΙΚΗ ΚΛΙΜΑ'!$B$2:$B$17</c:f>
              <c:numCache>
                <c:formatCode>#,##0.0</c:formatCode>
                <c:ptCount val="16"/>
                <c:pt idx="0">
                  <c:v>103.2</c:v>
                </c:pt>
                <c:pt idx="1">
                  <c:v>104</c:v>
                </c:pt>
                <c:pt idx="2">
                  <c:v>95.3</c:v>
                </c:pt>
                <c:pt idx="3">
                  <c:v>67.8</c:v>
                </c:pt>
                <c:pt idx="4">
                  <c:v>70.2</c:v>
                </c:pt>
                <c:pt idx="5">
                  <c:v>78.099999999999994</c:v>
                </c:pt>
                <c:pt idx="6">
                  <c:v>84.2</c:v>
                </c:pt>
                <c:pt idx="7">
                  <c:v>89.1</c:v>
                </c:pt>
                <c:pt idx="8">
                  <c:v>92.3</c:v>
                </c:pt>
                <c:pt idx="9">
                  <c:v>92.5</c:v>
                </c:pt>
                <c:pt idx="10">
                  <c:v>89.3</c:v>
                </c:pt>
                <c:pt idx="11">
                  <c:v>92.4</c:v>
                </c:pt>
                <c:pt idx="12">
                  <c:v>91.5</c:v>
                </c:pt>
                <c:pt idx="13">
                  <c:v>93.4</c:v>
                </c:pt>
                <c:pt idx="14">
                  <c:v>100.9</c:v>
                </c:pt>
                <c:pt idx="15">
                  <c:v>110.3</c:v>
                </c:pt>
              </c:numCache>
            </c:numRef>
          </c:val>
          <c:smooth val="0"/>
          <c:extLst>
            <c:ext xmlns:c16="http://schemas.microsoft.com/office/drawing/2014/chart" uri="{C3380CC4-5D6E-409C-BE32-E72D297353CC}">
              <c16:uniqueId val="{00000002-DABF-4015-8583-C50816920E59}"/>
            </c:ext>
          </c:extLst>
        </c:ser>
        <c:ser>
          <c:idx val="1"/>
          <c:order val="1"/>
          <c:tx>
            <c:strRef>
              <c:f>'ΟΙΚΟΝΟΜΙΚΗ ΚΛΙΜΑ'!$C$1</c:f>
              <c:strCache>
                <c:ptCount val="1"/>
                <c:pt idx="0">
                  <c:v>Οικονομική εμπιστοσύνη - Ελλάδα</c:v>
                </c:pt>
              </c:strCache>
            </c:strRef>
          </c:tx>
          <c:spPr>
            <a:ln w="28575" cap="rnd">
              <a:solidFill>
                <a:srgbClr val="00B0F0"/>
              </a:solidFill>
              <a:round/>
            </a:ln>
            <a:effectLst/>
          </c:spPr>
          <c:marker>
            <c:symbol val="circle"/>
            <c:size val="5"/>
            <c:spPr>
              <a:solidFill>
                <a:srgbClr val="00B0F0"/>
              </a:solidFill>
              <a:ln w="9525">
                <a:solidFill>
                  <a:srgbClr val="00B0F0"/>
                </a:solidFill>
              </a:ln>
              <a:effectLst/>
            </c:spPr>
          </c:marker>
          <c:dLbls>
            <c:dLbl>
              <c:idx val="5"/>
              <c:layout>
                <c:manualLayout>
                  <c:x val="-0.11432760049730625"/>
                  <c:y val="4.1666666666666664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70C0"/>
                      </a:solidFill>
                      <a:latin typeface="Trebuchet MS" panose="020B0603020202020204" pitchFamily="34" charset="0"/>
                      <a:ea typeface="+mn-ea"/>
                      <a:cs typeface="+mn-cs"/>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ABF-4015-8583-C50816920E59}"/>
                </c:ext>
              </c:extLst>
            </c:dLbl>
            <c:dLbl>
              <c:idx val="15"/>
              <c:layout>
                <c:manualLayout>
                  <c:x val="0"/>
                  <c:y val="5.1548034107676811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70C0"/>
                      </a:solidFill>
                      <a:latin typeface="Trebuchet MS" panose="020B0603020202020204" pitchFamily="34" charset="0"/>
                      <a:ea typeface="+mn-ea"/>
                      <a:cs typeface="+mn-cs"/>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ABF-4015-8583-C50816920E59}"/>
                </c:ext>
              </c:extLst>
            </c:dLbl>
            <c:spPr>
              <a:noFill/>
              <a:ln>
                <a:noFill/>
              </a:ln>
              <a:effectLst/>
            </c:spPr>
            <c:txPr>
              <a:bodyPr wrap="square" lIns="38100" tIns="19050" rIns="38100" bIns="19050" anchor="ctr">
                <a:spAutoFit/>
              </a:bodyPr>
              <a:lstStyle/>
              <a:p>
                <a:pPr>
                  <a:defRPr sz="800">
                    <a:solidFill>
                      <a:srgbClr val="0070C0"/>
                    </a:solidFill>
                    <a:latin typeface="Trebuchet MS" panose="020B0603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'ΟΙΚΟΝΟΜΙΚΗ ΚΛΙΜΑ'!$A$2:$A$17</c:f>
              <c:strCache>
                <c:ptCount val="16"/>
                <c:pt idx="0">
                  <c:v>2020M01</c:v>
                </c:pt>
                <c:pt idx="1">
                  <c:v>2020M02</c:v>
                </c:pt>
                <c:pt idx="2">
                  <c:v>2020M03</c:v>
                </c:pt>
                <c:pt idx="3">
                  <c:v>2020M04</c:v>
                </c:pt>
                <c:pt idx="4">
                  <c:v>2020M05</c:v>
                </c:pt>
                <c:pt idx="5">
                  <c:v>2020M06</c:v>
                </c:pt>
                <c:pt idx="6">
                  <c:v>2020M07</c:v>
                </c:pt>
                <c:pt idx="7">
                  <c:v>2020M08</c:v>
                </c:pt>
                <c:pt idx="8">
                  <c:v>2020M09</c:v>
                </c:pt>
                <c:pt idx="9">
                  <c:v>2020M10</c:v>
                </c:pt>
                <c:pt idx="10">
                  <c:v>2020M11</c:v>
                </c:pt>
                <c:pt idx="11">
                  <c:v>2020M12</c:v>
                </c:pt>
                <c:pt idx="12">
                  <c:v>2021M01</c:v>
                </c:pt>
                <c:pt idx="13">
                  <c:v>2021M02</c:v>
                </c:pt>
                <c:pt idx="14">
                  <c:v>2021M03</c:v>
                </c:pt>
                <c:pt idx="15">
                  <c:v>2021M04</c:v>
                </c:pt>
              </c:strCache>
            </c:strRef>
          </c:cat>
          <c:val>
            <c:numRef>
              <c:f>'ΟΙΚΟΝΟΜΙΚΗ ΚΛΙΜΑ'!$C$2:$C$17</c:f>
              <c:numCache>
                <c:formatCode>#,##0.0</c:formatCode>
                <c:ptCount val="16"/>
                <c:pt idx="0">
                  <c:v>109.7</c:v>
                </c:pt>
                <c:pt idx="1">
                  <c:v>113.4</c:v>
                </c:pt>
                <c:pt idx="2">
                  <c:v>109.5</c:v>
                </c:pt>
                <c:pt idx="3">
                  <c:v>99.5</c:v>
                </c:pt>
                <c:pt idx="4">
                  <c:v>88.8</c:v>
                </c:pt>
                <c:pt idx="5">
                  <c:v>87.9</c:v>
                </c:pt>
                <c:pt idx="6">
                  <c:v>91.1</c:v>
                </c:pt>
                <c:pt idx="7">
                  <c:v>91</c:v>
                </c:pt>
                <c:pt idx="8">
                  <c:v>89.8</c:v>
                </c:pt>
                <c:pt idx="9">
                  <c:v>92.5</c:v>
                </c:pt>
                <c:pt idx="10">
                  <c:v>91.2</c:v>
                </c:pt>
                <c:pt idx="11">
                  <c:v>91.8</c:v>
                </c:pt>
                <c:pt idx="12">
                  <c:v>90.7</c:v>
                </c:pt>
                <c:pt idx="13">
                  <c:v>91.9</c:v>
                </c:pt>
                <c:pt idx="14">
                  <c:v>96.9</c:v>
                </c:pt>
                <c:pt idx="15">
                  <c:v>97.9</c:v>
                </c:pt>
              </c:numCache>
            </c:numRef>
          </c:val>
          <c:smooth val="0"/>
          <c:extLst>
            <c:ext xmlns:c16="http://schemas.microsoft.com/office/drawing/2014/chart" uri="{C3380CC4-5D6E-409C-BE32-E72D297353CC}">
              <c16:uniqueId val="{00000005-DABF-4015-8583-C50816920E59}"/>
            </c:ext>
          </c:extLst>
        </c:ser>
        <c:dLbls>
          <c:showLegendKey val="0"/>
          <c:showVal val="0"/>
          <c:showCatName val="0"/>
          <c:showSerName val="0"/>
          <c:showPercent val="0"/>
          <c:showBubbleSize val="0"/>
        </c:dLbls>
        <c:marker val="1"/>
        <c:smooth val="0"/>
        <c:axId val="552514192"/>
        <c:axId val="1"/>
      </c:lineChart>
      <c:catAx>
        <c:axId val="552514192"/>
        <c:scaling>
          <c:orientation val="minMax"/>
        </c:scaling>
        <c:delete val="0"/>
        <c:axPos val="b"/>
        <c:numFmt formatCode="m/d/yyyy" sourceLinked="0"/>
        <c:majorTickMark val="none"/>
        <c:minorTickMark val="none"/>
        <c:tickLblPos val="nextTo"/>
        <c:spPr>
          <a:noFill/>
          <a:ln w="9525" cap="flat" cmpd="sng" algn="ctr">
            <a:solidFill>
              <a:schemeClr val="tx1">
                <a:lumMod val="15000"/>
                <a:lumOff val="85000"/>
              </a:schemeClr>
            </a:solidFill>
            <a:round/>
          </a:ln>
          <a:effectLst/>
        </c:spPr>
        <c:txPr>
          <a:bodyPr rot="-3240000" spcFirstLastPara="1" vertOverflow="ellipsis" vert="horz" wrap="square" anchor="ctr" anchorCtr="1"/>
          <a:lstStyle/>
          <a:p>
            <a:pPr>
              <a:defRPr sz="600" b="0" i="0" u="none" strike="noStrike" kern="1200" baseline="0">
                <a:solidFill>
                  <a:schemeClr val="tx1">
                    <a:lumMod val="65000"/>
                    <a:lumOff val="35000"/>
                  </a:schemeClr>
                </a:solidFill>
                <a:latin typeface="Trebuchet MS" panose="020B0603020202020204" pitchFamily="34" charset="0"/>
                <a:ea typeface="+mn-ea"/>
                <a:cs typeface="+mn-cs"/>
              </a:defRPr>
            </a:pPr>
            <a:endParaRPr lang="en-US"/>
          </a:p>
        </c:txPr>
        <c:crossAx val="1"/>
        <c:crosses val="autoZero"/>
        <c:auto val="1"/>
        <c:lblAlgn val="ctr"/>
        <c:lblOffset val="100"/>
        <c:noMultiLvlLbl val="0"/>
      </c:catAx>
      <c:valAx>
        <c:axId val="1"/>
        <c:scaling>
          <c:orientation val="minMax"/>
          <c:min val="6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Trebuchet MS" panose="020B0603020202020204" pitchFamily="34" charset="0"/>
                <a:ea typeface="+mn-ea"/>
                <a:cs typeface="+mn-cs"/>
              </a:defRPr>
            </a:pPr>
            <a:endParaRPr lang="en-US"/>
          </a:p>
        </c:txPr>
        <c:crossAx val="552514192"/>
        <c:crosses val="autoZero"/>
        <c:crossBetween val="between"/>
      </c:valAx>
      <c:spPr>
        <a:noFill/>
        <a:ln w="25400">
          <a:noFill/>
        </a:ln>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rebuchet MS" panose="020B060302020202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4580927384077"/>
          <c:y val="7.8703703703703706E-2"/>
          <c:w val="0.79206014873140862"/>
          <c:h val="0.7086457735829379"/>
        </c:manualLayout>
      </c:layout>
      <c:barChart>
        <c:barDir val="col"/>
        <c:grouping val="clustered"/>
        <c:varyColors val="0"/>
        <c:ser>
          <c:idx val="0"/>
          <c:order val="0"/>
          <c:tx>
            <c:strRef>
              <c:f>GDP!$P$105</c:f>
              <c:strCache>
                <c:ptCount val="1"/>
                <c:pt idx="0">
                  <c:v>Αξία</c:v>
                </c:pt>
              </c:strCache>
            </c:strRef>
          </c:tx>
          <c:spPr>
            <a:solidFill>
              <a:schemeClr val="accent1">
                <a:lumMod val="40000"/>
                <a:lumOff val="60000"/>
              </a:schemeClr>
            </a:solidFill>
            <a:ln>
              <a:solidFill>
                <a:schemeClr val="accent1">
                  <a:lumMod val="40000"/>
                  <a:lumOff val="60000"/>
                </a:schemeClr>
              </a:solidFill>
            </a:ln>
            <a:effectLst/>
          </c:spPr>
          <c:invertIfNegative val="0"/>
          <c:cat>
            <c:strRef>
              <c:f>GDP!$Q$104:$U$104</c:f>
              <c:strCache>
                <c:ptCount val="5"/>
                <c:pt idx="0">
                  <c:v>Ιδιωτική κατανάλωση</c:v>
                </c:pt>
                <c:pt idx="1">
                  <c:v>Δημόσια κατανάλωση</c:v>
                </c:pt>
                <c:pt idx="2">
                  <c:v>Ακαθ. σχηματισμός κεφαλαίου</c:v>
                </c:pt>
                <c:pt idx="3">
                  <c:v>Εξαγωγές</c:v>
                </c:pt>
                <c:pt idx="4">
                  <c:v>Εισαγωγές</c:v>
                </c:pt>
              </c:strCache>
            </c:strRef>
          </c:cat>
          <c:val>
            <c:numRef>
              <c:f>GDP!$Q$105:$U$105</c:f>
              <c:numCache>
                <c:formatCode>0</c:formatCode>
                <c:ptCount val="5"/>
                <c:pt idx="0">
                  <c:v>120818</c:v>
                </c:pt>
                <c:pt idx="1">
                  <c:v>35747</c:v>
                </c:pt>
                <c:pt idx="2">
                  <c:v>23753</c:v>
                </c:pt>
                <c:pt idx="3">
                  <c:v>54865</c:v>
                </c:pt>
                <c:pt idx="4">
                  <c:v>66439</c:v>
                </c:pt>
              </c:numCache>
            </c:numRef>
          </c:val>
          <c:extLst>
            <c:ext xmlns:c16="http://schemas.microsoft.com/office/drawing/2014/chart" uri="{C3380CC4-5D6E-409C-BE32-E72D297353CC}">
              <c16:uniqueId val="{00000000-5585-4E58-AEA3-E7DB8247CE19}"/>
            </c:ext>
          </c:extLst>
        </c:ser>
        <c:dLbls>
          <c:showLegendKey val="0"/>
          <c:showVal val="0"/>
          <c:showCatName val="0"/>
          <c:showSerName val="0"/>
          <c:showPercent val="0"/>
          <c:showBubbleSize val="0"/>
        </c:dLbls>
        <c:gapWidth val="219"/>
        <c:overlap val="-27"/>
        <c:axId val="1065193711"/>
        <c:axId val="1065194959"/>
      </c:barChart>
      <c:lineChart>
        <c:grouping val="standard"/>
        <c:varyColors val="0"/>
        <c:ser>
          <c:idx val="1"/>
          <c:order val="1"/>
          <c:tx>
            <c:strRef>
              <c:f>GDP!$P$108</c:f>
              <c:strCache>
                <c:ptCount val="1"/>
                <c:pt idx="0">
                  <c:v> Ετήσια μεταβολή </c:v>
                </c:pt>
              </c:strCache>
            </c:strRef>
          </c:tx>
          <c:spPr>
            <a:ln w="28575" cap="rnd">
              <a:noFill/>
              <a:round/>
            </a:ln>
            <a:effectLst/>
          </c:spPr>
          <c:marker>
            <c:symbol val="circle"/>
            <c:size val="8"/>
            <c:spPr>
              <a:solidFill>
                <a:schemeClr val="accent6"/>
              </a:solidFill>
              <a:ln w="50800">
                <a:noFill/>
              </a:ln>
              <a:effectLst/>
            </c:spPr>
          </c:marker>
          <c:dPt>
            <c:idx val="0"/>
            <c:marker>
              <c:symbol val="circle"/>
              <c:size val="8"/>
              <c:spPr>
                <a:solidFill>
                  <a:schemeClr val="accent2"/>
                </a:solidFill>
                <a:ln w="50800">
                  <a:noFill/>
                </a:ln>
                <a:effectLst/>
              </c:spPr>
            </c:marker>
            <c:bubble3D val="0"/>
            <c:extLst>
              <c:ext xmlns:c16="http://schemas.microsoft.com/office/drawing/2014/chart" uri="{C3380CC4-5D6E-409C-BE32-E72D297353CC}">
                <c16:uniqueId val="{00000001-5585-4E58-AEA3-E7DB8247CE19}"/>
              </c:ext>
            </c:extLst>
          </c:dPt>
          <c:dPt>
            <c:idx val="1"/>
            <c:marker>
              <c:symbol val="circle"/>
              <c:size val="8"/>
              <c:spPr>
                <a:solidFill>
                  <a:schemeClr val="accent6"/>
                </a:solidFill>
                <a:ln w="50800">
                  <a:noFill/>
                </a:ln>
                <a:effectLst/>
              </c:spPr>
            </c:marker>
            <c:bubble3D val="0"/>
            <c:extLst>
              <c:ext xmlns:c16="http://schemas.microsoft.com/office/drawing/2014/chart" uri="{C3380CC4-5D6E-409C-BE32-E72D297353CC}">
                <c16:uniqueId val="{00000002-5585-4E58-AEA3-E7DB8247CE19}"/>
              </c:ext>
            </c:extLst>
          </c:dPt>
          <c:dPt>
            <c:idx val="2"/>
            <c:marker>
              <c:symbol val="circle"/>
              <c:size val="8"/>
              <c:spPr>
                <a:solidFill>
                  <a:schemeClr val="accent6"/>
                </a:solidFill>
                <a:ln w="50800">
                  <a:noFill/>
                </a:ln>
                <a:effectLst/>
              </c:spPr>
            </c:marker>
            <c:bubble3D val="0"/>
            <c:extLst>
              <c:ext xmlns:c16="http://schemas.microsoft.com/office/drawing/2014/chart" uri="{C3380CC4-5D6E-409C-BE32-E72D297353CC}">
                <c16:uniqueId val="{00000003-5585-4E58-AEA3-E7DB8247CE19}"/>
              </c:ext>
            </c:extLst>
          </c:dPt>
          <c:dPt>
            <c:idx val="3"/>
            <c:marker>
              <c:symbol val="circle"/>
              <c:size val="8"/>
              <c:spPr>
                <a:solidFill>
                  <a:schemeClr val="accent2"/>
                </a:solidFill>
                <a:ln w="50800">
                  <a:noFill/>
                </a:ln>
                <a:effectLst/>
              </c:spPr>
            </c:marker>
            <c:bubble3D val="0"/>
            <c:extLst>
              <c:ext xmlns:c16="http://schemas.microsoft.com/office/drawing/2014/chart" uri="{C3380CC4-5D6E-409C-BE32-E72D297353CC}">
                <c16:uniqueId val="{00000004-5585-4E58-AEA3-E7DB8247CE19}"/>
              </c:ext>
            </c:extLst>
          </c:dPt>
          <c:dPt>
            <c:idx val="4"/>
            <c:marker>
              <c:symbol val="circle"/>
              <c:size val="8"/>
              <c:spPr>
                <a:solidFill>
                  <a:schemeClr val="accent2"/>
                </a:solidFill>
                <a:ln w="50800">
                  <a:noFill/>
                </a:ln>
                <a:effectLst/>
              </c:spPr>
            </c:marker>
            <c:bubble3D val="0"/>
            <c:extLst>
              <c:ext xmlns:c16="http://schemas.microsoft.com/office/drawing/2014/chart" uri="{C3380CC4-5D6E-409C-BE32-E72D297353CC}">
                <c16:uniqueId val="{00000005-5585-4E58-AEA3-E7DB8247CE19}"/>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850" b="1" i="0" u="none" strike="noStrike" kern="1200" baseline="0">
                    <a:solidFill>
                      <a:schemeClr val="tx1">
                        <a:lumMod val="75000"/>
                        <a:lumOff val="25000"/>
                      </a:schemeClr>
                    </a:solidFill>
                    <a:latin typeface="Trebuchet MS" panose="020B0603020202020204" pitchFamily="34"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[1]GDP!$S$106:$X$106</c:f>
              <c:strCache>
                <c:ptCount val="6"/>
                <c:pt idx="0">
                  <c:v>Ιδιωτική κατανάλωση</c:v>
                </c:pt>
                <c:pt idx="1">
                  <c:v>Δημόσια κατανάλωση</c:v>
                </c:pt>
                <c:pt idx="2">
                  <c:v>Ακαθ. σχηματισμός κεφαλαίου</c:v>
                </c:pt>
                <c:pt idx="3">
                  <c:v>Ακαθ. σχηματισμός παγίου κεφαλαίου</c:v>
                </c:pt>
                <c:pt idx="4">
                  <c:v>Εξαγωγές</c:v>
                </c:pt>
                <c:pt idx="5">
                  <c:v>Εισαγωγές</c:v>
                </c:pt>
              </c:strCache>
            </c:strRef>
          </c:cat>
          <c:val>
            <c:numRef>
              <c:f>GDP!$Q$108:$U$108</c:f>
              <c:numCache>
                <c:formatCode>0.0%</c:formatCode>
                <c:ptCount val="5"/>
                <c:pt idx="0">
                  <c:v>-5.1544934999685987E-2</c:v>
                </c:pt>
                <c:pt idx="1">
                  <c:v>2.7360252909900847E-2</c:v>
                </c:pt>
                <c:pt idx="2">
                  <c:v>4.9253467620814562E-2</c:v>
                </c:pt>
                <c:pt idx="3">
                  <c:v>-0.21672900665277103</c:v>
                </c:pt>
                <c:pt idx="4">
                  <c:v>-6.8150579258885235E-2</c:v>
                </c:pt>
              </c:numCache>
            </c:numRef>
          </c:val>
          <c:smooth val="0"/>
          <c:extLst>
            <c:ext xmlns:c16="http://schemas.microsoft.com/office/drawing/2014/chart" uri="{C3380CC4-5D6E-409C-BE32-E72D297353CC}">
              <c16:uniqueId val="{00000006-5585-4E58-AEA3-E7DB8247CE19}"/>
            </c:ext>
          </c:extLst>
        </c:ser>
        <c:dLbls>
          <c:showLegendKey val="0"/>
          <c:showVal val="0"/>
          <c:showCatName val="0"/>
          <c:showSerName val="0"/>
          <c:showPercent val="0"/>
          <c:showBubbleSize val="0"/>
        </c:dLbls>
        <c:marker val="1"/>
        <c:smooth val="0"/>
        <c:axId val="1060004159"/>
        <c:axId val="1065195791"/>
      </c:lineChart>
      <c:catAx>
        <c:axId val="10651937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rebuchet MS" panose="020B0603020202020204" pitchFamily="34" charset="0"/>
                <a:ea typeface="+mn-ea"/>
                <a:cs typeface="+mn-cs"/>
              </a:defRPr>
            </a:pPr>
            <a:endParaRPr lang="en-US"/>
          </a:p>
        </c:txPr>
        <c:crossAx val="1065194959"/>
        <c:crosses val="autoZero"/>
        <c:auto val="1"/>
        <c:lblAlgn val="ctr"/>
        <c:lblOffset val="100"/>
        <c:noMultiLvlLbl val="0"/>
      </c:catAx>
      <c:valAx>
        <c:axId val="106519495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rebuchet MS" panose="020B0603020202020204" pitchFamily="34" charset="0"/>
                <a:ea typeface="+mn-ea"/>
                <a:cs typeface="+mn-cs"/>
              </a:defRPr>
            </a:pPr>
            <a:endParaRPr lang="en-US"/>
          </a:p>
        </c:txPr>
        <c:crossAx val="1065193711"/>
        <c:crosses val="autoZero"/>
        <c:crossBetween val="between"/>
      </c:valAx>
      <c:valAx>
        <c:axId val="1065195791"/>
        <c:scaling>
          <c:orientation val="minMax"/>
        </c:scaling>
        <c:delete val="0"/>
        <c:axPos val="r"/>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rebuchet MS" panose="020B0603020202020204" pitchFamily="34" charset="0"/>
                <a:ea typeface="+mn-ea"/>
                <a:cs typeface="+mn-cs"/>
              </a:defRPr>
            </a:pPr>
            <a:endParaRPr lang="en-US"/>
          </a:p>
        </c:txPr>
        <c:crossAx val="1060004159"/>
        <c:crosses val="max"/>
        <c:crossBetween val="between"/>
      </c:valAx>
      <c:catAx>
        <c:axId val="1060004159"/>
        <c:scaling>
          <c:orientation val="minMax"/>
        </c:scaling>
        <c:delete val="1"/>
        <c:axPos val="b"/>
        <c:numFmt formatCode="General" sourceLinked="1"/>
        <c:majorTickMark val="none"/>
        <c:minorTickMark val="none"/>
        <c:tickLblPos val="nextTo"/>
        <c:crossAx val="1065195791"/>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rebuchet MS" panose="020B0603020202020204" pitchFamily="34" charset="0"/>
              <a:ea typeface="+mn-ea"/>
              <a:cs typeface="+mn-cs"/>
            </a:defRPr>
          </a:pPr>
          <a:endParaRPr lang="en-US"/>
        </a:p>
      </c:txPr>
    </c:legend>
    <c:plotVisOnly val="1"/>
    <c:dispBlanksAs val="gap"/>
    <c:showDLblsOverMax val="0"/>
  </c:chart>
  <c:spPr>
    <a:solidFill>
      <a:schemeClr val="bg1"/>
    </a:solidFill>
    <a:ln w="9525" cap="flat" cmpd="sng" algn="ctr">
      <a:solidFill>
        <a:srgbClr val="5B9BD5">
          <a:lumMod val="40000"/>
          <a:lumOff val="60000"/>
        </a:srgbClr>
      </a:solidFill>
      <a:round/>
    </a:ln>
    <a:effectLst/>
  </c:spPr>
  <c:txPr>
    <a:bodyPr/>
    <a:lstStyle/>
    <a:p>
      <a:pPr>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'ΚΑΤΑΝΑΛΩΤΙΚΗ ΕΜΠΙΣΤΟΣΥΝΗ'!$B$1</c:f>
              <c:strCache>
                <c:ptCount val="1"/>
                <c:pt idx="0">
                  <c:v>Καταναλωτική εμπιστοσύνη - Χώρες Ευρωζώνης</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3"/>
              <c:layout>
                <c:manualLayout>
                  <c:x val="-7.3954787909575825E-2"/>
                  <c:y val="-8.4706999564752902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6">
                          <a:lumMod val="75000"/>
                        </a:schemeClr>
                      </a:solidFill>
                      <a:latin typeface="Trebuchet MS" panose="020B0603020202020204" pitchFamily="34" charset="0"/>
                      <a:ea typeface="+mn-ea"/>
                      <a:cs typeface="+mn-cs"/>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08D-4CB3-987E-09928C5A1767}"/>
                </c:ext>
              </c:extLst>
            </c:dLbl>
            <c:dLbl>
              <c:idx val="15"/>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6">
                          <a:lumMod val="75000"/>
                        </a:schemeClr>
                      </a:solidFill>
                      <a:latin typeface="Trebuchet MS" panose="020B0603020202020204" pitchFamily="34" charset="0"/>
                      <a:ea typeface="+mn-ea"/>
                      <a:cs typeface="+mn-cs"/>
                    </a:defRPr>
                  </a:pPr>
                  <a:endParaRPr lang="en-US"/>
                </a:p>
              </c:txPr>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08D-4CB3-987E-09928C5A1767}"/>
                </c:ext>
              </c:extLst>
            </c:dLbl>
            <c:spPr>
              <a:noFill/>
              <a:ln>
                <a:noFill/>
              </a:ln>
              <a:effectLst/>
            </c:spPr>
            <c:txPr>
              <a:bodyPr wrap="square" lIns="38100" tIns="19050" rIns="38100" bIns="19050" anchor="ctr">
                <a:spAutoFit/>
              </a:bodyPr>
              <a:lstStyle/>
              <a:p>
                <a:pPr>
                  <a:defRPr sz="800">
                    <a:solidFill>
                      <a:schemeClr val="accent6">
                        <a:lumMod val="75000"/>
                      </a:schemeClr>
                    </a:solidFill>
                    <a:latin typeface="Trebuchet MS" panose="020B0603020202020204" pitchFamily="34" charset="0"/>
                  </a:defRPr>
                </a:pPr>
                <a:endParaRPr lang="en-US"/>
              </a:p>
            </c:txPr>
            <c:dLblPos val="t"/>
            <c:showLegendKey val="0"/>
            <c:showVal val="0"/>
            <c:showCatName val="0"/>
            <c:showSerName val="0"/>
            <c:showPercent val="0"/>
            <c:showBubbleSize val="0"/>
            <c:extLst>
              <c:ext xmlns:c15="http://schemas.microsoft.com/office/drawing/2012/chart" uri="{CE6537A1-D6FC-4f65-9D91-7224C49458BB}">
                <c15:showLeaderLines val="0"/>
              </c:ext>
            </c:extLst>
          </c:dLbls>
          <c:cat>
            <c:strRef>
              <c:f>'ΚΑΤΑΝΑΛΩΤΙΚΗ ΕΜΠΙΣΤΟΣΥΝΗ'!$A$2:$A$17</c:f>
              <c:strCache>
                <c:ptCount val="16"/>
                <c:pt idx="0">
                  <c:v>2020M01</c:v>
                </c:pt>
                <c:pt idx="1">
                  <c:v>2020M02</c:v>
                </c:pt>
                <c:pt idx="2">
                  <c:v>2020M03</c:v>
                </c:pt>
                <c:pt idx="3">
                  <c:v>2020M04</c:v>
                </c:pt>
                <c:pt idx="4">
                  <c:v>2020M05</c:v>
                </c:pt>
                <c:pt idx="5">
                  <c:v>2020M06</c:v>
                </c:pt>
                <c:pt idx="6">
                  <c:v>2020M07</c:v>
                </c:pt>
                <c:pt idx="7">
                  <c:v>2020M08</c:v>
                </c:pt>
                <c:pt idx="8">
                  <c:v>2020M09</c:v>
                </c:pt>
                <c:pt idx="9">
                  <c:v>2020M10</c:v>
                </c:pt>
                <c:pt idx="10">
                  <c:v>2020M11</c:v>
                </c:pt>
                <c:pt idx="11">
                  <c:v>2020M12</c:v>
                </c:pt>
                <c:pt idx="12">
                  <c:v>2021M01</c:v>
                </c:pt>
                <c:pt idx="13">
                  <c:v>2021M02</c:v>
                </c:pt>
                <c:pt idx="14">
                  <c:v>2021M03</c:v>
                </c:pt>
                <c:pt idx="15">
                  <c:v>2021M04</c:v>
                </c:pt>
              </c:strCache>
            </c:strRef>
          </c:cat>
          <c:val>
            <c:numRef>
              <c:f>'ΚΑΤΑΝΑΛΩΤΙΚΗ ΕΜΠΙΣΤΟΣΥΝΗ'!$B$2:$B$17</c:f>
              <c:numCache>
                <c:formatCode>#,##0.0</c:formatCode>
                <c:ptCount val="16"/>
                <c:pt idx="0">
                  <c:v>-7.8</c:v>
                </c:pt>
                <c:pt idx="1">
                  <c:v>-6.4</c:v>
                </c:pt>
                <c:pt idx="2">
                  <c:v>-11.5</c:v>
                </c:pt>
                <c:pt idx="3">
                  <c:v>-21.9</c:v>
                </c:pt>
                <c:pt idx="4">
                  <c:v>-18.899999999999999</c:v>
                </c:pt>
                <c:pt idx="5">
                  <c:v>-14.6</c:v>
                </c:pt>
                <c:pt idx="6">
                  <c:v>-14.9</c:v>
                </c:pt>
                <c:pt idx="7">
                  <c:v>-14.6</c:v>
                </c:pt>
                <c:pt idx="8">
                  <c:v>-13.6</c:v>
                </c:pt>
                <c:pt idx="9">
                  <c:v>-15.5</c:v>
                </c:pt>
                <c:pt idx="10">
                  <c:v>-17.600000000000001</c:v>
                </c:pt>
                <c:pt idx="11">
                  <c:v>-13.8</c:v>
                </c:pt>
                <c:pt idx="12">
                  <c:v>-15.5</c:v>
                </c:pt>
                <c:pt idx="13">
                  <c:v>-14.8</c:v>
                </c:pt>
                <c:pt idx="14">
                  <c:v>-10.8</c:v>
                </c:pt>
                <c:pt idx="15">
                  <c:v>-8.1</c:v>
                </c:pt>
              </c:numCache>
            </c:numRef>
          </c:val>
          <c:smooth val="0"/>
          <c:extLst>
            <c:ext xmlns:c16="http://schemas.microsoft.com/office/drawing/2014/chart" uri="{C3380CC4-5D6E-409C-BE32-E72D297353CC}">
              <c16:uniqueId val="{00000002-C08D-4CB3-987E-09928C5A1767}"/>
            </c:ext>
          </c:extLst>
        </c:ser>
        <c:ser>
          <c:idx val="1"/>
          <c:order val="1"/>
          <c:tx>
            <c:strRef>
              <c:f>'ΚΑΤΑΝΑΛΩΤΙΚΗ ΕΜΠΙΣΤΟΣΥΝΗ'!$C$1</c:f>
              <c:strCache>
                <c:ptCount val="1"/>
                <c:pt idx="0">
                  <c:v>Καταναλωτική εμπιστοσύνη - Ελλάδα</c:v>
                </c:pt>
              </c:strCache>
            </c:strRef>
          </c:tx>
          <c:spPr>
            <a:ln w="28575" cap="rnd">
              <a:solidFill>
                <a:srgbClr val="00B0F0"/>
              </a:solidFill>
              <a:round/>
            </a:ln>
            <a:effectLst/>
          </c:spPr>
          <c:marker>
            <c:symbol val="circle"/>
            <c:size val="5"/>
            <c:spPr>
              <a:solidFill>
                <a:srgbClr val="00B0F0"/>
              </a:solidFill>
              <a:ln w="9525">
                <a:solidFill>
                  <a:srgbClr val="00B0F0"/>
                </a:solidFill>
              </a:ln>
              <a:effectLst/>
            </c:spPr>
          </c:marker>
          <c:dLbls>
            <c:dLbl>
              <c:idx val="10"/>
              <c:layout>
                <c:manualLayout>
                  <c:x val="-2.9900072592381619E-2"/>
                  <c:y val="4.1666483890070778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70C0"/>
                      </a:solidFill>
                      <a:latin typeface="Trebuchet MS" panose="020B0603020202020204" pitchFamily="34" charset="0"/>
                      <a:ea typeface="+mn-ea"/>
                      <a:cs typeface="+mn-cs"/>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08D-4CB3-987E-09928C5A1767}"/>
                </c:ext>
              </c:extLst>
            </c:dLbl>
            <c:dLbl>
              <c:idx val="15"/>
              <c:layout>
                <c:manualLayout>
                  <c:x val="0"/>
                  <c:y val="7.407407407407407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70C0"/>
                      </a:solidFill>
                      <a:latin typeface="Trebuchet MS" panose="020B0603020202020204" pitchFamily="34" charset="0"/>
                      <a:ea typeface="+mn-ea"/>
                      <a:cs typeface="+mn-cs"/>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08D-4CB3-987E-09928C5A1767}"/>
                </c:ext>
              </c:extLst>
            </c:dLbl>
            <c:spPr>
              <a:noFill/>
              <a:ln>
                <a:noFill/>
              </a:ln>
              <a:effectLst/>
            </c:spPr>
            <c:txPr>
              <a:bodyPr wrap="square" lIns="38100" tIns="19050" rIns="38100" bIns="19050" anchor="ctr">
                <a:spAutoFit/>
              </a:bodyPr>
              <a:lstStyle/>
              <a:p>
                <a:pPr>
                  <a:defRPr sz="800">
                    <a:solidFill>
                      <a:srgbClr val="0070C0"/>
                    </a:solidFill>
                    <a:latin typeface="Trebuchet MS" panose="020B0603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'ΚΑΤΑΝΑΛΩΤΙΚΗ ΕΜΠΙΣΤΟΣΥΝΗ'!$A$2:$A$17</c:f>
              <c:strCache>
                <c:ptCount val="16"/>
                <c:pt idx="0">
                  <c:v>2020M01</c:v>
                </c:pt>
                <c:pt idx="1">
                  <c:v>2020M02</c:v>
                </c:pt>
                <c:pt idx="2">
                  <c:v>2020M03</c:v>
                </c:pt>
                <c:pt idx="3">
                  <c:v>2020M04</c:v>
                </c:pt>
                <c:pt idx="4">
                  <c:v>2020M05</c:v>
                </c:pt>
                <c:pt idx="5">
                  <c:v>2020M06</c:v>
                </c:pt>
                <c:pt idx="6">
                  <c:v>2020M07</c:v>
                </c:pt>
                <c:pt idx="7">
                  <c:v>2020M08</c:v>
                </c:pt>
                <c:pt idx="8">
                  <c:v>2020M09</c:v>
                </c:pt>
                <c:pt idx="9">
                  <c:v>2020M10</c:v>
                </c:pt>
                <c:pt idx="10">
                  <c:v>2020M11</c:v>
                </c:pt>
                <c:pt idx="11">
                  <c:v>2020M12</c:v>
                </c:pt>
                <c:pt idx="12">
                  <c:v>2021M01</c:v>
                </c:pt>
                <c:pt idx="13">
                  <c:v>2021M02</c:v>
                </c:pt>
                <c:pt idx="14">
                  <c:v>2021M03</c:v>
                </c:pt>
                <c:pt idx="15">
                  <c:v>2021M04</c:v>
                </c:pt>
              </c:strCache>
            </c:strRef>
          </c:cat>
          <c:val>
            <c:numRef>
              <c:f>'ΚΑΤΑΝΑΛΩΤΙΚΗ ΕΜΠΙΣΤΟΣΥΝΗ'!$C$2:$C$17</c:f>
              <c:numCache>
                <c:formatCode>#,##0.0</c:formatCode>
                <c:ptCount val="16"/>
                <c:pt idx="0">
                  <c:v>-10</c:v>
                </c:pt>
                <c:pt idx="1">
                  <c:v>-4.8</c:v>
                </c:pt>
                <c:pt idx="2">
                  <c:v>-16.5</c:v>
                </c:pt>
                <c:pt idx="3">
                  <c:v>-32.6</c:v>
                </c:pt>
                <c:pt idx="4">
                  <c:v>-33</c:v>
                </c:pt>
                <c:pt idx="5">
                  <c:v>-27.7</c:v>
                </c:pt>
                <c:pt idx="6">
                  <c:v>-34.700000000000003</c:v>
                </c:pt>
                <c:pt idx="7">
                  <c:v>-35</c:v>
                </c:pt>
                <c:pt idx="8">
                  <c:v>-41</c:v>
                </c:pt>
                <c:pt idx="9">
                  <c:v>-45.5</c:v>
                </c:pt>
                <c:pt idx="10">
                  <c:v>-48.3</c:v>
                </c:pt>
                <c:pt idx="11">
                  <c:v>-44.7</c:v>
                </c:pt>
                <c:pt idx="12">
                  <c:v>-43.2</c:v>
                </c:pt>
                <c:pt idx="13">
                  <c:v>-46.2</c:v>
                </c:pt>
                <c:pt idx="14">
                  <c:v>-39.5</c:v>
                </c:pt>
                <c:pt idx="15">
                  <c:v>-34.6</c:v>
                </c:pt>
              </c:numCache>
            </c:numRef>
          </c:val>
          <c:smooth val="0"/>
          <c:extLst>
            <c:ext xmlns:c16="http://schemas.microsoft.com/office/drawing/2014/chart" uri="{C3380CC4-5D6E-409C-BE32-E72D297353CC}">
              <c16:uniqueId val="{00000005-C08D-4CB3-987E-09928C5A1767}"/>
            </c:ext>
          </c:extLst>
        </c:ser>
        <c:dLbls>
          <c:showLegendKey val="0"/>
          <c:showVal val="0"/>
          <c:showCatName val="0"/>
          <c:showSerName val="0"/>
          <c:showPercent val="0"/>
          <c:showBubbleSize val="0"/>
        </c:dLbls>
        <c:marker val="1"/>
        <c:smooth val="0"/>
        <c:axId val="552514520"/>
        <c:axId val="1"/>
      </c:lineChart>
      <c:catAx>
        <c:axId val="55251452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rebuchet MS" panose="020B0603020202020204" pitchFamily="34" charset="0"/>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Trebuchet MS" panose="020B0603020202020204" pitchFamily="34" charset="0"/>
                <a:ea typeface="+mn-ea"/>
                <a:cs typeface="+mn-cs"/>
              </a:defRPr>
            </a:pPr>
            <a:endParaRPr lang="en-US"/>
          </a:p>
        </c:txPr>
        <c:crossAx val="552514520"/>
        <c:crosses val="autoZero"/>
        <c:crossBetween val="between"/>
      </c:valAx>
      <c:spPr>
        <a:noFill/>
        <a:ln w="25400">
          <a:noFill/>
        </a:ln>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rebuchet MS" panose="020B060302020202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cked"/>
        <c:varyColors val="0"/>
        <c:ser>
          <c:idx val="0"/>
          <c:order val="0"/>
          <c:tx>
            <c:strRef>
              <c:f>'2021'!$C$1</c:f>
              <c:strCache>
                <c:ptCount val="1"/>
                <c:pt idx="0">
                  <c:v>Ελλάδα</c:v>
                </c:pt>
              </c:strCache>
            </c:strRef>
          </c:tx>
          <c:spPr>
            <a:ln w="28575" cap="rnd">
              <a:solidFill>
                <a:schemeClr val="accent1"/>
              </a:solidFill>
              <a:round/>
            </a:ln>
            <a:effectLst/>
          </c:spPr>
          <c:marker>
            <c:symbol val="square"/>
            <c:size val="3"/>
            <c:spPr>
              <a:solidFill>
                <a:srgbClr val="0070C0"/>
              </a:solidFill>
              <a:ln w="25400">
                <a:solidFill>
                  <a:srgbClr val="0070C0"/>
                </a:solidFill>
              </a:ln>
              <a:effectLst/>
            </c:spPr>
          </c:marker>
          <c:dLbls>
            <c:dLbl>
              <c:idx val="35"/>
              <c:layout>
                <c:manualLayout>
                  <c:x val="-3.6118468576932516E-2"/>
                  <c:y val="6.6371118704501561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70C0"/>
                      </a:solidFill>
                      <a:latin typeface="Trebuchet MS" panose="020B0603020202020204" pitchFamily="34"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6B1-4C62-BDEA-EC7B4A0BC007}"/>
                </c:ext>
              </c:extLst>
            </c:dLbl>
            <c:dLbl>
              <c:idx val="40"/>
              <c:layout>
                <c:manualLayout>
                  <c:x val="-7.2236937153866438E-3"/>
                  <c:y val="0.1153381865002723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70C0"/>
                      </a:solidFill>
                      <a:latin typeface="Trebuchet MS" panose="020B0603020202020204" pitchFamily="34"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6B1-4C62-BDEA-EC7B4A0BC00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65000"/>
                        <a:lumOff val="35000"/>
                      </a:schemeClr>
                    </a:solidFill>
                    <a:latin typeface="Trebuchet MS" panose="020B0603020202020204" pitchFamily="34"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'2021'!$A$38:$B$78</c:f>
              <c:multiLvlStrCache>
                <c:ptCount val="41"/>
                <c:lvl>
                  <c:pt idx="0">
                    <c:v>Δ</c:v>
                  </c:pt>
                  <c:pt idx="1">
                    <c:v>Ι</c:v>
                  </c:pt>
                  <c:pt idx="2">
                    <c:v>Φ</c:v>
                  </c:pt>
                  <c:pt idx="3">
                    <c:v>Μ</c:v>
                  </c:pt>
                  <c:pt idx="4">
                    <c:v>Α</c:v>
                  </c:pt>
                  <c:pt idx="5">
                    <c:v>Μ</c:v>
                  </c:pt>
                  <c:pt idx="6">
                    <c:v>Ι</c:v>
                  </c:pt>
                  <c:pt idx="7">
                    <c:v>Ι</c:v>
                  </c:pt>
                  <c:pt idx="8">
                    <c:v>Α</c:v>
                  </c:pt>
                  <c:pt idx="9">
                    <c:v>Σ</c:v>
                  </c:pt>
                  <c:pt idx="10">
                    <c:v>Ο</c:v>
                  </c:pt>
                  <c:pt idx="11">
                    <c:v>Ν</c:v>
                  </c:pt>
                  <c:pt idx="12">
                    <c:v>Δ</c:v>
                  </c:pt>
                  <c:pt idx="13">
                    <c:v>Ι</c:v>
                  </c:pt>
                  <c:pt idx="14">
                    <c:v>Φ</c:v>
                  </c:pt>
                  <c:pt idx="15">
                    <c:v>Μ</c:v>
                  </c:pt>
                  <c:pt idx="16">
                    <c:v>Α</c:v>
                  </c:pt>
                  <c:pt idx="17">
                    <c:v>Μ</c:v>
                  </c:pt>
                  <c:pt idx="18">
                    <c:v>Ι</c:v>
                  </c:pt>
                  <c:pt idx="19">
                    <c:v>Ι</c:v>
                  </c:pt>
                  <c:pt idx="20">
                    <c:v>Α</c:v>
                  </c:pt>
                  <c:pt idx="21">
                    <c:v>Σ</c:v>
                  </c:pt>
                  <c:pt idx="22">
                    <c:v>Ο</c:v>
                  </c:pt>
                  <c:pt idx="23">
                    <c:v>Ν</c:v>
                  </c:pt>
                  <c:pt idx="24">
                    <c:v>Δ</c:v>
                  </c:pt>
                  <c:pt idx="25">
                    <c:v>Ι</c:v>
                  </c:pt>
                  <c:pt idx="26">
                    <c:v>Φ</c:v>
                  </c:pt>
                  <c:pt idx="27">
                    <c:v>Μ</c:v>
                  </c:pt>
                  <c:pt idx="28">
                    <c:v>Α</c:v>
                  </c:pt>
                  <c:pt idx="29">
                    <c:v>Μ</c:v>
                  </c:pt>
                  <c:pt idx="30">
                    <c:v>Ι</c:v>
                  </c:pt>
                  <c:pt idx="31">
                    <c:v>Ι</c:v>
                  </c:pt>
                  <c:pt idx="32">
                    <c:v>Α</c:v>
                  </c:pt>
                  <c:pt idx="33">
                    <c:v>Σ</c:v>
                  </c:pt>
                  <c:pt idx="34">
                    <c:v>Ο</c:v>
                  </c:pt>
                  <c:pt idx="35">
                    <c:v>Ν</c:v>
                  </c:pt>
                  <c:pt idx="36">
                    <c:v>Δ</c:v>
                  </c:pt>
                  <c:pt idx="37">
                    <c:v>I</c:v>
                  </c:pt>
                  <c:pt idx="38">
                    <c:v>Φ</c:v>
                  </c:pt>
                  <c:pt idx="39">
                    <c:v>Μ</c:v>
                  </c:pt>
                  <c:pt idx="40">
                    <c:v>Α</c:v>
                  </c:pt>
                </c:lvl>
                <c:lvl>
                  <c:pt idx="1">
                    <c:v>2018</c:v>
                  </c:pt>
                  <c:pt idx="13">
                    <c:v>2019</c:v>
                  </c:pt>
                  <c:pt idx="25">
                    <c:v>2020</c:v>
                  </c:pt>
                  <c:pt idx="37">
                    <c:v>2021</c:v>
                  </c:pt>
                </c:lvl>
              </c:multiLvlStrCache>
            </c:multiLvlStrRef>
          </c:cat>
          <c:val>
            <c:numRef>
              <c:f>'2021'!$C$38:$C$78</c:f>
              <c:numCache>
                <c:formatCode>General</c:formatCode>
                <c:ptCount val="41"/>
                <c:pt idx="0">
                  <c:v>53.1</c:v>
                </c:pt>
                <c:pt idx="1">
                  <c:v>55.2</c:v>
                </c:pt>
                <c:pt idx="2">
                  <c:v>56.1</c:v>
                </c:pt>
                <c:pt idx="3">
                  <c:v>55</c:v>
                </c:pt>
                <c:pt idx="4">
                  <c:v>52.9</c:v>
                </c:pt>
                <c:pt idx="5">
                  <c:v>54.2</c:v>
                </c:pt>
                <c:pt idx="6">
                  <c:v>53.5</c:v>
                </c:pt>
                <c:pt idx="7">
                  <c:v>53.5</c:v>
                </c:pt>
                <c:pt idx="8">
                  <c:v>53.9</c:v>
                </c:pt>
                <c:pt idx="9">
                  <c:v>53.6</c:v>
                </c:pt>
                <c:pt idx="10">
                  <c:v>53.1</c:v>
                </c:pt>
                <c:pt idx="11">
                  <c:v>54</c:v>
                </c:pt>
                <c:pt idx="12">
                  <c:v>53.8</c:v>
                </c:pt>
                <c:pt idx="13">
                  <c:v>53.7</c:v>
                </c:pt>
                <c:pt idx="14">
                  <c:v>54.2</c:v>
                </c:pt>
                <c:pt idx="15">
                  <c:v>54.7</c:v>
                </c:pt>
                <c:pt idx="16">
                  <c:v>56.6</c:v>
                </c:pt>
                <c:pt idx="17">
                  <c:v>54.2</c:v>
                </c:pt>
                <c:pt idx="18">
                  <c:v>52.4</c:v>
                </c:pt>
                <c:pt idx="19">
                  <c:v>54.6</c:v>
                </c:pt>
                <c:pt idx="20">
                  <c:v>54.9</c:v>
                </c:pt>
                <c:pt idx="21">
                  <c:v>53.6</c:v>
                </c:pt>
                <c:pt idx="22">
                  <c:v>53.5</c:v>
                </c:pt>
                <c:pt idx="23">
                  <c:v>54.1</c:v>
                </c:pt>
                <c:pt idx="24">
                  <c:v>53.9</c:v>
                </c:pt>
                <c:pt idx="25">
                  <c:v>54.4</c:v>
                </c:pt>
                <c:pt idx="26">
                  <c:v>56.2</c:v>
                </c:pt>
                <c:pt idx="27">
                  <c:v>42.5</c:v>
                </c:pt>
                <c:pt idx="28">
                  <c:v>29.5</c:v>
                </c:pt>
                <c:pt idx="29">
                  <c:v>41.1</c:v>
                </c:pt>
                <c:pt idx="30">
                  <c:v>49.4</c:v>
                </c:pt>
                <c:pt idx="31">
                  <c:v>48.6</c:v>
                </c:pt>
                <c:pt idx="32">
                  <c:v>49.4</c:v>
                </c:pt>
                <c:pt idx="33">
                  <c:v>50</c:v>
                </c:pt>
                <c:pt idx="34">
                  <c:v>48.7</c:v>
                </c:pt>
                <c:pt idx="35">
                  <c:v>42.3</c:v>
                </c:pt>
                <c:pt idx="36">
                  <c:v>46.9</c:v>
                </c:pt>
                <c:pt idx="37">
                  <c:v>50</c:v>
                </c:pt>
                <c:pt idx="38">
                  <c:v>49.4</c:v>
                </c:pt>
                <c:pt idx="39">
                  <c:v>51.8</c:v>
                </c:pt>
                <c:pt idx="40">
                  <c:v>54.4</c:v>
                </c:pt>
              </c:numCache>
            </c:numRef>
          </c:val>
          <c:smooth val="0"/>
          <c:extLst>
            <c:ext xmlns:c16="http://schemas.microsoft.com/office/drawing/2014/chart" uri="{C3380CC4-5D6E-409C-BE32-E72D297353CC}">
              <c16:uniqueId val="{00000002-C6B1-4C62-BDEA-EC7B4A0BC007}"/>
            </c:ext>
          </c:extLst>
        </c:ser>
        <c:ser>
          <c:idx val="1"/>
          <c:order val="1"/>
          <c:tx>
            <c:strRef>
              <c:f>'2021'!$D$1</c:f>
              <c:strCache>
                <c:ptCount val="1"/>
                <c:pt idx="0">
                  <c:v>Ευρωζώνη</c:v>
                </c:pt>
              </c:strCache>
            </c:strRef>
          </c:tx>
          <c:spPr>
            <a:ln w="28575" cap="rnd">
              <a:solidFill>
                <a:srgbClr val="00B050"/>
              </a:solidFill>
              <a:round/>
            </a:ln>
            <a:effectLst/>
          </c:spPr>
          <c:marker>
            <c:symbol val="circle"/>
            <c:size val="3"/>
            <c:spPr>
              <a:solidFill>
                <a:srgbClr val="00B050"/>
              </a:solidFill>
              <a:ln w="25400">
                <a:solidFill>
                  <a:srgbClr val="00B050"/>
                </a:solidFill>
              </a:ln>
              <a:effectLst/>
            </c:spPr>
          </c:marker>
          <c:dLbls>
            <c:dLbl>
              <c:idx val="35"/>
              <c:layout>
                <c:manualLayout>
                  <c:x val="-3.8526366482061161E-2"/>
                  <c:y val="-6.49963848858515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6B1-4C62-BDEA-EC7B4A0BC007}"/>
                </c:ext>
              </c:extLst>
            </c:dLbl>
            <c:dLbl>
              <c:idx val="40"/>
              <c:layout>
                <c:manualLayout>
                  <c:x val="-9.6315916205152903E-3"/>
                  <c:y val="-6.31541623334818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6B1-4C62-BDEA-EC7B4A0BC007}"/>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B050"/>
                    </a:solidFill>
                    <a:latin typeface="Trebuchet MS" panose="020B0603020202020204" pitchFamily="34"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'2021'!$A$38:$B$78</c:f>
              <c:multiLvlStrCache>
                <c:ptCount val="41"/>
                <c:lvl>
                  <c:pt idx="0">
                    <c:v>Δ</c:v>
                  </c:pt>
                  <c:pt idx="1">
                    <c:v>Ι</c:v>
                  </c:pt>
                  <c:pt idx="2">
                    <c:v>Φ</c:v>
                  </c:pt>
                  <c:pt idx="3">
                    <c:v>Μ</c:v>
                  </c:pt>
                  <c:pt idx="4">
                    <c:v>Α</c:v>
                  </c:pt>
                  <c:pt idx="5">
                    <c:v>Μ</c:v>
                  </c:pt>
                  <c:pt idx="6">
                    <c:v>Ι</c:v>
                  </c:pt>
                  <c:pt idx="7">
                    <c:v>Ι</c:v>
                  </c:pt>
                  <c:pt idx="8">
                    <c:v>Α</c:v>
                  </c:pt>
                  <c:pt idx="9">
                    <c:v>Σ</c:v>
                  </c:pt>
                  <c:pt idx="10">
                    <c:v>Ο</c:v>
                  </c:pt>
                  <c:pt idx="11">
                    <c:v>Ν</c:v>
                  </c:pt>
                  <c:pt idx="12">
                    <c:v>Δ</c:v>
                  </c:pt>
                  <c:pt idx="13">
                    <c:v>Ι</c:v>
                  </c:pt>
                  <c:pt idx="14">
                    <c:v>Φ</c:v>
                  </c:pt>
                  <c:pt idx="15">
                    <c:v>Μ</c:v>
                  </c:pt>
                  <c:pt idx="16">
                    <c:v>Α</c:v>
                  </c:pt>
                  <c:pt idx="17">
                    <c:v>Μ</c:v>
                  </c:pt>
                  <c:pt idx="18">
                    <c:v>Ι</c:v>
                  </c:pt>
                  <c:pt idx="19">
                    <c:v>Ι</c:v>
                  </c:pt>
                  <c:pt idx="20">
                    <c:v>Α</c:v>
                  </c:pt>
                  <c:pt idx="21">
                    <c:v>Σ</c:v>
                  </c:pt>
                  <c:pt idx="22">
                    <c:v>Ο</c:v>
                  </c:pt>
                  <c:pt idx="23">
                    <c:v>Ν</c:v>
                  </c:pt>
                  <c:pt idx="24">
                    <c:v>Δ</c:v>
                  </c:pt>
                  <c:pt idx="25">
                    <c:v>Ι</c:v>
                  </c:pt>
                  <c:pt idx="26">
                    <c:v>Φ</c:v>
                  </c:pt>
                  <c:pt idx="27">
                    <c:v>Μ</c:v>
                  </c:pt>
                  <c:pt idx="28">
                    <c:v>Α</c:v>
                  </c:pt>
                  <c:pt idx="29">
                    <c:v>Μ</c:v>
                  </c:pt>
                  <c:pt idx="30">
                    <c:v>Ι</c:v>
                  </c:pt>
                  <c:pt idx="31">
                    <c:v>Ι</c:v>
                  </c:pt>
                  <c:pt idx="32">
                    <c:v>Α</c:v>
                  </c:pt>
                  <c:pt idx="33">
                    <c:v>Σ</c:v>
                  </c:pt>
                  <c:pt idx="34">
                    <c:v>Ο</c:v>
                  </c:pt>
                  <c:pt idx="35">
                    <c:v>Ν</c:v>
                  </c:pt>
                  <c:pt idx="36">
                    <c:v>Δ</c:v>
                  </c:pt>
                  <c:pt idx="37">
                    <c:v>I</c:v>
                  </c:pt>
                  <c:pt idx="38">
                    <c:v>Φ</c:v>
                  </c:pt>
                  <c:pt idx="39">
                    <c:v>Μ</c:v>
                  </c:pt>
                  <c:pt idx="40">
                    <c:v>Α</c:v>
                  </c:pt>
                </c:lvl>
                <c:lvl>
                  <c:pt idx="1">
                    <c:v>2018</c:v>
                  </c:pt>
                  <c:pt idx="13">
                    <c:v>2019</c:v>
                  </c:pt>
                  <c:pt idx="25">
                    <c:v>2020</c:v>
                  </c:pt>
                  <c:pt idx="37">
                    <c:v>2021</c:v>
                  </c:pt>
                </c:lvl>
              </c:multiLvlStrCache>
            </c:multiLvlStrRef>
          </c:cat>
          <c:val>
            <c:numRef>
              <c:f>'2021'!$D$38:$D$78</c:f>
              <c:numCache>
                <c:formatCode>General</c:formatCode>
                <c:ptCount val="41"/>
                <c:pt idx="0">
                  <c:v>60.6</c:v>
                </c:pt>
                <c:pt idx="1">
                  <c:v>59.6</c:v>
                </c:pt>
                <c:pt idx="2">
                  <c:v>58.6</c:v>
                </c:pt>
                <c:pt idx="3">
                  <c:v>56.6</c:v>
                </c:pt>
                <c:pt idx="4">
                  <c:v>56.2</c:v>
                </c:pt>
                <c:pt idx="5">
                  <c:v>55.5</c:v>
                </c:pt>
                <c:pt idx="6">
                  <c:v>54.9</c:v>
                </c:pt>
                <c:pt idx="7">
                  <c:v>55.1</c:v>
                </c:pt>
                <c:pt idx="8">
                  <c:v>54.6</c:v>
                </c:pt>
                <c:pt idx="9">
                  <c:v>53.2</c:v>
                </c:pt>
                <c:pt idx="10">
                  <c:v>52</c:v>
                </c:pt>
                <c:pt idx="11">
                  <c:v>51.8</c:v>
                </c:pt>
                <c:pt idx="12">
                  <c:v>51.4</c:v>
                </c:pt>
                <c:pt idx="13">
                  <c:v>50.5</c:v>
                </c:pt>
                <c:pt idx="14">
                  <c:v>49.3</c:v>
                </c:pt>
                <c:pt idx="15">
                  <c:v>47.5</c:v>
                </c:pt>
                <c:pt idx="16">
                  <c:v>47.9</c:v>
                </c:pt>
                <c:pt idx="17">
                  <c:v>47.7</c:v>
                </c:pt>
                <c:pt idx="18">
                  <c:v>47.6</c:v>
                </c:pt>
                <c:pt idx="19">
                  <c:v>46.5</c:v>
                </c:pt>
                <c:pt idx="20">
                  <c:v>47</c:v>
                </c:pt>
                <c:pt idx="21">
                  <c:v>45.7</c:v>
                </c:pt>
                <c:pt idx="22">
                  <c:v>45.9</c:v>
                </c:pt>
                <c:pt idx="23">
                  <c:v>46.9</c:v>
                </c:pt>
                <c:pt idx="24">
                  <c:v>46.3</c:v>
                </c:pt>
                <c:pt idx="25">
                  <c:v>47.9</c:v>
                </c:pt>
                <c:pt idx="26">
                  <c:v>49.2</c:v>
                </c:pt>
                <c:pt idx="27">
                  <c:v>44.5</c:v>
                </c:pt>
                <c:pt idx="28">
                  <c:v>33.4</c:v>
                </c:pt>
                <c:pt idx="29">
                  <c:v>39.4</c:v>
                </c:pt>
                <c:pt idx="30">
                  <c:v>47.4</c:v>
                </c:pt>
                <c:pt idx="31">
                  <c:v>51.8</c:v>
                </c:pt>
                <c:pt idx="32">
                  <c:v>51.7</c:v>
                </c:pt>
                <c:pt idx="33">
                  <c:v>53.7</c:v>
                </c:pt>
                <c:pt idx="34">
                  <c:v>54.8</c:v>
                </c:pt>
                <c:pt idx="35">
                  <c:v>53.8</c:v>
                </c:pt>
                <c:pt idx="36">
                  <c:v>55.2</c:v>
                </c:pt>
                <c:pt idx="37">
                  <c:v>54.8</c:v>
                </c:pt>
                <c:pt idx="38">
                  <c:v>57.9</c:v>
                </c:pt>
                <c:pt idx="39">
                  <c:v>62.5</c:v>
                </c:pt>
                <c:pt idx="40">
                  <c:v>62.9</c:v>
                </c:pt>
              </c:numCache>
            </c:numRef>
          </c:val>
          <c:smooth val="0"/>
          <c:extLst>
            <c:ext xmlns:c16="http://schemas.microsoft.com/office/drawing/2014/chart" uri="{C3380CC4-5D6E-409C-BE32-E72D297353CC}">
              <c16:uniqueId val="{00000005-C6B1-4C62-BDEA-EC7B4A0BC007}"/>
            </c:ext>
          </c:extLst>
        </c:ser>
        <c:dLbls>
          <c:showLegendKey val="0"/>
          <c:showVal val="0"/>
          <c:showCatName val="0"/>
          <c:showSerName val="0"/>
          <c:showPercent val="0"/>
          <c:showBubbleSize val="0"/>
        </c:dLbls>
        <c:marker val="1"/>
        <c:smooth val="0"/>
        <c:axId val="523620616"/>
        <c:axId val="523625208"/>
      </c:lineChart>
      <c:catAx>
        <c:axId val="5236206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rebuchet MS" panose="020B0603020202020204" pitchFamily="34" charset="0"/>
                <a:ea typeface="+mn-ea"/>
                <a:cs typeface="+mn-cs"/>
              </a:defRPr>
            </a:pPr>
            <a:endParaRPr lang="en-US"/>
          </a:p>
        </c:txPr>
        <c:crossAx val="523625208"/>
        <c:crosses val="autoZero"/>
        <c:auto val="1"/>
        <c:lblAlgn val="ctr"/>
        <c:lblOffset val="100"/>
        <c:noMultiLvlLbl val="0"/>
      </c:catAx>
      <c:valAx>
        <c:axId val="523625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rebuchet MS" panose="020B0603020202020204" pitchFamily="34" charset="0"/>
                <a:ea typeface="+mn-ea"/>
                <a:cs typeface="+mn-cs"/>
              </a:defRPr>
            </a:pPr>
            <a:endParaRPr lang="en-US"/>
          </a:p>
        </c:txPr>
        <c:crossAx val="523620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rebuchet MS" panose="020B0603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chemeClr val="tx1">
              <a:lumMod val="65000"/>
              <a:lumOff val="35000"/>
            </a:schemeClr>
          </a:solidFill>
          <a:latin typeface="Trebuchet MS" panose="020B0603020202020204" pitchFamily="34" charset="0"/>
        </a:defRPr>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'Data (2)'!$A$13</c:f>
              <c:strCache>
                <c:ptCount val="1"/>
                <c:pt idx="0">
                  <c:v>EE 27</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6.0836501901140705E-2"/>
                  <c:y val="5.78338590956887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77C-4776-BF61-986C70ED77C6}"/>
                </c:ext>
              </c:extLst>
            </c:dLbl>
            <c:dLbl>
              <c:idx val="9"/>
              <c:layout>
                <c:manualLayout>
                  <c:x val="-3.0418250950570342E-2"/>
                  <c:y val="7.36067297581493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77C-4776-BF61-986C70ED77C6}"/>
                </c:ext>
              </c:extLst>
            </c:dLbl>
            <c:spPr>
              <a:noFill/>
              <a:ln>
                <a:noFill/>
              </a:ln>
              <a:effectLst/>
            </c:spPr>
            <c:txPr>
              <a:bodyPr wrap="square" lIns="38100" tIns="19050" rIns="38100" bIns="19050" anchor="ctr">
                <a:spAutoFit/>
              </a:bodyPr>
              <a:lstStyle/>
              <a:p>
                <a:pPr>
                  <a:defRPr b="1">
                    <a:solidFill>
                      <a:schemeClr val="accent1">
                        <a:lumMod val="75000"/>
                      </a:schemeClr>
                    </a:solidFill>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ext>
            </c:extLst>
          </c:dLbls>
          <c:cat>
            <c:strRef>
              <c:f>'Data (2)'!$B$12:$K$12</c:f>
              <c:strCache>
                <c:ptCount val="10"/>
                <c:pt idx="0">
                  <c:v>2020M06</c:v>
                </c:pt>
                <c:pt idx="1">
                  <c:v>2020M07</c:v>
                </c:pt>
                <c:pt idx="2">
                  <c:v>2020M08</c:v>
                </c:pt>
                <c:pt idx="3">
                  <c:v>2020M09</c:v>
                </c:pt>
                <c:pt idx="4">
                  <c:v>2020M10</c:v>
                </c:pt>
                <c:pt idx="5">
                  <c:v>2020M11</c:v>
                </c:pt>
                <c:pt idx="6">
                  <c:v>2020M12</c:v>
                </c:pt>
                <c:pt idx="7">
                  <c:v>2021M01</c:v>
                </c:pt>
                <c:pt idx="8">
                  <c:v>2021M02</c:v>
                </c:pt>
                <c:pt idx="9">
                  <c:v>2021M03</c:v>
                </c:pt>
              </c:strCache>
            </c:strRef>
          </c:cat>
          <c:val>
            <c:numRef>
              <c:f>'Data (2)'!$B$13:$K$13</c:f>
              <c:numCache>
                <c:formatCode>#,##0.0</c:formatCode>
                <c:ptCount val="10"/>
                <c:pt idx="0">
                  <c:v>94.2</c:v>
                </c:pt>
                <c:pt idx="1">
                  <c:v>98.6</c:v>
                </c:pt>
                <c:pt idx="2">
                  <c:v>99.5</c:v>
                </c:pt>
                <c:pt idx="3">
                  <c:v>100</c:v>
                </c:pt>
                <c:pt idx="4">
                  <c:v>102</c:v>
                </c:pt>
                <c:pt idx="5">
                  <c:v>104</c:v>
                </c:pt>
                <c:pt idx="6">
                  <c:v>104</c:v>
                </c:pt>
                <c:pt idx="7">
                  <c:v>104.9</c:v>
                </c:pt>
                <c:pt idx="8">
                  <c:v>103.9</c:v>
                </c:pt>
                <c:pt idx="9">
                  <c:v>104.5</c:v>
                </c:pt>
              </c:numCache>
            </c:numRef>
          </c:val>
          <c:smooth val="0"/>
          <c:extLst>
            <c:ext xmlns:c16="http://schemas.microsoft.com/office/drawing/2014/chart" uri="{C3380CC4-5D6E-409C-BE32-E72D297353CC}">
              <c16:uniqueId val="{00000002-A77C-4776-BF61-986C70ED77C6}"/>
            </c:ext>
          </c:extLst>
        </c:ser>
        <c:ser>
          <c:idx val="1"/>
          <c:order val="1"/>
          <c:tx>
            <c:strRef>
              <c:f>'Data (2)'!$A$14</c:f>
              <c:strCache>
                <c:ptCount val="1"/>
                <c:pt idx="0">
                  <c:v>Ελλάδα</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5.5766793409378984E-2"/>
                  <c:y val="-8.41219768664563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77C-4776-BF61-986C70ED77C6}"/>
                </c:ext>
              </c:extLst>
            </c:dLbl>
            <c:dLbl>
              <c:idx val="9"/>
              <c:layout>
                <c:manualLayout>
                  <c:x val="-2.5348542458808618E-2"/>
                  <c:y val="-6.30914826498422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77C-4776-BF61-986C70ED77C6}"/>
                </c:ext>
              </c:extLst>
            </c:dLbl>
            <c:spPr>
              <a:noFill/>
              <a:ln>
                <a:noFill/>
              </a:ln>
              <a:effectLst/>
            </c:spPr>
            <c:txPr>
              <a:bodyPr wrap="square" lIns="38100" tIns="19050" rIns="38100" bIns="19050" anchor="ctr">
                <a:spAutoFit/>
              </a:bodyPr>
              <a:lstStyle/>
              <a:p>
                <a:pPr>
                  <a:defRPr b="1">
                    <a:solidFill>
                      <a:schemeClr val="accent2">
                        <a:lumMod val="75000"/>
                      </a:schemeClr>
                    </a:solidFill>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ext>
            </c:extLst>
          </c:dLbls>
          <c:cat>
            <c:strRef>
              <c:f>'Data (2)'!$B$12:$K$12</c:f>
              <c:strCache>
                <c:ptCount val="10"/>
                <c:pt idx="0">
                  <c:v>2020M06</c:v>
                </c:pt>
                <c:pt idx="1">
                  <c:v>2020M07</c:v>
                </c:pt>
                <c:pt idx="2">
                  <c:v>2020M08</c:v>
                </c:pt>
                <c:pt idx="3">
                  <c:v>2020M09</c:v>
                </c:pt>
                <c:pt idx="4">
                  <c:v>2020M10</c:v>
                </c:pt>
                <c:pt idx="5">
                  <c:v>2020M11</c:v>
                </c:pt>
                <c:pt idx="6">
                  <c:v>2020M12</c:v>
                </c:pt>
                <c:pt idx="7">
                  <c:v>2021M01</c:v>
                </c:pt>
                <c:pt idx="8">
                  <c:v>2021M02</c:v>
                </c:pt>
                <c:pt idx="9">
                  <c:v>2021M03</c:v>
                </c:pt>
              </c:strCache>
            </c:strRef>
          </c:cat>
          <c:val>
            <c:numRef>
              <c:f>'Data (2)'!$B$14:$K$14</c:f>
              <c:numCache>
                <c:formatCode>#,##0.0</c:formatCode>
                <c:ptCount val="10"/>
                <c:pt idx="0">
                  <c:v>102.9</c:v>
                </c:pt>
                <c:pt idx="1">
                  <c:v>106.5</c:v>
                </c:pt>
                <c:pt idx="2">
                  <c:v>105.2</c:v>
                </c:pt>
                <c:pt idx="3">
                  <c:v>107.2</c:v>
                </c:pt>
                <c:pt idx="4">
                  <c:v>104.2</c:v>
                </c:pt>
                <c:pt idx="5">
                  <c:v>110.8</c:v>
                </c:pt>
                <c:pt idx="6">
                  <c:v>110.5</c:v>
                </c:pt>
                <c:pt idx="7">
                  <c:v>114.3</c:v>
                </c:pt>
                <c:pt idx="8">
                  <c:v>111.4</c:v>
                </c:pt>
                <c:pt idx="9">
                  <c:v>113.9</c:v>
                </c:pt>
              </c:numCache>
            </c:numRef>
          </c:val>
          <c:smooth val="0"/>
          <c:extLst>
            <c:ext xmlns:c16="http://schemas.microsoft.com/office/drawing/2014/chart" uri="{C3380CC4-5D6E-409C-BE32-E72D297353CC}">
              <c16:uniqueId val="{00000005-A77C-4776-BF61-986C70ED77C6}"/>
            </c:ext>
          </c:extLst>
        </c:ser>
        <c:dLbls>
          <c:showLegendKey val="0"/>
          <c:showVal val="0"/>
          <c:showCatName val="0"/>
          <c:showSerName val="0"/>
          <c:showPercent val="0"/>
          <c:showBubbleSize val="0"/>
        </c:dLbls>
        <c:marker val="1"/>
        <c:smooth val="0"/>
        <c:axId val="462551640"/>
        <c:axId val="1"/>
      </c:lineChart>
      <c:catAx>
        <c:axId val="4625516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vert="horz"/>
          <a:lstStyle/>
          <a:p>
            <a:pPr>
              <a:defRPr>
                <a:solidFill>
                  <a:schemeClr val="tx1">
                    <a:lumMod val="65000"/>
                    <a:lumOff val="35000"/>
                  </a:schemeClr>
                </a:solidFill>
              </a:defRPr>
            </a:pPr>
            <a:endParaRPr lang="en-US"/>
          </a:p>
        </c:txPr>
        <c:crossAx val="1"/>
        <c:crosses val="autoZero"/>
        <c:auto val="1"/>
        <c:lblAlgn val="ctr"/>
        <c:lblOffset val="100"/>
        <c:noMultiLvlLbl val="0"/>
      </c:catAx>
      <c:valAx>
        <c:axId val="1"/>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462551640"/>
        <c:crosses val="autoZero"/>
        <c:crossBetween val="between"/>
      </c:valAx>
      <c:spPr>
        <a:noFill/>
        <a:ln w="25400">
          <a:noFill/>
        </a:ln>
      </c:spPr>
    </c:plotArea>
    <c:legend>
      <c:legendPos val="b"/>
      <c:overlay val="0"/>
      <c:spPr>
        <a:noFill/>
        <a:ln>
          <a:noFill/>
        </a:ln>
        <a:effectLst/>
      </c:spPr>
    </c:legend>
    <c:plotVisOnly val="1"/>
    <c:dispBlanksAs val="gap"/>
    <c:showDLblsOverMax val="0"/>
  </c:chart>
  <c:spPr>
    <a:solidFill>
      <a:schemeClr val="bg1"/>
    </a:solidFill>
    <a:ln w="9525" cap="flat" cmpd="sng" algn="ctr">
      <a:noFill/>
      <a:round/>
    </a:ln>
    <a:effectLst/>
  </c:spPr>
  <c:txPr>
    <a:bodyPr/>
    <a:lstStyle/>
    <a:p>
      <a:pPr>
        <a:defRPr sz="800" b="0" i="0" u="none" strike="noStrike" baseline="0">
          <a:solidFill>
            <a:srgbClr val="000000"/>
          </a:solidFill>
          <a:latin typeface="Trebuchet MS" panose="020B0603020202020204" pitchFamily="34" charset="0"/>
          <a:ea typeface="Calibri"/>
          <a:cs typeface="Calibri"/>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'Data (2)'!$A$25</c:f>
              <c:strCache>
                <c:ptCount val="1"/>
                <c:pt idx="0">
                  <c:v>EE 27</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delete val="1"/>
              <c:extLst>
                <c:ext xmlns:c15="http://schemas.microsoft.com/office/drawing/2012/chart" uri="{CE6537A1-D6FC-4f65-9D91-7224C49458BB}"/>
                <c:ext xmlns:c16="http://schemas.microsoft.com/office/drawing/2014/chart" uri="{C3380CC4-5D6E-409C-BE32-E72D297353CC}">
                  <c16:uniqueId val="{00000000-4E36-476B-9864-1A2732D25C43}"/>
                </c:ext>
              </c:extLst>
            </c:dLbl>
            <c:dLbl>
              <c:idx val="2"/>
              <c:delete val="1"/>
              <c:extLst>
                <c:ext xmlns:c15="http://schemas.microsoft.com/office/drawing/2012/chart" uri="{CE6537A1-D6FC-4f65-9D91-7224C49458BB}"/>
                <c:ext xmlns:c16="http://schemas.microsoft.com/office/drawing/2014/chart" uri="{C3380CC4-5D6E-409C-BE32-E72D297353CC}">
                  <c16:uniqueId val="{00000001-4E36-476B-9864-1A2732D25C43}"/>
                </c:ext>
              </c:extLst>
            </c:dLbl>
            <c:dLbl>
              <c:idx val="3"/>
              <c:delete val="1"/>
              <c:extLst>
                <c:ext xmlns:c15="http://schemas.microsoft.com/office/drawing/2012/chart" uri="{CE6537A1-D6FC-4f65-9D91-7224C49458BB}"/>
                <c:ext xmlns:c16="http://schemas.microsoft.com/office/drawing/2014/chart" uri="{C3380CC4-5D6E-409C-BE32-E72D297353CC}">
                  <c16:uniqueId val="{00000002-4E36-476B-9864-1A2732D25C43}"/>
                </c:ext>
              </c:extLst>
            </c:dLbl>
            <c:dLbl>
              <c:idx val="5"/>
              <c:delete val="1"/>
              <c:extLst>
                <c:ext xmlns:c15="http://schemas.microsoft.com/office/drawing/2012/chart" uri="{CE6537A1-D6FC-4f65-9D91-7224C49458BB}"/>
                <c:ext xmlns:c16="http://schemas.microsoft.com/office/drawing/2014/chart" uri="{C3380CC4-5D6E-409C-BE32-E72D297353CC}">
                  <c16:uniqueId val="{00000003-4E36-476B-9864-1A2732D25C43}"/>
                </c:ext>
              </c:extLst>
            </c:dLbl>
            <c:dLbl>
              <c:idx val="7"/>
              <c:delete val="1"/>
              <c:extLst>
                <c:ext xmlns:c15="http://schemas.microsoft.com/office/drawing/2012/chart" uri="{CE6537A1-D6FC-4f65-9D91-7224C49458BB}"/>
                <c:ext xmlns:c16="http://schemas.microsoft.com/office/drawing/2014/chart" uri="{C3380CC4-5D6E-409C-BE32-E72D297353CC}">
                  <c16:uniqueId val="{00000004-4E36-476B-9864-1A2732D25C43}"/>
                </c:ext>
              </c:extLst>
            </c:dLbl>
            <c:dLbl>
              <c:idx val="8"/>
              <c:delete val="1"/>
              <c:extLst>
                <c:ext xmlns:c15="http://schemas.microsoft.com/office/drawing/2012/chart" uri="{CE6537A1-D6FC-4f65-9D91-7224C49458BB}"/>
                <c:ext xmlns:c16="http://schemas.microsoft.com/office/drawing/2014/chart" uri="{C3380CC4-5D6E-409C-BE32-E72D297353CC}">
                  <c16:uniqueId val="{00000005-4E36-476B-9864-1A2732D25C43}"/>
                </c:ext>
              </c:extLst>
            </c:dLbl>
            <c:spPr>
              <a:noFill/>
              <a:ln>
                <a:noFill/>
              </a:ln>
              <a:effectLst/>
            </c:spPr>
            <c:txPr>
              <a:bodyPr wrap="square" lIns="38100" tIns="19050" rIns="38100" bIns="19050" anchor="ctr">
                <a:spAutoFit/>
              </a:bodyPr>
              <a:lstStyle/>
              <a:p>
                <a:pPr>
                  <a:defRPr sz="800" b="1" i="0" u="none" strike="noStrike" baseline="0">
                    <a:solidFill>
                      <a:srgbClr val="0066CC"/>
                    </a:solidFill>
                    <a:latin typeface="Trebuchet MS"/>
                    <a:ea typeface="Trebuchet MS"/>
                    <a:cs typeface="Trebuchet M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 (2)'!$B$12:$K$12</c:f>
              <c:strCache>
                <c:ptCount val="10"/>
                <c:pt idx="0">
                  <c:v>2020M06</c:v>
                </c:pt>
                <c:pt idx="1">
                  <c:v>2020M07</c:v>
                </c:pt>
                <c:pt idx="2">
                  <c:v>2020M08</c:v>
                </c:pt>
                <c:pt idx="3">
                  <c:v>2020M09</c:v>
                </c:pt>
                <c:pt idx="4">
                  <c:v>2020M10</c:v>
                </c:pt>
                <c:pt idx="5">
                  <c:v>2020M11</c:v>
                </c:pt>
                <c:pt idx="6">
                  <c:v>2020M12</c:v>
                </c:pt>
                <c:pt idx="7">
                  <c:v>2021M01</c:v>
                </c:pt>
                <c:pt idx="8">
                  <c:v>2021M02</c:v>
                </c:pt>
                <c:pt idx="9">
                  <c:v>2021M03</c:v>
                </c:pt>
              </c:strCache>
            </c:strRef>
          </c:cat>
          <c:val>
            <c:numRef>
              <c:f>'Data (2)'!$B$25:$K$25</c:f>
              <c:numCache>
                <c:formatCode>#,##0.0</c:formatCode>
                <c:ptCount val="10"/>
                <c:pt idx="0">
                  <c:v>73.900000000000006</c:v>
                </c:pt>
                <c:pt idx="1">
                  <c:v>72.599999999999994</c:v>
                </c:pt>
                <c:pt idx="2">
                  <c:v>73</c:v>
                </c:pt>
                <c:pt idx="3">
                  <c:v>72.900000000000006</c:v>
                </c:pt>
                <c:pt idx="4">
                  <c:v>75</c:v>
                </c:pt>
                <c:pt idx="5">
                  <c:v>75.900000000000006</c:v>
                </c:pt>
                <c:pt idx="6">
                  <c:v>75.5</c:v>
                </c:pt>
                <c:pt idx="7">
                  <c:v>73.900000000000006</c:v>
                </c:pt>
                <c:pt idx="8">
                  <c:v>73.400000000000006</c:v>
                </c:pt>
                <c:pt idx="9">
                  <c:v>76.2</c:v>
                </c:pt>
              </c:numCache>
            </c:numRef>
          </c:val>
          <c:smooth val="0"/>
          <c:extLst>
            <c:ext xmlns:c16="http://schemas.microsoft.com/office/drawing/2014/chart" uri="{C3380CC4-5D6E-409C-BE32-E72D297353CC}">
              <c16:uniqueId val="{00000006-4E36-476B-9864-1A2732D25C43}"/>
            </c:ext>
          </c:extLst>
        </c:ser>
        <c:ser>
          <c:idx val="1"/>
          <c:order val="1"/>
          <c:tx>
            <c:strRef>
              <c:f>'Data (2)'!$A$26</c:f>
              <c:strCache>
                <c:ptCount val="1"/>
                <c:pt idx="0">
                  <c:v>Ελλάδα</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1"/>
              <c:delete val="1"/>
              <c:extLst>
                <c:ext xmlns:c15="http://schemas.microsoft.com/office/drawing/2012/chart" uri="{CE6537A1-D6FC-4f65-9D91-7224C49458BB}"/>
                <c:ext xmlns:c16="http://schemas.microsoft.com/office/drawing/2014/chart" uri="{C3380CC4-5D6E-409C-BE32-E72D297353CC}">
                  <c16:uniqueId val="{00000007-4E36-476B-9864-1A2732D25C43}"/>
                </c:ext>
              </c:extLst>
            </c:dLbl>
            <c:dLbl>
              <c:idx val="3"/>
              <c:delete val="1"/>
              <c:extLst>
                <c:ext xmlns:c15="http://schemas.microsoft.com/office/drawing/2012/chart" uri="{CE6537A1-D6FC-4f65-9D91-7224C49458BB}"/>
                <c:ext xmlns:c16="http://schemas.microsoft.com/office/drawing/2014/chart" uri="{C3380CC4-5D6E-409C-BE32-E72D297353CC}">
                  <c16:uniqueId val="{00000008-4E36-476B-9864-1A2732D25C43}"/>
                </c:ext>
              </c:extLst>
            </c:dLbl>
            <c:dLbl>
              <c:idx val="5"/>
              <c:delete val="1"/>
              <c:extLst>
                <c:ext xmlns:c15="http://schemas.microsoft.com/office/drawing/2012/chart" uri="{CE6537A1-D6FC-4f65-9D91-7224C49458BB}"/>
                <c:ext xmlns:c16="http://schemas.microsoft.com/office/drawing/2014/chart" uri="{C3380CC4-5D6E-409C-BE32-E72D297353CC}">
                  <c16:uniqueId val="{00000009-4E36-476B-9864-1A2732D25C43}"/>
                </c:ext>
              </c:extLst>
            </c:dLbl>
            <c:dLbl>
              <c:idx val="6"/>
              <c:layout>
                <c:manualLayout>
                  <c:x val="-0.11020592894319974"/>
                  <c:y val="-9.4367137569249915E-2"/>
                </c:manualLayout>
              </c:layout>
              <c:spPr>
                <a:noFill/>
                <a:ln>
                  <a:noFill/>
                </a:ln>
                <a:effectLst/>
              </c:spPr>
              <c:txPr>
                <a:bodyPr/>
                <a:lstStyle/>
                <a:p>
                  <a:pPr>
                    <a:defRPr sz="800" b="1" i="0" u="none" strike="noStrike" baseline="0">
                      <a:solidFill>
                        <a:srgbClr val="993300"/>
                      </a:solidFill>
                      <a:latin typeface="Trebuchet MS"/>
                      <a:ea typeface="Trebuchet MS"/>
                      <a:cs typeface="Trebuchet MS"/>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E36-476B-9864-1A2732D25C43}"/>
                </c:ext>
              </c:extLst>
            </c:dLbl>
            <c:dLbl>
              <c:idx val="8"/>
              <c:layout>
                <c:manualLayout>
                  <c:x val="-6.4946820547635217E-2"/>
                  <c:y val="-7.995445440806806E-2"/>
                </c:manualLayout>
              </c:layout>
              <c:spPr>
                <a:noFill/>
                <a:ln>
                  <a:noFill/>
                </a:ln>
                <a:effectLst/>
              </c:spPr>
              <c:txPr>
                <a:bodyPr/>
                <a:lstStyle/>
                <a:p>
                  <a:pPr>
                    <a:defRPr sz="800" b="1" i="0" u="none" strike="noStrike" baseline="0">
                      <a:solidFill>
                        <a:srgbClr val="993300"/>
                      </a:solidFill>
                      <a:latin typeface="Trebuchet MS"/>
                      <a:ea typeface="Trebuchet MS"/>
                      <a:cs typeface="Trebuchet MS"/>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E36-476B-9864-1A2732D25C43}"/>
                </c:ext>
              </c:extLst>
            </c:dLbl>
            <c:dLbl>
              <c:idx val="9"/>
              <c:layout>
                <c:manualLayout>
                  <c:x val="-8.9577397529993063E-3"/>
                  <c:y val="-0.11838827617121965"/>
                </c:manualLayout>
              </c:layout>
              <c:spPr>
                <a:noFill/>
                <a:ln>
                  <a:noFill/>
                </a:ln>
                <a:effectLst/>
              </c:spPr>
              <c:txPr>
                <a:bodyPr/>
                <a:lstStyle/>
                <a:p>
                  <a:pPr>
                    <a:defRPr sz="800" b="1" i="0" u="none" strike="noStrike" baseline="0">
                      <a:solidFill>
                        <a:srgbClr val="993300"/>
                      </a:solidFill>
                      <a:latin typeface="Trebuchet MS"/>
                      <a:ea typeface="Trebuchet MS"/>
                      <a:cs typeface="Trebuchet MS"/>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E36-476B-9864-1A2732D25C43}"/>
                </c:ext>
              </c:extLst>
            </c:dLbl>
            <c:spPr>
              <a:noFill/>
              <a:ln>
                <a:noFill/>
              </a:ln>
              <a:effectLst/>
            </c:spPr>
            <c:txPr>
              <a:bodyPr wrap="square" lIns="38100" tIns="19050" rIns="38100" bIns="19050" anchor="ctr">
                <a:spAutoFit/>
              </a:bodyPr>
              <a:lstStyle/>
              <a:p>
                <a:pPr>
                  <a:defRPr sz="800" b="1" i="0" u="none" strike="noStrike" baseline="0">
                    <a:solidFill>
                      <a:srgbClr val="993300"/>
                    </a:solidFill>
                    <a:latin typeface="Trebuchet MS"/>
                    <a:ea typeface="Trebuchet MS"/>
                    <a:cs typeface="Trebuchet M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 (2)'!$B$12:$K$12</c:f>
              <c:strCache>
                <c:ptCount val="10"/>
                <c:pt idx="0">
                  <c:v>2020M06</c:v>
                </c:pt>
                <c:pt idx="1">
                  <c:v>2020M07</c:v>
                </c:pt>
                <c:pt idx="2">
                  <c:v>2020M08</c:v>
                </c:pt>
                <c:pt idx="3">
                  <c:v>2020M09</c:v>
                </c:pt>
                <c:pt idx="4">
                  <c:v>2020M10</c:v>
                </c:pt>
                <c:pt idx="5">
                  <c:v>2020M11</c:v>
                </c:pt>
                <c:pt idx="6">
                  <c:v>2020M12</c:v>
                </c:pt>
                <c:pt idx="7">
                  <c:v>2021M01</c:v>
                </c:pt>
                <c:pt idx="8">
                  <c:v>2021M02</c:v>
                </c:pt>
                <c:pt idx="9">
                  <c:v>2021M03</c:v>
                </c:pt>
              </c:strCache>
            </c:strRef>
          </c:cat>
          <c:val>
            <c:numRef>
              <c:f>'Data (2)'!$B$26:$K$26</c:f>
              <c:numCache>
                <c:formatCode>#,##0.0</c:formatCode>
                <c:ptCount val="10"/>
                <c:pt idx="0">
                  <c:v>81.3</c:v>
                </c:pt>
                <c:pt idx="1">
                  <c:v>101.3</c:v>
                </c:pt>
                <c:pt idx="2">
                  <c:v>97.4</c:v>
                </c:pt>
                <c:pt idx="3">
                  <c:v>90.1</c:v>
                </c:pt>
                <c:pt idx="4">
                  <c:v>94.7</c:v>
                </c:pt>
                <c:pt idx="5">
                  <c:v>97.1</c:v>
                </c:pt>
                <c:pt idx="6">
                  <c:v>92.4</c:v>
                </c:pt>
                <c:pt idx="7">
                  <c:v>108.1</c:v>
                </c:pt>
                <c:pt idx="8">
                  <c:v>92.4</c:v>
                </c:pt>
                <c:pt idx="9">
                  <c:v>92</c:v>
                </c:pt>
              </c:numCache>
            </c:numRef>
          </c:val>
          <c:smooth val="0"/>
          <c:extLst>
            <c:ext xmlns:c16="http://schemas.microsoft.com/office/drawing/2014/chart" uri="{C3380CC4-5D6E-409C-BE32-E72D297353CC}">
              <c16:uniqueId val="{0000000D-4E36-476B-9864-1A2732D25C43}"/>
            </c:ext>
          </c:extLst>
        </c:ser>
        <c:dLbls>
          <c:showLegendKey val="0"/>
          <c:showVal val="0"/>
          <c:showCatName val="0"/>
          <c:showSerName val="0"/>
          <c:showPercent val="0"/>
          <c:showBubbleSize val="0"/>
        </c:dLbls>
        <c:marker val="1"/>
        <c:smooth val="0"/>
        <c:axId val="463374520"/>
        <c:axId val="1"/>
      </c:lineChart>
      <c:catAx>
        <c:axId val="4633745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vert="horz"/>
          <a:lstStyle/>
          <a:p>
            <a:pPr>
              <a:defRPr sz="800" b="0" i="0" u="none" strike="noStrike" baseline="0">
                <a:solidFill>
                  <a:srgbClr val="333333"/>
                </a:solidFill>
                <a:latin typeface="Trebuchet MS"/>
                <a:ea typeface="Trebuchet MS"/>
                <a:cs typeface="Trebuchet MS"/>
              </a:defRPr>
            </a:pPr>
            <a:endParaRPr lang="en-US"/>
          </a:p>
        </c:txPr>
        <c:crossAx val="1"/>
        <c:crosses val="autoZero"/>
        <c:auto val="1"/>
        <c:lblAlgn val="ctr"/>
        <c:lblOffset val="100"/>
        <c:noMultiLvlLbl val="0"/>
      </c:catAx>
      <c:valAx>
        <c:axId val="1"/>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crossAx val="463374520"/>
        <c:crosses val="autoZero"/>
        <c:crossBetween val="between"/>
      </c:valAx>
      <c:spPr>
        <a:noFill/>
        <a:ln w="25400">
          <a:noFill/>
        </a:ln>
      </c:spPr>
    </c:plotArea>
    <c:legend>
      <c:legendPos val="b"/>
      <c:overlay val="0"/>
      <c:spPr>
        <a:noFill/>
        <a:ln>
          <a:noFill/>
        </a:ln>
        <a:effectLst/>
      </c:spPr>
      <c:txPr>
        <a:bodyPr/>
        <a:lstStyle/>
        <a:p>
          <a:pPr>
            <a:defRPr sz="735" b="0" i="0" u="none" strike="noStrike" baseline="0">
              <a:solidFill>
                <a:srgbClr val="333333"/>
              </a:solidFill>
              <a:latin typeface="Trebuchet MS"/>
              <a:ea typeface="Trebuchet MS"/>
              <a:cs typeface="Trebuchet M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b="0" i="0" u="none" strike="noStrike" baseline="0">
          <a:solidFill>
            <a:srgbClr val="000000"/>
          </a:solidFill>
          <a:latin typeface="Trebuchet MS"/>
          <a:ea typeface="Trebuchet MS"/>
          <a:cs typeface="Trebuchet MS"/>
        </a:defRPr>
      </a:pPr>
      <a:endParaRPr lang="en-US"/>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'Data (2)'!$A$37</c:f>
              <c:strCache>
                <c:ptCount val="1"/>
                <c:pt idx="0">
                  <c:v>EE 27</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delete val="1"/>
              <c:extLst>
                <c:ext xmlns:c15="http://schemas.microsoft.com/office/drawing/2012/chart" uri="{CE6537A1-D6FC-4f65-9D91-7224C49458BB}"/>
                <c:ext xmlns:c16="http://schemas.microsoft.com/office/drawing/2014/chart" uri="{C3380CC4-5D6E-409C-BE32-E72D297353CC}">
                  <c16:uniqueId val="{00000000-308D-4A49-A545-00BA1F92A363}"/>
                </c:ext>
              </c:extLst>
            </c:dLbl>
            <c:dLbl>
              <c:idx val="3"/>
              <c:delete val="1"/>
              <c:extLst>
                <c:ext xmlns:c15="http://schemas.microsoft.com/office/drawing/2012/chart" uri="{CE6537A1-D6FC-4f65-9D91-7224C49458BB}"/>
                <c:ext xmlns:c16="http://schemas.microsoft.com/office/drawing/2014/chart" uri="{C3380CC4-5D6E-409C-BE32-E72D297353CC}">
                  <c16:uniqueId val="{00000001-308D-4A49-A545-00BA1F92A363}"/>
                </c:ext>
              </c:extLst>
            </c:dLbl>
            <c:dLbl>
              <c:idx val="5"/>
              <c:delete val="1"/>
              <c:extLst>
                <c:ext xmlns:c15="http://schemas.microsoft.com/office/drawing/2012/chart" uri="{CE6537A1-D6FC-4f65-9D91-7224C49458BB}"/>
                <c:ext xmlns:c16="http://schemas.microsoft.com/office/drawing/2014/chart" uri="{C3380CC4-5D6E-409C-BE32-E72D297353CC}">
                  <c16:uniqueId val="{00000002-308D-4A49-A545-00BA1F92A363}"/>
                </c:ext>
              </c:extLst>
            </c:dLbl>
            <c:dLbl>
              <c:idx val="7"/>
              <c:delete val="1"/>
              <c:extLst>
                <c:ext xmlns:c15="http://schemas.microsoft.com/office/drawing/2012/chart" uri="{CE6537A1-D6FC-4f65-9D91-7224C49458BB}"/>
                <c:ext xmlns:c16="http://schemas.microsoft.com/office/drawing/2014/chart" uri="{C3380CC4-5D6E-409C-BE32-E72D297353CC}">
                  <c16:uniqueId val="{00000003-308D-4A49-A545-00BA1F92A363}"/>
                </c:ext>
              </c:extLst>
            </c:dLbl>
            <c:dLbl>
              <c:idx val="8"/>
              <c:layout>
                <c:manualLayout>
                  <c:x val="-0.10174306158498239"/>
                  <c:y val="6.5812199342590014E-2"/>
                </c:manualLayout>
              </c:layout>
              <c:spPr>
                <a:noFill/>
                <a:ln>
                  <a:noFill/>
                </a:ln>
                <a:effectLst/>
              </c:spPr>
              <c:txPr>
                <a:bodyPr/>
                <a:lstStyle/>
                <a:p>
                  <a:pPr>
                    <a:defRPr sz="800" b="0" i="0" u="none" strike="noStrike" baseline="0">
                      <a:solidFill>
                        <a:srgbClr val="0066CC"/>
                      </a:solidFill>
                      <a:latin typeface="Trebuchet MS"/>
                      <a:ea typeface="Trebuchet MS"/>
                      <a:cs typeface="Trebuchet MS"/>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08D-4A49-A545-00BA1F92A363}"/>
                </c:ext>
              </c:extLst>
            </c:dLbl>
            <c:spPr>
              <a:noFill/>
              <a:ln>
                <a:noFill/>
              </a:ln>
              <a:effectLst/>
            </c:spPr>
            <c:txPr>
              <a:bodyPr wrap="square" lIns="38100" tIns="19050" rIns="38100" bIns="19050" anchor="ctr">
                <a:spAutoFit/>
              </a:bodyPr>
              <a:lstStyle/>
              <a:p>
                <a:pPr>
                  <a:defRPr sz="800" b="0" i="0" u="none" strike="noStrike" baseline="0">
                    <a:solidFill>
                      <a:srgbClr val="0066CC"/>
                    </a:solidFill>
                    <a:latin typeface="Trebuchet MS"/>
                    <a:ea typeface="Trebuchet MS"/>
                    <a:cs typeface="Trebuchet M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 (2)'!$B$12:$K$12</c:f>
              <c:strCache>
                <c:ptCount val="10"/>
                <c:pt idx="0">
                  <c:v>2020M06</c:v>
                </c:pt>
                <c:pt idx="1">
                  <c:v>2020M07</c:v>
                </c:pt>
                <c:pt idx="2">
                  <c:v>2020M08</c:v>
                </c:pt>
                <c:pt idx="3">
                  <c:v>2020M09</c:v>
                </c:pt>
                <c:pt idx="4">
                  <c:v>2020M10</c:v>
                </c:pt>
                <c:pt idx="5">
                  <c:v>2020M11</c:v>
                </c:pt>
                <c:pt idx="6">
                  <c:v>2020M12</c:v>
                </c:pt>
                <c:pt idx="7">
                  <c:v>2021M01</c:v>
                </c:pt>
                <c:pt idx="8">
                  <c:v>2021M02</c:v>
                </c:pt>
                <c:pt idx="9">
                  <c:v>2021M03</c:v>
                </c:pt>
              </c:strCache>
            </c:strRef>
          </c:cat>
          <c:val>
            <c:numRef>
              <c:f>'Data (2)'!$B$37:$K$37</c:f>
              <c:numCache>
                <c:formatCode>#,##0.0</c:formatCode>
                <c:ptCount val="10"/>
                <c:pt idx="0">
                  <c:v>94.6</c:v>
                </c:pt>
                <c:pt idx="1">
                  <c:v>98.9</c:v>
                </c:pt>
                <c:pt idx="2">
                  <c:v>99.8</c:v>
                </c:pt>
                <c:pt idx="3">
                  <c:v>100.4</c:v>
                </c:pt>
                <c:pt idx="4">
                  <c:v>102.5</c:v>
                </c:pt>
                <c:pt idx="5">
                  <c:v>105.1</c:v>
                </c:pt>
                <c:pt idx="6">
                  <c:v>105</c:v>
                </c:pt>
                <c:pt idx="7">
                  <c:v>105.8</c:v>
                </c:pt>
                <c:pt idx="8">
                  <c:v>104.8</c:v>
                </c:pt>
                <c:pt idx="9">
                  <c:v>105.3</c:v>
                </c:pt>
              </c:numCache>
            </c:numRef>
          </c:val>
          <c:smooth val="0"/>
          <c:extLst>
            <c:ext xmlns:c16="http://schemas.microsoft.com/office/drawing/2014/chart" uri="{C3380CC4-5D6E-409C-BE32-E72D297353CC}">
              <c16:uniqueId val="{00000005-308D-4A49-A545-00BA1F92A363}"/>
            </c:ext>
          </c:extLst>
        </c:ser>
        <c:ser>
          <c:idx val="1"/>
          <c:order val="1"/>
          <c:tx>
            <c:strRef>
              <c:f>'Data (2)'!$A$38</c:f>
              <c:strCache>
                <c:ptCount val="1"/>
                <c:pt idx="0">
                  <c:v>Ελλάδα</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1"/>
              <c:delete val="1"/>
              <c:extLst>
                <c:ext xmlns:c15="http://schemas.microsoft.com/office/drawing/2012/chart" uri="{CE6537A1-D6FC-4f65-9D91-7224C49458BB}"/>
                <c:ext xmlns:c16="http://schemas.microsoft.com/office/drawing/2014/chart" uri="{C3380CC4-5D6E-409C-BE32-E72D297353CC}">
                  <c16:uniqueId val="{00000006-308D-4A49-A545-00BA1F92A363}"/>
                </c:ext>
              </c:extLst>
            </c:dLbl>
            <c:dLbl>
              <c:idx val="3"/>
              <c:delete val="1"/>
              <c:extLst>
                <c:ext xmlns:c15="http://schemas.microsoft.com/office/drawing/2012/chart" uri="{CE6537A1-D6FC-4f65-9D91-7224C49458BB}"/>
                <c:ext xmlns:c16="http://schemas.microsoft.com/office/drawing/2014/chart" uri="{C3380CC4-5D6E-409C-BE32-E72D297353CC}">
                  <c16:uniqueId val="{00000007-308D-4A49-A545-00BA1F92A363}"/>
                </c:ext>
              </c:extLst>
            </c:dLbl>
            <c:dLbl>
              <c:idx val="5"/>
              <c:delete val="1"/>
              <c:extLst>
                <c:ext xmlns:c15="http://schemas.microsoft.com/office/drawing/2012/chart" uri="{CE6537A1-D6FC-4f65-9D91-7224C49458BB}"/>
                <c:ext xmlns:c16="http://schemas.microsoft.com/office/drawing/2014/chart" uri="{C3380CC4-5D6E-409C-BE32-E72D297353CC}">
                  <c16:uniqueId val="{00000008-308D-4A49-A545-00BA1F92A363}"/>
                </c:ext>
              </c:extLst>
            </c:dLbl>
            <c:dLbl>
              <c:idx val="6"/>
              <c:layout>
                <c:manualLayout>
                  <c:x val="-0.11020588205941938"/>
                  <c:y val="-6.8079187262475471E-2"/>
                </c:manualLayout>
              </c:layout>
              <c:spPr>
                <a:noFill/>
                <a:ln>
                  <a:noFill/>
                </a:ln>
                <a:effectLst/>
              </c:spPr>
              <c:txPr>
                <a:bodyPr/>
                <a:lstStyle/>
                <a:p>
                  <a:pPr>
                    <a:defRPr sz="800" b="1" i="0" u="none" strike="noStrike" baseline="0">
                      <a:solidFill>
                        <a:srgbClr val="993300"/>
                      </a:solidFill>
                      <a:latin typeface="Trebuchet MS"/>
                      <a:ea typeface="Trebuchet MS"/>
                      <a:cs typeface="Trebuchet MS"/>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08D-4A49-A545-00BA1F92A363}"/>
                </c:ext>
              </c:extLst>
            </c:dLbl>
            <c:dLbl>
              <c:idx val="8"/>
              <c:layout>
                <c:manualLayout>
                  <c:x val="-7.5086374659441235E-2"/>
                  <c:y val="-4.3151013851975124E-2"/>
                </c:manualLayout>
              </c:layout>
              <c:spPr>
                <a:noFill/>
                <a:ln>
                  <a:noFill/>
                </a:ln>
                <a:effectLst/>
              </c:spPr>
              <c:txPr>
                <a:bodyPr/>
                <a:lstStyle/>
                <a:p>
                  <a:pPr>
                    <a:defRPr sz="800" b="1" i="0" u="none" strike="noStrike" baseline="0">
                      <a:solidFill>
                        <a:srgbClr val="993300"/>
                      </a:solidFill>
                      <a:latin typeface="Trebuchet MS"/>
                      <a:ea typeface="Trebuchet MS"/>
                      <a:cs typeface="Trebuchet MS"/>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08D-4A49-A545-00BA1F92A363}"/>
                </c:ext>
              </c:extLst>
            </c:dLbl>
            <c:dLbl>
              <c:idx val="9"/>
              <c:layout>
                <c:manualLayout>
                  <c:x val="-8.9577397529993063E-3"/>
                  <c:y val="-0.11838827617121965"/>
                </c:manualLayout>
              </c:layout>
              <c:spPr>
                <a:noFill/>
                <a:ln>
                  <a:noFill/>
                </a:ln>
                <a:effectLst/>
              </c:spPr>
              <c:txPr>
                <a:bodyPr/>
                <a:lstStyle/>
                <a:p>
                  <a:pPr>
                    <a:defRPr sz="800" b="1" i="0" u="none" strike="noStrike" baseline="0">
                      <a:solidFill>
                        <a:srgbClr val="993300"/>
                      </a:solidFill>
                      <a:latin typeface="Trebuchet MS"/>
                      <a:ea typeface="Trebuchet MS"/>
                      <a:cs typeface="Trebuchet MS"/>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08D-4A49-A545-00BA1F92A363}"/>
                </c:ext>
              </c:extLst>
            </c:dLbl>
            <c:spPr>
              <a:noFill/>
              <a:ln>
                <a:noFill/>
              </a:ln>
              <a:effectLst/>
            </c:spPr>
            <c:txPr>
              <a:bodyPr wrap="square" lIns="38100" tIns="19050" rIns="38100" bIns="19050" anchor="ctr">
                <a:spAutoFit/>
              </a:bodyPr>
              <a:lstStyle/>
              <a:p>
                <a:pPr>
                  <a:defRPr sz="800" b="1" i="0" u="none" strike="noStrike" baseline="0">
                    <a:solidFill>
                      <a:srgbClr val="993300"/>
                    </a:solidFill>
                    <a:latin typeface="Trebuchet MS"/>
                    <a:ea typeface="Trebuchet MS"/>
                    <a:cs typeface="Trebuchet M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 (2)'!$B$12:$K$12</c:f>
              <c:strCache>
                <c:ptCount val="10"/>
                <c:pt idx="0">
                  <c:v>2020M06</c:v>
                </c:pt>
                <c:pt idx="1">
                  <c:v>2020M07</c:v>
                </c:pt>
                <c:pt idx="2">
                  <c:v>2020M08</c:v>
                </c:pt>
                <c:pt idx="3">
                  <c:v>2020M09</c:v>
                </c:pt>
                <c:pt idx="4">
                  <c:v>2020M10</c:v>
                </c:pt>
                <c:pt idx="5">
                  <c:v>2020M11</c:v>
                </c:pt>
                <c:pt idx="6">
                  <c:v>2020M12</c:v>
                </c:pt>
                <c:pt idx="7">
                  <c:v>2021M01</c:v>
                </c:pt>
                <c:pt idx="8">
                  <c:v>2021M02</c:v>
                </c:pt>
                <c:pt idx="9">
                  <c:v>2021M03</c:v>
                </c:pt>
              </c:strCache>
            </c:strRef>
          </c:cat>
          <c:val>
            <c:numRef>
              <c:f>'Data (2)'!$B$38:$K$38</c:f>
              <c:numCache>
                <c:formatCode>#,##0.0</c:formatCode>
                <c:ptCount val="10"/>
                <c:pt idx="0">
                  <c:v>107.3</c:v>
                </c:pt>
                <c:pt idx="1">
                  <c:v>109.5</c:v>
                </c:pt>
                <c:pt idx="2">
                  <c:v>108.8</c:v>
                </c:pt>
                <c:pt idx="3">
                  <c:v>108.6</c:v>
                </c:pt>
                <c:pt idx="4">
                  <c:v>108.1</c:v>
                </c:pt>
                <c:pt idx="5">
                  <c:v>113.2</c:v>
                </c:pt>
                <c:pt idx="6">
                  <c:v>112.6</c:v>
                </c:pt>
                <c:pt idx="7">
                  <c:v>115.4</c:v>
                </c:pt>
                <c:pt idx="8">
                  <c:v>113.7</c:v>
                </c:pt>
                <c:pt idx="9">
                  <c:v>115.6</c:v>
                </c:pt>
              </c:numCache>
            </c:numRef>
          </c:val>
          <c:smooth val="0"/>
          <c:extLst>
            <c:ext xmlns:c16="http://schemas.microsoft.com/office/drawing/2014/chart" uri="{C3380CC4-5D6E-409C-BE32-E72D297353CC}">
              <c16:uniqueId val="{0000000C-308D-4A49-A545-00BA1F92A363}"/>
            </c:ext>
          </c:extLst>
        </c:ser>
        <c:dLbls>
          <c:showLegendKey val="0"/>
          <c:showVal val="0"/>
          <c:showCatName val="0"/>
          <c:showSerName val="0"/>
          <c:showPercent val="0"/>
          <c:showBubbleSize val="0"/>
        </c:dLbls>
        <c:marker val="1"/>
        <c:smooth val="0"/>
        <c:axId val="463368944"/>
        <c:axId val="1"/>
      </c:lineChart>
      <c:catAx>
        <c:axId val="4633689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vert="horz"/>
          <a:lstStyle/>
          <a:p>
            <a:pPr>
              <a:defRPr sz="800" b="0" i="0" u="none" strike="noStrike" baseline="0">
                <a:solidFill>
                  <a:schemeClr val="tx1">
                    <a:lumMod val="65000"/>
                    <a:lumOff val="35000"/>
                  </a:schemeClr>
                </a:solidFill>
                <a:latin typeface="Trebuchet MS"/>
                <a:ea typeface="Trebuchet MS"/>
                <a:cs typeface="Trebuchet MS"/>
              </a:defRPr>
            </a:pPr>
            <a:endParaRPr lang="en-US"/>
          </a:p>
        </c:txPr>
        <c:crossAx val="1"/>
        <c:crosses val="autoZero"/>
        <c:auto val="1"/>
        <c:lblAlgn val="ctr"/>
        <c:lblOffset val="100"/>
        <c:noMultiLvlLbl val="0"/>
      </c:catAx>
      <c:valAx>
        <c:axId val="1"/>
        <c:scaling>
          <c:orientation val="minMax"/>
          <c:min val="80"/>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463368944"/>
        <c:crosses val="autoZero"/>
        <c:crossBetween val="between"/>
      </c:valAx>
      <c:spPr>
        <a:noFill/>
        <a:ln w="25400">
          <a:noFill/>
        </a:ln>
      </c:spPr>
    </c:plotArea>
    <c:legend>
      <c:legendPos val="b"/>
      <c:overlay val="0"/>
      <c:spPr>
        <a:noFill/>
        <a:ln>
          <a:noFill/>
        </a:ln>
        <a:effectLst/>
      </c:spPr>
      <c:txPr>
        <a:bodyPr/>
        <a:lstStyle/>
        <a:p>
          <a:pPr>
            <a:defRPr sz="735" b="0" i="0" u="none" strike="noStrike" baseline="0">
              <a:solidFill>
                <a:srgbClr val="333333"/>
              </a:solidFill>
              <a:latin typeface="Trebuchet MS"/>
              <a:ea typeface="Trebuchet MS"/>
              <a:cs typeface="Trebuchet M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b="0" i="0" u="none" strike="noStrike" baseline="0">
          <a:solidFill>
            <a:srgbClr val="000000"/>
          </a:solidFill>
          <a:latin typeface="Trebuchet MS"/>
          <a:ea typeface="Trebuchet MS"/>
          <a:cs typeface="Trebuchet MS"/>
        </a:defRPr>
      </a:pPr>
      <a:endParaRPr lang="en-U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'Data (2)'!$A$49</c:f>
              <c:strCache>
                <c:ptCount val="1"/>
                <c:pt idx="0">
                  <c:v>EE 27</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delete val="1"/>
              <c:extLst>
                <c:ext xmlns:c15="http://schemas.microsoft.com/office/drawing/2012/chart" uri="{CE6537A1-D6FC-4f65-9D91-7224C49458BB}"/>
                <c:ext xmlns:c16="http://schemas.microsoft.com/office/drawing/2014/chart" uri="{C3380CC4-5D6E-409C-BE32-E72D297353CC}">
                  <c16:uniqueId val="{00000000-C15C-4882-8331-7EDE9AA64FEE}"/>
                </c:ext>
              </c:extLst>
            </c:dLbl>
            <c:dLbl>
              <c:idx val="3"/>
              <c:delete val="1"/>
              <c:extLst>
                <c:ext xmlns:c15="http://schemas.microsoft.com/office/drawing/2012/chart" uri="{CE6537A1-D6FC-4f65-9D91-7224C49458BB}"/>
                <c:ext xmlns:c16="http://schemas.microsoft.com/office/drawing/2014/chart" uri="{C3380CC4-5D6E-409C-BE32-E72D297353CC}">
                  <c16:uniqueId val="{00000001-C15C-4882-8331-7EDE9AA64FEE}"/>
                </c:ext>
              </c:extLst>
            </c:dLbl>
            <c:dLbl>
              <c:idx val="5"/>
              <c:delete val="1"/>
              <c:extLst>
                <c:ext xmlns:c15="http://schemas.microsoft.com/office/drawing/2012/chart" uri="{CE6537A1-D6FC-4f65-9D91-7224C49458BB}"/>
                <c:ext xmlns:c16="http://schemas.microsoft.com/office/drawing/2014/chart" uri="{C3380CC4-5D6E-409C-BE32-E72D297353CC}">
                  <c16:uniqueId val="{00000002-C15C-4882-8331-7EDE9AA64FEE}"/>
                </c:ext>
              </c:extLst>
            </c:dLbl>
            <c:dLbl>
              <c:idx val="6"/>
              <c:layout>
                <c:manualLayout>
                  <c:x val="-9.8149556400506974E-2"/>
                  <c:y val="8.07438502363860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15C-4882-8331-7EDE9AA64FEE}"/>
                </c:ext>
              </c:extLst>
            </c:dLbl>
            <c:dLbl>
              <c:idx val="7"/>
              <c:delete val="1"/>
              <c:extLst>
                <c:ext xmlns:c15="http://schemas.microsoft.com/office/drawing/2012/chart" uri="{CE6537A1-D6FC-4f65-9D91-7224C49458BB}"/>
                <c:ext xmlns:c16="http://schemas.microsoft.com/office/drawing/2014/chart" uri="{C3380CC4-5D6E-409C-BE32-E72D297353CC}">
                  <c16:uniqueId val="{00000004-C15C-4882-8331-7EDE9AA64FEE}"/>
                </c:ext>
              </c:extLst>
            </c:dLbl>
            <c:dLbl>
              <c:idx val="8"/>
              <c:layout>
                <c:manualLayout>
                  <c:x val="-9.8149556400506974E-2"/>
                  <c:y val="7.54862266822325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15C-4882-8331-7EDE9AA64FEE}"/>
                </c:ext>
              </c:extLst>
            </c:dLbl>
            <c:dLbl>
              <c:idx val="9"/>
              <c:layout>
                <c:manualLayout>
                  <c:x val="-2.1698751534385198E-2"/>
                  <c:y val="5.44557324656184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15C-4882-8331-7EDE9AA64FEE}"/>
                </c:ext>
              </c:extLst>
            </c:dLbl>
            <c:spPr>
              <a:noFill/>
              <a:ln>
                <a:noFill/>
              </a:ln>
              <a:effectLst/>
            </c:spPr>
            <c:txPr>
              <a:bodyPr wrap="square" lIns="38100" tIns="19050" rIns="38100" bIns="19050" anchor="ctr">
                <a:spAutoFit/>
              </a:bodyPr>
              <a:lstStyle/>
              <a:p>
                <a:pPr>
                  <a:defRPr sz="800" b="0" i="0" u="none" strike="noStrike" baseline="0">
                    <a:solidFill>
                      <a:srgbClr val="0066CC"/>
                    </a:solidFill>
                    <a:latin typeface="Trebuchet MS"/>
                    <a:ea typeface="Trebuchet MS"/>
                    <a:cs typeface="Trebuchet M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 (2)'!$B$12:$K$12</c:f>
              <c:strCache>
                <c:ptCount val="10"/>
                <c:pt idx="0">
                  <c:v>2020M06</c:v>
                </c:pt>
                <c:pt idx="1">
                  <c:v>2020M07</c:v>
                </c:pt>
                <c:pt idx="2">
                  <c:v>2020M08</c:v>
                </c:pt>
                <c:pt idx="3">
                  <c:v>2020M09</c:v>
                </c:pt>
                <c:pt idx="4">
                  <c:v>2020M10</c:v>
                </c:pt>
                <c:pt idx="5">
                  <c:v>2020M11</c:v>
                </c:pt>
                <c:pt idx="6">
                  <c:v>2020M12</c:v>
                </c:pt>
                <c:pt idx="7">
                  <c:v>2021M01</c:v>
                </c:pt>
                <c:pt idx="8">
                  <c:v>2021M02</c:v>
                </c:pt>
                <c:pt idx="9">
                  <c:v>2021M03</c:v>
                </c:pt>
              </c:strCache>
            </c:strRef>
          </c:cat>
          <c:val>
            <c:numRef>
              <c:f>'Data (2)'!$B$49:$K$49</c:f>
              <c:numCache>
                <c:formatCode>#,##0.0</c:formatCode>
                <c:ptCount val="10"/>
                <c:pt idx="0">
                  <c:v>97.6</c:v>
                </c:pt>
                <c:pt idx="1">
                  <c:v>99.9</c:v>
                </c:pt>
                <c:pt idx="2">
                  <c:v>101.6</c:v>
                </c:pt>
                <c:pt idx="3">
                  <c:v>100.8</c:v>
                </c:pt>
                <c:pt idx="4">
                  <c:v>102.1</c:v>
                </c:pt>
                <c:pt idx="5">
                  <c:v>99.3</c:v>
                </c:pt>
                <c:pt idx="6">
                  <c:v>101.2</c:v>
                </c:pt>
                <c:pt idx="7">
                  <c:v>102.2</c:v>
                </c:pt>
                <c:pt idx="8">
                  <c:v>101.1</c:v>
                </c:pt>
                <c:pt idx="9">
                  <c:v>102</c:v>
                </c:pt>
              </c:numCache>
            </c:numRef>
          </c:val>
          <c:smooth val="0"/>
          <c:extLst>
            <c:ext xmlns:c16="http://schemas.microsoft.com/office/drawing/2014/chart" uri="{C3380CC4-5D6E-409C-BE32-E72D297353CC}">
              <c16:uniqueId val="{00000007-C15C-4882-8331-7EDE9AA64FEE}"/>
            </c:ext>
          </c:extLst>
        </c:ser>
        <c:ser>
          <c:idx val="1"/>
          <c:order val="1"/>
          <c:tx>
            <c:strRef>
              <c:f>'Data (2)'!$A$50</c:f>
              <c:strCache>
                <c:ptCount val="1"/>
                <c:pt idx="0">
                  <c:v>Ελλάδα</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1"/>
              <c:delete val="1"/>
              <c:extLst>
                <c:ext xmlns:c15="http://schemas.microsoft.com/office/drawing/2012/chart" uri="{CE6537A1-D6FC-4f65-9D91-7224C49458BB}"/>
                <c:ext xmlns:c16="http://schemas.microsoft.com/office/drawing/2014/chart" uri="{C3380CC4-5D6E-409C-BE32-E72D297353CC}">
                  <c16:uniqueId val="{00000008-C15C-4882-8331-7EDE9AA64FEE}"/>
                </c:ext>
              </c:extLst>
            </c:dLbl>
            <c:dLbl>
              <c:idx val="3"/>
              <c:delete val="1"/>
              <c:extLst>
                <c:ext xmlns:c15="http://schemas.microsoft.com/office/drawing/2012/chart" uri="{CE6537A1-D6FC-4f65-9D91-7224C49458BB}"/>
                <c:ext xmlns:c16="http://schemas.microsoft.com/office/drawing/2014/chart" uri="{C3380CC4-5D6E-409C-BE32-E72D297353CC}">
                  <c16:uniqueId val="{00000009-C15C-4882-8331-7EDE9AA64FEE}"/>
                </c:ext>
              </c:extLst>
            </c:dLbl>
            <c:dLbl>
              <c:idx val="5"/>
              <c:delete val="1"/>
              <c:extLst>
                <c:ext xmlns:c15="http://schemas.microsoft.com/office/drawing/2012/chart" uri="{CE6537A1-D6FC-4f65-9D91-7224C49458BB}"/>
                <c:ext xmlns:c16="http://schemas.microsoft.com/office/drawing/2014/chart" uri="{C3380CC4-5D6E-409C-BE32-E72D297353CC}">
                  <c16:uniqueId val="{0000000A-C15C-4882-8331-7EDE9AA64FEE}"/>
                </c:ext>
              </c:extLst>
            </c:dLbl>
            <c:dLbl>
              <c:idx val="6"/>
              <c:layout>
                <c:manualLayout>
                  <c:x val="-0.14879594423320658"/>
                  <c:y val="-0.1333200857779212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15C-4882-8331-7EDE9AA64FEE}"/>
                </c:ext>
              </c:extLst>
            </c:dLbl>
            <c:dLbl>
              <c:idx val="7"/>
              <c:layout>
                <c:manualLayout>
                  <c:x val="-9.3029150823827636E-2"/>
                  <c:y val="-5.97133560197719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15C-4882-8331-7EDE9AA64FEE}"/>
                </c:ext>
              </c:extLst>
            </c:dLbl>
            <c:dLbl>
              <c:idx val="8"/>
              <c:layout>
                <c:manualLayout>
                  <c:x val="-8.7959442332065998E-2"/>
                  <c:y val="-0.112289591561307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15C-4882-8331-7EDE9AA64FEE}"/>
                </c:ext>
              </c:extLst>
            </c:dLbl>
            <c:dLbl>
              <c:idx val="9"/>
              <c:layout>
                <c:manualLayout>
                  <c:x val="-2.6819157111064633E-2"/>
                  <c:y val="-0.1017743444530001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15C-4882-8331-7EDE9AA64FEE}"/>
                </c:ext>
              </c:extLst>
            </c:dLbl>
            <c:spPr>
              <a:noFill/>
              <a:ln>
                <a:noFill/>
              </a:ln>
              <a:effectLst/>
            </c:spPr>
            <c:txPr>
              <a:bodyPr wrap="square" lIns="38100" tIns="19050" rIns="38100" bIns="19050" anchor="ctr">
                <a:spAutoFit/>
              </a:bodyPr>
              <a:lstStyle/>
              <a:p>
                <a:pPr>
                  <a:defRPr sz="800" b="1" i="0" u="none" strike="noStrike" baseline="0">
                    <a:solidFill>
                      <a:srgbClr val="993300"/>
                    </a:solidFill>
                    <a:latin typeface="Trebuchet MS"/>
                    <a:ea typeface="Trebuchet MS"/>
                    <a:cs typeface="Trebuchet M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 (2)'!$B$12:$K$12</c:f>
              <c:strCache>
                <c:ptCount val="10"/>
                <c:pt idx="0">
                  <c:v>2020M06</c:v>
                </c:pt>
                <c:pt idx="1">
                  <c:v>2020M07</c:v>
                </c:pt>
                <c:pt idx="2">
                  <c:v>2020M08</c:v>
                </c:pt>
                <c:pt idx="3">
                  <c:v>2020M09</c:v>
                </c:pt>
                <c:pt idx="4">
                  <c:v>2020M10</c:v>
                </c:pt>
                <c:pt idx="5">
                  <c:v>2020M11</c:v>
                </c:pt>
                <c:pt idx="6">
                  <c:v>2020M12</c:v>
                </c:pt>
                <c:pt idx="7">
                  <c:v>2021M01</c:v>
                </c:pt>
                <c:pt idx="8">
                  <c:v>2021M02</c:v>
                </c:pt>
                <c:pt idx="9">
                  <c:v>2021M03</c:v>
                </c:pt>
              </c:strCache>
            </c:strRef>
          </c:cat>
          <c:val>
            <c:numRef>
              <c:f>'Data (2)'!$B$50:$K$50</c:f>
              <c:numCache>
                <c:formatCode>#,##0.0</c:formatCode>
                <c:ptCount val="10"/>
                <c:pt idx="0">
                  <c:v>87.6</c:v>
                </c:pt>
                <c:pt idx="1">
                  <c:v>97.4</c:v>
                </c:pt>
                <c:pt idx="2">
                  <c:v>92.2</c:v>
                </c:pt>
                <c:pt idx="3">
                  <c:v>106</c:v>
                </c:pt>
                <c:pt idx="4">
                  <c:v>92.3</c:v>
                </c:pt>
                <c:pt idx="5">
                  <c:v>104.2</c:v>
                </c:pt>
                <c:pt idx="6">
                  <c:v>104</c:v>
                </c:pt>
                <c:pt idx="7">
                  <c:v>114.3</c:v>
                </c:pt>
                <c:pt idx="8">
                  <c:v>106.2</c:v>
                </c:pt>
                <c:pt idx="9">
                  <c:v>109.5</c:v>
                </c:pt>
              </c:numCache>
            </c:numRef>
          </c:val>
          <c:smooth val="0"/>
          <c:extLst>
            <c:ext xmlns:c16="http://schemas.microsoft.com/office/drawing/2014/chart" uri="{C3380CC4-5D6E-409C-BE32-E72D297353CC}">
              <c16:uniqueId val="{0000000F-C15C-4882-8331-7EDE9AA64FEE}"/>
            </c:ext>
          </c:extLst>
        </c:ser>
        <c:dLbls>
          <c:showLegendKey val="0"/>
          <c:showVal val="0"/>
          <c:showCatName val="0"/>
          <c:showSerName val="0"/>
          <c:showPercent val="0"/>
          <c:showBubbleSize val="0"/>
        </c:dLbls>
        <c:marker val="1"/>
        <c:smooth val="0"/>
        <c:axId val="463370256"/>
        <c:axId val="1"/>
      </c:lineChart>
      <c:catAx>
        <c:axId val="4633702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vert="horz"/>
          <a:lstStyle/>
          <a:p>
            <a:pPr>
              <a:defRPr sz="800" b="0" i="0" u="none" strike="noStrike" baseline="0">
                <a:solidFill>
                  <a:srgbClr val="333333"/>
                </a:solidFill>
                <a:latin typeface="Trebuchet MS"/>
                <a:ea typeface="Trebuchet MS"/>
                <a:cs typeface="Trebuchet MS"/>
              </a:defRPr>
            </a:pPr>
            <a:endParaRPr lang="en-US"/>
          </a:p>
        </c:txPr>
        <c:crossAx val="1"/>
        <c:crosses val="autoZero"/>
        <c:auto val="1"/>
        <c:lblAlgn val="ctr"/>
        <c:lblOffset val="100"/>
        <c:noMultiLvlLbl val="0"/>
      </c:catAx>
      <c:valAx>
        <c:axId val="1"/>
        <c:scaling>
          <c:orientation val="minMax"/>
          <c:min val="80"/>
        </c:scaling>
        <c:delete val="1"/>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crossAx val="463370256"/>
        <c:crosses val="autoZero"/>
        <c:crossBetween val="between"/>
      </c:valAx>
      <c:spPr>
        <a:noFill/>
        <a:ln w="25400">
          <a:noFill/>
        </a:ln>
      </c:spPr>
    </c:plotArea>
    <c:legend>
      <c:legendPos val="b"/>
      <c:overlay val="0"/>
      <c:spPr>
        <a:noFill/>
        <a:ln>
          <a:noFill/>
        </a:ln>
        <a:effectLst/>
      </c:spPr>
      <c:txPr>
        <a:bodyPr/>
        <a:lstStyle/>
        <a:p>
          <a:pPr>
            <a:defRPr sz="735" b="0" i="0" u="none" strike="noStrike" baseline="0">
              <a:solidFill>
                <a:srgbClr val="333333"/>
              </a:solidFill>
              <a:latin typeface="Trebuchet MS"/>
              <a:ea typeface="Trebuchet MS"/>
              <a:cs typeface="Trebuchet M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b="0" i="0" u="none" strike="noStrike" baseline="0">
          <a:solidFill>
            <a:srgbClr val="000000"/>
          </a:solidFill>
          <a:latin typeface="Trebuchet MS"/>
          <a:ea typeface="Trebuchet MS"/>
          <a:cs typeface="Trebuchet MS"/>
        </a:defRPr>
      </a:pPr>
      <a:endParaRPr lang="en-U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'ΚΑΤΑΘΕΣΕΙΣ ΙΔΙΩΤΙΚΟΥ ΤΟΜΕΑ'!$A$19</c:f>
              <c:strCache>
                <c:ptCount val="1"/>
                <c:pt idx="0">
                  <c:v>Νοικοκυριά</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rebuchet MS" panose="020B0603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'ΚΑΤΑΘΕΣΕΙΣ ΙΔΙΩΤΙΚΟΥ ΤΟΜΕΑ'!$B$17:$P$17</c:f>
              <c:numCache>
                <c:formatCode>mmm\-yy</c:formatCode>
                <c:ptCount val="15"/>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pt idx="12">
                  <c:v>44197</c:v>
                </c:pt>
                <c:pt idx="13">
                  <c:v>44228</c:v>
                </c:pt>
                <c:pt idx="14">
                  <c:v>44256</c:v>
                </c:pt>
              </c:numCache>
            </c:numRef>
          </c:cat>
          <c:val>
            <c:numRef>
              <c:f>'ΚΑΤΑΘΕΣΕΙΣ ΙΔΙΩΤΙΚΟΥ ΤΟΜΕΑ'!$B$19:$P$19</c:f>
              <c:numCache>
                <c:formatCode>#,##0.0</c:formatCode>
                <c:ptCount val="15"/>
                <c:pt idx="0">
                  <c:v>113.694011</c:v>
                </c:pt>
                <c:pt idx="1">
                  <c:v>114.16170800000002</c:v>
                </c:pt>
                <c:pt idx="2">
                  <c:v>115.476843</c:v>
                </c:pt>
                <c:pt idx="3">
                  <c:v>117.158</c:v>
                </c:pt>
                <c:pt idx="4">
                  <c:v>117.196044</c:v>
                </c:pt>
                <c:pt idx="5">
                  <c:v>117.25304200000001</c:v>
                </c:pt>
                <c:pt idx="6">
                  <c:v>117.674064</c:v>
                </c:pt>
                <c:pt idx="7">
                  <c:v>117.80787599999999</c:v>
                </c:pt>
                <c:pt idx="8">
                  <c:v>118.14384</c:v>
                </c:pt>
                <c:pt idx="9">
                  <c:v>119.633596</c:v>
                </c:pt>
                <c:pt idx="10">
                  <c:v>120.78281</c:v>
                </c:pt>
                <c:pt idx="11">
                  <c:v>124.09151900000001</c:v>
                </c:pt>
                <c:pt idx="12">
                  <c:v>124.80419000000001</c:v>
                </c:pt>
                <c:pt idx="13">
                  <c:v>125.14200800000002</c:v>
                </c:pt>
                <c:pt idx="14">
                  <c:v>126.034764</c:v>
                </c:pt>
              </c:numCache>
            </c:numRef>
          </c:val>
          <c:extLst>
            <c:ext xmlns:c16="http://schemas.microsoft.com/office/drawing/2014/chart" uri="{C3380CC4-5D6E-409C-BE32-E72D297353CC}">
              <c16:uniqueId val="{00000000-4AA5-444C-9868-A26676557183}"/>
            </c:ext>
          </c:extLst>
        </c:ser>
        <c:dLbls>
          <c:showLegendKey val="0"/>
          <c:showVal val="0"/>
          <c:showCatName val="0"/>
          <c:showSerName val="0"/>
          <c:showPercent val="0"/>
          <c:showBubbleSize val="0"/>
        </c:dLbls>
        <c:gapWidth val="219"/>
        <c:overlap val="-27"/>
        <c:axId val="630446504"/>
        <c:axId val="1"/>
      </c:barChart>
      <c:dateAx>
        <c:axId val="630446504"/>
        <c:scaling>
          <c:orientation val="minMax"/>
        </c:scaling>
        <c:delete val="0"/>
        <c:axPos val="b"/>
        <c:numFmt formatCode="mmm\-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rebuchet MS" panose="020B0603020202020204" pitchFamily="34" charset="0"/>
                <a:ea typeface="+mn-ea"/>
                <a:cs typeface="+mn-cs"/>
              </a:defRPr>
            </a:pPr>
            <a:endParaRPr lang="en-US"/>
          </a:p>
        </c:txPr>
        <c:crossAx val="1"/>
        <c:crosses val="autoZero"/>
        <c:auto val="1"/>
        <c:lblOffset val="100"/>
        <c:baseTimeUnit val="months"/>
      </c:dateAx>
      <c:valAx>
        <c:axId val="1"/>
        <c:scaling>
          <c:orientation val="minMax"/>
          <c:max val="130"/>
          <c:min val="105"/>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rebuchet MS" panose="020B0603020202020204" pitchFamily="34" charset="0"/>
                <a:ea typeface="+mn-ea"/>
                <a:cs typeface="+mn-cs"/>
              </a:defRPr>
            </a:pPr>
            <a:endParaRPr lang="en-US"/>
          </a:p>
        </c:txPr>
        <c:crossAx val="630446504"/>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en-US"/>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'ΚΑΤΑΘΕΣΕΙΣ ΙΔΙΩΤΙΚΟΥ ΤΟΜΕΑ'!$A$18</c:f>
              <c:strCache>
                <c:ptCount val="1"/>
                <c:pt idx="0">
                  <c:v>Μη χρηματοπιστωτικές επιχειρήσεις</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'ΚΑΤΑΘΕΣΕΙΣ ΙΔΙΩΤΙΚΟΥ ΤΟΜΕΑ'!$B$17:$P$17</c:f>
              <c:numCache>
                <c:formatCode>mmm\-yy</c:formatCode>
                <c:ptCount val="15"/>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pt idx="12">
                  <c:v>44197</c:v>
                </c:pt>
                <c:pt idx="13">
                  <c:v>44228</c:v>
                </c:pt>
                <c:pt idx="14">
                  <c:v>44256</c:v>
                </c:pt>
              </c:numCache>
            </c:numRef>
          </c:cat>
          <c:val>
            <c:numRef>
              <c:f>'ΚΑΤΑΘΕΣΕΙΣ ΙΔΙΩΤΙΚΟΥ ΤΟΜΕΑ'!$B$18:$P$18</c:f>
              <c:numCache>
                <c:formatCode>#,##0.0</c:formatCode>
                <c:ptCount val="15"/>
                <c:pt idx="0">
                  <c:v>21.756746</c:v>
                </c:pt>
                <c:pt idx="1">
                  <c:v>22.243397000000002</c:v>
                </c:pt>
                <c:pt idx="2">
                  <c:v>23.920280999999999</c:v>
                </c:pt>
                <c:pt idx="3">
                  <c:v>23.781989999999997</c:v>
                </c:pt>
                <c:pt idx="4">
                  <c:v>25.251522999999999</c:v>
                </c:pt>
                <c:pt idx="5">
                  <c:v>25.645664</c:v>
                </c:pt>
                <c:pt idx="6">
                  <c:v>28.090843</c:v>
                </c:pt>
                <c:pt idx="7">
                  <c:v>28.390905999999998</c:v>
                </c:pt>
                <c:pt idx="8">
                  <c:v>29.452788000000002</c:v>
                </c:pt>
                <c:pt idx="9">
                  <c:v>29.596439000000004</c:v>
                </c:pt>
                <c:pt idx="10">
                  <c:v>30.513278</c:v>
                </c:pt>
                <c:pt idx="11">
                  <c:v>32.349932000000003</c:v>
                </c:pt>
                <c:pt idx="12">
                  <c:v>30.467063999999997</c:v>
                </c:pt>
                <c:pt idx="13">
                  <c:v>30.617218000000001</c:v>
                </c:pt>
                <c:pt idx="14">
                  <c:v>32.349055</c:v>
                </c:pt>
              </c:numCache>
            </c:numRef>
          </c:val>
          <c:extLst>
            <c:ext xmlns:c16="http://schemas.microsoft.com/office/drawing/2014/chart" uri="{C3380CC4-5D6E-409C-BE32-E72D297353CC}">
              <c16:uniqueId val="{00000000-75D2-4986-AB87-14356225CF95}"/>
            </c:ext>
          </c:extLst>
        </c:ser>
        <c:dLbls>
          <c:showLegendKey val="0"/>
          <c:showVal val="0"/>
          <c:showCatName val="0"/>
          <c:showSerName val="0"/>
          <c:showPercent val="0"/>
          <c:showBubbleSize val="0"/>
        </c:dLbls>
        <c:gapWidth val="219"/>
        <c:overlap val="-27"/>
        <c:axId val="630447488"/>
        <c:axId val="1"/>
      </c:barChart>
      <c:dateAx>
        <c:axId val="630447488"/>
        <c:scaling>
          <c:orientation val="minMax"/>
        </c:scaling>
        <c:delete val="0"/>
        <c:axPos val="b"/>
        <c:numFmt formatCode="mmm\-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rebuchet MS" panose="020B0603020202020204" pitchFamily="34" charset="0"/>
                <a:ea typeface="+mn-ea"/>
                <a:cs typeface="+mn-cs"/>
              </a:defRPr>
            </a:pPr>
            <a:endParaRPr lang="en-US"/>
          </a:p>
        </c:txPr>
        <c:crossAx val="1"/>
        <c:crosses val="autoZero"/>
        <c:auto val="1"/>
        <c:lblOffset val="100"/>
        <c:baseTimeUnit val="months"/>
      </c:date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rebuchet MS" panose="020B0603020202020204" pitchFamily="34" charset="0"/>
                <a:ea typeface="+mn-ea"/>
                <a:cs typeface="+mn-cs"/>
              </a:defRPr>
            </a:pPr>
            <a:endParaRPr lang="en-US"/>
          </a:p>
        </c:txPr>
        <c:crossAx val="630447488"/>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en-US"/>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ndard"/>
        <c:varyColors val="0"/>
        <c:ser>
          <c:idx val="0"/>
          <c:order val="0"/>
          <c:tx>
            <c:strRef>
              <c:f>ΑΠΟΤΕΛΕΣΜΑΤΑ!$B$57</c:f>
              <c:strCache>
                <c:ptCount val="1"/>
                <c:pt idx="0">
                  <c:v>Συνολική Χρηματοδότηση</c:v>
                </c:pt>
              </c:strCache>
            </c:strRef>
          </c:tx>
          <c:spPr>
            <a:solidFill>
              <a:srgbClr val="00B0F0"/>
            </a:solidFill>
            <a:ln>
              <a:noFill/>
            </a:ln>
            <a:effectLst/>
          </c:spPr>
          <c:dLbls>
            <c:dLbl>
              <c:idx val="0"/>
              <c:layout>
                <c:manualLayout>
                  <c:x val="4.3087971274685818E-2"/>
                  <c:y val="-0.2568460812086874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C90-4343-88F8-D65B842ED445}"/>
                </c:ext>
              </c:extLst>
            </c:dLbl>
            <c:dLbl>
              <c:idx val="1"/>
              <c:delete val="1"/>
              <c:extLst>
                <c:ext xmlns:c15="http://schemas.microsoft.com/office/drawing/2012/chart" uri="{CE6537A1-D6FC-4f65-9D91-7224C49458BB}"/>
                <c:ext xmlns:c16="http://schemas.microsoft.com/office/drawing/2014/chart" uri="{C3380CC4-5D6E-409C-BE32-E72D297353CC}">
                  <c16:uniqueId val="{00000001-EC90-4343-88F8-D65B842ED445}"/>
                </c:ext>
              </c:extLst>
            </c:dLbl>
            <c:dLbl>
              <c:idx val="2"/>
              <c:delete val="1"/>
              <c:extLst>
                <c:ext xmlns:c15="http://schemas.microsoft.com/office/drawing/2012/chart" uri="{CE6537A1-D6FC-4f65-9D91-7224C49458BB}"/>
                <c:ext xmlns:c16="http://schemas.microsoft.com/office/drawing/2014/chart" uri="{C3380CC4-5D6E-409C-BE32-E72D297353CC}">
                  <c16:uniqueId val="{00000002-EC90-4343-88F8-D65B842ED445}"/>
                </c:ext>
              </c:extLst>
            </c:dLbl>
            <c:dLbl>
              <c:idx val="3"/>
              <c:delete val="1"/>
              <c:extLst>
                <c:ext xmlns:c15="http://schemas.microsoft.com/office/drawing/2012/chart" uri="{CE6537A1-D6FC-4f65-9D91-7224C49458BB}"/>
                <c:ext xmlns:c16="http://schemas.microsoft.com/office/drawing/2014/chart" uri="{C3380CC4-5D6E-409C-BE32-E72D297353CC}">
                  <c16:uniqueId val="{00000003-EC90-4343-88F8-D65B842ED445}"/>
                </c:ext>
              </c:extLst>
            </c:dLbl>
            <c:dLbl>
              <c:idx val="4"/>
              <c:delete val="1"/>
              <c:extLst>
                <c:ext xmlns:c15="http://schemas.microsoft.com/office/drawing/2012/chart" uri="{CE6537A1-D6FC-4f65-9D91-7224C49458BB}"/>
                <c:ext xmlns:c16="http://schemas.microsoft.com/office/drawing/2014/chart" uri="{C3380CC4-5D6E-409C-BE32-E72D297353CC}">
                  <c16:uniqueId val="{00000004-EC90-4343-88F8-D65B842ED445}"/>
                </c:ext>
              </c:extLst>
            </c:dLbl>
            <c:dLbl>
              <c:idx val="5"/>
              <c:delete val="1"/>
              <c:extLst>
                <c:ext xmlns:c15="http://schemas.microsoft.com/office/drawing/2012/chart" uri="{CE6537A1-D6FC-4f65-9D91-7224C49458BB}"/>
                <c:ext xmlns:c16="http://schemas.microsoft.com/office/drawing/2014/chart" uri="{C3380CC4-5D6E-409C-BE32-E72D297353CC}">
                  <c16:uniqueId val="{00000005-EC90-4343-88F8-D65B842ED445}"/>
                </c:ext>
              </c:extLst>
            </c:dLbl>
            <c:dLbl>
              <c:idx val="6"/>
              <c:delete val="1"/>
              <c:extLst>
                <c:ext xmlns:c15="http://schemas.microsoft.com/office/drawing/2012/chart" uri="{CE6537A1-D6FC-4f65-9D91-7224C49458BB}"/>
                <c:ext xmlns:c16="http://schemas.microsoft.com/office/drawing/2014/chart" uri="{C3380CC4-5D6E-409C-BE32-E72D297353CC}">
                  <c16:uniqueId val="{00000006-EC90-4343-88F8-D65B842ED445}"/>
                </c:ext>
              </c:extLst>
            </c:dLbl>
            <c:dLbl>
              <c:idx val="7"/>
              <c:delete val="1"/>
              <c:extLst>
                <c:ext xmlns:c15="http://schemas.microsoft.com/office/drawing/2012/chart" uri="{CE6537A1-D6FC-4f65-9D91-7224C49458BB}"/>
                <c:ext xmlns:c16="http://schemas.microsoft.com/office/drawing/2014/chart" uri="{C3380CC4-5D6E-409C-BE32-E72D297353CC}">
                  <c16:uniqueId val="{00000007-EC90-4343-88F8-D65B842ED445}"/>
                </c:ext>
              </c:extLst>
            </c:dLbl>
            <c:dLbl>
              <c:idx val="8"/>
              <c:delete val="1"/>
              <c:extLst>
                <c:ext xmlns:c15="http://schemas.microsoft.com/office/drawing/2012/chart" uri="{CE6537A1-D6FC-4f65-9D91-7224C49458BB}"/>
                <c:ext xmlns:c16="http://schemas.microsoft.com/office/drawing/2014/chart" uri="{C3380CC4-5D6E-409C-BE32-E72D297353CC}">
                  <c16:uniqueId val="{00000008-EC90-4343-88F8-D65B842ED445}"/>
                </c:ext>
              </c:extLst>
            </c:dLbl>
            <c:dLbl>
              <c:idx val="9"/>
              <c:delete val="1"/>
              <c:extLst>
                <c:ext xmlns:c15="http://schemas.microsoft.com/office/drawing/2012/chart" uri="{CE6537A1-D6FC-4f65-9D91-7224C49458BB}"/>
                <c:ext xmlns:c16="http://schemas.microsoft.com/office/drawing/2014/chart" uri="{C3380CC4-5D6E-409C-BE32-E72D297353CC}">
                  <c16:uniqueId val="{00000009-EC90-4343-88F8-D65B842ED445}"/>
                </c:ext>
              </c:extLst>
            </c:dLbl>
            <c:dLbl>
              <c:idx val="10"/>
              <c:delete val="1"/>
              <c:extLst>
                <c:ext xmlns:c15="http://schemas.microsoft.com/office/drawing/2012/chart" uri="{CE6537A1-D6FC-4f65-9D91-7224C49458BB}"/>
                <c:ext xmlns:c16="http://schemas.microsoft.com/office/drawing/2014/chart" uri="{C3380CC4-5D6E-409C-BE32-E72D297353CC}">
                  <c16:uniqueId val="{0000000A-EC90-4343-88F8-D65B842ED445}"/>
                </c:ext>
              </c:extLst>
            </c:dLbl>
            <c:dLbl>
              <c:idx val="11"/>
              <c:delete val="1"/>
              <c:extLst>
                <c:ext xmlns:c15="http://schemas.microsoft.com/office/drawing/2012/chart" uri="{CE6537A1-D6FC-4f65-9D91-7224C49458BB}"/>
                <c:ext xmlns:c16="http://schemas.microsoft.com/office/drawing/2014/chart" uri="{C3380CC4-5D6E-409C-BE32-E72D297353CC}">
                  <c16:uniqueId val="{0000000B-EC90-4343-88F8-D65B842ED445}"/>
                </c:ext>
              </c:extLst>
            </c:dLbl>
            <c:dLbl>
              <c:idx val="12"/>
              <c:delete val="1"/>
              <c:extLst>
                <c:ext xmlns:c15="http://schemas.microsoft.com/office/drawing/2012/chart" uri="{CE6537A1-D6FC-4f65-9D91-7224C49458BB}"/>
                <c:ext xmlns:c16="http://schemas.microsoft.com/office/drawing/2014/chart" uri="{C3380CC4-5D6E-409C-BE32-E72D297353CC}">
                  <c16:uniqueId val="{0000000C-EC90-4343-88F8-D65B842ED445}"/>
                </c:ext>
              </c:extLst>
            </c:dLbl>
            <c:dLbl>
              <c:idx val="13"/>
              <c:delete val="1"/>
              <c:extLst>
                <c:ext xmlns:c15="http://schemas.microsoft.com/office/drawing/2012/chart" uri="{CE6537A1-D6FC-4f65-9D91-7224C49458BB}"/>
                <c:ext xmlns:c16="http://schemas.microsoft.com/office/drawing/2014/chart" uri="{C3380CC4-5D6E-409C-BE32-E72D297353CC}">
                  <c16:uniqueId val="{0000000D-EC90-4343-88F8-D65B842ED445}"/>
                </c:ext>
              </c:extLst>
            </c:dLbl>
            <c:dLbl>
              <c:idx val="14"/>
              <c:layout>
                <c:manualLayout>
                  <c:x val="-2.6331538001197065E-2"/>
                  <c:y val="-0.2946175637393767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EC90-4343-88F8-D65B842ED445}"/>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Trebuchet MS" panose="020B0603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ΑΠΟΤΕΛΕΣΜΑΤΑ!$A$58:$A$72</c:f>
              <c:numCache>
                <c:formatCode>mmm\-yy</c:formatCode>
                <c:ptCount val="15"/>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pt idx="12">
                  <c:v>44197</c:v>
                </c:pt>
                <c:pt idx="13">
                  <c:v>44228</c:v>
                </c:pt>
                <c:pt idx="14">
                  <c:v>44256</c:v>
                </c:pt>
              </c:numCache>
            </c:numRef>
          </c:cat>
          <c:val>
            <c:numRef>
              <c:f>ΑΠΟΤΕΛΕΣΜΑΤΑ!$B$58:$B$72</c:f>
              <c:numCache>
                <c:formatCode>#,##0.0</c:formatCode>
                <c:ptCount val="15"/>
                <c:pt idx="0">
                  <c:v>184.08879700000003</c:v>
                </c:pt>
                <c:pt idx="1">
                  <c:v>184.256213</c:v>
                </c:pt>
                <c:pt idx="2">
                  <c:v>180.132057</c:v>
                </c:pt>
                <c:pt idx="3">
                  <c:v>181.83355700000004</c:v>
                </c:pt>
                <c:pt idx="4">
                  <c:v>185.906631</c:v>
                </c:pt>
                <c:pt idx="5">
                  <c:v>189.98068899999998</c:v>
                </c:pt>
                <c:pt idx="6">
                  <c:v>192.08458899999999</c:v>
                </c:pt>
                <c:pt idx="7">
                  <c:v>192.94932800000004</c:v>
                </c:pt>
                <c:pt idx="8">
                  <c:v>195.04266899999999</c:v>
                </c:pt>
                <c:pt idx="9">
                  <c:v>197.530598</c:v>
                </c:pt>
                <c:pt idx="10">
                  <c:v>199.728049</c:v>
                </c:pt>
                <c:pt idx="11">
                  <c:v>195.60536300000001</c:v>
                </c:pt>
                <c:pt idx="12">
                  <c:v>197.31188</c:v>
                </c:pt>
                <c:pt idx="13">
                  <c:v>195.183054</c:v>
                </c:pt>
                <c:pt idx="14">
                  <c:v>199.04952600000001</c:v>
                </c:pt>
              </c:numCache>
            </c:numRef>
          </c:val>
          <c:extLst>
            <c:ext xmlns:c16="http://schemas.microsoft.com/office/drawing/2014/chart" uri="{C3380CC4-5D6E-409C-BE32-E72D297353CC}">
              <c16:uniqueId val="{0000000F-EC90-4343-88F8-D65B842ED445}"/>
            </c:ext>
          </c:extLst>
        </c:ser>
        <c:ser>
          <c:idx val="1"/>
          <c:order val="1"/>
          <c:tx>
            <c:strRef>
              <c:f>ΑΠΟΤΕΛΕΣΜΑΤΑ!$C$57</c:f>
              <c:strCache>
                <c:ptCount val="1"/>
                <c:pt idx="0">
                  <c:v>Χρηματοδότηση εγχώριου ιδιωτικού τομέα</c:v>
                </c:pt>
              </c:strCache>
            </c:strRef>
          </c:tx>
          <c:spPr>
            <a:solidFill>
              <a:srgbClr val="92D050"/>
            </a:solidFill>
            <a:ln>
              <a:noFill/>
            </a:ln>
            <a:effectLst/>
          </c:spPr>
          <c:dLbls>
            <c:dLbl>
              <c:idx val="0"/>
              <c:layout>
                <c:manualLayout>
                  <c:x val="4.3172661447658557E-2"/>
                  <c:y val="-0.1472420003350644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EC90-4343-88F8-D65B842ED445}"/>
                </c:ext>
              </c:extLst>
            </c:dLbl>
            <c:dLbl>
              <c:idx val="1"/>
              <c:delete val="1"/>
              <c:extLst>
                <c:ext xmlns:c15="http://schemas.microsoft.com/office/drawing/2012/chart" uri="{CE6537A1-D6FC-4f65-9D91-7224C49458BB}"/>
                <c:ext xmlns:c16="http://schemas.microsoft.com/office/drawing/2014/chart" uri="{C3380CC4-5D6E-409C-BE32-E72D297353CC}">
                  <c16:uniqueId val="{00000011-EC90-4343-88F8-D65B842ED445}"/>
                </c:ext>
              </c:extLst>
            </c:dLbl>
            <c:dLbl>
              <c:idx val="2"/>
              <c:delete val="1"/>
              <c:extLst>
                <c:ext xmlns:c15="http://schemas.microsoft.com/office/drawing/2012/chart" uri="{CE6537A1-D6FC-4f65-9D91-7224C49458BB}"/>
                <c:ext xmlns:c16="http://schemas.microsoft.com/office/drawing/2014/chart" uri="{C3380CC4-5D6E-409C-BE32-E72D297353CC}">
                  <c16:uniqueId val="{00000012-EC90-4343-88F8-D65B842ED445}"/>
                </c:ext>
              </c:extLst>
            </c:dLbl>
            <c:dLbl>
              <c:idx val="3"/>
              <c:delete val="1"/>
              <c:extLst>
                <c:ext xmlns:c15="http://schemas.microsoft.com/office/drawing/2012/chart" uri="{CE6537A1-D6FC-4f65-9D91-7224C49458BB}"/>
                <c:ext xmlns:c16="http://schemas.microsoft.com/office/drawing/2014/chart" uri="{C3380CC4-5D6E-409C-BE32-E72D297353CC}">
                  <c16:uniqueId val="{00000013-EC90-4343-88F8-D65B842ED445}"/>
                </c:ext>
              </c:extLst>
            </c:dLbl>
            <c:dLbl>
              <c:idx val="4"/>
              <c:delete val="1"/>
              <c:extLst>
                <c:ext xmlns:c15="http://schemas.microsoft.com/office/drawing/2012/chart" uri="{CE6537A1-D6FC-4f65-9D91-7224C49458BB}"/>
                <c:ext xmlns:c16="http://schemas.microsoft.com/office/drawing/2014/chart" uri="{C3380CC4-5D6E-409C-BE32-E72D297353CC}">
                  <c16:uniqueId val="{00000014-EC90-4343-88F8-D65B842ED445}"/>
                </c:ext>
              </c:extLst>
            </c:dLbl>
            <c:dLbl>
              <c:idx val="5"/>
              <c:delete val="1"/>
              <c:extLst>
                <c:ext xmlns:c15="http://schemas.microsoft.com/office/drawing/2012/chart" uri="{CE6537A1-D6FC-4f65-9D91-7224C49458BB}"/>
                <c:ext xmlns:c16="http://schemas.microsoft.com/office/drawing/2014/chart" uri="{C3380CC4-5D6E-409C-BE32-E72D297353CC}">
                  <c16:uniqueId val="{00000015-EC90-4343-88F8-D65B842ED445}"/>
                </c:ext>
              </c:extLst>
            </c:dLbl>
            <c:dLbl>
              <c:idx val="6"/>
              <c:delete val="1"/>
              <c:extLst>
                <c:ext xmlns:c15="http://schemas.microsoft.com/office/drawing/2012/chart" uri="{CE6537A1-D6FC-4f65-9D91-7224C49458BB}"/>
                <c:ext xmlns:c16="http://schemas.microsoft.com/office/drawing/2014/chart" uri="{C3380CC4-5D6E-409C-BE32-E72D297353CC}">
                  <c16:uniqueId val="{00000016-EC90-4343-88F8-D65B842ED445}"/>
                </c:ext>
              </c:extLst>
            </c:dLbl>
            <c:dLbl>
              <c:idx val="7"/>
              <c:delete val="1"/>
              <c:extLst>
                <c:ext xmlns:c15="http://schemas.microsoft.com/office/drawing/2012/chart" uri="{CE6537A1-D6FC-4f65-9D91-7224C49458BB}"/>
                <c:ext xmlns:c16="http://schemas.microsoft.com/office/drawing/2014/chart" uri="{C3380CC4-5D6E-409C-BE32-E72D297353CC}">
                  <c16:uniqueId val="{00000017-EC90-4343-88F8-D65B842ED445}"/>
                </c:ext>
              </c:extLst>
            </c:dLbl>
            <c:dLbl>
              <c:idx val="8"/>
              <c:delete val="1"/>
              <c:extLst>
                <c:ext xmlns:c15="http://schemas.microsoft.com/office/drawing/2012/chart" uri="{CE6537A1-D6FC-4f65-9D91-7224C49458BB}"/>
                <c:ext xmlns:c16="http://schemas.microsoft.com/office/drawing/2014/chart" uri="{C3380CC4-5D6E-409C-BE32-E72D297353CC}">
                  <c16:uniqueId val="{00000018-EC90-4343-88F8-D65B842ED445}"/>
                </c:ext>
              </c:extLst>
            </c:dLbl>
            <c:dLbl>
              <c:idx val="9"/>
              <c:delete val="1"/>
              <c:extLst>
                <c:ext xmlns:c15="http://schemas.microsoft.com/office/drawing/2012/chart" uri="{CE6537A1-D6FC-4f65-9D91-7224C49458BB}"/>
                <c:ext xmlns:c16="http://schemas.microsoft.com/office/drawing/2014/chart" uri="{C3380CC4-5D6E-409C-BE32-E72D297353CC}">
                  <c16:uniqueId val="{00000019-EC90-4343-88F8-D65B842ED445}"/>
                </c:ext>
              </c:extLst>
            </c:dLbl>
            <c:dLbl>
              <c:idx val="10"/>
              <c:delete val="1"/>
              <c:extLst>
                <c:ext xmlns:c15="http://schemas.microsoft.com/office/drawing/2012/chart" uri="{CE6537A1-D6FC-4f65-9D91-7224C49458BB}"/>
                <c:ext xmlns:c16="http://schemas.microsoft.com/office/drawing/2014/chart" uri="{C3380CC4-5D6E-409C-BE32-E72D297353CC}">
                  <c16:uniqueId val="{0000001A-EC90-4343-88F8-D65B842ED445}"/>
                </c:ext>
              </c:extLst>
            </c:dLbl>
            <c:dLbl>
              <c:idx val="11"/>
              <c:delete val="1"/>
              <c:extLst>
                <c:ext xmlns:c15="http://schemas.microsoft.com/office/drawing/2012/chart" uri="{CE6537A1-D6FC-4f65-9D91-7224C49458BB}"/>
                <c:ext xmlns:c16="http://schemas.microsoft.com/office/drawing/2014/chart" uri="{C3380CC4-5D6E-409C-BE32-E72D297353CC}">
                  <c16:uniqueId val="{0000001B-EC90-4343-88F8-D65B842ED445}"/>
                </c:ext>
              </c:extLst>
            </c:dLbl>
            <c:dLbl>
              <c:idx val="12"/>
              <c:delete val="1"/>
              <c:extLst>
                <c:ext xmlns:c15="http://schemas.microsoft.com/office/drawing/2012/chart" uri="{CE6537A1-D6FC-4f65-9D91-7224C49458BB}"/>
                <c:ext xmlns:c16="http://schemas.microsoft.com/office/drawing/2014/chart" uri="{C3380CC4-5D6E-409C-BE32-E72D297353CC}">
                  <c16:uniqueId val="{0000001C-EC90-4343-88F8-D65B842ED445}"/>
                </c:ext>
              </c:extLst>
            </c:dLbl>
            <c:dLbl>
              <c:idx val="13"/>
              <c:delete val="1"/>
              <c:extLst>
                <c:ext xmlns:c15="http://schemas.microsoft.com/office/drawing/2012/chart" uri="{CE6537A1-D6FC-4f65-9D91-7224C49458BB}"/>
                <c:ext xmlns:c16="http://schemas.microsoft.com/office/drawing/2014/chart" uri="{C3380CC4-5D6E-409C-BE32-E72D297353CC}">
                  <c16:uniqueId val="{0000001D-EC90-4343-88F8-D65B842ED445}"/>
                </c:ext>
              </c:extLst>
            </c:dLbl>
            <c:dLbl>
              <c:idx val="14"/>
              <c:layout>
                <c:manualLayout>
                  <c:x val="-4.3087911025328433E-2"/>
                  <c:y val="-9.05846875523538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EC90-4343-88F8-D65B842ED445}"/>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Trebuchet MS" panose="020B0603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ΑΠΟΤΕΛΕΣΜΑΤΑ!$A$58:$A$72</c:f>
              <c:numCache>
                <c:formatCode>mmm\-yy</c:formatCode>
                <c:ptCount val="15"/>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pt idx="12">
                  <c:v>44197</c:v>
                </c:pt>
                <c:pt idx="13">
                  <c:v>44228</c:v>
                </c:pt>
                <c:pt idx="14">
                  <c:v>44256</c:v>
                </c:pt>
              </c:numCache>
            </c:numRef>
          </c:cat>
          <c:val>
            <c:numRef>
              <c:f>ΑΠΟΤΕΛΕΣΜΑΤΑ!$C$58:$C$72</c:f>
              <c:numCache>
                <c:formatCode>#,##0.0</c:formatCode>
                <c:ptCount val="15"/>
                <c:pt idx="0">
                  <c:v>153.42569500000002</c:v>
                </c:pt>
                <c:pt idx="1">
                  <c:v>153.73892999999998</c:v>
                </c:pt>
                <c:pt idx="2">
                  <c:v>147.69668799999999</c:v>
                </c:pt>
                <c:pt idx="3">
                  <c:v>147.69372700000002</c:v>
                </c:pt>
                <c:pt idx="4">
                  <c:v>147.89805699999999</c:v>
                </c:pt>
                <c:pt idx="5">
                  <c:v>147.60573199999999</c:v>
                </c:pt>
                <c:pt idx="6">
                  <c:v>147.57694700000002</c:v>
                </c:pt>
                <c:pt idx="7">
                  <c:v>147.72055600000004</c:v>
                </c:pt>
                <c:pt idx="8">
                  <c:v>147.58638099999999</c:v>
                </c:pt>
                <c:pt idx="9">
                  <c:v>147.27734799999999</c:v>
                </c:pt>
                <c:pt idx="10">
                  <c:v>147.25440600000002</c:v>
                </c:pt>
                <c:pt idx="11">
                  <c:v>141.81228200000001</c:v>
                </c:pt>
                <c:pt idx="12">
                  <c:v>141.11330999999998</c:v>
                </c:pt>
                <c:pt idx="13">
                  <c:v>139.865691</c:v>
                </c:pt>
                <c:pt idx="14">
                  <c:v>139.985805</c:v>
                </c:pt>
              </c:numCache>
            </c:numRef>
          </c:val>
          <c:extLst>
            <c:ext xmlns:c16="http://schemas.microsoft.com/office/drawing/2014/chart" uri="{C3380CC4-5D6E-409C-BE32-E72D297353CC}">
              <c16:uniqueId val="{0000001F-EC90-4343-88F8-D65B842ED445}"/>
            </c:ext>
          </c:extLst>
        </c:ser>
        <c:dLbls>
          <c:showLegendKey val="0"/>
          <c:showVal val="0"/>
          <c:showCatName val="0"/>
          <c:showSerName val="0"/>
          <c:showPercent val="0"/>
          <c:showBubbleSize val="0"/>
        </c:dLbls>
        <c:axId val="784748671"/>
        <c:axId val="784724127"/>
      </c:areaChart>
      <c:dateAx>
        <c:axId val="784748671"/>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rebuchet MS" panose="020B0603020202020204" pitchFamily="34" charset="0"/>
                <a:ea typeface="+mn-ea"/>
                <a:cs typeface="+mn-cs"/>
              </a:defRPr>
            </a:pPr>
            <a:endParaRPr lang="en-US"/>
          </a:p>
        </c:txPr>
        <c:crossAx val="784724127"/>
        <c:crosses val="autoZero"/>
        <c:auto val="1"/>
        <c:lblOffset val="100"/>
        <c:baseTimeUnit val="months"/>
      </c:dateAx>
      <c:valAx>
        <c:axId val="784724127"/>
        <c:scaling>
          <c:orientation val="minMax"/>
          <c:max val="200"/>
          <c:min val="1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rebuchet MS" panose="020B0603020202020204" pitchFamily="34" charset="0"/>
                <a:ea typeface="+mn-ea"/>
                <a:cs typeface="+mn-cs"/>
              </a:defRPr>
            </a:pPr>
            <a:endParaRPr lang="en-US"/>
          </a:p>
        </c:txPr>
        <c:crossAx val="784748671"/>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rebuchet MS" panose="020B0603020202020204" pitchFamily="34" charset="0"/>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en-US"/>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ΑΠΟΤΕΛΕΣΜΑΤΑ!$B$20</c:f>
              <c:strCache>
                <c:ptCount val="1"/>
                <c:pt idx="0">
                  <c:v>Δάνεια προς μη χρηματοπιστωτικές επιχειρήσεις</c:v>
                </c:pt>
              </c:strCache>
            </c:strRef>
          </c:tx>
          <c:spPr>
            <a:ln w="28575" cap="rnd">
              <a:solidFill>
                <a:srgbClr val="00B0F0"/>
              </a:solidFill>
              <a:round/>
            </a:ln>
            <a:effectLst/>
          </c:spPr>
          <c:marker>
            <c:symbol val="circle"/>
            <c:size val="5"/>
            <c:spPr>
              <a:solidFill>
                <a:srgbClr val="00B0F0"/>
              </a:solidFill>
              <a:ln w="9525">
                <a:solidFill>
                  <a:srgbClr val="00B0F0"/>
                </a:solidFill>
              </a:ln>
              <a:effectLst/>
            </c:spPr>
          </c:marker>
          <c:dLbls>
            <c:dLbl>
              <c:idx val="0"/>
              <c:layout>
                <c:manualLayout>
                  <c:x val="-2.6522001205545521E-2"/>
                  <c:y val="-3.30510225160090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EA7-4898-A950-890257134691}"/>
                </c:ext>
              </c:extLst>
            </c:dLbl>
            <c:dLbl>
              <c:idx val="11"/>
              <c:layout>
                <c:manualLayout>
                  <c:x val="-1.4466546112115732E-2"/>
                  <c:y val="2.89196447015079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EA7-4898-A950-890257134691}"/>
                </c:ext>
              </c:extLst>
            </c:dLbl>
            <c:dLbl>
              <c:idx val="13"/>
              <c:layout>
                <c:manualLayout>
                  <c:x val="-4.8221820373719106E-3"/>
                  <c:y val="-2.33918128654970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EA7-4898-A950-890257134691}"/>
                </c:ext>
              </c:extLst>
            </c:dLbl>
            <c:dLbl>
              <c:idx val="14"/>
              <c:layout>
                <c:manualLayout>
                  <c:x val="-3.134418324291742E-2"/>
                  <c:y val="3.78226012390880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EA7-4898-A950-890257134691}"/>
                </c:ext>
              </c:extLst>
            </c:dLbl>
            <c:spPr>
              <a:noFill/>
              <a:ln>
                <a:noFill/>
              </a:ln>
              <a:effectLst/>
            </c:spPr>
            <c:txPr>
              <a:bodyPr wrap="square" lIns="38100" tIns="19050" rIns="38100" bIns="19050" anchor="ctr">
                <a:spAutoFit/>
              </a:bodyPr>
              <a:lstStyle/>
              <a:p>
                <a:pPr>
                  <a:defRPr sz="800" b="1">
                    <a:solidFill>
                      <a:schemeClr val="accent1">
                        <a:lumMod val="50000"/>
                      </a:schemeClr>
                    </a:solidFill>
                    <a:latin typeface="Trebuchet MS" panose="020B0603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ext>
            </c:extLst>
          </c:dLbls>
          <c:cat>
            <c:numRef>
              <c:f>ΑΠΟΤΕΛΕΣΜΑΤΑ!$A$21:$A$35</c:f>
              <c:numCache>
                <c:formatCode>mmm\-yy</c:formatCode>
                <c:ptCount val="15"/>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pt idx="12">
                  <c:v>44197</c:v>
                </c:pt>
                <c:pt idx="13">
                  <c:v>44228</c:v>
                </c:pt>
                <c:pt idx="14">
                  <c:v>44256</c:v>
                </c:pt>
              </c:numCache>
            </c:numRef>
          </c:cat>
          <c:val>
            <c:numRef>
              <c:f>ΑΠΟΤΕΛΕΣΜΑΤΑ!$B$21:$B$35</c:f>
              <c:numCache>
                <c:formatCode>0.0%</c:formatCode>
                <c:ptCount val="15"/>
                <c:pt idx="0">
                  <c:v>1.5756414540055056E-2</c:v>
                </c:pt>
                <c:pt idx="1">
                  <c:v>1.1332041093441351E-2</c:v>
                </c:pt>
                <c:pt idx="2">
                  <c:v>3.4171341456638915E-2</c:v>
                </c:pt>
                <c:pt idx="3">
                  <c:v>3.8598544140509138E-2</c:v>
                </c:pt>
                <c:pt idx="4">
                  <c:v>4.6269892276058523E-2</c:v>
                </c:pt>
                <c:pt idx="5">
                  <c:v>3.860084947536311E-2</c:v>
                </c:pt>
                <c:pt idx="6">
                  <c:v>6.3511100929851821E-2</c:v>
                </c:pt>
                <c:pt idx="7">
                  <c:v>7.1530742639917905E-2</c:v>
                </c:pt>
                <c:pt idx="8">
                  <c:v>8.1725583885490657E-2</c:v>
                </c:pt>
                <c:pt idx="9">
                  <c:v>8.4823180109890733E-2</c:v>
                </c:pt>
                <c:pt idx="10">
                  <c:v>8.5700144469003606E-2</c:v>
                </c:pt>
                <c:pt idx="11">
                  <c:v>9.8376815819896241E-2</c:v>
                </c:pt>
                <c:pt idx="12">
                  <c:v>0.10294207243248245</c:v>
                </c:pt>
                <c:pt idx="13">
                  <c:v>0.10157503037446211</c:v>
                </c:pt>
                <c:pt idx="14">
                  <c:v>8.386968542733203E-2</c:v>
                </c:pt>
              </c:numCache>
            </c:numRef>
          </c:val>
          <c:smooth val="0"/>
          <c:extLst>
            <c:ext xmlns:c16="http://schemas.microsoft.com/office/drawing/2014/chart" uri="{C3380CC4-5D6E-409C-BE32-E72D297353CC}">
              <c16:uniqueId val="{00000004-7EA7-4898-A950-890257134691}"/>
            </c:ext>
          </c:extLst>
        </c:ser>
        <c:ser>
          <c:idx val="1"/>
          <c:order val="1"/>
          <c:tx>
            <c:strRef>
              <c:f>ΑΠΟΤΕΛΕΣΜΑΤΑ!$C$20</c:f>
              <c:strCache>
                <c:ptCount val="1"/>
                <c:pt idx="0">
                  <c:v>Στεγαστικά δάνεια </c:v>
                </c:pt>
              </c:strCache>
            </c:strRef>
          </c:tx>
          <c:spPr>
            <a:ln w="28575" cap="rnd">
              <a:solidFill>
                <a:schemeClr val="bg1">
                  <a:lumMod val="50000"/>
                </a:schemeClr>
              </a:solidFill>
              <a:round/>
            </a:ln>
            <a:effectLst/>
          </c:spPr>
          <c:marker>
            <c:symbol val="circle"/>
            <c:size val="5"/>
            <c:spPr>
              <a:solidFill>
                <a:schemeClr val="bg1">
                  <a:lumMod val="50000"/>
                </a:schemeClr>
              </a:solidFill>
              <a:ln w="9525">
                <a:solidFill>
                  <a:schemeClr val="bg1">
                    <a:lumMod val="50000"/>
                  </a:schemeClr>
                </a:solidFill>
              </a:ln>
              <a:effectLst/>
            </c:spPr>
          </c:marker>
          <c:dLbls>
            <c:dLbl>
              <c:idx val="0"/>
              <c:layout>
                <c:manualLayout>
                  <c:x val="-3.8577456298975299E-2"/>
                  <c:y val="3.1189083820662766E-2"/>
                </c:manualLayout>
              </c:layout>
              <c:spPr>
                <a:noFill/>
                <a:ln>
                  <a:noFill/>
                </a:ln>
                <a:effectLst/>
              </c:spPr>
              <c:txPr>
                <a:bodyPr wrap="square" lIns="38100" tIns="19050" rIns="38100" bIns="19050" anchor="ctr">
                  <a:spAutoFit/>
                </a:bodyPr>
                <a:lstStyle/>
                <a:p>
                  <a:pPr>
                    <a:defRPr sz="800">
                      <a:solidFill>
                        <a:schemeClr val="tx1">
                          <a:lumMod val="65000"/>
                          <a:lumOff val="35000"/>
                        </a:schemeClr>
                      </a:solidFill>
                      <a:latin typeface="Trebuchet MS" panose="020B060302020202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EA7-4898-A950-890257134691}"/>
                </c:ext>
              </c:extLst>
            </c:dLbl>
            <c:spPr>
              <a:noFill/>
              <a:ln>
                <a:noFill/>
              </a:ln>
              <a:effectLst/>
            </c:spPr>
            <c:txPr>
              <a:bodyPr wrap="square" lIns="38100" tIns="19050" rIns="38100" bIns="19050" anchor="ctr">
                <a:spAutoFit/>
              </a:bodyPr>
              <a:lstStyle/>
              <a:p>
                <a:pPr>
                  <a:defRPr>
                    <a:solidFill>
                      <a:schemeClr val="tx1">
                        <a:lumMod val="65000"/>
                        <a:lumOff val="35000"/>
                      </a:schemeClr>
                    </a:solidFill>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ext>
            </c:extLst>
          </c:dLbls>
          <c:cat>
            <c:numRef>
              <c:f>ΑΠΟΤΕΛΕΣΜΑΤΑ!$A$21:$A$35</c:f>
              <c:numCache>
                <c:formatCode>mmm\-yy</c:formatCode>
                <c:ptCount val="15"/>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pt idx="12">
                  <c:v>44197</c:v>
                </c:pt>
                <c:pt idx="13">
                  <c:v>44228</c:v>
                </c:pt>
                <c:pt idx="14">
                  <c:v>44256</c:v>
                </c:pt>
              </c:numCache>
            </c:numRef>
          </c:cat>
          <c:val>
            <c:numRef>
              <c:f>ΑΠΟΤΕΛΕΣΜΑΤΑ!$C$21:$C$35</c:f>
              <c:numCache>
                <c:formatCode>0.0%</c:formatCode>
                <c:ptCount val="15"/>
                <c:pt idx="0">
                  <c:v>-3.3944833042722132E-2</c:v>
                </c:pt>
                <c:pt idx="1">
                  <c:v>-3.4159449402789532E-2</c:v>
                </c:pt>
                <c:pt idx="2">
                  <c:v>-3.3700792152513231E-2</c:v>
                </c:pt>
                <c:pt idx="3">
                  <c:v>-3.2560540114380004E-2</c:v>
                </c:pt>
                <c:pt idx="4">
                  <c:v>-3.0141936214753452E-2</c:v>
                </c:pt>
                <c:pt idx="5">
                  <c:v>-3.0075502907539388E-2</c:v>
                </c:pt>
                <c:pt idx="6">
                  <c:v>-2.9217442245548075E-2</c:v>
                </c:pt>
                <c:pt idx="7">
                  <c:v>-2.8611382689415592E-2</c:v>
                </c:pt>
                <c:pt idx="8">
                  <c:v>-2.8345231532685887E-2</c:v>
                </c:pt>
                <c:pt idx="9">
                  <c:v>-2.7567742076513611E-2</c:v>
                </c:pt>
                <c:pt idx="10">
                  <c:v>-2.7568608267604242E-2</c:v>
                </c:pt>
                <c:pt idx="11">
                  <c:v>-2.7192016737807339E-2</c:v>
                </c:pt>
                <c:pt idx="12">
                  <c:v>-2.6417688316971243E-2</c:v>
                </c:pt>
                <c:pt idx="13">
                  <c:v>-2.581388142776124E-2</c:v>
                </c:pt>
                <c:pt idx="14">
                  <c:v>-2.7748312100000769E-2</c:v>
                </c:pt>
              </c:numCache>
            </c:numRef>
          </c:val>
          <c:smooth val="0"/>
          <c:extLst>
            <c:ext xmlns:c16="http://schemas.microsoft.com/office/drawing/2014/chart" uri="{C3380CC4-5D6E-409C-BE32-E72D297353CC}">
              <c16:uniqueId val="{00000006-7EA7-4898-A950-890257134691}"/>
            </c:ext>
          </c:extLst>
        </c:ser>
        <c:ser>
          <c:idx val="2"/>
          <c:order val="2"/>
          <c:tx>
            <c:strRef>
              <c:f>ΑΠΟΤΕΛΕΣΜΑΤΑ!$D$20</c:f>
              <c:strCache>
                <c:ptCount val="1"/>
                <c:pt idx="0">
                  <c:v>Καταναλωτική Πίστη</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layout>
                <c:manualLayout>
                  <c:x val="-5.7866184448462941E-2"/>
                  <c:y val="-1.169590643274861E-2"/>
                </c:manualLayout>
              </c:layout>
              <c:spPr>
                <a:noFill/>
                <a:ln>
                  <a:noFill/>
                </a:ln>
                <a:effectLst/>
              </c:spPr>
              <c:txPr>
                <a:bodyPr wrap="square" lIns="38100" tIns="19050" rIns="38100" bIns="19050" anchor="ctr">
                  <a:spAutoFit/>
                </a:bodyPr>
                <a:lstStyle/>
                <a:p>
                  <a:pPr>
                    <a:defRPr sz="800" b="1">
                      <a:solidFill>
                        <a:schemeClr val="accent6">
                          <a:lumMod val="75000"/>
                        </a:schemeClr>
                      </a:solidFill>
                      <a:latin typeface="Trebuchet MS" panose="020B060302020202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EA7-4898-A950-890257134691}"/>
                </c:ext>
              </c:extLst>
            </c:dLbl>
            <c:dLbl>
              <c:idx val="14"/>
              <c:layout>
                <c:manualLayout>
                  <c:x val="-1.768112988310914E-16"/>
                  <c:y val="4.6783625730994149E-2"/>
                </c:manualLayout>
              </c:layout>
              <c:spPr>
                <a:noFill/>
                <a:ln>
                  <a:noFill/>
                </a:ln>
                <a:effectLst/>
              </c:spPr>
              <c:txPr>
                <a:bodyPr wrap="square" lIns="38100" tIns="19050" rIns="38100" bIns="19050" anchor="ctr">
                  <a:spAutoFit/>
                </a:bodyPr>
                <a:lstStyle/>
                <a:p>
                  <a:pPr>
                    <a:defRPr sz="800" b="1">
                      <a:solidFill>
                        <a:schemeClr val="accent6">
                          <a:lumMod val="75000"/>
                        </a:schemeClr>
                      </a:solidFill>
                      <a:latin typeface="Trebuchet MS" panose="020B060302020202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EA7-4898-A950-890257134691}"/>
                </c:ext>
              </c:extLst>
            </c:dLbl>
            <c:spPr>
              <a:noFill/>
              <a:ln>
                <a:noFill/>
              </a:ln>
              <a:effectLst/>
            </c:spPr>
            <c:txPr>
              <a:bodyPr wrap="square" lIns="38100" tIns="19050" rIns="38100" bIns="19050" anchor="ctr">
                <a:spAutoFit/>
              </a:bodyPr>
              <a:lstStyle/>
              <a:p>
                <a:pPr>
                  <a:defRPr>
                    <a:solidFill>
                      <a:schemeClr val="accent6">
                        <a:lumMod val="75000"/>
                      </a:schemeClr>
                    </a:solidFill>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ext>
            </c:extLst>
          </c:dLbls>
          <c:cat>
            <c:numRef>
              <c:f>ΑΠΟΤΕΛΕΣΜΑΤΑ!$A$21:$A$35</c:f>
              <c:numCache>
                <c:formatCode>mmm\-yy</c:formatCode>
                <c:ptCount val="15"/>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pt idx="12">
                  <c:v>44197</c:v>
                </c:pt>
                <c:pt idx="13">
                  <c:v>44228</c:v>
                </c:pt>
                <c:pt idx="14">
                  <c:v>44256</c:v>
                </c:pt>
              </c:numCache>
            </c:numRef>
          </c:cat>
          <c:val>
            <c:numRef>
              <c:f>ΑΠΟΤΕΛΕΣΜΑΤΑ!$D$21:$D$35</c:f>
              <c:numCache>
                <c:formatCode>0.0%</c:formatCode>
                <c:ptCount val="15"/>
                <c:pt idx="0">
                  <c:v>-1.5380272181043163E-2</c:v>
                </c:pt>
                <c:pt idx="1">
                  <c:v>-1.4945318086562248E-2</c:v>
                </c:pt>
                <c:pt idx="2">
                  <c:v>-1.6593468443214257E-2</c:v>
                </c:pt>
                <c:pt idx="3">
                  <c:v>-2.1028637129521258E-2</c:v>
                </c:pt>
                <c:pt idx="4">
                  <c:v>-2.1590500017754474E-2</c:v>
                </c:pt>
                <c:pt idx="5">
                  <c:v>-1.6769446325539519E-2</c:v>
                </c:pt>
                <c:pt idx="6">
                  <c:v>-1.5485541302496665E-2</c:v>
                </c:pt>
                <c:pt idx="7">
                  <c:v>-1.4252573343277413E-2</c:v>
                </c:pt>
                <c:pt idx="8">
                  <c:v>-1.6459120716303198E-2</c:v>
                </c:pt>
                <c:pt idx="9">
                  <c:v>-1.5424394033236229E-2</c:v>
                </c:pt>
                <c:pt idx="10">
                  <c:v>-1.9361902722466816E-2</c:v>
                </c:pt>
                <c:pt idx="11">
                  <c:v>-2.1698564929074838E-2</c:v>
                </c:pt>
                <c:pt idx="12">
                  <c:v>-2.4758491207527732E-2</c:v>
                </c:pt>
                <c:pt idx="13">
                  <c:v>-2.5946338758979247E-2</c:v>
                </c:pt>
                <c:pt idx="14">
                  <c:v>-2.8356614015623109E-2</c:v>
                </c:pt>
              </c:numCache>
            </c:numRef>
          </c:val>
          <c:smooth val="0"/>
          <c:extLst>
            <c:ext xmlns:c16="http://schemas.microsoft.com/office/drawing/2014/chart" uri="{C3380CC4-5D6E-409C-BE32-E72D297353CC}">
              <c16:uniqueId val="{00000009-7EA7-4898-A950-890257134691}"/>
            </c:ext>
          </c:extLst>
        </c:ser>
        <c:dLbls>
          <c:showLegendKey val="0"/>
          <c:showVal val="0"/>
          <c:showCatName val="0"/>
          <c:showSerName val="0"/>
          <c:showPercent val="0"/>
          <c:showBubbleSize val="0"/>
        </c:dLbls>
        <c:marker val="1"/>
        <c:smooth val="0"/>
        <c:axId val="194433615"/>
        <c:axId val="1"/>
      </c:lineChart>
      <c:dateAx>
        <c:axId val="194433615"/>
        <c:scaling>
          <c:orientation val="minMax"/>
        </c:scaling>
        <c:delete val="0"/>
        <c:axPos val="b"/>
        <c:numFmt formatCode="mmm\-yy" sourceLinked="0"/>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rebuchet MS" panose="020B0603020202020204" pitchFamily="34" charset="0"/>
                <a:ea typeface="+mn-ea"/>
                <a:cs typeface="+mn-cs"/>
              </a:defRPr>
            </a:pPr>
            <a:endParaRPr lang="en-US"/>
          </a:p>
        </c:txPr>
        <c:crossAx val="1"/>
        <c:crosses val="autoZero"/>
        <c:auto val="1"/>
        <c:lblOffset val="100"/>
        <c:baseTimeUnit val="months"/>
      </c:date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rebuchet MS" panose="020B0603020202020204" pitchFamily="34" charset="0"/>
                <a:ea typeface="+mn-ea"/>
                <a:cs typeface="+mn-cs"/>
              </a:defRPr>
            </a:pPr>
            <a:endParaRPr lang="en-US"/>
          </a:p>
        </c:txPr>
        <c:crossAx val="194433615"/>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rebuchet MS" panose="020B060302020202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'2021'!$I$11</c:f>
              <c:strCache>
                <c:ptCount val="1"/>
                <c:pt idx="0">
                  <c:v>Eλλάδα: Ποσοστό (%) Συνολικής Πρ. Αξίας 2020</c:v>
                </c:pt>
              </c:strCache>
            </c:strRef>
          </c:tx>
          <c:spPr>
            <a:solidFill>
              <a:srgbClr val="00B0F0"/>
            </a:solidFill>
            <a:ln>
              <a:noFill/>
            </a:ln>
            <a:effectLst/>
          </c:spPr>
          <c:invertIfNegative val="0"/>
          <c:cat>
            <c:strRef>
              <c:f>'2021'!$B$13:$B$22</c:f>
              <c:strCache>
                <c:ptCount val="10"/>
                <c:pt idx="0">
                  <c:v>A</c:v>
                </c:pt>
                <c:pt idx="1">
                  <c:v>Β-Ε</c:v>
                </c:pt>
                <c:pt idx="2">
                  <c:v>F</c:v>
                </c:pt>
                <c:pt idx="3">
                  <c:v>G-I</c:v>
                </c:pt>
                <c:pt idx="4">
                  <c:v>J</c:v>
                </c:pt>
                <c:pt idx="5">
                  <c:v>K</c:v>
                </c:pt>
                <c:pt idx="6">
                  <c:v>L</c:v>
                </c:pt>
                <c:pt idx="7">
                  <c:v>M-N</c:v>
                </c:pt>
                <c:pt idx="8">
                  <c:v>O-Q</c:v>
                </c:pt>
                <c:pt idx="9">
                  <c:v>R-U</c:v>
                </c:pt>
              </c:strCache>
              <c:extLst/>
            </c:strRef>
          </c:cat>
          <c:val>
            <c:numRef>
              <c:f>'2021'!$I$13:$I$22</c:f>
              <c:numCache>
                <c:formatCode>#,##0.0</c:formatCode>
                <c:ptCount val="10"/>
                <c:pt idx="0">
                  <c:v>4.9733284933736179</c:v>
                </c:pt>
                <c:pt idx="1">
                  <c:v>15.109108255414929</c:v>
                </c:pt>
                <c:pt idx="2">
                  <c:v>2.0321758362762177</c:v>
                </c:pt>
                <c:pt idx="3">
                  <c:v>21.993096310250412</c:v>
                </c:pt>
                <c:pt idx="4">
                  <c:v>3.1543627783707779</c:v>
                </c:pt>
                <c:pt idx="5">
                  <c:v>5.2056330653812886</c:v>
                </c:pt>
                <c:pt idx="6">
                  <c:v>18.75931950886104</c:v>
                </c:pt>
                <c:pt idx="7">
                  <c:v>4.7972952002083522</c:v>
                </c:pt>
                <c:pt idx="8">
                  <c:v>21.305426197586407</c:v>
                </c:pt>
                <c:pt idx="9">
                  <c:v>2.8732762703882178</c:v>
                </c:pt>
              </c:numCache>
              <c:extLst/>
            </c:numRef>
          </c:val>
          <c:extLst>
            <c:ext xmlns:c16="http://schemas.microsoft.com/office/drawing/2014/chart" uri="{C3380CC4-5D6E-409C-BE32-E72D297353CC}">
              <c16:uniqueId val="{00000000-9DF1-495E-9344-E9390459B031}"/>
            </c:ext>
          </c:extLst>
        </c:ser>
        <c:ser>
          <c:idx val="3"/>
          <c:order val="3"/>
          <c:tx>
            <c:strRef>
              <c:f>'2021'!$P$11</c:f>
              <c:strCache>
                <c:ptCount val="1"/>
                <c:pt idx="0">
                  <c:v>ΕΕ 27: Ποσοστό (%) Συνολικής Πρ. Αξίας 2020</c:v>
                </c:pt>
              </c:strCache>
            </c:strRef>
          </c:tx>
          <c:spPr>
            <a:solidFill>
              <a:srgbClr val="92D050"/>
            </a:solidFill>
            <a:ln>
              <a:noFill/>
            </a:ln>
            <a:effectLst/>
          </c:spPr>
          <c:invertIfNegative val="0"/>
          <c:cat>
            <c:strLit>
              <c:ptCount val="10"/>
              <c:pt idx="0">
                <c:v>A</c:v>
              </c:pt>
              <c:pt idx="1">
                <c:v>Β-Ε</c:v>
              </c:pt>
              <c:pt idx="2">
                <c:v>F</c:v>
              </c:pt>
              <c:pt idx="3">
                <c:v>G-I</c:v>
              </c:pt>
              <c:pt idx="4">
                <c:v>J</c:v>
              </c:pt>
              <c:pt idx="5">
                <c:v>K</c:v>
              </c:pt>
              <c:pt idx="6">
                <c:v>L</c:v>
              </c:pt>
              <c:pt idx="7">
                <c:v>M-N</c:v>
              </c:pt>
              <c:pt idx="8">
                <c:v>O-Q</c:v>
              </c:pt>
              <c:pt idx="9">
                <c:v>R-U</c:v>
              </c:pt>
              <c:extLst>
                <c:ext xmlns:c15="http://schemas.microsoft.com/office/drawing/2012/chart" uri="{02D57815-91ED-43cb-92C2-25804820EDAC}">
                  <c15:autoCat val="1"/>
                </c:ext>
              </c:extLst>
            </c:strLit>
          </c:cat>
          <c:val>
            <c:numRef>
              <c:f>'2021'!$P$13:$P$22</c:f>
              <c:numCache>
                <c:formatCode>#,##0.0</c:formatCode>
                <c:ptCount val="10"/>
                <c:pt idx="0">
                  <c:v>1.7675873443588894</c:v>
                </c:pt>
                <c:pt idx="1">
                  <c:v>20.030317476412304</c:v>
                </c:pt>
                <c:pt idx="2">
                  <c:v>5.1736681122542061</c:v>
                </c:pt>
                <c:pt idx="3">
                  <c:v>18.066453291330962</c:v>
                </c:pt>
                <c:pt idx="4">
                  <c:v>5.692438737662834</c:v>
                </c:pt>
                <c:pt idx="5">
                  <c:v>5.0725976125500258</c:v>
                </c:pt>
                <c:pt idx="6">
                  <c:v>11.256031739676011</c:v>
                </c:pt>
                <c:pt idx="7">
                  <c:v>11.09816177843868</c:v>
                </c:pt>
                <c:pt idx="8">
                  <c:v>18.93237135924111</c:v>
                </c:pt>
                <c:pt idx="9">
                  <c:v>2.9014495295336458</c:v>
                </c:pt>
              </c:numCache>
              <c:extLst/>
            </c:numRef>
          </c:val>
          <c:extLst>
            <c:ext xmlns:c16="http://schemas.microsoft.com/office/drawing/2014/chart" uri="{C3380CC4-5D6E-409C-BE32-E72D297353CC}">
              <c16:uniqueId val="{00000001-9DF1-495E-9344-E9390459B031}"/>
            </c:ext>
          </c:extLst>
        </c:ser>
        <c:dLbls>
          <c:showLegendKey val="0"/>
          <c:showVal val="0"/>
          <c:showCatName val="0"/>
          <c:showSerName val="0"/>
          <c:showPercent val="0"/>
          <c:showBubbleSize val="0"/>
        </c:dLbls>
        <c:gapWidth val="219"/>
        <c:axId val="578280112"/>
        <c:axId val="578280440"/>
      </c:barChart>
      <c:lineChart>
        <c:grouping val="standard"/>
        <c:varyColors val="0"/>
        <c:ser>
          <c:idx val="0"/>
          <c:order val="0"/>
          <c:tx>
            <c:strRef>
              <c:f>'2021'!$H$11</c:f>
              <c:strCache>
                <c:ptCount val="1"/>
                <c:pt idx="0">
                  <c:v>Eλλάδα: Μεταβολή (%) 2019 - 2020</c:v>
                </c:pt>
              </c:strCache>
            </c:strRef>
          </c:tx>
          <c:spPr>
            <a:ln w="28575" cap="rnd">
              <a:noFill/>
              <a:round/>
            </a:ln>
            <a:effectLst/>
          </c:spPr>
          <c:marker>
            <c:symbol val="square"/>
            <c:size val="6"/>
            <c:spPr>
              <a:solidFill>
                <a:schemeClr val="accent1"/>
              </a:solidFill>
              <a:ln w="22225">
                <a:solidFill>
                  <a:schemeClr val="accent1"/>
                </a:solidFill>
              </a:ln>
              <a:effectLst/>
            </c:spPr>
          </c:marker>
          <c:dLbls>
            <c:dLbl>
              <c:idx val="0"/>
              <c:layout>
                <c:manualLayout>
                  <c:x val="-2.2916401934435987E-17"/>
                  <c:y val="1.12781954887217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DF1-495E-9344-E9390459B031}"/>
                </c:ext>
              </c:extLst>
            </c:dLbl>
            <c:dLbl>
              <c:idx val="4"/>
              <c:layout>
                <c:manualLayout>
                  <c:x val="0"/>
                  <c:y val="-2.25563909774436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DF1-495E-9344-E9390459B031}"/>
                </c:ext>
              </c:extLst>
            </c:dLbl>
            <c:dLbl>
              <c:idx val="8"/>
              <c:layout>
                <c:manualLayout>
                  <c:x val="7.4999999999999997E-3"/>
                  <c:y val="3.7593984962405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DF1-495E-9344-E9390459B031}"/>
                </c:ext>
              </c:extLst>
            </c:dLbl>
            <c:dLbl>
              <c:idx val="9"/>
              <c:layout>
                <c:manualLayout>
                  <c:x val="-1.833312154754879E-16"/>
                  <c:y val="-2.63157894736842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DF1-495E-9344-E9390459B031}"/>
                </c:ext>
              </c:extLst>
            </c:dLbl>
            <c:spPr>
              <a:noFill/>
              <a:ln>
                <a:noFill/>
              </a:ln>
              <a:effectLst/>
            </c:spPr>
            <c:txPr>
              <a:bodyPr rot="0" spcFirstLastPara="1" vertOverflow="ellipsis" vert="horz" wrap="square" anchor="ctr" anchorCtr="1"/>
              <a:lstStyle/>
              <a:p>
                <a:pPr>
                  <a:defRPr sz="800" b="1" i="0" u="none" strike="noStrike" kern="1200" baseline="0">
                    <a:solidFill>
                      <a:schemeClr val="accent1">
                        <a:lumMod val="50000"/>
                      </a:schemeClr>
                    </a:solidFill>
                    <a:latin typeface="Trebuchet MS" panose="020B0603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'2021'!$B$13:$B$22</c:f>
              <c:strCache>
                <c:ptCount val="10"/>
                <c:pt idx="0">
                  <c:v>A</c:v>
                </c:pt>
                <c:pt idx="1">
                  <c:v>Β-Ε</c:v>
                </c:pt>
                <c:pt idx="2">
                  <c:v>F</c:v>
                </c:pt>
                <c:pt idx="3">
                  <c:v>G-I</c:v>
                </c:pt>
                <c:pt idx="4">
                  <c:v>J</c:v>
                </c:pt>
                <c:pt idx="5">
                  <c:v>K</c:v>
                </c:pt>
                <c:pt idx="6">
                  <c:v>L</c:v>
                </c:pt>
                <c:pt idx="7">
                  <c:v>M-N</c:v>
                </c:pt>
                <c:pt idx="8">
                  <c:v>O-Q</c:v>
                </c:pt>
                <c:pt idx="9">
                  <c:v>R-U</c:v>
                </c:pt>
              </c:strCache>
              <c:extLst/>
            </c:strRef>
          </c:cat>
          <c:val>
            <c:numRef>
              <c:f>'2021'!$H$13:$H$22</c:f>
              <c:numCache>
                <c:formatCode>#,##0.0</c:formatCode>
                <c:ptCount val="10"/>
                <c:pt idx="0">
                  <c:v>-0.30836646920393007</c:v>
                </c:pt>
                <c:pt idx="1">
                  <c:v>-3.9107991091925722</c:v>
                </c:pt>
                <c:pt idx="2">
                  <c:v>10.414986435955711</c:v>
                </c:pt>
                <c:pt idx="3">
                  <c:v>-22.792818399298895</c:v>
                </c:pt>
                <c:pt idx="4">
                  <c:v>8.3490323685574283E-2</c:v>
                </c:pt>
                <c:pt idx="5">
                  <c:v>-7.6310654040011077</c:v>
                </c:pt>
                <c:pt idx="6">
                  <c:v>-0.62157757030725536</c:v>
                </c:pt>
                <c:pt idx="7">
                  <c:v>-10.720877961802625</c:v>
                </c:pt>
                <c:pt idx="8">
                  <c:v>2.4678417985228642</c:v>
                </c:pt>
                <c:pt idx="9">
                  <c:v>-25.353643359217511</c:v>
                </c:pt>
              </c:numCache>
              <c:extLst/>
            </c:numRef>
          </c:val>
          <c:smooth val="0"/>
          <c:extLst>
            <c:ext xmlns:c16="http://schemas.microsoft.com/office/drawing/2014/chart" uri="{C3380CC4-5D6E-409C-BE32-E72D297353CC}">
              <c16:uniqueId val="{00000006-9DF1-495E-9344-E9390459B031}"/>
            </c:ext>
          </c:extLst>
        </c:ser>
        <c:ser>
          <c:idx val="2"/>
          <c:order val="2"/>
          <c:tx>
            <c:strRef>
              <c:f>'2021'!$O$11</c:f>
              <c:strCache>
                <c:ptCount val="1"/>
                <c:pt idx="0">
                  <c:v>EΕ 27: Μεταβολή (%) 2019 - 2020</c:v>
                </c:pt>
              </c:strCache>
            </c:strRef>
          </c:tx>
          <c:spPr>
            <a:ln w="28575" cap="rnd">
              <a:noFill/>
              <a:round/>
            </a:ln>
            <a:effectLst/>
          </c:spPr>
          <c:marker>
            <c:symbol val="circle"/>
            <c:size val="5"/>
            <c:spPr>
              <a:solidFill>
                <a:schemeClr val="accent6">
                  <a:lumMod val="50000"/>
                </a:schemeClr>
              </a:solidFill>
              <a:ln w="31750">
                <a:solidFill>
                  <a:schemeClr val="accent6">
                    <a:lumMod val="75000"/>
                  </a:schemeClr>
                </a:solidFill>
              </a:ln>
              <a:effectLst/>
            </c:spPr>
          </c:marker>
          <c:dLbls>
            <c:dLbl>
              <c:idx val="0"/>
              <c:layout>
                <c:manualLayout>
                  <c:x val="0"/>
                  <c:y val="3.75939849624060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DF1-495E-9344-E9390459B031}"/>
                </c:ext>
              </c:extLst>
            </c:dLbl>
            <c:dLbl>
              <c:idx val="4"/>
              <c:layout>
                <c:manualLayout>
                  <c:x val="-4.8157958102576452E-3"/>
                  <c:y val="-4.5112781954887216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4.6002794678356031E-2"/>
                      <c:h val="8.5582854774732112E-2"/>
                    </c:manualLayout>
                  </c15:layout>
                </c:ext>
                <c:ext xmlns:c16="http://schemas.microsoft.com/office/drawing/2014/chart" uri="{C3380CC4-5D6E-409C-BE32-E72D297353CC}">
                  <c16:uniqueId val="{00000008-9DF1-495E-9344-E9390459B031}"/>
                </c:ext>
              </c:extLst>
            </c:dLbl>
            <c:dLbl>
              <c:idx val="6"/>
              <c:layout>
                <c:manualLayout>
                  <c:x val="2.4078740157479398E-3"/>
                  <c:y val="4.88721804511278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DF1-495E-9344-E9390459B031}"/>
                </c:ext>
              </c:extLst>
            </c:dLbl>
            <c:dLbl>
              <c:idx val="8"/>
              <c:layout>
                <c:manualLayout>
                  <c:x val="7.4999999999999997E-3"/>
                  <c:y val="0"/>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DF1-495E-9344-E9390459B031}"/>
                </c:ext>
              </c:extLst>
            </c:dLbl>
            <c:spPr>
              <a:noFill/>
              <a:ln>
                <a:noFill/>
              </a:ln>
              <a:effectLst/>
            </c:spPr>
            <c:txPr>
              <a:bodyPr rot="0" spcFirstLastPara="1" vertOverflow="ellipsis" vert="horz" wrap="square" anchor="ctr" anchorCtr="1"/>
              <a:lstStyle/>
              <a:p>
                <a:pPr>
                  <a:defRPr sz="800" b="1" i="0" u="none" strike="noStrike" kern="1200" baseline="0">
                    <a:solidFill>
                      <a:schemeClr val="accent6">
                        <a:lumMod val="75000"/>
                      </a:schemeClr>
                    </a:solidFill>
                    <a:latin typeface="Trebuchet MS" panose="020B0603020202020204" pitchFamily="34" charset="0"/>
                    <a:ea typeface="+mn-ea"/>
                    <a:cs typeface="+mn-cs"/>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0"/>
              <c:pt idx="0">
                <c:v>A</c:v>
              </c:pt>
              <c:pt idx="1">
                <c:v>Β-Ε</c:v>
              </c:pt>
              <c:pt idx="2">
                <c:v>F</c:v>
              </c:pt>
              <c:pt idx="3">
                <c:v>G-I</c:v>
              </c:pt>
              <c:pt idx="4">
                <c:v>J</c:v>
              </c:pt>
              <c:pt idx="5">
                <c:v>K</c:v>
              </c:pt>
              <c:pt idx="6">
                <c:v>L</c:v>
              </c:pt>
              <c:pt idx="7">
                <c:v>M-N</c:v>
              </c:pt>
              <c:pt idx="8">
                <c:v>O-Q</c:v>
              </c:pt>
              <c:pt idx="9">
                <c:v>R-U</c:v>
              </c:pt>
              <c:extLst>
                <c:ext xmlns:c15="http://schemas.microsoft.com/office/drawing/2012/chart" uri="{02D57815-91ED-43cb-92C2-25804820EDAC}">
                  <c15:autoCat val="1"/>
                </c:ext>
              </c:extLst>
            </c:strLit>
          </c:cat>
          <c:val>
            <c:numRef>
              <c:f>'2021'!$O$13:$O$22</c:f>
              <c:numCache>
                <c:formatCode>#,##0.0</c:formatCode>
                <c:ptCount val="10"/>
                <c:pt idx="0">
                  <c:v>-1.594592114031701</c:v>
                </c:pt>
                <c:pt idx="1">
                  <c:v>-7.0046282043298564</c:v>
                </c:pt>
                <c:pt idx="2">
                  <c:v>-4.8143544771198812</c:v>
                </c:pt>
                <c:pt idx="3">
                  <c:v>-12.465530927149199</c:v>
                </c:pt>
                <c:pt idx="4">
                  <c:v>0.82981328843928226</c:v>
                </c:pt>
                <c:pt idx="5">
                  <c:v>-1.0866334960069053</c:v>
                </c:pt>
                <c:pt idx="6">
                  <c:v>-0.71764052364490816</c:v>
                </c:pt>
                <c:pt idx="7">
                  <c:v>-8.2243455565461687</c:v>
                </c:pt>
                <c:pt idx="8">
                  <c:v>-2.0686061913076128</c:v>
                </c:pt>
                <c:pt idx="9">
                  <c:v>-18.229081312763128</c:v>
                </c:pt>
              </c:numCache>
              <c:extLst/>
            </c:numRef>
          </c:val>
          <c:smooth val="0"/>
          <c:extLst>
            <c:ext xmlns:c16="http://schemas.microsoft.com/office/drawing/2014/chart" uri="{C3380CC4-5D6E-409C-BE32-E72D297353CC}">
              <c16:uniqueId val="{0000000B-9DF1-495E-9344-E9390459B031}"/>
            </c:ext>
          </c:extLst>
        </c:ser>
        <c:dLbls>
          <c:showLegendKey val="0"/>
          <c:showVal val="0"/>
          <c:showCatName val="0"/>
          <c:showSerName val="0"/>
          <c:showPercent val="0"/>
          <c:showBubbleSize val="0"/>
        </c:dLbls>
        <c:marker val="1"/>
        <c:smooth val="0"/>
        <c:axId val="570689888"/>
        <c:axId val="570694152"/>
      </c:lineChart>
      <c:catAx>
        <c:axId val="57828011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rebuchet MS" panose="020B0603020202020204" pitchFamily="34" charset="0"/>
                <a:ea typeface="+mn-ea"/>
                <a:cs typeface="+mn-cs"/>
              </a:defRPr>
            </a:pPr>
            <a:endParaRPr lang="en-US"/>
          </a:p>
        </c:txPr>
        <c:crossAx val="578280440"/>
        <c:crosses val="autoZero"/>
        <c:auto val="1"/>
        <c:lblAlgn val="ctr"/>
        <c:lblOffset val="100"/>
        <c:noMultiLvlLbl val="0"/>
      </c:catAx>
      <c:valAx>
        <c:axId val="5782804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rebuchet MS" panose="020B0603020202020204" pitchFamily="34" charset="0"/>
                <a:ea typeface="+mn-ea"/>
                <a:cs typeface="+mn-cs"/>
              </a:defRPr>
            </a:pPr>
            <a:endParaRPr lang="en-US"/>
          </a:p>
        </c:txPr>
        <c:crossAx val="578280112"/>
        <c:crosses val="autoZero"/>
        <c:crossBetween val="between"/>
      </c:valAx>
      <c:valAx>
        <c:axId val="570694152"/>
        <c:scaling>
          <c:orientation val="minMax"/>
        </c:scaling>
        <c:delete val="0"/>
        <c:axPos val="r"/>
        <c:numFmt formatCode="#,##0.0" sourceLinked="1"/>
        <c:majorTickMark val="out"/>
        <c:minorTickMark val="none"/>
        <c:tickLblPos val="none"/>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rebuchet MS" panose="020B0603020202020204" pitchFamily="34" charset="0"/>
                <a:ea typeface="+mn-ea"/>
                <a:cs typeface="+mn-cs"/>
              </a:defRPr>
            </a:pPr>
            <a:endParaRPr lang="en-US"/>
          </a:p>
        </c:txPr>
        <c:crossAx val="570689888"/>
        <c:crosses val="max"/>
        <c:crossBetween val="between"/>
      </c:valAx>
      <c:catAx>
        <c:axId val="570689888"/>
        <c:scaling>
          <c:orientation val="minMax"/>
        </c:scaling>
        <c:delete val="1"/>
        <c:axPos val="b"/>
        <c:numFmt formatCode="General" sourceLinked="1"/>
        <c:majorTickMark val="out"/>
        <c:minorTickMark val="none"/>
        <c:tickLblPos val="nextTo"/>
        <c:crossAx val="57069415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rebuchet MS" panose="020B0603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5B9BD5">
          <a:lumMod val="40000"/>
          <a:lumOff val="60000"/>
        </a:srgbClr>
      </a:solidFill>
      <a:round/>
    </a:ln>
    <a:effectLst/>
  </c:spPr>
  <c:txPr>
    <a:bodyPr/>
    <a:lstStyle/>
    <a:p>
      <a:pPr>
        <a:defRPr sz="800">
          <a:latin typeface="Trebuchet MS" panose="020B0603020202020204" pitchFamily="34" charset="0"/>
        </a:defRPr>
      </a:pPr>
      <a:endParaRPr lang="en-US"/>
    </a:p>
  </c:txPr>
  <c:externalData r:id="rId4">
    <c:autoUpdate val="0"/>
  </c:externalData>
  <c:userShapes r:id="rId5"/>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115923009623799"/>
          <c:y val="2.3401137357830268E-2"/>
          <c:w val="0.43545931758530187"/>
          <c:h val="0.72576552930883653"/>
        </c:manualLayout>
      </c:layout>
      <c:pieChart>
        <c:varyColors val="1"/>
        <c:ser>
          <c:idx val="0"/>
          <c:order val="0"/>
          <c:dPt>
            <c:idx val="0"/>
            <c:bubble3D val="0"/>
            <c:spPr>
              <a:solidFill>
                <a:srgbClr val="00B0F0"/>
              </a:solidFill>
              <a:ln w="19050">
                <a:solidFill>
                  <a:schemeClr val="lt1"/>
                </a:solidFill>
              </a:ln>
              <a:effectLst/>
            </c:spPr>
            <c:extLst>
              <c:ext xmlns:c16="http://schemas.microsoft.com/office/drawing/2014/chart" uri="{C3380CC4-5D6E-409C-BE32-E72D297353CC}">
                <c16:uniqueId val="{00000001-6555-42F4-9C6C-D846A075C0A2}"/>
              </c:ext>
            </c:extLst>
          </c:dPt>
          <c:dPt>
            <c:idx val="1"/>
            <c:bubble3D val="0"/>
            <c:spPr>
              <a:solidFill>
                <a:srgbClr val="92D050"/>
              </a:solidFill>
              <a:ln w="19050">
                <a:solidFill>
                  <a:schemeClr val="lt1"/>
                </a:solidFill>
              </a:ln>
              <a:effectLst/>
            </c:spPr>
            <c:extLst>
              <c:ext xmlns:c16="http://schemas.microsoft.com/office/drawing/2014/chart" uri="{C3380CC4-5D6E-409C-BE32-E72D297353CC}">
                <c16:uniqueId val="{00000003-6555-42F4-9C6C-D846A075C0A2}"/>
              </c:ext>
            </c:extLst>
          </c:dPt>
          <c:dPt>
            <c:idx val="2"/>
            <c:bubble3D val="0"/>
            <c:spPr>
              <a:solidFill>
                <a:schemeClr val="tx1">
                  <a:lumMod val="50000"/>
                  <a:lumOff val="50000"/>
                </a:schemeClr>
              </a:solidFill>
              <a:ln w="19050">
                <a:solidFill>
                  <a:schemeClr val="lt1"/>
                </a:solidFill>
              </a:ln>
              <a:effectLst/>
            </c:spPr>
            <c:extLst>
              <c:ext xmlns:c16="http://schemas.microsoft.com/office/drawing/2014/chart" uri="{C3380CC4-5D6E-409C-BE32-E72D297353CC}">
                <c16:uniqueId val="{00000005-6555-42F4-9C6C-D846A075C0A2}"/>
              </c:ext>
            </c:extLst>
          </c:dPt>
          <c:dPt>
            <c:idx val="3"/>
            <c:bubble3D val="0"/>
            <c:spPr>
              <a:solidFill>
                <a:srgbClr val="002060"/>
              </a:solidFill>
              <a:ln w="19050">
                <a:solidFill>
                  <a:schemeClr val="lt1"/>
                </a:solidFill>
              </a:ln>
              <a:effectLst/>
            </c:spPr>
            <c:extLst>
              <c:ext xmlns:c16="http://schemas.microsoft.com/office/drawing/2014/chart" uri="{C3380CC4-5D6E-409C-BE32-E72D297353CC}">
                <c16:uniqueId val="{00000007-6555-42F4-9C6C-D846A075C0A2}"/>
              </c:ext>
            </c:extLst>
          </c:dPt>
          <c:dPt>
            <c:idx val="4"/>
            <c:bubble3D val="0"/>
            <c:spPr>
              <a:solidFill>
                <a:schemeClr val="bg1">
                  <a:lumMod val="85000"/>
                </a:schemeClr>
              </a:solidFill>
              <a:ln w="19050">
                <a:solidFill>
                  <a:schemeClr val="lt1"/>
                </a:solidFill>
              </a:ln>
              <a:effectLst/>
            </c:spPr>
            <c:extLst>
              <c:ext xmlns:c16="http://schemas.microsoft.com/office/drawing/2014/chart" uri="{C3380CC4-5D6E-409C-BE32-E72D297353CC}">
                <c16:uniqueId val="{00000009-6555-42F4-9C6C-D846A075C0A2}"/>
              </c:ext>
            </c:extLst>
          </c:dPt>
          <c:dLbls>
            <c:dLbl>
              <c:idx val="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7-6555-42F4-9C6C-D846A075C0A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Φύλλο1!$A$33:$A$37</c:f>
              <c:strCache>
                <c:ptCount val="5"/>
                <c:pt idx="0">
                  <c:v>Δαπάνες προς νοικοκυριά</c:v>
                </c:pt>
                <c:pt idx="1">
                  <c:v>Δαπάνες προς επιχειρήσεις</c:v>
                </c:pt>
                <c:pt idx="2">
                  <c:v>Δαπάνες ενίσχυσης ρευστότητας</c:v>
                </c:pt>
                <c:pt idx="3">
                  <c:v>Δαπάνες προς σύστημα υγείας</c:v>
                </c:pt>
                <c:pt idx="4">
                  <c:v>Λοιπές δαπάνες</c:v>
                </c:pt>
              </c:strCache>
            </c:strRef>
          </c:cat>
          <c:val>
            <c:numRef>
              <c:f>Φύλλο1!$B$33:$B$37</c:f>
              <c:numCache>
                <c:formatCode>#,##0</c:formatCode>
                <c:ptCount val="5"/>
                <c:pt idx="0">
                  <c:v>2853</c:v>
                </c:pt>
                <c:pt idx="1">
                  <c:v>5726</c:v>
                </c:pt>
                <c:pt idx="2">
                  <c:v>2548</c:v>
                </c:pt>
                <c:pt idx="3">
                  <c:v>843</c:v>
                </c:pt>
                <c:pt idx="4">
                  <c:v>1083</c:v>
                </c:pt>
              </c:numCache>
            </c:numRef>
          </c:val>
          <c:extLst>
            <c:ext xmlns:c16="http://schemas.microsoft.com/office/drawing/2014/chart" uri="{C3380CC4-5D6E-409C-BE32-E72D297353CC}">
              <c16:uniqueId val="{0000000A-6555-42F4-9C6C-D846A075C0A2}"/>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2.5967847769028874E-2"/>
          <c:y val="0.80497521143190431"/>
          <c:w val="0.94806430446194223"/>
          <c:h val="0.1811358996792067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0077283100302631E-2"/>
          <c:y val="9.1578089060351212E-2"/>
          <c:w val="0.92913016241363755"/>
          <c:h val="0.60168717603766875"/>
        </c:manualLayout>
      </c:layout>
      <c:areaChart>
        <c:grouping val="stacked"/>
        <c:varyColors val="0"/>
        <c:ser>
          <c:idx val="0"/>
          <c:order val="0"/>
          <c:tx>
            <c:strRef>
              <c:f>'Ληξιπρόθεσμες Οφειλές'!$A$4</c:f>
              <c:strCache>
                <c:ptCount val="1"/>
                <c:pt idx="0">
                  <c:v>ΚΠ</c:v>
                </c:pt>
              </c:strCache>
            </c:strRef>
          </c:tx>
          <c:spPr>
            <a:solidFill>
              <a:schemeClr val="bg1">
                <a:lumMod val="65000"/>
              </a:schemeClr>
            </a:solidFill>
          </c:spPr>
          <c:cat>
            <c:strRef>
              <c:f>'Ληξιπρόθεσμες Οφειλές'!$P$3:$Y$3</c:f>
              <c:strCache>
                <c:ptCount val="10"/>
                <c:pt idx="0">
                  <c:v>2012</c:v>
                </c:pt>
                <c:pt idx="1">
                  <c:v>2013</c:v>
                </c:pt>
                <c:pt idx="2">
                  <c:v>2014</c:v>
                </c:pt>
                <c:pt idx="3">
                  <c:v>2015</c:v>
                </c:pt>
                <c:pt idx="4">
                  <c:v>2016</c:v>
                </c:pt>
                <c:pt idx="5">
                  <c:v>2017</c:v>
                </c:pt>
                <c:pt idx="6">
                  <c:v>2018</c:v>
                </c:pt>
                <c:pt idx="7">
                  <c:v>2019</c:v>
                </c:pt>
                <c:pt idx="8">
                  <c:v>2020</c:v>
                </c:pt>
                <c:pt idx="9">
                  <c:v>Μάρτιος 2021</c:v>
                </c:pt>
              </c:strCache>
            </c:strRef>
          </c:cat>
          <c:val>
            <c:numRef>
              <c:f>'Ληξιπρόθεσμες Οφειλές'!$B$4:$K$4</c:f>
              <c:numCache>
                <c:formatCode>General</c:formatCode>
                <c:ptCount val="10"/>
                <c:pt idx="0">
                  <c:v>793</c:v>
                </c:pt>
                <c:pt idx="1">
                  <c:v>221</c:v>
                </c:pt>
                <c:pt idx="2">
                  <c:v>157</c:v>
                </c:pt>
                <c:pt idx="3">
                  <c:v>451</c:v>
                </c:pt>
                <c:pt idx="4">
                  <c:v>163</c:v>
                </c:pt>
                <c:pt idx="5">
                  <c:v>147</c:v>
                </c:pt>
                <c:pt idx="6">
                  <c:v>49</c:v>
                </c:pt>
                <c:pt idx="7">
                  <c:v>55</c:v>
                </c:pt>
                <c:pt idx="8">
                  <c:v>30</c:v>
                </c:pt>
                <c:pt idx="9">
                  <c:v>69</c:v>
                </c:pt>
              </c:numCache>
            </c:numRef>
          </c:val>
          <c:extLst>
            <c:ext xmlns:c16="http://schemas.microsoft.com/office/drawing/2014/chart" uri="{C3380CC4-5D6E-409C-BE32-E72D297353CC}">
              <c16:uniqueId val="{00000000-06B9-4CF5-B05A-3E68A938B901}"/>
            </c:ext>
          </c:extLst>
        </c:ser>
        <c:ser>
          <c:idx val="1"/>
          <c:order val="1"/>
          <c:tx>
            <c:strRef>
              <c:f>'Ληξιπρόθεσμες Οφειλές'!$A$5</c:f>
              <c:strCache>
                <c:ptCount val="1"/>
                <c:pt idx="0">
                  <c:v>ΝΠ</c:v>
                </c:pt>
              </c:strCache>
            </c:strRef>
          </c:tx>
          <c:spPr>
            <a:solidFill>
              <a:srgbClr val="84BD00"/>
            </a:solidFill>
          </c:spPr>
          <c:cat>
            <c:strRef>
              <c:f>'Ληξιπρόθεσμες Οφειλές'!$P$3:$Y$3</c:f>
              <c:strCache>
                <c:ptCount val="10"/>
                <c:pt idx="0">
                  <c:v>2012</c:v>
                </c:pt>
                <c:pt idx="1">
                  <c:v>2013</c:v>
                </c:pt>
                <c:pt idx="2">
                  <c:v>2014</c:v>
                </c:pt>
                <c:pt idx="3">
                  <c:v>2015</c:v>
                </c:pt>
                <c:pt idx="4">
                  <c:v>2016</c:v>
                </c:pt>
                <c:pt idx="5">
                  <c:v>2017</c:v>
                </c:pt>
                <c:pt idx="6">
                  <c:v>2018</c:v>
                </c:pt>
                <c:pt idx="7">
                  <c:v>2019</c:v>
                </c:pt>
                <c:pt idx="8">
                  <c:v>2020</c:v>
                </c:pt>
                <c:pt idx="9">
                  <c:v>Μάρτιος 2021</c:v>
                </c:pt>
              </c:strCache>
            </c:strRef>
          </c:cat>
          <c:val>
            <c:numRef>
              <c:f>'Ληξιπρόθεσμες Οφειλές'!$B$5:$K$5</c:f>
              <c:numCache>
                <c:formatCode>General</c:formatCode>
                <c:ptCount val="10"/>
                <c:pt idx="0">
                  <c:v>350</c:v>
                </c:pt>
                <c:pt idx="1">
                  <c:v>262</c:v>
                </c:pt>
                <c:pt idx="2">
                  <c:v>197</c:v>
                </c:pt>
                <c:pt idx="3">
                  <c:v>257</c:v>
                </c:pt>
                <c:pt idx="4">
                  <c:v>419</c:v>
                </c:pt>
                <c:pt idx="5">
                  <c:v>340</c:v>
                </c:pt>
                <c:pt idx="6">
                  <c:v>300</c:v>
                </c:pt>
                <c:pt idx="7">
                  <c:v>243</c:v>
                </c:pt>
                <c:pt idx="8">
                  <c:v>195</c:v>
                </c:pt>
                <c:pt idx="9">
                  <c:v>242</c:v>
                </c:pt>
              </c:numCache>
            </c:numRef>
          </c:val>
          <c:extLst>
            <c:ext xmlns:c16="http://schemas.microsoft.com/office/drawing/2014/chart" uri="{C3380CC4-5D6E-409C-BE32-E72D297353CC}">
              <c16:uniqueId val="{00000001-06B9-4CF5-B05A-3E68A938B901}"/>
            </c:ext>
          </c:extLst>
        </c:ser>
        <c:ser>
          <c:idx val="2"/>
          <c:order val="2"/>
          <c:tx>
            <c:strRef>
              <c:f>'Ληξιπρόθεσμες Οφειλές'!$A$6</c:f>
              <c:strCache>
                <c:ptCount val="1"/>
                <c:pt idx="0">
                  <c:v>ΟΤΑ</c:v>
                </c:pt>
              </c:strCache>
            </c:strRef>
          </c:tx>
          <c:spPr>
            <a:solidFill>
              <a:srgbClr val="676A6E"/>
            </a:solidFill>
          </c:spPr>
          <c:cat>
            <c:strRef>
              <c:f>'Ληξιπρόθεσμες Οφειλές'!$P$3:$Y$3</c:f>
              <c:strCache>
                <c:ptCount val="10"/>
                <c:pt idx="0">
                  <c:v>2012</c:v>
                </c:pt>
                <c:pt idx="1">
                  <c:v>2013</c:v>
                </c:pt>
                <c:pt idx="2">
                  <c:v>2014</c:v>
                </c:pt>
                <c:pt idx="3">
                  <c:v>2015</c:v>
                </c:pt>
                <c:pt idx="4">
                  <c:v>2016</c:v>
                </c:pt>
                <c:pt idx="5">
                  <c:v>2017</c:v>
                </c:pt>
                <c:pt idx="6">
                  <c:v>2018</c:v>
                </c:pt>
                <c:pt idx="7">
                  <c:v>2019</c:v>
                </c:pt>
                <c:pt idx="8">
                  <c:v>2020</c:v>
                </c:pt>
                <c:pt idx="9">
                  <c:v>Μάρτιος 2021</c:v>
                </c:pt>
              </c:strCache>
            </c:strRef>
          </c:cat>
          <c:val>
            <c:numRef>
              <c:f>'Ληξιπρόθεσμες Οφειλές'!$B$6:$K$6</c:f>
              <c:numCache>
                <c:formatCode>General</c:formatCode>
                <c:ptCount val="10"/>
                <c:pt idx="0" formatCode="#,##0">
                  <c:v>1176</c:v>
                </c:pt>
                <c:pt idx="1">
                  <c:v>428</c:v>
                </c:pt>
                <c:pt idx="2">
                  <c:v>280</c:v>
                </c:pt>
                <c:pt idx="3">
                  <c:v>312</c:v>
                </c:pt>
                <c:pt idx="4">
                  <c:v>327</c:v>
                </c:pt>
                <c:pt idx="5">
                  <c:v>240</c:v>
                </c:pt>
                <c:pt idx="6">
                  <c:v>187</c:v>
                </c:pt>
                <c:pt idx="7">
                  <c:v>176</c:v>
                </c:pt>
                <c:pt idx="8">
                  <c:v>120</c:v>
                </c:pt>
                <c:pt idx="9">
                  <c:v>190</c:v>
                </c:pt>
              </c:numCache>
            </c:numRef>
          </c:val>
          <c:extLst>
            <c:ext xmlns:c16="http://schemas.microsoft.com/office/drawing/2014/chart" uri="{C3380CC4-5D6E-409C-BE32-E72D297353CC}">
              <c16:uniqueId val="{00000002-06B9-4CF5-B05A-3E68A938B901}"/>
            </c:ext>
          </c:extLst>
        </c:ser>
        <c:ser>
          <c:idx val="3"/>
          <c:order val="3"/>
          <c:tx>
            <c:strRef>
              <c:f>'Ληξιπρόθεσμες Οφειλές'!$O$7</c:f>
              <c:strCache>
                <c:ptCount val="1"/>
                <c:pt idx="0">
                  <c:v>ΟΚΑ</c:v>
                </c:pt>
              </c:strCache>
            </c:strRef>
          </c:tx>
          <c:spPr>
            <a:solidFill>
              <a:srgbClr val="00A3E0"/>
            </a:solidFill>
          </c:spPr>
          <c:cat>
            <c:strRef>
              <c:f>'Ληξιπρόθεσμες Οφειλές'!$P$3:$Y$3</c:f>
              <c:strCache>
                <c:ptCount val="10"/>
                <c:pt idx="0">
                  <c:v>2012</c:v>
                </c:pt>
                <c:pt idx="1">
                  <c:v>2013</c:v>
                </c:pt>
                <c:pt idx="2">
                  <c:v>2014</c:v>
                </c:pt>
                <c:pt idx="3">
                  <c:v>2015</c:v>
                </c:pt>
                <c:pt idx="4">
                  <c:v>2016</c:v>
                </c:pt>
                <c:pt idx="5">
                  <c:v>2017</c:v>
                </c:pt>
                <c:pt idx="6">
                  <c:v>2018</c:v>
                </c:pt>
                <c:pt idx="7">
                  <c:v>2019</c:v>
                </c:pt>
                <c:pt idx="8">
                  <c:v>2020</c:v>
                </c:pt>
                <c:pt idx="9">
                  <c:v>Μάρτιος 2021</c:v>
                </c:pt>
              </c:strCache>
            </c:strRef>
          </c:cat>
          <c:val>
            <c:numRef>
              <c:f>'Ληξιπρόθεσμες Οφειλές'!$B$7:$K$7</c:f>
              <c:numCache>
                <c:formatCode>#,##0</c:formatCode>
                <c:ptCount val="10"/>
                <c:pt idx="0">
                  <c:v>4759</c:v>
                </c:pt>
                <c:pt idx="1">
                  <c:v>2653</c:v>
                </c:pt>
                <c:pt idx="2">
                  <c:v>1835</c:v>
                </c:pt>
                <c:pt idx="3">
                  <c:v>2745</c:v>
                </c:pt>
                <c:pt idx="4">
                  <c:v>2346</c:v>
                </c:pt>
                <c:pt idx="5">
                  <c:v>1531</c:v>
                </c:pt>
                <c:pt idx="6">
                  <c:v>668</c:v>
                </c:pt>
                <c:pt idx="7">
                  <c:v>506</c:v>
                </c:pt>
                <c:pt idx="8">
                  <c:v>356</c:v>
                </c:pt>
                <c:pt idx="9">
                  <c:v>526</c:v>
                </c:pt>
              </c:numCache>
            </c:numRef>
          </c:val>
          <c:extLst>
            <c:ext xmlns:c16="http://schemas.microsoft.com/office/drawing/2014/chart" uri="{C3380CC4-5D6E-409C-BE32-E72D297353CC}">
              <c16:uniqueId val="{00000003-06B9-4CF5-B05A-3E68A938B901}"/>
            </c:ext>
          </c:extLst>
        </c:ser>
        <c:ser>
          <c:idx val="4"/>
          <c:order val="4"/>
          <c:tx>
            <c:strRef>
              <c:f>'Ληξιπρόθεσμες Οφειλές'!$O$8</c:f>
              <c:strCache>
                <c:ptCount val="1"/>
                <c:pt idx="0">
                  <c:v>Νοσοκομεία</c:v>
                </c:pt>
              </c:strCache>
            </c:strRef>
          </c:tx>
          <c:spPr>
            <a:solidFill>
              <a:srgbClr val="DADADA"/>
            </a:solidFill>
          </c:spPr>
          <c:cat>
            <c:strRef>
              <c:f>'Ληξιπρόθεσμες Οφειλές'!$P$3:$Y$3</c:f>
              <c:strCache>
                <c:ptCount val="10"/>
                <c:pt idx="0">
                  <c:v>2012</c:v>
                </c:pt>
                <c:pt idx="1">
                  <c:v>2013</c:v>
                </c:pt>
                <c:pt idx="2">
                  <c:v>2014</c:v>
                </c:pt>
                <c:pt idx="3">
                  <c:v>2015</c:v>
                </c:pt>
                <c:pt idx="4">
                  <c:v>2016</c:v>
                </c:pt>
                <c:pt idx="5">
                  <c:v>2017</c:v>
                </c:pt>
                <c:pt idx="6">
                  <c:v>2018</c:v>
                </c:pt>
                <c:pt idx="7">
                  <c:v>2019</c:v>
                </c:pt>
                <c:pt idx="8">
                  <c:v>2020</c:v>
                </c:pt>
                <c:pt idx="9">
                  <c:v>Μάρτιος 2021</c:v>
                </c:pt>
              </c:strCache>
            </c:strRef>
          </c:cat>
          <c:val>
            <c:numRef>
              <c:f>'Ληξιπρόθεσμες Οφειλές'!$B$8:$K$8</c:f>
              <c:numCache>
                <c:formatCode>General</c:formatCode>
                <c:ptCount val="10"/>
                <c:pt idx="0" formatCode="#,##0">
                  <c:v>1765</c:v>
                </c:pt>
                <c:pt idx="1">
                  <c:v>687</c:v>
                </c:pt>
                <c:pt idx="2">
                  <c:v>607</c:v>
                </c:pt>
                <c:pt idx="3">
                  <c:v>931</c:v>
                </c:pt>
                <c:pt idx="4">
                  <c:v>450</c:v>
                </c:pt>
                <c:pt idx="5">
                  <c:v>299</c:v>
                </c:pt>
                <c:pt idx="6">
                  <c:v>294</c:v>
                </c:pt>
                <c:pt idx="7">
                  <c:v>344</c:v>
                </c:pt>
                <c:pt idx="8">
                  <c:v>502</c:v>
                </c:pt>
                <c:pt idx="9">
                  <c:v>893</c:v>
                </c:pt>
              </c:numCache>
            </c:numRef>
          </c:val>
          <c:extLst>
            <c:ext xmlns:c16="http://schemas.microsoft.com/office/drawing/2014/chart" uri="{C3380CC4-5D6E-409C-BE32-E72D297353CC}">
              <c16:uniqueId val="{00000004-06B9-4CF5-B05A-3E68A938B901}"/>
            </c:ext>
          </c:extLst>
        </c:ser>
        <c:dLbls>
          <c:showLegendKey val="0"/>
          <c:showVal val="0"/>
          <c:showCatName val="0"/>
          <c:showSerName val="0"/>
          <c:showPercent val="0"/>
          <c:showBubbleSize val="0"/>
        </c:dLbls>
        <c:axId val="161899648"/>
        <c:axId val="161901184"/>
      </c:areaChart>
      <c:lineChart>
        <c:grouping val="standard"/>
        <c:varyColors val="0"/>
        <c:ser>
          <c:idx val="7"/>
          <c:order val="5"/>
          <c:tx>
            <c:strRef>
              <c:f>'Ληξιπρόθεσμες Οφειλές'!$A$10</c:f>
              <c:strCache>
                <c:ptCount val="1"/>
                <c:pt idx="0">
                  <c:v>Συν. Ληξ. Υπ. ΓΚ</c:v>
                </c:pt>
              </c:strCache>
            </c:strRef>
          </c:tx>
          <c:spPr>
            <a:ln w="28575">
              <a:solidFill>
                <a:srgbClr val="0033A0"/>
              </a:solidFill>
              <a:prstDash val="dash"/>
            </a:ln>
          </c:spPr>
          <c:marker>
            <c:symbol val="none"/>
          </c:marker>
          <c:dLbls>
            <c:spPr>
              <a:noFill/>
              <a:ln>
                <a:noFill/>
              </a:ln>
              <a:effectLst/>
            </c:spPr>
            <c:txPr>
              <a:bodyPr wrap="square" lIns="38100" tIns="19050" rIns="38100" bIns="19050" anchor="ctr">
                <a:spAutoFit/>
              </a:bodyPr>
              <a:lstStyle/>
              <a:p>
                <a:pPr>
                  <a:defRPr sz="800" b="1">
                    <a:solidFill>
                      <a:schemeClr val="accent5">
                        <a:lumMod val="50000"/>
                      </a:schemeClr>
                    </a:solidFill>
                    <a:latin typeface="Trebuchet MS" panose="020B060302020202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'Ληξιπρόθεσμες Οφειλές'!$B$3:$G$3</c:f>
              <c:strCache>
                <c:ptCount val="6"/>
                <c:pt idx="0">
                  <c:v>Δεκέμβριος 2012</c:v>
                </c:pt>
                <c:pt idx="1">
                  <c:v>Δεκέμβριος 2013</c:v>
                </c:pt>
                <c:pt idx="2">
                  <c:v>Δεκέμβριος 2014</c:v>
                </c:pt>
                <c:pt idx="3">
                  <c:v>Δεκέμβριος 2015</c:v>
                </c:pt>
                <c:pt idx="4">
                  <c:v>Δεκέμβριος 2016</c:v>
                </c:pt>
                <c:pt idx="5">
                  <c:v>Δεκέμβριος 2017</c:v>
                </c:pt>
              </c:strCache>
            </c:strRef>
          </c:cat>
          <c:val>
            <c:numRef>
              <c:f>'Ληξιπρόθεσμες Οφειλές'!$B$10:$K$10</c:f>
              <c:numCache>
                <c:formatCode>#,##0</c:formatCode>
                <c:ptCount val="10"/>
                <c:pt idx="0">
                  <c:v>8843</c:v>
                </c:pt>
                <c:pt idx="1">
                  <c:v>4251</c:v>
                </c:pt>
                <c:pt idx="2">
                  <c:v>3076</c:v>
                </c:pt>
                <c:pt idx="3">
                  <c:v>4696</c:v>
                </c:pt>
                <c:pt idx="4">
                  <c:v>3705</c:v>
                </c:pt>
                <c:pt idx="5">
                  <c:v>2557</c:v>
                </c:pt>
                <c:pt idx="6">
                  <c:v>1498</c:v>
                </c:pt>
                <c:pt idx="7">
                  <c:v>1324</c:v>
                </c:pt>
                <c:pt idx="8">
                  <c:v>1203</c:v>
                </c:pt>
                <c:pt idx="9">
                  <c:v>1920</c:v>
                </c:pt>
              </c:numCache>
            </c:numRef>
          </c:val>
          <c:smooth val="0"/>
          <c:extLst>
            <c:ext xmlns:c16="http://schemas.microsoft.com/office/drawing/2014/chart" uri="{C3380CC4-5D6E-409C-BE32-E72D297353CC}">
              <c16:uniqueId val="{00000005-06B9-4CF5-B05A-3E68A938B901}"/>
            </c:ext>
          </c:extLst>
        </c:ser>
        <c:ser>
          <c:idx val="5"/>
          <c:order val="6"/>
          <c:tx>
            <c:strRef>
              <c:f>'Ληξιπρόθεσμες Οφειλές'!$A$11</c:f>
              <c:strCache>
                <c:ptCount val="1"/>
                <c:pt idx="0">
                  <c:v>Συν. Ληξ. Υπ.  ΓΚ συμπ.  και των  Επιστ. Φόρων</c:v>
                </c:pt>
              </c:strCache>
            </c:strRef>
          </c:tx>
          <c:spPr>
            <a:ln w="28575">
              <a:solidFill>
                <a:srgbClr val="C00000"/>
              </a:solidFill>
              <a:prstDash val="lgDash"/>
            </a:ln>
          </c:spPr>
          <c:marker>
            <c:symbol val="none"/>
          </c:marker>
          <c:dLbls>
            <c:spPr>
              <a:noFill/>
              <a:ln>
                <a:noFill/>
              </a:ln>
              <a:effectLst/>
            </c:spPr>
            <c:txPr>
              <a:bodyPr wrap="square" lIns="38100" tIns="19050" rIns="38100" bIns="19050" anchor="ctr">
                <a:spAutoFit/>
              </a:bodyPr>
              <a:lstStyle/>
              <a:p>
                <a:pPr>
                  <a:defRPr sz="800" b="1">
                    <a:solidFill>
                      <a:srgbClr val="C00000"/>
                    </a:solidFill>
                    <a:latin typeface="Trebuchet MS" panose="020B0603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'Ληξιπρόθεσμες Οφειλές'!$B$3:$G$3</c:f>
              <c:strCache>
                <c:ptCount val="6"/>
                <c:pt idx="0">
                  <c:v>Δεκέμβριος 2012</c:v>
                </c:pt>
                <c:pt idx="1">
                  <c:v>Δεκέμβριος 2013</c:v>
                </c:pt>
                <c:pt idx="2">
                  <c:v>Δεκέμβριος 2014</c:v>
                </c:pt>
                <c:pt idx="3">
                  <c:v>Δεκέμβριος 2015</c:v>
                </c:pt>
                <c:pt idx="4">
                  <c:v>Δεκέμβριος 2016</c:v>
                </c:pt>
                <c:pt idx="5">
                  <c:v>Δεκέμβριος 2017</c:v>
                </c:pt>
              </c:strCache>
            </c:strRef>
          </c:cat>
          <c:val>
            <c:numRef>
              <c:f>'Ληξιπρόθεσμες Οφειλές'!$B$11:$K$11</c:f>
              <c:numCache>
                <c:formatCode>General</c:formatCode>
                <c:ptCount val="10"/>
                <c:pt idx="3" formatCode="#,##0">
                  <c:v>5979</c:v>
                </c:pt>
                <c:pt idx="4" formatCode="#,##0">
                  <c:v>4931</c:v>
                </c:pt>
                <c:pt idx="5" formatCode="#,##0">
                  <c:v>3322</c:v>
                </c:pt>
                <c:pt idx="6" formatCode="#,##0">
                  <c:v>2004</c:v>
                </c:pt>
                <c:pt idx="7" formatCode="#,##0">
                  <c:v>1991</c:v>
                </c:pt>
                <c:pt idx="8" formatCode="#,##0">
                  <c:v>1839</c:v>
                </c:pt>
                <c:pt idx="9" formatCode="#,##0">
                  <c:v>2562</c:v>
                </c:pt>
              </c:numCache>
            </c:numRef>
          </c:val>
          <c:smooth val="0"/>
          <c:extLst>
            <c:ext xmlns:c16="http://schemas.microsoft.com/office/drawing/2014/chart" uri="{C3380CC4-5D6E-409C-BE32-E72D297353CC}">
              <c16:uniqueId val="{00000006-06B9-4CF5-B05A-3E68A938B901}"/>
            </c:ext>
          </c:extLst>
        </c:ser>
        <c:dLbls>
          <c:showLegendKey val="0"/>
          <c:showVal val="0"/>
          <c:showCatName val="0"/>
          <c:showSerName val="0"/>
          <c:showPercent val="0"/>
          <c:showBubbleSize val="0"/>
        </c:dLbls>
        <c:marker val="1"/>
        <c:smooth val="0"/>
        <c:axId val="161899648"/>
        <c:axId val="161901184"/>
      </c:lineChart>
      <c:catAx>
        <c:axId val="161899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rebuchet MS" panose="020B0603020202020204" pitchFamily="34" charset="0"/>
                <a:ea typeface="+mn-ea"/>
                <a:cs typeface="+mn-cs"/>
              </a:defRPr>
            </a:pPr>
            <a:endParaRPr lang="en-US"/>
          </a:p>
        </c:txPr>
        <c:crossAx val="161901184"/>
        <c:crosses val="autoZero"/>
        <c:auto val="1"/>
        <c:lblAlgn val="ctr"/>
        <c:lblOffset val="100"/>
        <c:noMultiLvlLbl val="0"/>
      </c:catAx>
      <c:valAx>
        <c:axId val="1619011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rebuchet MS" panose="020B0603020202020204" pitchFamily="34" charset="0"/>
                <a:ea typeface="+mn-ea"/>
                <a:cs typeface="+mn-cs"/>
              </a:defRPr>
            </a:pPr>
            <a:endParaRPr lang="en-US"/>
          </a:p>
        </c:txPr>
        <c:crossAx val="161899648"/>
        <c:crosses val="autoZero"/>
        <c:crossBetween val="between"/>
      </c:valAx>
      <c:spPr>
        <a:noFill/>
        <a:ln>
          <a:noFill/>
          <a:prstDash val="lgDashDot"/>
        </a:ln>
        <a:effectLst/>
      </c:spPr>
    </c:plotArea>
    <c:legend>
      <c:legendPos val="b"/>
      <c:legendEntry>
        <c:idx val="0"/>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Entry>
      <c:legendEntry>
        <c:idx val="1"/>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Entry>
      <c:legendEntry>
        <c:idx val="2"/>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Entry>
      <c:legendEntry>
        <c:idx val="3"/>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Entry>
      <c:legendEntry>
        <c:idx val="4"/>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Entry>
      <c:legendEntry>
        <c:idx val="5"/>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Entry>
      <c:layout>
        <c:manualLayout>
          <c:xMode val="edge"/>
          <c:yMode val="edge"/>
          <c:x val="3.4378860070404123E-3"/>
          <c:y val="0.77597024492541444"/>
          <c:w val="0.96977794442361387"/>
          <c:h val="0.21589535615872607"/>
        </c:manualLayout>
      </c:layout>
      <c:overlay val="0"/>
      <c:spPr>
        <a:noFill/>
        <a:ln>
          <a:solidFill>
            <a:srgbClr val="C0C0C0"/>
          </a:solid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6222605357174604E-2"/>
          <c:y val="7.3146073817473248E-2"/>
          <c:w val="0.89362868103025561"/>
          <c:h val="0.64543391335342326"/>
        </c:manualLayout>
      </c:layout>
      <c:areaChart>
        <c:grouping val="stacked"/>
        <c:varyColors val="0"/>
        <c:ser>
          <c:idx val="0"/>
          <c:order val="0"/>
          <c:tx>
            <c:strRef>
              <c:f>'Ληξιπρόθεσμες Απαιτήσεις'!$O$3</c:f>
              <c:strCache>
                <c:ptCount val="1"/>
                <c:pt idx="0">
                  <c:v>Συνολικό Παλιό Ληξιπρόθεσμο κεφάλαιο</c:v>
                </c:pt>
              </c:strCache>
            </c:strRef>
          </c:tx>
          <c:spPr>
            <a:solidFill>
              <a:srgbClr val="C0C0C0"/>
            </a:solidFill>
            <a:ln>
              <a:noFill/>
            </a:ln>
            <a:effectLst>
              <a:outerShdw blurRad="57150" dist="19050" dir="5400000" algn="ctr" rotWithShape="0">
                <a:srgbClr val="000000">
                  <a:alpha val="63000"/>
                </a:srgbClr>
              </a:outerShdw>
            </a:effectLst>
          </c:spPr>
          <c:dLbls>
            <c:dLbl>
              <c:idx val="0"/>
              <c:layout>
                <c:manualLayout>
                  <c:x val="4.9080259826816977E-2"/>
                  <c:y val="-0.18523879734156742"/>
                </c:manualLayout>
              </c:layout>
              <c:numFmt formatCode="#,##0" sourceLinked="0"/>
              <c:spPr/>
              <c:txPr>
                <a:bodyPr/>
                <a:lstStyle/>
                <a:p>
                  <a:pPr>
                    <a:defRPr b="1">
                      <a:solidFill>
                        <a:schemeClr val="tx1">
                          <a:lumMod val="50000"/>
                          <a:lumOff val="50000"/>
                        </a:schemeClr>
                      </a:solidFill>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CAD-4EE0-9A1B-78CA4D07F47C}"/>
                </c:ext>
              </c:extLst>
            </c:dLbl>
            <c:dLbl>
              <c:idx val="1"/>
              <c:layout>
                <c:manualLayout>
                  <c:x val="3.9505994057412362E-2"/>
                  <c:y val="-0.20453439336019258"/>
                </c:manualLayout>
              </c:layout>
              <c:numFmt formatCode="#,##0" sourceLinked="0"/>
              <c:spPr/>
              <c:txPr>
                <a:bodyPr/>
                <a:lstStyle/>
                <a:p>
                  <a:pPr>
                    <a:defRPr b="1">
                      <a:solidFill>
                        <a:schemeClr val="tx1">
                          <a:lumMod val="50000"/>
                          <a:lumOff val="50000"/>
                        </a:schemeClr>
                      </a:solidFill>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CAD-4EE0-9A1B-78CA4D07F47C}"/>
                </c:ext>
              </c:extLst>
            </c:dLbl>
            <c:dLbl>
              <c:idx val="2"/>
              <c:layout>
                <c:manualLayout>
                  <c:x val="2.2573363431151242E-2"/>
                  <c:y val="-0.22575976845151954"/>
                </c:manualLayout>
              </c:layout>
              <c:tx>
                <c:rich>
                  <a:bodyPr/>
                  <a:lstStyle/>
                  <a:p>
                    <a:pPr>
                      <a:defRPr b="1">
                        <a:solidFill>
                          <a:schemeClr val="tx1">
                            <a:lumMod val="50000"/>
                            <a:lumOff val="50000"/>
                          </a:schemeClr>
                        </a:solidFill>
                      </a:defRPr>
                    </a:pPr>
                    <a:r>
                      <a:rPr lang="en-US" b="1">
                        <a:solidFill>
                          <a:schemeClr val="tx1">
                            <a:lumMod val="50000"/>
                            <a:lumOff val="50000"/>
                          </a:schemeClr>
                        </a:solidFill>
                      </a:rPr>
                      <a:t>97166</a:t>
                    </a:r>
                  </a:p>
                </c:rich>
              </c:tx>
              <c:numFmt formatCode="#,##0" sourceLinked="0"/>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ECAD-4EE0-9A1B-78CA4D07F47C}"/>
                </c:ext>
              </c:extLst>
            </c:dLbl>
            <c:dLbl>
              <c:idx val="3"/>
              <c:layout>
                <c:manualLayout>
                  <c:x val="-1.9563581640331076E-2"/>
                  <c:y val="-0.23733719247467441"/>
                </c:manualLayout>
              </c:layout>
              <c:numFmt formatCode="#,##0" sourceLinked="0"/>
              <c:spPr/>
              <c:txPr>
                <a:bodyPr/>
                <a:lstStyle/>
                <a:p>
                  <a:pPr algn="ctr" rtl="0">
                    <a:defRPr lang="en-US" sz="1000" b="1"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CAD-4EE0-9A1B-78CA4D07F47C}"/>
                </c:ext>
              </c:extLst>
            </c:dLbl>
            <c:dLbl>
              <c:idx val="4"/>
              <c:layout>
                <c:manualLayout>
                  <c:x val="-1.0534354763216675E-2"/>
                  <c:y val="-0.24698504582730343"/>
                </c:manualLayout>
              </c:layout>
              <c:numFmt formatCode="#,##0" sourceLinked="0"/>
              <c:spPr/>
              <c:txPr>
                <a:bodyPr/>
                <a:lstStyle/>
                <a:p>
                  <a:pPr algn="ctr" rtl="0">
                    <a:defRPr lang="en-US" sz="1000" b="1"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CAD-4EE0-9A1B-78CA4D07F47C}"/>
                </c:ext>
              </c:extLst>
            </c:dLbl>
            <c:numFmt formatCode="#,##0" sourceLinked="0"/>
            <c:spPr>
              <a:noFill/>
              <a:ln>
                <a:noFill/>
              </a:ln>
              <a:effectLst/>
            </c:spPr>
            <c:txPr>
              <a:bodyPr wrap="square" lIns="38100" tIns="19050" rIns="38100" bIns="19050" anchor="ctr">
                <a:spAutoFit/>
              </a:bodyPr>
              <a:lstStyle/>
              <a:p>
                <a:pPr>
                  <a:defRPr b="1">
                    <a:solidFill>
                      <a:schemeClr val="tx1">
                        <a:lumMod val="50000"/>
                        <a:lumOff val="50000"/>
                      </a:schemeClr>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'Ληξιπρόθεσμες Απαιτήσεις'!$P$2:$T$2</c:f>
              <c:numCache>
                <c:formatCode>General</c:formatCode>
                <c:ptCount val="5"/>
                <c:pt idx="0">
                  <c:v>2017</c:v>
                </c:pt>
                <c:pt idx="1">
                  <c:v>2018</c:v>
                </c:pt>
                <c:pt idx="2">
                  <c:v>2019</c:v>
                </c:pt>
                <c:pt idx="3">
                  <c:v>2020</c:v>
                </c:pt>
                <c:pt idx="4">
                  <c:v>2021</c:v>
                </c:pt>
              </c:numCache>
            </c:numRef>
          </c:cat>
          <c:val>
            <c:numRef>
              <c:f>'Ληξιπρόθεσμες Απαιτήσεις'!$P$3:$T$3</c:f>
              <c:numCache>
                <c:formatCode>General</c:formatCode>
                <c:ptCount val="5"/>
                <c:pt idx="0">
                  <c:v>91030</c:v>
                </c:pt>
                <c:pt idx="1">
                  <c:v>97885</c:v>
                </c:pt>
                <c:pt idx="2">
                  <c:v>101868</c:v>
                </c:pt>
                <c:pt idx="3">
                  <c:v>103911</c:v>
                </c:pt>
                <c:pt idx="4">
                  <c:v>107003</c:v>
                </c:pt>
              </c:numCache>
            </c:numRef>
          </c:val>
          <c:extLst>
            <c:ext xmlns:c16="http://schemas.microsoft.com/office/drawing/2014/chart" uri="{C3380CC4-5D6E-409C-BE32-E72D297353CC}">
              <c16:uniqueId val="{00000005-ECAD-4EE0-9A1B-78CA4D07F47C}"/>
            </c:ext>
          </c:extLst>
        </c:ser>
        <c:dLbls>
          <c:showLegendKey val="0"/>
          <c:showVal val="0"/>
          <c:showCatName val="0"/>
          <c:showSerName val="0"/>
          <c:showPercent val="0"/>
          <c:showBubbleSize val="0"/>
        </c:dLbls>
        <c:axId val="65431424"/>
        <c:axId val="65512192"/>
      </c:areaChart>
      <c:barChart>
        <c:barDir val="col"/>
        <c:grouping val="clustered"/>
        <c:varyColors val="0"/>
        <c:ser>
          <c:idx val="2"/>
          <c:order val="1"/>
          <c:tx>
            <c:strRef>
              <c:f>'Ληξιπρόθεσμες Απαιτήσεις'!$O$5</c:f>
              <c:strCache>
                <c:ptCount val="1"/>
                <c:pt idx="0">
                  <c:v>"Νέο" ληξιπρόθεσμο χρέος που προστέθηκε στα βιβλία  έως τον προηγούμενο μήνα του εξαμήνου αναφοράς με εξαίρεση των μη φορολογικων κατηγοριών</c:v>
                </c:pt>
              </c:strCache>
            </c:strRef>
          </c:tx>
          <c:spPr>
            <a:solidFill>
              <a:srgbClr val="0070C0"/>
            </a:solidFill>
            <a:ln>
              <a:solidFill>
                <a:srgbClr val="0070C0"/>
              </a:solidFill>
            </a:ln>
            <a:effectLst>
              <a:outerShdw blurRad="57150" dist="19050" dir="5400000" algn="ctr" rotWithShape="0">
                <a:srgbClr val="000000">
                  <a:alpha val="63000"/>
                </a:srgbClr>
              </a:outerShdw>
            </a:effectLst>
          </c:spPr>
          <c:invertIfNegative val="0"/>
          <c:dLbls>
            <c:dLbl>
              <c:idx val="2"/>
              <c:layout>
                <c:manualLayout>
                  <c:x val="-3.323731442499454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CAD-4EE0-9A1B-78CA4D07F47C}"/>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lumMod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'Ληξιπρόθεσμες Απαιτήσεις'!$P$2:$R$2</c:f>
              <c:numCache>
                <c:formatCode>General</c:formatCode>
                <c:ptCount val="3"/>
                <c:pt idx="0">
                  <c:v>2017</c:v>
                </c:pt>
                <c:pt idx="1">
                  <c:v>2018</c:v>
                </c:pt>
                <c:pt idx="2">
                  <c:v>2019</c:v>
                </c:pt>
              </c:numCache>
            </c:numRef>
          </c:cat>
          <c:val>
            <c:numRef>
              <c:f>'Ληξιπρόθεσμες Απαιτήσεις'!$P$5:$T$5</c:f>
              <c:numCache>
                <c:formatCode>General</c:formatCode>
                <c:ptCount val="5"/>
                <c:pt idx="0">
                  <c:v>2277</c:v>
                </c:pt>
                <c:pt idx="1">
                  <c:v>3309</c:v>
                </c:pt>
                <c:pt idx="2">
                  <c:v>2506</c:v>
                </c:pt>
                <c:pt idx="3">
                  <c:v>2082</c:v>
                </c:pt>
                <c:pt idx="4">
                  <c:v>2164</c:v>
                </c:pt>
              </c:numCache>
            </c:numRef>
          </c:val>
          <c:extLst>
            <c:ext xmlns:c16="http://schemas.microsoft.com/office/drawing/2014/chart" uri="{C3380CC4-5D6E-409C-BE32-E72D297353CC}">
              <c16:uniqueId val="{00000007-ECAD-4EE0-9A1B-78CA4D07F47C}"/>
            </c:ext>
          </c:extLst>
        </c:ser>
        <c:ser>
          <c:idx val="3"/>
          <c:order val="2"/>
          <c:tx>
            <c:strRef>
              <c:f>'Ληξιπρόθεσμες Απαιτήσεις'!$O$6</c:f>
              <c:strCache>
                <c:ptCount val="1"/>
                <c:pt idx="0">
                  <c:v>Συνολικές Εισπράξεις "παλαιού και "νέου" Ληξιπρόθεσμου χρέους </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6">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'Ληξιπρόθεσμες Απαιτήσεις'!$P$2:$R$2</c:f>
              <c:numCache>
                <c:formatCode>General</c:formatCode>
                <c:ptCount val="3"/>
                <c:pt idx="0">
                  <c:v>2017</c:v>
                </c:pt>
                <c:pt idx="1">
                  <c:v>2018</c:v>
                </c:pt>
                <c:pt idx="2">
                  <c:v>2019</c:v>
                </c:pt>
              </c:numCache>
            </c:numRef>
          </c:cat>
          <c:val>
            <c:numRef>
              <c:f>'Ληξιπρόθεσμες Απαιτήσεις'!$P$6:$T$6</c:f>
              <c:numCache>
                <c:formatCode>General</c:formatCode>
                <c:ptCount val="5"/>
                <c:pt idx="0">
                  <c:v>1246</c:v>
                </c:pt>
                <c:pt idx="1">
                  <c:v>1414</c:v>
                </c:pt>
                <c:pt idx="2">
                  <c:v>1295</c:v>
                </c:pt>
                <c:pt idx="3">
                  <c:v>1155</c:v>
                </c:pt>
                <c:pt idx="4">
                  <c:v>1052</c:v>
                </c:pt>
              </c:numCache>
            </c:numRef>
          </c:val>
          <c:extLst>
            <c:ext xmlns:c16="http://schemas.microsoft.com/office/drawing/2014/chart" uri="{C3380CC4-5D6E-409C-BE32-E72D297353CC}">
              <c16:uniqueId val="{00000008-ECAD-4EE0-9A1B-78CA4D07F47C}"/>
            </c:ext>
          </c:extLst>
        </c:ser>
        <c:dLbls>
          <c:showLegendKey val="0"/>
          <c:showVal val="0"/>
          <c:showCatName val="0"/>
          <c:showSerName val="0"/>
          <c:showPercent val="0"/>
          <c:showBubbleSize val="0"/>
        </c:dLbls>
        <c:gapWidth val="269"/>
        <c:overlap val="-27"/>
        <c:axId val="67477504"/>
        <c:axId val="65513728"/>
      </c:barChart>
      <c:catAx>
        <c:axId val="6543142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512192"/>
        <c:crosses val="autoZero"/>
        <c:auto val="1"/>
        <c:lblAlgn val="ctr"/>
        <c:lblOffset val="100"/>
        <c:noMultiLvlLbl val="0"/>
      </c:catAx>
      <c:valAx>
        <c:axId val="655121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431424"/>
        <c:crosses val="autoZero"/>
        <c:crossBetween val="between"/>
      </c:valAx>
      <c:valAx>
        <c:axId val="65513728"/>
        <c:scaling>
          <c:orientation val="minMax"/>
        </c:scaling>
        <c:delete val="0"/>
        <c:axPos val="r"/>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477504"/>
        <c:crosses val="max"/>
        <c:crossBetween val="between"/>
      </c:valAx>
      <c:catAx>
        <c:axId val="67477504"/>
        <c:scaling>
          <c:orientation val="minMax"/>
        </c:scaling>
        <c:delete val="1"/>
        <c:axPos val="b"/>
        <c:numFmt formatCode="General" sourceLinked="1"/>
        <c:majorTickMark val="none"/>
        <c:minorTickMark val="none"/>
        <c:tickLblPos val="none"/>
        <c:crossAx val="65513728"/>
        <c:crosses val="autoZero"/>
        <c:auto val="1"/>
        <c:lblAlgn val="ctr"/>
        <c:lblOffset val="100"/>
        <c:noMultiLvlLbl val="0"/>
      </c:catAx>
      <c:spPr>
        <a:noFill/>
        <a:ln>
          <a:noFill/>
        </a:ln>
        <a:effectLst/>
      </c:spPr>
    </c:plotArea>
    <c:legend>
      <c:legendPos val="b"/>
      <c:legendEntry>
        <c:idx val="1"/>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Entry>
      <c:layout>
        <c:manualLayout>
          <c:xMode val="edge"/>
          <c:yMode val="edge"/>
          <c:x val="2.1773494244972092E-2"/>
          <c:y val="0.79905382197595676"/>
          <c:w val="0.9573213690633009"/>
          <c:h val="0.1950873918537960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67649882160841"/>
          <c:y val="4.8421008544144752E-2"/>
          <c:w val="0.8188684607398089"/>
          <c:h val="0.7998478491082881"/>
        </c:manualLayout>
      </c:layout>
      <c:barChart>
        <c:barDir val="col"/>
        <c:grouping val="clustered"/>
        <c:varyColors val="0"/>
        <c:ser>
          <c:idx val="1"/>
          <c:order val="1"/>
          <c:tx>
            <c:strRef>
              <c:f>'ΕΓΓΥΗΣΕΙΣ ΓΙΑ Α΄ ΈΚΘΕΣΗ 2021'!$D$7</c:f>
              <c:strCache>
                <c:ptCount val="1"/>
                <c:pt idx="0">
                  <c:v>Πληρωμές Καταπτώσεων* </c:v>
                </c:pt>
              </c:strCache>
            </c:strRef>
          </c:tx>
          <c:spPr>
            <a:solidFill>
              <a:schemeClr val="bg2">
                <a:lumMod val="75000"/>
              </a:schemeClr>
            </a:solidFill>
            <a:ln>
              <a:noFill/>
            </a:ln>
            <a:effectLst/>
          </c:spPr>
          <c:invertIfNegative val="0"/>
          <c:dLbls>
            <c:numFmt formatCode="#,##0" sourceLinked="0"/>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'ΕΓΓΥΗΣΕΙΣ ΓΙΑ Α΄ ΈΚΘΕΣΗ 2021'!$E$5:$P$5</c:f>
              <c:numCache>
                <c:formatCode>General</c:formatCod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numCache>
            </c:numRef>
          </c:cat>
          <c:val>
            <c:numRef>
              <c:f>'ΕΓΓΥΗΣΕΙΣ ΓΙΑ Α΄ ΈΚΘΕΣΗ 2021'!$E$7:$P$7</c:f>
              <c:numCache>
                <c:formatCode>#,##0.00</c:formatCode>
                <c:ptCount val="12"/>
                <c:pt idx="0">
                  <c:v>704.8</c:v>
                </c:pt>
                <c:pt idx="1">
                  <c:v>974.2</c:v>
                </c:pt>
                <c:pt idx="2">
                  <c:v>1442</c:v>
                </c:pt>
                <c:pt idx="3">
                  <c:v>796</c:v>
                </c:pt>
                <c:pt idx="4">
                  <c:v>877.5</c:v>
                </c:pt>
                <c:pt idx="5">
                  <c:v>588.20000000000005</c:v>
                </c:pt>
                <c:pt idx="6">
                  <c:v>702.1</c:v>
                </c:pt>
                <c:pt idx="7">
                  <c:v>412</c:v>
                </c:pt>
                <c:pt idx="8">
                  <c:v>882.93</c:v>
                </c:pt>
                <c:pt idx="9">
                  <c:v>951.72</c:v>
                </c:pt>
                <c:pt idx="10">
                  <c:v>378.84</c:v>
                </c:pt>
                <c:pt idx="11">
                  <c:v>635.52</c:v>
                </c:pt>
              </c:numCache>
            </c:numRef>
          </c:val>
          <c:extLst>
            <c:ext xmlns:c16="http://schemas.microsoft.com/office/drawing/2014/chart" uri="{C3380CC4-5D6E-409C-BE32-E72D297353CC}">
              <c16:uniqueId val="{00000000-D497-4B6A-84A6-2689D243168F}"/>
            </c:ext>
          </c:extLst>
        </c:ser>
        <c:ser>
          <c:idx val="2"/>
          <c:order val="2"/>
          <c:tx>
            <c:strRef>
              <c:f>'ΕΓΓΥΗΣΕΙΣ ΓΙΑ Α΄ ΈΚΘΕΣΗ 2021'!$D$8</c:f>
              <c:strCache>
                <c:ptCount val="1"/>
                <c:pt idx="0">
                  <c:v>Νέες Εγγυήσεις</c:v>
                </c:pt>
              </c:strCache>
            </c:strRef>
          </c:tx>
          <c:spPr>
            <a:solidFill>
              <a:srgbClr val="00B050"/>
            </a:solidFill>
            <a:ln>
              <a:solidFill>
                <a:srgbClr val="00B050"/>
              </a:solidFill>
            </a:ln>
            <a:effectLst/>
          </c:spPr>
          <c:invertIfNegative val="0"/>
          <c:dLbls>
            <c:numFmt formatCode="#,##0" sourceLinked="0"/>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'ΕΓΓΥΗΣΕΙΣ ΓΙΑ Α΄ ΈΚΘΕΣΗ 2021'!$E$5:$P$5</c:f>
              <c:numCache>
                <c:formatCode>General</c:formatCod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numCache>
            </c:numRef>
          </c:cat>
          <c:val>
            <c:numRef>
              <c:f>'ΕΓΓΥΗΣΕΙΣ ΓΙΑ Α΄ ΈΚΘΕΣΗ 2021'!$E$8:$P$8</c:f>
              <c:numCache>
                <c:formatCode>#,##0.00</c:formatCode>
                <c:ptCount val="12"/>
                <c:pt idx="0">
                  <c:v>1563.7</c:v>
                </c:pt>
                <c:pt idx="1">
                  <c:v>1254.4000000000001</c:v>
                </c:pt>
                <c:pt idx="2">
                  <c:v>1804.9</c:v>
                </c:pt>
                <c:pt idx="3">
                  <c:v>688</c:v>
                </c:pt>
                <c:pt idx="4">
                  <c:v>634.70000000000005</c:v>
                </c:pt>
                <c:pt idx="5">
                  <c:v>536.6</c:v>
                </c:pt>
                <c:pt idx="6">
                  <c:v>65</c:v>
                </c:pt>
                <c:pt idx="7">
                  <c:v>162.9</c:v>
                </c:pt>
                <c:pt idx="8">
                  <c:v>266.55</c:v>
                </c:pt>
                <c:pt idx="9">
                  <c:v>184.86</c:v>
                </c:pt>
                <c:pt idx="10">
                  <c:v>428.93</c:v>
                </c:pt>
                <c:pt idx="11">
                  <c:v>434.2</c:v>
                </c:pt>
              </c:numCache>
            </c:numRef>
          </c:val>
          <c:extLst>
            <c:ext xmlns:c16="http://schemas.microsoft.com/office/drawing/2014/chart" uri="{C3380CC4-5D6E-409C-BE32-E72D297353CC}">
              <c16:uniqueId val="{00000001-D497-4B6A-84A6-2689D243168F}"/>
            </c:ext>
          </c:extLst>
        </c:ser>
        <c:dLbls>
          <c:showLegendKey val="0"/>
          <c:showVal val="0"/>
          <c:showCatName val="0"/>
          <c:showSerName val="0"/>
          <c:showPercent val="0"/>
          <c:showBubbleSize val="0"/>
        </c:dLbls>
        <c:gapWidth val="130"/>
        <c:axId val="1764774271"/>
        <c:axId val="1764789247"/>
      </c:barChart>
      <c:lineChart>
        <c:grouping val="standard"/>
        <c:varyColors val="0"/>
        <c:ser>
          <c:idx val="0"/>
          <c:order val="0"/>
          <c:tx>
            <c:strRef>
              <c:f>'ΕΓΓΥΗΣΕΙΣ ΓΙΑ Α΄ ΈΚΘΕΣΗ 2021'!$D$6</c:f>
              <c:strCache>
                <c:ptCount val="1"/>
                <c:pt idx="0">
                  <c:v>Ανεξόφλητο Εγγυημένο Υπόλοιπο</c:v>
                </c:pt>
              </c:strCache>
            </c:strRef>
          </c:tx>
          <c:spPr>
            <a:ln w="28575" cap="rnd">
              <a:solidFill>
                <a:srgbClr val="5B9BD5">
                  <a:lumMod val="50000"/>
                </a:srgbClr>
              </a:solidFill>
              <a:round/>
            </a:ln>
            <a:effectLst/>
          </c:spPr>
          <c:marker>
            <c:symbol val="none"/>
          </c:marker>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lumMod val="50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'ΕΓΓΥΗΣΕΙΣ ΓΙΑ Α΄ ΈΚΘΕΣΗ 2021'!$E$5:$P$5</c:f>
              <c:numCache>
                <c:formatCode>General</c:formatCod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numCache>
            </c:numRef>
          </c:cat>
          <c:val>
            <c:numRef>
              <c:f>'ΕΓΓΥΗΣΕΙΣ ΓΙΑ Α΄ ΈΚΘΕΣΗ 2021'!$E$6:$P$6</c:f>
              <c:numCache>
                <c:formatCode>#,##0.00</c:formatCode>
                <c:ptCount val="12"/>
                <c:pt idx="0">
                  <c:v>25586.6</c:v>
                </c:pt>
                <c:pt idx="1">
                  <c:v>22438.2</c:v>
                </c:pt>
                <c:pt idx="2">
                  <c:v>19950.8</c:v>
                </c:pt>
                <c:pt idx="3">
                  <c:v>19314.7</c:v>
                </c:pt>
                <c:pt idx="4">
                  <c:v>17234.400000000001</c:v>
                </c:pt>
                <c:pt idx="5">
                  <c:v>16315</c:v>
                </c:pt>
                <c:pt idx="6">
                  <c:v>15121.2</c:v>
                </c:pt>
                <c:pt idx="7">
                  <c:v>12833.2</c:v>
                </c:pt>
                <c:pt idx="8">
                  <c:v>12017.380000000001</c:v>
                </c:pt>
                <c:pt idx="9">
                  <c:v>10448.299999999999</c:v>
                </c:pt>
                <c:pt idx="10">
                  <c:v>9823.48</c:v>
                </c:pt>
                <c:pt idx="11">
                  <c:v>9277.25</c:v>
                </c:pt>
              </c:numCache>
            </c:numRef>
          </c:val>
          <c:smooth val="0"/>
          <c:extLst>
            <c:ext xmlns:c16="http://schemas.microsoft.com/office/drawing/2014/chart" uri="{C3380CC4-5D6E-409C-BE32-E72D297353CC}">
              <c16:uniqueId val="{00000002-D497-4B6A-84A6-2689D243168F}"/>
            </c:ext>
          </c:extLst>
        </c:ser>
        <c:dLbls>
          <c:showLegendKey val="0"/>
          <c:showVal val="0"/>
          <c:showCatName val="0"/>
          <c:showSerName val="0"/>
          <c:showPercent val="0"/>
          <c:showBubbleSize val="0"/>
        </c:dLbls>
        <c:marker val="1"/>
        <c:smooth val="0"/>
        <c:axId val="1764787583"/>
        <c:axId val="1764774687"/>
      </c:lineChart>
      <c:catAx>
        <c:axId val="17647875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4774687"/>
        <c:crosses val="autoZero"/>
        <c:auto val="1"/>
        <c:lblAlgn val="ctr"/>
        <c:lblOffset val="100"/>
        <c:noMultiLvlLbl val="0"/>
      </c:catAx>
      <c:valAx>
        <c:axId val="176477468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4787583"/>
        <c:crosses val="autoZero"/>
        <c:crossBetween val="between"/>
      </c:valAx>
      <c:valAx>
        <c:axId val="1764789247"/>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4774271"/>
        <c:crosses val="max"/>
        <c:crossBetween val="between"/>
      </c:valAx>
      <c:catAx>
        <c:axId val="1764774271"/>
        <c:scaling>
          <c:orientation val="minMax"/>
        </c:scaling>
        <c:delete val="1"/>
        <c:axPos val="b"/>
        <c:numFmt formatCode="General" sourceLinked="1"/>
        <c:majorTickMark val="out"/>
        <c:minorTickMark val="none"/>
        <c:tickLblPos val="nextTo"/>
        <c:crossAx val="1764789247"/>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8544503018532158E-2"/>
          <c:y val="1.6076451587997569E-2"/>
          <c:w val="0.92553407130305554"/>
          <c:h val="0.73779285565303165"/>
        </c:manualLayout>
      </c:layout>
      <c:areaChart>
        <c:grouping val="stacked"/>
        <c:varyColors val="0"/>
        <c:ser>
          <c:idx val="0"/>
          <c:order val="0"/>
          <c:tx>
            <c:strRef>
              <c:f>Φύλλο1!$G$37</c:f>
              <c:strCache>
                <c:ptCount val="1"/>
                <c:pt idx="0">
                  <c:v>Χρέος ως % στο ΑΕΠ </c:v>
                </c:pt>
              </c:strCache>
            </c:strRef>
          </c:tx>
          <c:spPr>
            <a:gradFill flip="none" rotWithShape="1">
              <a:gsLst>
                <a:gs pos="0">
                  <a:srgbClr val="00B0F0">
                    <a:shade val="30000"/>
                    <a:satMod val="115000"/>
                  </a:srgbClr>
                </a:gs>
                <a:gs pos="50000">
                  <a:srgbClr val="00B0F0">
                    <a:shade val="67500"/>
                    <a:satMod val="115000"/>
                  </a:srgbClr>
                </a:gs>
                <a:gs pos="100000">
                  <a:srgbClr val="00B0F0">
                    <a:shade val="100000"/>
                    <a:satMod val="115000"/>
                  </a:srgbClr>
                </a:gs>
              </a:gsLst>
              <a:lin ang="5400000" scaled="1"/>
              <a:tileRect/>
            </a:gradFill>
            <a:effectLst/>
          </c:spPr>
          <c:dLbls>
            <c:dLbl>
              <c:idx val="0"/>
              <c:layout>
                <c:manualLayout>
                  <c:x val="-1.4405762304921976E-2"/>
                  <c:y val="-0.1761467889908257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014-468B-BD16-D3F3758A5A22}"/>
                </c:ext>
              </c:extLst>
            </c:dLbl>
            <c:dLbl>
              <c:idx val="1"/>
              <c:layout>
                <c:manualLayout>
                  <c:x val="-1.1533714798608773E-2"/>
                  <c:y val="-0.1823368291860139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014-468B-BD16-D3F3758A5A22}"/>
                </c:ext>
              </c:extLst>
            </c:dLbl>
            <c:dLbl>
              <c:idx val="2"/>
              <c:layout>
                <c:manualLayout>
                  <c:x val="1.2506195056146424E-2"/>
                  <c:y val="-0.1714813028105365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014-468B-BD16-D3F3758A5A22}"/>
                </c:ext>
              </c:extLst>
            </c:dLbl>
            <c:dLbl>
              <c:idx val="3"/>
              <c:layout>
                <c:manualLayout>
                  <c:x val="-3.201198638456965E-3"/>
                  <c:y val="-0.1945693584617173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014-468B-BD16-D3F3758A5A22}"/>
                </c:ext>
              </c:extLst>
            </c:dLbl>
            <c:dLbl>
              <c:idx val="4"/>
              <c:layout>
                <c:manualLayout>
                  <c:x val="6.4025739630072329E-3"/>
                  <c:y val="-0.202386728271043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014-468B-BD16-D3F3758A5A22}"/>
                </c:ext>
              </c:extLst>
            </c:dLbl>
            <c:dLbl>
              <c:idx val="5"/>
              <c:layout>
                <c:manualLayout>
                  <c:x val="4.4878267698866825E-3"/>
                  <c:y val="-0.2023867282710439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014-468B-BD16-D3F3758A5A22}"/>
                </c:ext>
              </c:extLst>
            </c:dLbl>
            <c:dLbl>
              <c:idx val="6"/>
              <c:layout>
                <c:manualLayout>
                  <c:x val="3.5305415163730583E-3"/>
                  <c:y val="-0.204355289775062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014-468B-BD16-D3F3758A5A22}"/>
                </c:ext>
              </c:extLst>
            </c:dLbl>
            <c:dLbl>
              <c:idx val="7"/>
              <c:layout>
                <c:manualLayout>
                  <c:x val="1.6157943232525084E-3"/>
                  <c:y val="-0.2062669750723329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014-468B-BD16-D3F3758A5A22}"/>
                </c:ext>
              </c:extLst>
            </c:dLbl>
            <c:dLbl>
              <c:idx val="8"/>
              <c:layout>
                <c:manualLayout>
                  <c:x val="6.7317401548300237E-3"/>
                  <c:y val="-0.2122295357911376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014-468B-BD16-D3F3758A5A22}"/>
                </c:ext>
              </c:extLst>
            </c:dLbl>
            <c:dLbl>
              <c:idx val="9"/>
              <c:layout>
                <c:manualLayout>
                  <c:x val="5.1311408356014589E-3"/>
                  <c:y val="-0.2063807274858298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014-468B-BD16-D3F3758A5A22}"/>
                </c:ext>
              </c:extLst>
            </c:dLbl>
            <c:dLbl>
              <c:idx val="10"/>
              <c:layout>
                <c:manualLayout>
                  <c:x val="-6.4331868386752825E-3"/>
                  <c:y val="-0.37983454541473693"/>
                </c:manualLayout>
              </c:layout>
              <c:spPr>
                <a:solidFill>
                  <a:srgbClr val="00B0F0"/>
                </a:solidFill>
                <a:ln cap="sq" cmpd="sng">
                  <a:noFill/>
                  <a:bevel/>
                </a:ln>
              </c:spPr>
              <c:txPr>
                <a:bodyPr wrap="square" lIns="38100" tIns="19050" rIns="38100" bIns="19050" anchor="ctr" anchorCtr="0">
                  <a:spAutoFit/>
                </a:bodyPr>
                <a:lstStyle/>
                <a:p>
                  <a:pPr>
                    <a:defRPr sz="800"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014-468B-BD16-D3F3758A5A22}"/>
                </c:ext>
              </c:extLst>
            </c:dLbl>
            <c:dLbl>
              <c:idx val="11"/>
              <c:layout>
                <c:manualLayout>
                  <c:x val="1.2075856422541598E-2"/>
                  <c:y val="-0.35093680390785337"/>
                </c:manualLayout>
              </c:layout>
              <c:tx>
                <c:rich>
                  <a:bodyPr/>
                  <a:lstStyle/>
                  <a:p>
                    <a:r>
                      <a:rPr lang="en-US" b="1"/>
                      <a:t>204,8%*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2014-468B-BD16-D3F3758A5A22}"/>
                </c:ext>
              </c:extLst>
            </c:dLbl>
            <c:dLbl>
              <c:idx val="12"/>
              <c:layout>
                <c:manualLayout>
                  <c:x val="3.8217104044671928E-2"/>
                  <c:y val="-0.2883619442930383"/>
                </c:manualLayout>
              </c:layout>
              <c:tx>
                <c:rich>
                  <a:bodyPr/>
                  <a:lstStyle/>
                  <a:p>
                    <a:r>
                      <a:rPr lang="en-US"/>
                      <a:t>189,5%*</a:t>
                    </a:r>
                  </a:p>
                </c:rich>
              </c:tx>
              <c:showLegendKey val="0"/>
              <c:showVal val="1"/>
              <c:showCatName val="0"/>
              <c:showSerName val="0"/>
              <c:showPercent val="0"/>
              <c:showBubbleSize val="0"/>
              <c:extLst>
                <c:ext xmlns:c15="http://schemas.microsoft.com/office/drawing/2012/chart" uri="{CE6537A1-D6FC-4f65-9D91-7224C49458BB}">
                  <c15:layout>
                    <c:manualLayout>
                      <c:w val="9.917572954512803E-2"/>
                      <c:h val="3.7362913420397298E-2"/>
                    </c:manualLayout>
                  </c15:layout>
                  <c15:showDataLabelsRange val="0"/>
                </c:ext>
                <c:ext xmlns:c16="http://schemas.microsoft.com/office/drawing/2014/chart" uri="{C3380CC4-5D6E-409C-BE32-E72D297353CC}">
                  <c16:uniqueId val="{0000000C-2014-468B-BD16-D3F3758A5A22}"/>
                </c:ext>
              </c:extLst>
            </c:dLbl>
            <c:dLbl>
              <c:idx val="13"/>
              <c:layout>
                <c:manualLayout>
                  <c:x val="2.5032065540059857E-2"/>
                  <c:y val="-0.27016435985162324"/>
                </c:manualLayout>
              </c:layout>
              <c:tx>
                <c:rich>
                  <a:bodyPr/>
                  <a:lstStyle/>
                  <a:p>
                    <a:r>
                      <a:rPr lang="en-US"/>
                      <a:t>176,7%*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2014-468B-BD16-D3F3758A5A22}"/>
                </c:ext>
              </c:extLst>
            </c:dLbl>
            <c:dLbl>
              <c:idx val="14"/>
              <c:layout>
                <c:manualLayout>
                  <c:x val="0"/>
                  <c:y val="-0.23103097404789869"/>
                </c:manualLayout>
              </c:layout>
              <c:tx>
                <c:rich>
                  <a:bodyPr/>
                  <a:lstStyle/>
                  <a:p>
                    <a:r>
                      <a:rPr lang="en-US"/>
                      <a:t>166,1%*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2014-468B-BD16-D3F3758A5A22}"/>
                </c:ext>
              </c:extLst>
            </c:dLbl>
            <c:spPr>
              <a:ln cap="sq" cmpd="sng">
                <a:noFill/>
                <a:bevel/>
              </a:ln>
            </c:spPr>
            <c:txPr>
              <a:bodyPr wrap="square" lIns="38100" tIns="19050" rIns="38100" bIns="19050" anchor="ctr" anchorCtr="0">
                <a:spAutoFit/>
              </a:bodyPr>
              <a:lstStyle/>
              <a:p>
                <a:pPr>
                  <a:defRPr sz="8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Φύλλο1!$H$36:$V$36</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Φύλλο1!$H$37:$V$37</c:f>
              <c:numCache>
                <c:formatCode>0.0%</c:formatCode>
                <c:ptCount val="15"/>
                <c:pt idx="0">
                  <c:v>1.4750000000000001</c:v>
                </c:pt>
                <c:pt idx="1">
                  <c:v>1.752</c:v>
                </c:pt>
                <c:pt idx="2">
                  <c:v>1.619</c:v>
                </c:pt>
                <c:pt idx="3">
                  <c:v>1.784</c:v>
                </c:pt>
                <c:pt idx="4">
                  <c:v>1.802</c:v>
                </c:pt>
                <c:pt idx="5">
                  <c:v>1.77</c:v>
                </c:pt>
                <c:pt idx="6">
                  <c:v>1.8084834011676301</c:v>
                </c:pt>
                <c:pt idx="7">
                  <c:v>1.792</c:v>
                </c:pt>
                <c:pt idx="8">
                  <c:v>1.8620000000000001</c:v>
                </c:pt>
                <c:pt idx="9">
                  <c:v>1.8049999999999999</c:v>
                </c:pt>
                <c:pt idx="10">
                  <c:v>2.056</c:v>
                </c:pt>
                <c:pt idx="11">
                  <c:v>2.048</c:v>
                </c:pt>
                <c:pt idx="12">
                  <c:v>1.895</c:v>
                </c:pt>
                <c:pt idx="13" formatCode="0.00%">
                  <c:v>1.7669999999999999</c:v>
                </c:pt>
                <c:pt idx="14">
                  <c:v>1.661</c:v>
                </c:pt>
              </c:numCache>
            </c:numRef>
          </c:val>
          <c:extLst>
            <c:ext xmlns:c16="http://schemas.microsoft.com/office/drawing/2014/chart" uri="{C3380CC4-5D6E-409C-BE32-E72D297353CC}">
              <c16:uniqueId val="{0000000F-2014-468B-BD16-D3F3758A5A22}"/>
            </c:ext>
          </c:extLst>
        </c:ser>
        <c:dLbls>
          <c:showLegendKey val="0"/>
          <c:showVal val="0"/>
          <c:showCatName val="0"/>
          <c:showSerName val="0"/>
          <c:showPercent val="0"/>
          <c:showBubbleSize val="0"/>
        </c:dLbls>
        <c:axId val="166563840"/>
        <c:axId val="166565376"/>
      </c:areaChart>
      <c:lineChart>
        <c:grouping val="standard"/>
        <c:varyColors val="0"/>
        <c:ser>
          <c:idx val="1"/>
          <c:order val="1"/>
          <c:tx>
            <c:strRef>
              <c:f>Φύλλο1!$G$38</c:f>
              <c:strCache>
                <c:ptCount val="1"/>
                <c:pt idx="0">
                  <c:v>Χρέος ως % στο ΑΕΠ ( Σενάριο ΕΔΣ)</c:v>
                </c:pt>
              </c:strCache>
            </c:strRef>
          </c:tx>
          <c:spPr>
            <a:ln w="28575" cap="rnd">
              <a:solidFill>
                <a:srgbClr val="C00000"/>
              </a:solidFill>
              <a:round/>
            </a:ln>
            <a:effectLst/>
          </c:spPr>
          <c:marker>
            <c:symbol val="none"/>
          </c:marker>
          <c:dLbls>
            <c:dLbl>
              <c:idx val="9"/>
              <c:layout>
                <c:manualLayout>
                  <c:x val="-5.2821128451380671E-2"/>
                  <c:y val="2.007168458781362E-2"/>
                </c:manualLayout>
              </c:layout>
              <c:spPr>
                <a:noFill/>
                <a:ln w="25400">
                  <a:noFill/>
                </a:ln>
              </c:spPr>
              <c:txPr>
                <a:bodyPr wrap="square" lIns="38100" tIns="19050" rIns="38100" bIns="19050" anchor="ctr">
                  <a:spAutoFit/>
                </a:bodyPr>
                <a:lstStyle/>
                <a:p>
                  <a:pPr>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2014-468B-BD16-D3F3758A5A22}"/>
                </c:ext>
              </c:extLst>
            </c:dLbl>
            <c:dLbl>
              <c:idx val="10"/>
              <c:layout>
                <c:manualLayout>
                  <c:x val="-3.8415366146458581E-2"/>
                  <c:y val="-2.8673835125448029E-2"/>
                </c:manualLayout>
              </c:layout>
              <c:spPr>
                <a:noFill/>
                <a:ln w="25400">
                  <a:noFill/>
                </a:ln>
              </c:spPr>
              <c:txPr>
                <a:bodyPr wrap="square" lIns="38100" tIns="19050" rIns="38100" bIns="19050" anchor="ctr">
                  <a:spAutoFit/>
                </a:bodyPr>
                <a:lstStyle/>
                <a:p>
                  <a:pPr>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2014-468B-BD16-D3F3758A5A22}"/>
                </c:ext>
              </c:extLst>
            </c:dLbl>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Φύλλο1!$H$36:$T$36</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Φύλλο1!$H$38:$T$38</c:f>
              <c:numCache>
                <c:formatCode>General</c:formatCode>
                <c:ptCount val="13"/>
              </c:numCache>
            </c:numRef>
          </c:val>
          <c:smooth val="0"/>
          <c:extLst>
            <c:ext xmlns:c16="http://schemas.microsoft.com/office/drawing/2014/chart" uri="{C3380CC4-5D6E-409C-BE32-E72D297353CC}">
              <c16:uniqueId val="{00000012-2014-468B-BD16-D3F3758A5A22}"/>
            </c:ext>
          </c:extLst>
        </c:ser>
        <c:ser>
          <c:idx val="2"/>
          <c:order val="2"/>
          <c:tx>
            <c:strRef>
              <c:f>Φύλλο1!$G$39</c:f>
              <c:strCache>
                <c:ptCount val="1"/>
                <c:pt idx="0">
                  <c:v>Χρέος ως % στο ΑΕΠ (δυσμενές Υπ.Οικ)</c:v>
                </c:pt>
              </c:strCache>
            </c:strRef>
          </c:tx>
          <c:spPr>
            <a:ln w="28575" cap="rnd">
              <a:solidFill>
                <a:schemeClr val="accent1"/>
              </a:solidFill>
              <a:round/>
            </a:ln>
            <a:effectLst/>
          </c:spPr>
          <c:marker>
            <c:symbol val="none"/>
          </c:marker>
          <c:dLbls>
            <c:dLbl>
              <c:idx val="9"/>
              <c:layout>
                <c:manualLayout>
                  <c:x val="-5.6022408963585554E-2"/>
                  <c:y val="2.2939068100358423E-2"/>
                </c:manualLayout>
              </c:layout>
              <c:spPr>
                <a:solidFill>
                  <a:schemeClr val="accent1">
                    <a:lumMod val="60000"/>
                    <a:lumOff val="40000"/>
                  </a:schemeClr>
                </a:solidFill>
                <a:ln w="25400">
                  <a:noFill/>
                </a:ln>
              </c:spPr>
              <c:txPr>
                <a:bodyPr wrap="square" lIns="38100" tIns="19050" rIns="38100" bIns="19050" anchor="ctr">
                  <a:spAutoFit/>
                </a:bodyPr>
                <a:lstStyle/>
                <a:p>
                  <a:pPr>
                    <a:defRPr b="1"/>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2014-468B-BD16-D3F3758A5A22}"/>
                </c:ext>
              </c:extLst>
            </c:dLbl>
            <c:dLbl>
              <c:idx val="10"/>
              <c:layout>
                <c:manualLayout>
                  <c:x val="-3.2012805122048939E-2"/>
                  <c:y val="-1.4336917562724014E-2"/>
                </c:manualLayout>
              </c:layout>
              <c:spPr>
                <a:noFill/>
                <a:ln w="25400">
                  <a:noFill/>
                </a:ln>
              </c:spPr>
              <c:txPr>
                <a:bodyPr wrap="square" lIns="38100" tIns="19050" rIns="38100" bIns="19050" anchor="ctr">
                  <a:spAutoFit/>
                </a:bodyPr>
                <a:lstStyle/>
                <a:p>
                  <a:pPr>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2014-468B-BD16-D3F3758A5A22}"/>
                </c:ext>
              </c:extLst>
            </c:dLbl>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Φύλλο1!$H$36:$T$36</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Φύλλο1!$H$39:$T$39</c:f>
              <c:numCache>
                <c:formatCode>General</c:formatCode>
                <c:ptCount val="13"/>
              </c:numCache>
            </c:numRef>
          </c:val>
          <c:smooth val="0"/>
          <c:extLst>
            <c:ext xmlns:c16="http://schemas.microsoft.com/office/drawing/2014/chart" uri="{C3380CC4-5D6E-409C-BE32-E72D297353CC}">
              <c16:uniqueId val="{00000015-2014-468B-BD16-D3F3758A5A22}"/>
            </c:ext>
          </c:extLst>
        </c:ser>
        <c:ser>
          <c:idx val="3"/>
          <c:order val="3"/>
          <c:tx>
            <c:strRef>
              <c:f>Φύλλο1!$G$40</c:f>
              <c:strCache>
                <c:ptCount val="1"/>
                <c:pt idx="0">
                  <c:v>ΕΕ</c:v>
                </c:pt>
              </c:strCache>
            </c:strRef>
          </c:tx>
          <c:marker>
            <c:symbol val="none"/>
          </c:marker>
          <c:cat>
            <c:numRef>
              <c:f>Φύλλο1!$H$36:$T$36</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Φύλλο1!$H$40:$T$40</c:f>
              <c:numCache>
                <c:formatCode>General</c:formatCode>
                <c:ptCount val="13"/>
              </c:numCache>
            </c:numRef>
          </c:val>
          <c:smooth val="0"/>
          <c:extLst>
            <c:ext xmlns:c16="http://schemas.microsoft.com/office/drawing/2014/chart" uri="{C3380CC4-5D6E-409C-BE32-E72D297353CC}">
              <c16:uniqueId val="{00000016-2014-468B-BD16-D3F3758A5A22}"/>
            </c:ext>
          </c:extLst>
        </c:ser>
        <c:ser>
          <c:idx val="4"/>
          <c:order val="4"/>
          <c:tx>
            <c:strRef>
              <c:f>Φύλλο1!$G$41</c:f>
              <c:strCache>
                <c:ptCount val="1"/>
                <c:pt idx="0">
                  <c:v>ΔΝΤ</c:v>
                </c:pt>
              </c:strCache>
            </c:strRef>
          </c:tx>
          <c:marker>
            <c:symbol val="none"/>
          </c:marker>
          <c:cat>
            <c:numRef>
              <c:f>Φύλλο1!$H$36:$T$36</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Φύλλο1!$H$41:$T$41</c:f>
              <c:numCache>
                <c:formatCode>General</c:formatCode>
                <c:ptCount val="13"/>
              </c:numCache>
            </c:numRef>
          </c:val>
          <c:smooth val="0"/>
          <c:extLst>
            <c:ext xmlns:c16="http://schemas.microsoft.com/office/drawing/2014/chart" uri="{C3380CC4-5D6E-409C-BE32-E72D297353CC}">
              <c16:uniqueId val="{00000017-2014-468B-BD16-D3F3758A5A22}"/>
            </c:ext>
          </c:extLst>
        </c:ser>
        <c:ser>
          <c:idx val="5"/>
          <c:order val="5"/>
          <c:tx>
            <c:strRef>
              <c:f>Φύλλο1!$G$42</c:f>
              <c:strCache>
                <c:ptCount val="1"/>
                <c:pt idx="0">
                  <c:v>ΟΟΣΑ </c:v>
                </c:pt>
              </c:strCache>
            </c:strRef>
          </c:tx>
          <c:marker>
            <c:symbol val="none"/>
          </c:marker>
          <c:cat>
            <c:numRef>
              <c:f>Φύλλο1!$H$36:$T$36</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Φύλλο1!$H$42:$T$42</c:f>
              <c:numCache>
                <c:formatCode>General</c:formatCode>
                <c:ptCount val="13"/>
              </c:numCache>
            </c:numRef>
          </c:val>
          <c:smooth val="0"/>
          <c:extLst>
            <c:ext xmlns:c16="http://schemas.microsoft.com/office/drawing/2014/chart" uri="{C3380CC4-5D6E-409C-BE32-E72D297353CC}">
              <c16:uniqueId val="{00000018-2014-468B-BD16-D3F3758A5A22}"/>
            </c:ext>
          </c:extLst>
        </c:ser>
        <c:dLbls>
          <c:showLegendKey val="0"/>
          <c:showVal val="0"/>
          <c:showCatName val="0"/>
          <c:showSerName val="0"/>
          <c:showPercent val="0"/>
          <c:showBubbleSize val="0"/>
        </c:dLbls>
        <c:marker val="1"/>
        <c:smooth val="0"/>
        <c:axId val="166563840"/>
        <c:axId val="166565376"/>
      </c:lineChart>
      <c:catAx>
        <c:axId val="166563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565376"/>
        <c:crosses val="autoZero"/>
        <c:auto val="1"/>
        <c:lblAlgn val="ctr"/>
        <c:lblOffset val="100"/>
        <c:noMultiLvlLbl val="0"/>
      </c:catAx>
      <c:valAx>
        <c:axId val="166565376"/>
        <c:scaling>
          <c:orientation val="minMax"/>
          <c:min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563840"/>
        <c:crosses val="autoZero"/>
        <c:crossBetween val="between"/>
      </c:valAx>
      <c:spPr>
        <a:noFill/>
        <a:ln w="25400">
          <a:noFill/>
        </a:ln>
      </c:spPr>
    </c:plotArea>
    <c:legend>
      <c:legendPos val="b"/>
      <c:legendEntry>
        <c:idx val="1"/>
        <c:delete val="1"/>
      </c:legendEntry>
      <c:legendEntry>
        <c:idx val="2"/>
        <c:delete val="1"/>
      </c:legendEntry>
      <c:legendEntry>
        <c:idx val="3"/>
        <c:delete val="1"/>
      </c:legendEntry>
      <c:legendEntry>
        <c:idx val="4"/>
        <c:delete val="1"/>
      </c:legendEntry>
      <c:legendEntry>
        <c:idx val="5"/>
        <c:delete val="1"/>
      </c:legendEntry>
      <c:layout>
        <c:manualLayout>
          <c:xMode val="edge"/>
          <c:yMode val="edge"/>
          <c:x val="5.7320679075331012E-2"/>
          <c:y val="0.82260135628902964"/>
          <c:w val="0.92350499270728148"/>
          <c:h val="0.15985218350394098"/>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rgbClr val="00B0F0"/>
      </a:solidFill>
      <a:round/>
    </a:ln>
    <a:effectLst/>
  </c:spPr>
  <c:txPr>
    <a:bodyPr/>
    <a:lstStyle/>
    <a:p>
      <a:pPr>
        <a:defRPr/>
      </a:pPr>
      <a:endParaRPr lang="en-US"/>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010403676915951E-2"/>
          <c:y val="2.2993268317316663E-2"/>
          <c:w val="0.91598959632308408"/>
          <c:h val="0.74855803810115262"/>
        </c:manualLayout>
      </c:layout>
      <c:lineChart>
        <c:grouping val="standard"/>
        <c:varyColors val="0"/>
        <c:ser>
          <c:idx val="0"/>
          <c:order val="0"/>
          <c:spPr>
            <a:ln w="28575" cap="rnd">
              <a:solidFill>
                <a:srgbClr val="00B0F0"/>
              </a:solidFill>
              <a:round/>
            </a:ln>
            <a:effectLst/>
          </c:spPr>
          <c:marker>
            <c:symbol val="none"/>
          </c:marker>
          <c:dLbls>
            <c:dLbl>
              <c:idx val="0"/>
              <c:layout>
                <c:manualLayout>
                  <c:x val="0"/>
                  <c:y val="-3.69856518968689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792-496A-86BF-BE5B3E15E834}"/>
                </c:ext>
              </c:extLst>
            </c:dLbl>
            <c:dLbl>
              <c:idx val="2"/>
              <c:layout>
                <c:manualLayout>
                  <c:x val="-2.6143790849673203E-2"/>
                  <c:y val="4.43827822762426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792-496A-86BF-BE5B3E15E834}"/>
                </c:ext>
              </c:extLst>
            </c:dLbl>
            <c:dLbl>
              <c:idx val="3"/>
              <c:layout>
                <c:manualLayout>
                  <c:x val="-4.4243338360985422E-2"/>
                  <c:y val="-3.32870867071820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792-496A-86BF-BE5B3E15E834}"/>
                </c:ext>
              </c:extLst>
            </c:dLbl>
            <c:dLbl>
              <c:idx val="5"/>
              <c:layout>
                <c:manualLayout>
                  <c:x val="-3.6199095022624438E-2"/>
                  <c:y val="3.32870867071819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792-496A-86BF-BE5B3E15E834}"/>
                </c:ext>
              </c:extLst>
            </c:dLbl>
            <c:dLbl>
              <c:idx val="10"/>
              <c:layout>
                <c:manualLayout>
                  <c:x val="-3.4188034188034191E-2"/>
                  <c:y val="3.32870867071819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792-496A-86BF-BE5B3E15E834}"/>
                </c:ext>
              </c:extLst>
            </c:dLbl>
            <c:dLbl>
              <c:idx val="12"/>
              <c:layout>
                <c:manualLayout>
                  <c:x val="-3.8210155857214753E-2"/>
                  <c:y val="4.06842170865556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792-496A-86BF-BE5B3E15E834}"/>
                </c:ext>
              </c:extLst>
            </c:dLbl>
            <c:dLbl>
              <c:idx val="13"/>
              <c:layout>
                <c:manualLayout>
                  <c:x val="-3.4188034188034261E-2"/>
                  <c:y val="-1.84928259484344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792-496A-86BF-BE5B3E15E834}"/>
                </c:ext>
              </c:extLst>
            </c:dLbl>
            <c:dLbl>
              <c:idx val="16"/>
              <c:layout>
                <c:manualLayout>
                  <c:x val="-3.2176973353444015E-2"/>
                  <c:y val="2.95885215174950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792-496A-86BF-BE5B3E15E834}"/>
                </c:ext>
              </c:extLst>
            </c:dLbl>
            <c:dLbl>
              <c:idx val="19"/>
              <c:layout>
                <c:manualLayout>
                  <c:x val="-3.2176973353443938E-2"/>
                  <c:y val="3.69856518968687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792-496A-86BF-BE5B3E15E834}"/>
                </c:ext>
              </c:extLst>
            </c:dLbl>
            <c:dLbl>
              <c:idx val="2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792-496A-86BF-BE5B3E15E834}"/>
                </c:ext>
              </c:extLst>
            </c:dLbl>
            <c:dLbl>
              <c:idx val="2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792-496A-86BF-BE5B3E15E834}"/>
                </c:ext>
              </c:extLst>
            </c:dLbl>
            <c:dLbl>
              <c:idx val="26"/>
              <c:layout>
                <c:manualLayout>
                  <c:x val="-1.8099547511312254E-2"/>
                  <c:y val="-2.21913911381213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792-496A-86BF-BE5B3E15E834}"/>
                </c:ext>
              </c:extLst>
            </c:dLbl>
            <c:dLbl>
              <c:idx val="29"/>
              <c:layout>
                <c:manualLayout>
                  <c:x val="-3.0165912518853696E-2"/>
                  <c:y val="-1.47942607587475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792-496A-86BF-BE5B3E15E83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'10 Years bonds'!$A$5:$A$37</c:f>
              <c:strCache>
                <c:ptCount val="33"/>
                <c:pt idx="0">
                  <c:v>Μάιος '21</c:v>
                </c:pt>
                <c:pt idx="1">
                  <c:v>Απρ. '21</c:v>
                </c:pt>
                <c:pt idx="2">
                  <c:v>Μαρ. '21</c:v>
                </c:pt>
                <c:pt idx="3">
                  <c:v>Φεβ. '21</c:v>
                </c:pt>
                <c:pt idx="4">
                  <c:v>Ιαν. '21</c:v>
                </c:pt>
                <c:pt idx="5">
                  <c:v>Δεκ. '20</c:v>
                </c:pt>
                <c:pt idx="6">
                  <c:v>Νοε. '20</c:v>
                </c:pt>
                <c:pt idx="7">
                  <c:v>Οκτ. '20</c:v>
                </c:pt>
                <c:pt idx="8">
                  <c:v>Σεπ. '20</c:v>
                </c:pt>
                <c:pt idx="9">
                  <c:v>Αυγ. '20</c:v>
                </c:pt>
                <c:pt idx="10">
                  <c:v>Ιουλ. '20</c:v>
                </c:pt>
                <c:pt idx="11">
                  <c:v>Ιουν. '20</c:v>
                </c:pt>
                <c:pt idx="12">
                  <c:v>Μάιος '20</c:v>
                </c:pt>
                <c:pt idx="13">
                  <c:v>Απρ. '20</c:v>
                </c:pt>
                <c:pt idx="14">
                  <c:v>Μαρ. '20</c:v>
                </c:pt>
                <c:pt idx="15">
                  <c:v>Φεβ. '20</c:v>
                </c:pt>
                <c:pt idx="16">
                  <c:v>Ιαν. '20</c:v>
                </c:pt>
                <c:pt idx="17">
                  <c:v>Δεκ. '19</c:v>
                </c:pt>
                <c:pt idx="18">
                  <c:v>Νοε. '19</c:v>
                </c:pt>
                <c:pt idx="19">
                  <c:v>Οκτ. '19</c:v>
                </c:pt>
                <c:pt idx="20">
                  <c:v>Σεπ. '19</c:v>
                </c:pt>
                <c:pt idx="21">
                  <c:v>Αυγ. '19</c:v>
                </c:pt>
                <c:pt idx="22">
                  <c:v>Ιουλ. '19</c:v>
                </c:pt>
                <c:pt idx="23">
                  <c:v>Ιουν. '19</c:v>
                </c:pt>
                <c:pt idx="24">
                  <c:v>Μάιος '19</c:v>
                </c:pt>
                <c:pt idx="25">
                  <c:v>Απρ. '19</c:v>
                </c:pt>
                <c:pt idx="26">
                  <c:v>Μαρ. '19</c:v>
                </c:pt>
                <c:pt idx="27">
                  <c:v>Φεβ. '19</c:v>
                </c:pt>
                <c:pt idx="28">
                  <c:v>Ιαν. '19</c:v>
                </c:pt>
                <c:pt idx="29">
                  <c:v>Δεκ. '18</c:v>
                </c:pt>
                <c:pt idx="30">
                  <c:v>Νοε. '18</c:v>
                </c:pt>
                <c:pt idx="31">
                  <c:v>Οκτ. '18</c:v>
                </c:pt>
                <c:pt idx="32">
                  <c:v>Σεπ. '18</c:v>
                </c:pt>
              </c:strCache>
            </c:strRef>
          </c:cat>
          <c:val>
            <c:numRef>
              <c:f>'10 Years bonds'!$B$5:$B$37</c:f>
              <c:numCache>
                <c:formatCode>0.00</c:formatCode>
                <c:ptCount val="33"/>
                <c:pt idx="0">
                  <c:v>1.0509999999999999</c:v>
                </c:pt>
                <c:pt idx="1">
                  <c:v>0.97499999999999998</c:v>
                </c:pt>
                <c:pt idx="2">
                  <c:v>0.86899999999999999</c:v>
                </c:pt>
                <c:pt idx="3">
                  <c:v>1.113</c:v>
                </c:pt>
                <c:pt idx="4">
                  <c:v>0.68500000000000005</c:v>
                </c:pt>
                <c:pt idx="5">
                  <c:v>0.61799999999999999</c:v>
                </c:pt>
                <c:pt idx="6">
                  <c:v>0.64300000000000002</c:v>
                </c:pt>
                <c:pt idx="7">
                  <c:v>0.94399999999999995</c:v>
                </c:pt>
                <c:pt idx="8">
                  <c:v>1.022</c:v>
                </c:pt>
                <c:pt idx="9">
                  <c:v>1.113</c:v>
                </c:pt>
                <c:pt idx="10">
                  <c:v>1.091</c:v>
                </c:pt>
                <c:pt idx="11">
                  <c:v>1.226</c:v>
                </c:pt>
                <c:pt idx="12">
                  <c:v>1.512</c:v>
                </c:pt>
                <c:pt idx="13">
                  <c:v>2.169</c:v>
                </c:pt>
                <c:pt idx="14">
                  <c:v>1.643</c:v>
                </c:pt>
                <c:pt idx="15">
                  <c:v>1.355</c:v>
                </c:pt>
                <c:pt idx="16">
                  <c:v>1.181</c:v>
                </c:pt>
                <c:pt idx="17">
                  <c:v>1.4570000000000001</c:v>
                </c:pt>
                <c:pt idx="18">
                  <c:v>1.48</c:v>
                </c:pt>
                <c:pt idx="19">
                  <c:v>1.1739999999999999</c:v>
                </c:pt>
                <c:pt idx="20">
                  <c:v>1.3759999999999999</c:v>
                </c:pt>
                <c:pt idx="21">
                  <c:v>1.589</c:v>
                </c:pt>
                <c:pt idx="22">
                  <c:v>2.0449999999999999</c:v>
                </c:pt>
                <c:pt idx="23">
                  <c:v>2.4620000000000002</c:v>
                </c:pt>
                <c:pt idx="24">
                  <c:v>2.9039999999999999</c:v>
                </c:pt>
                <c:pt idx="25">
                  <c:v>3.3769999999999998</c:v>
                </c:pt>
                <c:pt idx="26">
                  <c:v>3.734</c:v>
                </c:pt>
                <c:pt idx="27">
                  <c:v>3.6579999999999999</c:v>
                </c:pt>
                <c:pt idx="28">
                  <c:v>3.883</c:v>
                </c:pt>
                <c:pt idx="29">
                  <c:v>4.3819999999999997</c:v>
                </c:pt>
                <c:pt idx="30">
                  <c:v>4.266</c:v>
                </c:pt>
                <c:pt idx="31">
                  <c:v>4.2320000000000002</c:v>
                </c:pt>
                <c:pt idx="32">
                  <c:v>4.1989999999999998</c:v>
                </c:pt>
              </c:numCache>
            </c:numRef>
          </c:val>
          <c:smooth val="0"/>
          <c:extLst>
            <c:ext xmlns:c16="http://schemas.microsoft.com/office/drawing/2014/chart" uri="{C3380CC4-5D6E-409C-BE32-E72D297353CC}">
              <c16:uniqueId val="{0000000D-5792-496A-86BF-BE5B3E15E834}"/>
            </c:ext>
          </c:extLst>
        </c:ser>
        <c:dLbls>
          <c:showLegendKey val="0"/>
          <c:showVal val="0"/>
          <c:showCatName val="0"/>
          <c:showSerName val="0"/>
          <c:showPercent val="0"/>
          <c:showBubbleSize val="0"/>
        </c:dLbls>
        <c:smooth val="0"/>
        <c:axId val="524845192"/>
        <c:axId val="524849128"/>
      </c:lineChart>
      <c:catAx>
        <c:axId val="524845192"/>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4849128"/>
        <c:crosses val="autoZero"/>
        <c:auto val="1"/>
        <c:lblAlgn val="ctr"/>
        <c:lblOffset val="100"/>
        <c:noMultiLvlLbl val="0"/>
      </c:catAx>
      <c:valAx>
        <c:axId val="524849128"/>
        <c:scaling>
          <c:orientation val="minMax"/>
        </c:scaling>
        <c:delete val="0"/>
        <c:axPos val="r"/>
        <c:numFmt formatCode="0.00" sourceLinked="1"/>
        <c:majorTickMark val="none"/>
        <c:minorTickMark val="none"/>
        <c:tickLblPos val="high"/>
        <c:spPr>
          <a:noFill/>
          <a:ln>
            <a:noFill/>
          </a:ln>
          <a:effectLst/>
        </c:spPr>
        <c:txPr>
          <a:bodyPr rot="0" spcFirstLastPara="1" vertOverflow="ellipsis" wrap="square" anchor="t" anchorCtr="0"/>
          <a:lstStyle/>
          <a:p>
            <a:pPr>
              <a:defRPr sz="900" b="0" i="0" u="none" strike="noStrike" kern="1200" baseline="0">
                <a:solidFill>
                  <a:schemeClr val="tx1">
                    <a:lumMod val="65000"/>
                    <a:lumOff val="35000"/>
                  </a:schemeClr>
                </a:solidFill>
                <a:latin typeface="+mn-lt"/>
                <a:ea typeface="+mn-ea"/>
                <a:cs typeface="+mn-cs"/>
              </a:defRPr>
            </a:pPr>
            <a:endParaRPr lang="en-US"/>
          </a:p>
        </c:txPr>
        <c:crossAx val="5248451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00B0F0"/>
      </a:solidFill>
      <a:round/>
    </a:ln>
    <a:effectLst/>
  </c:spPr>
  <c:txPr>
    <a:bodyPr/>
    <a:lstStyle/>
    <a:p>
      <a:pPr>
        <a:defRPr/>
      </a:pPr>
      <a:endParaRPr lang="en-US"/>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75"/>
      <c:rotY val="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8485587756010089E-2"/>
          <c:y val="0"/>
          <c:w val="0.98151441224398994"/>
          <c:h val="1"/>
        </c:manualLayout>
      </c:layout>
      <c:pie3DChart>
        <c:varyColors val="1"/>
        <c:ser>
          <c:idx val="0"/>
          <c:order val="0"/>
          <c:spPr>
            <a:solidFill>
              <a:srgbClr val="00B0F0"/>
            </a:solidFill>
          </c:spPr>
          <c:explosion val="57"/>
          <c:dPt>
            <c:idx val="0"/>
            <c:bubble3D val="0"/>
            <c:explosion val="31"/>
            <c:spPr>
              <a:solidFill>
                <a:schemeClr val="accent6">
                  <a:lumMod val="40000"/>
                  <a:lumOff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8E84-4F1E-ACFB-4121C52CCED3}"/>
              </c:ext>
            </c:extLst>
          </c:dPt>
          <c:dPt>
            <c:idx val="1"/>
            <c:bubble3D val="0"/>
            <c:explosion val="25"/>
            <c:spPr>
              <a:solidFill>
                <a:schemeClr val="accent6">
                  <a:lumMod val="20000"/>
                  <a:lumOff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8E84-4F1E-ACFB-4121C52CCED3}"/>
              </c:ext>
            </c:extLst>
          </c:dPt>
          <c:dPt>
            <c:idx val="2"/>
            <c:bubble3D val="0"/>
            <c:explosion val="3"/>
            <c:spPr>
              <a:solidFill>
                <a:schemeClr val="accent1">
                  <a:lumMod val="20000"/>
                  <a:lumOff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8E84-4F1E-ACFB-4121C52CCED3}"/>
              </c:ext>
            </c:extLst>
          </c:dPt>
          <c:dPt>
            <c:idx val="3"/>
            <c:bubble3D val="0"/>
            <c:explosion val="0"/>
            <c:spPr>
              <a:solidFill>
                <a:schemeClr val="accent1">
                  <a:lumMod val="40000"/>
                  <a:lumOff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8E84-4F1E-ACFB-4121C52CCED3}"/>
              </c:ext>
            </c:extLst>
          </c:dPt>
          <c:dPt>
            <c:idx val="4"/>
            <c:bubble3D val="0"/>
            <c:explosion val="0"/>
            <c:spPr>
              <a:solidFill>
                <a:srgbClr val="00B0F0"/>
              </a:solidFill>
              <a:ln w="25400">
                <a:solidFill>
                  <a:srgbClr val="00B0F0"/>
                </a:solidFill>
              </a:ln>
              <a:effectLst/>
              <a:sp3d contourW="25400">
                <a:contourClr>
                  <a:srgbClr val="00B0F0"/>
                </a:contourClr>
              </a:sp3d>
            </c:spPr>
            <c:extLst>
              <c:ext xmlns:c16="http://schemas.microsoft.com/office/drawing/2014/chart" uri="{C3380CC4-5D6E-409C-BE32-E72D297353CC}">
                <c16:uniqueId val="{00000009-8E84-4F1E-ACFB-4121C52CCED3}"/>
              </c:ext>
            </c:extLst>
          </c:dPt>
          <c:dPt>
            <c:idx val="5"/>
            <c:bubble3D val="0"/>
            <c:explosion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B-8E84-4F1E-ACFB-4121C52CCED3}"/>
              </c:ext>
            </c:extLst>
          </c:dPt>
          <c:dPt>
            <c:idx val="6"/>
            <c:bubble3D val="0"/>
            <c:explosion val="0"/>
            <c:spPr>
              <a:solidFill>
                <a:schemeClr val="accent1">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8E84-4F1E-ACFB-4121C52CCED3}"/>
              </c:ext>
            </c:extLst>
          </c:dPt>
          <c:dPt>
            <c:idx val="7"/>
            <c:bubble3D val="0"/>
            <c:explosion val="0"/>
            <c:spPr>
              <a:solidFill>
                <a:schemeClr val="accent1">
                  <a:lumMod val="5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8E84-4F1E-ACFB-4121C52CCED3}"/>
              </c:ext>
            </c:extLst>
          </c:dPt>
          <c:dLbls>
            <c:dLbl>
              <c:idx val="0"/>
              <c:layout>
                <c:manualLayout>
                  <c:x val="-6.5143326455054051E-2"/>
                  <c:y val="9.485832841322304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E84-4F1E-ACFB-4121C52CCED3}"/>
                </c:ext>
              </c:extLst>
            </c:dLbl>
            <c:dLbl>
              <c:idx val="7"/>
              <c:layout>
                <c:manualLayout>
                  <c:x val="-7.4759756851585604E-2"/>
                  <c:y val="2.315653760088538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8E84-4F1E-ACFB-4121C52CCED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'Διάθρωση Χρέους'!$D$6:$D$13</c:f>
              <c:strCache>
                <c:ptCount val="8"/>
                <c:pt idx="0">
                  <c:v>Ομόλογα</c:v>
                </c:pt>
                <c:pt idx="1">
                  <c:v>Έντοκα Γραμμάτια</c:v>
                </c:pt>
                <c:pt idx="2">
                  <c:v>ANFA's &amp; SMP</c:v>
                </c:pt>
                <c:pt idx="3">
                  <c:v>Ευρωπαίκή Τράπεζα Επενδύσεων &amp; SURE</c:v>
                </c:pt>
                <c:pt idx="4">
                  <c:v>ΔΝΤ</c:v>
                </c:pt>
                <c:pt idx="5">
                  <c:v>GLF</c:v>
                </c:pt>
                <c:pt idx="6">
                  <c:v>ESM</c:v>
                </c:pt>
                <c:pt idx="7">
                  <c:v>EFSF</c:v>
                </c:pt>
              </c:strCache>
            </c:strRef>
          </c:cat>
          <c:val>
            <c:numRef>
              <c:f>'Διάθρωση Χρέους'!$E$6:$E$13</c:f>
              <c:numCache>
                <c:formatCode>0%</c:formatCode>
                <c:ptCount val="8"/>
                <c:pt idx="0">
                  <c:v>0.18</c:v>
                </c:pt>
                <c:pt idx="1">
                  <c:v>0.03</c:v>
                </c:pt>
                <c:pt idx="2">
                  <c:v>0.02</c:v>
                </c:pt>
                <c:pt idx="3">
                  <c:v>0.03</c:v>
                </c:pt>
                <c:pt idx="4">
                  <c:v>0.02</c:v>
                </c:pt>
                <c:pt idx="5">
                  <c:v>0.15</c:v>
                </c:pt>
                <c:pt idx="6">
                  <c:v>0.18</c:v>
                </c:pt>
                <c:pt idx="7">
                  <c:v>0.39</c:v>
                </c:pt>
              </c:numCache>
            </c:numRef>
          </c:val>
          <c:extLst>
            <c:ext xmlns:c16="http://schemas.microsoft.com/office/drawing/2014/chart" uri="{C3380CC4-5D6E-409C-BE32-E72D297353CC}">
              <c16:uniqueId val="{00000010-8E84-4F1E-ACFB-4121C52CCED3}"/>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rgbClr val="00B0F0"/>
      </a:solidFill>
      <a:round/>
    </a:ln>
    <a:effectLst/>
  </c:spPr>
  <c:txPr>
    <a:bodyPr/>
    <a:lstStyle/>
    <a:p>
      <a:pPr>
        <a:defRPr/>
      </a:pPr>
      <a:endParaRPr lang="en-US"/>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GFN!$F$5</c:f>
              <c:strCache>
                <c:ptCount val="1"/>
                <c:pt idx="0">
                  <c:v>Ακαθαριστες Xρηματοδοτικές Ανάγκες ως ποσοστό στο ΑΕΠ (GFN)</c:v>
                </c:pt>
              </c:strCache>
            </c:strRef>
          </c:tx>
          <c:spPr>
            <a:ln w="28575" cap="rnd">
              <a:solidFill>
                <a:schemeClr val="accent1"/>
              </a:solidFill>
              <a:round/>
            </a:ln>
            <a:effectLst/>
          </c:spPr>
          <c:marker>
            <c:symbol val="none"/>
          </c:marker>
          <c:cat>
            <c:numRef>
              <c:f>GFN!$G$4:$Q$4</c:f>
              <c:numCache>
                <c:formatCode>General</c:formatCode>
                <c:ptCount val="11"/>
                <c:pt idx="0">
                  <c:v>2021</c:v>
                </c:pt>
                <c:pt idx="1">
                  <c:v>2022</c:v>
                </c:pt>
                <c:pt idx="2">
                  <c:v>2023</c:v>
                </c:pt>
                <c:pt idx="3">
                  <c:v>2024</c:v>
                </c:pt>
                <c:pt idx="4">
                  <c:v>2025</c:v>
                </c:pt>
                <c:pt idx="5">
                  <c:v>2026</c:v>
                </c:pt>
                <c:pt idx="6">
                  <c:v>2027</c:v>
                </c:pt>
                <c:pt idx="7">
                  <c:v>2028</c:v>
                </c:pt>
                <c:pt idx="8">
                  <c:v>2029</c:v>
                </c:pt>
                <c:pt idx="9">
                  <c:v>2030</c:v>
                </c:pt>
                <c:pt idx="10">
                  <c:v>2031</c:v>
                </c:pt>
              </c:numCache>
            </c:numRef>
          </c:cat>
          <c:val>
            <c:numRef>
              <c:f>GFN!$G$5:$Q$5</c:f>
              <c:numCache>
                <c:formatCode>0.00%</c:formatCode>
                <c:ptCount val="11"/>
                <c:pt idx="0">
                  <c:v>0.18828839522014595</c:v>
                </c:pt>
                <c:pt idx="1">
                  <c:v>0.14270616998329114</c:v>
                </c:pt>
                <c:pt idx="2">
                  <c:v>0.13285762555706715</c:v>
                </c:pt>
                <c:pt idx="3">
                  <c:v>0.10748153217516591</c:v>
                </c:pt>
                <c:pt idx="4">
                  <c:v>0.11367144090070296</c:v>
                </c:pt>
                <c:pt idx="5">
                  <c:v>0.10830074240383636</c:v>
                </c:pt>
                <c:pt idx="6">
                  <c:v>0.10330606176754878</c:v>
                </c:pt>
                <c:pt idx="7">
                  <c:v>0.11884396835665495</c:v>
                </c:pt>
                <c:pt idx="8">
                  <c:v>0.10502478811155204</c:v>
                </c:pt>
                <c:pt idx="9">
                  <c:v>0.11430706844363395</c:v>
                </c:pt>
                <c:pt idx="10">
                  <c:v>8.6287641266044837E-2</c:v>
                </c:pt>
              </c:numCache>
            </c:numRef>
          </c:val>
          <c:smooth val="0"/>
          <c:extLst>
            <c:ext xmlns:c16="http://schemas.microsoft.com/office/drawing/2014/chart" uri="{C3380CC4-5D6E-409C-BE32-E72D297353CC}">
              <c16:uniqueId val="{00000000-ACE9-4434-960B-4699D7D009E0}"/>
            </c:ext>
          </c:extLst>
        </c:ser>
        <c:ser>
          <c:idx val="1"/>
          <c:order val="1"/>
          <c:tx>
            <c:strRef>
              <c:f>GFN!$F$6</c:f>
              <c:strCache>
                <c:ptCount val="1"/>
              </c:strCache>
            </c:strRef>
          </c:tx>
          <c:spPr>
            <a:ln w="28575" cap="rnd">
              <a:solidFill>
                <a:srgbClr val="C00000"/>
              </a:solidFill>
              <a:prstDash val="sysDash"/>
              <a:round/>
            </a:ln>
            <a:effectLst/>
          </c:spPr>
          <c:marker>
            <c:symbol val="none"/>
          </c:marker>
          <c:cat>
            <c:numRef>
              <c:f>GFN!$G$4:$Q$4</c:f>
              <c:numCache>
                <c:formatCode>General</c:formatCode>
                <c:ptCount val="11"/>
                <c:pt idx="0">
                  <c:v>2021</c:v>
                </c:pt>
                <c:pt idx="1">
                  <c:v>2022</c:v>
                </c:pt>
                <c:pt idx="2">
                  <c:v>2023</c:v>
                </c:pt>
                <c:pt idx="3">
                  <c:v>2024</c:v>
                </c:pt>
                <c:pt idx="4">
                  <c:v>2025</c:v>
                </c:pt>
                <c:pt idx="5">
                  <c:v>2026</c:v>
                </c:pt>
                <c:pt idx="6">
                  <c:v>2027</c:v>
                </c:pt>
                <c:pt idx="7">
                  <c:v>2028</c:v>
                </c:pt>
                <c:pt idx="8">
                  <c:v>2029</c:v>
                </c:pt>
                <c:pt idx="9">
                  <c:v>2030</c:v>
                </c:pt>
                <c:pt idx="10">
                  <c:v>2031</c:v>
                </c:pt>
              </c:numCache>
            </c:numRef>
          </c:cat>
          <c:val>
            <c:numRef>
              <c:f>GFN!$G$6:$Q$6</c:f>
              <c:numCache>
                <c:formatCode>0.00%</c:formatCode>
                <c:ptCount val="11"/>
                <c:pt idx="0">
                  <c:v>0.15</c:v>
                </c:pt>
                <c:pt idx="1">
                  <c:v>0.15</c:v>
                </c:pt>
                <c:pt idx="2">
                  <c:v>0.15</c:v>
                </c:pt>
                <c:pt idx="3">
                  <c:v>0.15</c:v>
                </c:pt>
                <c:pt idx="4">
                  <c:v>0.15</c:v>
                </c:pt>
                <c:pt idx="5">
                  <c:v>0.15</c:v>
                </c:pt>
                <c:pt idx="6">
                  <c:v>0.15</c:v>
                </c:pt>
                <c:pt idx="7">
                  <c:v>0.15</c:v>
                </c:pt>
                <c:pt idx="8">
                  <c:v>0.15</c:v>
                </c:pt>
                <c:pt idx="9">
                  <c:v>0.15</c:v>
                </c:pt>
                <c:pt idx="10">
                  <c:v>0.15</c:v>
                </c:pt>
              </c:numCache>
            </c:numRef>
          </c:val>
          <c:smooth val="0"/>
          <c:extLst>
            <c:ext xmlns:c16="http://schemas.microsoft.com/office/drawing/2014/chart" uri="{C3380CC4-5D6E-409C-BE32-E72D297353CC}">
              <c16:uniqueId val="{00000001-ACE9-4434-960B-4699D7D009E0}"/>
            </c:ext>
          </c:extLst>
        </c:ser>
        <c:dLbls>
          <c:showLegendKey val="0"/>
          <c:showVal val="0"/>
          <c:showCatName val="0"/>
          <c:showSerName val="0"/>
          <c:showPercent val="0"/>
          <c:showBubbleSize val="0"/>
        </c:dLbls>
        <c:smooth val="0"/>
        <c:axId val="1877618047"/>
        <c:axId val="1877617215"/>
      </c:lineChart>
      <c:catAx>
        <c:axId val="18776180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7617215"/>
        <c:crosses val="autoZero"/>
        <c:auto val="1"/>
        <c:lblAlgn val="ctr"/>
        <c:lblOffset val="100"/>
        <c:noMultiLvlLbl val="0"/>
      </c:catAx>
      <c:valAx>
        <c:axId val="187761721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7618047"/>
        <c:crosses val="autoZero"/>
        <c:crossBetween val="between"/>
      </c:valAx>
      <c:spPr>
        <a:noFill/>
        <a:ln>
          <a:noFill/>
        </a:ln>
        <a:effectLst/>
      </c:spPr>
    </c:plotArea>
    <c:legend>
      <c:legendPos val="b"/>
      <c:legendEntry>
        <c:idx val="1"/>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0585471170942344E-2"/>
          <c:y val="5.8068706601548233E-2"/>
          <c:w val="0.89251977979286889"/>
          <c:h val="0.68396645541258561"/>
        </c:manualLayout>
      </c:layout>
      <c:lineChart>
        <c:grouping val="standard"/>
        <c:varyColors val="0"/>
        <c:ser>
          <c:idx val="0"/>
          <c:order val="0"/>
          <c:tx>
            <c:v>Εν.ΔΤΚ</c:v>
          </c:tx>
          <c:spPr>
            <a:ln>
              <a:solidFill>
                <a:srgbClr val="0070C0"/>
              </a:solidFill>
            </a:ln>
          </c:spPr>
          <c:marker>
            <c:spPr>
              <a:solidFill>
                <a:srgbClr val="0070C0"/>
              </a:solidFill>
              <a:ln>
                <a:solidFill>
                  <a:srgbClr val="0070C0"/>
                </a:solidFill>
              </a:ln>
            </c:spPr>
          </c:marker>
          <c:dLbls>
            <c:dLbl>
              <c:idx val="0"/>
              <c:numFmt formatCode="#,##0.0_ ;[Red]\-#,##0.0\ " sourceLinked="0"/>
              <c:spPr>
                <a:noFill/>
                <a:ln>
                  <a:noFill/>
                </a:ln>
                <a:effectLst/>
              </c:spPr>
              <c:txPr>
                <a:bodyPr wrap="square" lIns="38100" tIns="19050" rIns="38100" bIns="19050" anchor="ctr">
                  <a:spAutoFit/>
                </a:bodyPr>
                <a:lstStyle/>
                <a:p>
                  <a:pPr>
                    <a:defRPr>
                      <a:solidFill>
                        <a:srgbClr val="0070C0"/>
                      </a:solidFill>
                    </a:defRPr>
                  </a:pPr>
                  <a:endParaRPr lang="en-US"/>
                </a:p>
              </c:txPr>
              <c:dLblPos val="b"/>
              <c:showLegendKey val="0"/>
              <c:showVal val="1"/>
              <c:showCatName val="0"/>
              <c:showSerName val="0"/>
              <c:showPercent val="0"/>
              <c:showBubbleSize val="0"/>
              <c:extLst>
                <c:ext xmlns:c16="http://schemas.microsoft.com/office/drawing/2014/chart" uri="{C3380CC4-5D6E-409C-BE32-E72D297353CC}">
                  <c16:uniqueId val="{00000003-19D8-44FD-814F-EFA71E43AA2B}"/>
                </c:ext>
              </c:extLst>
            </c:dLbl>
            <c:dLbl>
              <c:idx val="1"/>
              <c:numFmt formatCode="#,##0.0_ ;[Red]\-#,##0.0\ " sourceLinked="0"/>
              <c:spPr>
                <a:noFill/>
                <a:ln>
                  <a:noFill/>
                </a:ln>
                <a:effectLst/>
              </c:spPr>
              <c:txPr>
                <a:bodyPr wrap="square" lIns="38100" tIns="19050" rIns="38100" bIns="19050" anchor="ctr">
                  <a:spAutoFit/>
                </a:bodyPr>
                <a:lstStyle/>
                <a:p>
                  <a:pPr>
                    <a:defRPr>
                      <a:solidFill>
                        <a:srgbClr val="0070C0"/>
                      </a:solidFill>
                    </a:defRPr>
                  </a:pPr>
                  <a:endParaRPr lang="en-US"/>
                </a:p>
              </c:txPr>
              <c:dLblPos val="b"/>
              <c:showLegendKey val="0"/>
              <c:showVal val="1"/>
              <c:showCatName val="0"/>
              <c:showSerName val="0"/>
              <c:showPercent val="0"/>
              <c:showBubbleSize val="0"/>
              <c:extLst>
                <c:ext xmlns:c16="http://schemas.microsoft.com/office/drawing/2014/chart" uri="{C3380CC4-5D6E-409C-BE32-E72D297353CC}">
                  <c16:uniqueId val="{00000002-19D8-44FD-814F-EFA71E43AA2B}"/>
                </c:ext>
              </c:extLst>
            </c:dLbl>
            <c:dLbl>
              <c:idx val="2"/>
              <c:numFmt formatCode="#,##0.0_ ;[Red]\-#,##0.0\ " sourceLinked="0"/>
              <c:spPr>
                <a:noFill/>
                <a:ln>
                  <a:noFill/>
                </a:ln>
                <a:effectLst/>
              </c:spPr>
              <c:txPr>
                <a:bodyPr wrap="square" lIns="38100" tIns="19050" rIns="38100" bIns="19050" anchor="ctr">
                  <a:spAutoFit/>
                </a:bodyPr>
                <a:lstStyle/>
                <a:p>
                  <a:pPr>
                    <a:defRPr>
                      <a:solidFill>
                        <a:srgbClr val="0070C0"/>
                      </a:solidFill>
                    </a:defRPr>
                  </a:pPr>
                  <a:endParaRPr lang="en-US"/>
                </a:p>
              </c:txPr>
              <c:dLblPos val="b"/>
              <c:showLegendKey val="0"/>
              <c:showVal val="1"/>
              <c:showCatName val="0"/>
              <c:showSerName val="0"/>
              <c:showPercent val="0"/>
              <c:showBubbleSize val="0"/>
              <c:extLst>
                <c:ext xmlns:c16="http://schemas.microsoft.com/office/drawing/2014/chart" uri="{C3380CC4-5D6E-409C-BE32-E72D297353CC}">
                  <c16:uniqueId val="{00000001-19D8-44FD-814F-EFA71E43AA2B}"/>
                </c:ext>
              </c:extLst>
            </c:dLbl>
            <c:dLbl>
              <c:idx val="3"/>
              <c:numFmt formatCode="#,##0.0_ ;[Red]\-#,##0.0\ " sourceLinked="0"/>
              <c:spPr>
                <a:noFill/>
                <a:ln>
                  <a:noFill/>
                </a:ln>
                <a:effectLst/>
              </c:spPr>
              <c:txPr>
                <a:bodyPr wrap="square" lIns="38100" tIns="19050" rIns="38100" bIns="19050" anchor="ctr">
                  <a:spAutoFit/>
                </a:bodyPr>
                <a:lstStyle/>
                <a:p>
                  <a:pPr>
                    <a:defRPr>
                      <a:solidFill>
                        <a:srgbClr val="0070C0"/>
                      </a:solidFill>
                    </a:defRPr>
                  </a:pPr>
                  <a:endParaRPr lang="en-US"/>
                </a:p>
              </c:txPr>
              <c:dLblPos val="b"/>
              <c:showLegendKey val="0"/>
              <c:showVal val="1"/>
              <c:showCatName val="0"/>
              <c:showSerName val="0"/>
              <c:showPercent val="0"/>
              <c:showBubbleSize val="0"/>
              <c:extLst>
                <c:ext xmlns:c16="http://schemas.microsoft.com/office/drawing/2014/chart" uri="{C3380CC4-5D6E-409C-BE32-E72D297353CC}">
                  <c16:uniqueId val="{00000000-19D8-44FD-814F-EFA71E43AA2B}"/>
                </c:ext>
              </c:extLst>
            </c:dLbl>
            <c:dLbl>
              <c:idx val="12"/>
              <c:numFmt formatCode="#,##0.0_ ;[Red]\-#,##0.0\ " sourceLinked="0"/>
              <c:spPr/>
              <c:txPr>
                <a:bodyPr/>
                <a:lstStyle/>
                <a:p>
                  <a:pPr>
                    <a:defRPr b="1"/>
                  </a:pPr>
                  <a:endParaRPr lang="en-US"/>
                </a:p>
              </c:txPr>
              <c:dLblPos val="b"/>
              <c:showLegendKey val="0"/>
              <c:showVal val="1"/>
              <c:showCatName val="0"/>
              <c:showSerName val="0"/>
              <c:showPercent val="0"/>
              <c:showBubbleSize val="0"/>
              <c:extLst>
                <c:ext xmlns:c16="http://schemas.microsoft.com/office/drawing/2014/chart" uri="{C3380CC4-5D6E-409C-BE32-E72D297353CC}">
                  <c16:uniqueId val="{00000000-9CC0-4019-B3E5-720B510617FD}"/>
                </c:ext>
              </c:extLst>
            </c:dLbl>
            <c:numFmt formatCode="#,##0.0_ ;[Red]\-#,##0.0\ " sourceLinked="0"/>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'monthly+constant'!$B$10:$N$11</c:f>
              <c:multiLvlStrCache>
                <c:ptCount val="13"/>
                <c:lvl>
                  <c:pt idx="0">
                    <c:v>Δεκ.</c:v>
                  </c:pt>
                  <c:pt idx="1">
                    <c:v>Ιαν.</c:v>
                  </c:pt>
                  <c:pt idx="2">
                    <c:v>Φεβ.</c:v>
                  </c:pt>
                  <c:pt idx="3">
                    <c:v>Μάρ.</c:v>
                  </c:pt>
                  <c:pt idx="4">
                    <c:v>Απρ.</c:v>
                  </c:pt>
                  <c:pt idx="5">
                    <c:v>Μάιος</c:v>
                  </c:pt>
                  <c:pt idx="6">
                    <c:v>Ιούν.</c:v>
                  </c:pt>
                  <c:pt idx="7">
                    <c:v>Ιούλ.</c:v>
                  </c:pt>
                  <c:pt idx="8">
                    <c:v>Αύγ.</c:v>
                  </c:pt>
                  <c:pt idx="9">
                    <c:v>Σεπ.</c:v>
                  </c:pt>
                  <c:pt idx="10">
                    <c:v>Οκτ.</c:v>
                  </c:pt>
                  <c:pt idx="11">
                    <c:v>Νοέμ.</c:v>
                  </c:pt>
                  <c:pt idx="12">
                    <c:v>Δεκ.</c:v>
                  </c:pt>
                </c:lvl>
                <c:lvl>
                  <c:pt idx="0">
                    <c:v>2019</c:v>
                  </c:pt>
                  <c:pt idx="1">
                    <c:v>2020</c:v>
                  </c:pt>
                </c:lvl>
              </c:multiLvlStrCache>
            </c:multiLvlStrRef>
          </c:cat>
          <c:val>
            <c:numRef>
              <c:f>'monthly+constant'!$B$15:$N$15</c:f>
              <c:numCache>
                <c:formatCode>#,##0.0</c:formatCode>
                <c:ptCount val="13"/>
                <c:pt idx="0">
                  <c:v>1.1000000000000001</c:v>
                </c:pt>
                <c:pt idx="1">
                  <c:v>1.1000000000000001</c:v>
                </c:pt>
                <c:pt idx="2">
                  <c:v>0.4</c:v>
                </c:pt>
                <c:pt idx="3">
                  <c:v>0.2</c:v>
                </c:pt>
                <c:pt idx="4">
                  <c:v>-0.9</c:v>
                </c:pt>
                <c:pt idx="5">
                  <c:v>-0.7</c:v>
                </c:pt>
                <c:pt idx="6">
                  <c:v>-1.9</c:v>
                </c:pt>
                <c:pt idx="7">
                  <c:v>-2.1</c:v>
                </c:pt>
                <c:pt idx="8">
                  <c:v>-2.2999999999999998</c:v>
                </c:pt>
                <c:pt idx="9">
                  <c:v>-2.2999999999999998</c:v>
                </c:pt>
                <c:pt idx="10">
                  <c:v>-2</c:v>
                </c:pt>
                <c:pt idx="11">
                  <c:v>-2.1</c:v>
                </c:pt>
                <c:pt idx="12">
                  <c:v>-2.4</c:v>
                </c:pt>
              </c:numCache>
            </c:numRef>
          </c:val>
          <c:smooth val="0"/>
          <c:extLst>
            <c:ext xmlns:c16="http://schemas.microsoft.com/office/drawing/2014/chart" uri="{C3380CC4-5D6E-409C-BE32-E72D297353CC}">
              <c16:uniqueId val="{00000001-9CC0-4019-B3E5-720B510617FD}"/>
            </c:ext>
          </c:extLst>
        </c:ser>
        <c:ser>
          <c:idx val="1"/>
          <c:order val="1"/>
          <c:tx>
            <c:v>Εν.ΔΤΚ με σταθερούς φόρους</c:v>
          </c:tx>
          <c:spPr>
            <a:ln>
              <a:solidFill>
                <a:srgbClr val="00B050"/>
              </a:solidFill>
            </a:ln>
          </c:spPr>
          <c:marker>
            <c:spPr>
              <a:solidFill>
                <a:srgbClr val="00B050"/>
              </a:solidFill>
              <a:ln>
                <a:solidFill>
                  <a:srgbClr val="00B050"/>
                </a:solidFill>
              </a:ln>
            </c:spPr>
          </c:marker>
          <c:dLbls>
            <c:dLbl>
              <c:idx val="0"/>
              <c:numFmt formatCode="#,##0.0_ ;[Red]\-#,##0.0\ " sourceLinked="0"/>
              <c:spPr>
                <a:noFill/>
                <a:ln>
                  <a:noFill/>
                </a:ln>
                <a:effectLst/>
              </c:spPr>
              <c:txPr>
                <a:bodyPr wrap="square" lIns="38100" tIns="19050" rIns="38100" bIns="19050" anchor="ctr">
                  <a:spAutoFit/>
                </a:bodyPr>
                <a:lstStyle/>
                <a:p>
                  <a:pPr>
                    <a:defRPr>
                      <a:solidFill>
                        <a:schemeClr val="accent6">
                          <a:lumMod val="50000"/>
                        </a:schemeClr>
                      </a:solidFill>
                    </a:defRPr>
                  </a:pPr>
                  <a:endParaRPr lang="en-US"/>
                </a:p>
              </c:txPr>
              <c:dLblPos val="t"/>
              <c:showLegendKey val="0"/>
              <c:showVal val="1"/>
              <c:showCatName val="0"/>
              <c:showSerName val="0"/>
              <c:showPercent val="0"/>
              <c:showBubbleSize val="0"/>
              <c:extLst>
                <c:ext xmlns:c16="http://schemas.microsoft.com/office/drawing/2014/chart" uri="{C3380CC4-5D6E-409C-BE32-E72D297353CC}">
                  <c16:uniqueId val="{00000009-19D8-44FD-814F-EFA71E43AA2B}"/>
                </c:ext>
              </c:extLst>
            </c:dLbl>
            <c:dLbl>
              <c:idx val="1"/>
              <c:numFmt formatCode="#,##0.0_ ;[Red]\-#,##0.0\ " sourceLinked="0"/>
              <c:spPr>
                <a:noFill/>
                <a:ln>
                  <a:noFill/>
                </a:ln>
                <a:effectLst/>
              </c:spPr>
              <c:txPr>
                <a:bodyPr wrap="square" lIns="38100" tIns="19050" rIns="38100" bIns="19050" anchor="ctr">
                  <a:spAutoFit/>
                </a:bodyPr>
                <a:lstStyle/>
                <a:p>
                  <a:pPr>
                    <a:defRPr>
                      <a:solidFill>
                        <a:schemeClr val="accent6">
                          <a:lumMod val="50000"/>
                        </a:schemeClr>
                      </a:solidFill>
                    </a:defRPr>
                  </a:pPr>
                  <a:endParaRPr lang="en-US"/>
                </a:p>
              </c:txPr>
              <c:dLblPos val="t"/>
              <c:showLegendKey val="0"/>
              <c:showVal val="1"/>
              <c:showCatName val="0"/>
              <c:showSerName val="0"/>
              <c:showPercent val="0"/>
              <c:showBubbleSize val="0"/>
              <c:extLst>
                <c:ext xmlns:c16="http://schemas.microsoft.com/office/drawing/2014/chart" uri="{C3380CC4-5D6E-409C-BE32-E72D297353CC}">
                  <c16:uniqueId val="{00000008-19D8-44FD-814F-EFA71E43AA2B}"/>
                </c:ext>
              </c:extLst>
            </c:dLbl>
            <c:dLbl>
              <c:idx val="2"/>
              <c:numFmt formatCode="#,##0.0_ ;[Red]\-#,##0.0\ " sourceLinked="0"/>
              <c:spPr>
                <a:noFill/>
                <a:ln>
                  <a:noFill/>
                </a:ln>
                <a:effectLst/>
              </c:spPr>
              <c:txPr>
                <a:bodyPr wrap="square" lIns="38100" tIns="19050" rIns="38100" bIns="19050" anchor="ctr">
                  <a:spAutoFit/>
                </a:bodyPr>
                <a:lstStyle/>
                <a:p>
                  <a:pPr>
                    <a:defRPr>
                      <a:solidFill>
                        <a:schemeClr val="accent6">
                          <a:lumMod val="50000"/>
                        </a:schemeClr>
                      </a:solidFill>
                    </a:defRPr>
                  </a:pPr>
                  <a:endParaRPr lang="en-US"/>
                </a:p>
              </c:txPr>
              <c:dLblPos val="t"/>
              <c:showLegendKey val="0"/>
              <c:showVal val="1"/>
              <c:showCatName val="0"/>
              <c:showSerName val="0"/>
              <c:showPercent val="0"/>
              <c:showBubbleSize val="0"/>
              <c:extLst>
                <c:ext xmlns:c16="http://schemas.microsoft.com/office/drawing/2014/chart" uri="{C3380CC4-5D6E-409C-BE32-E72D297353CC}">
                  <c16:uniqueId val="{00000007-19D8-44FD-814F-EFA71E43AA2B}"/>
                </c:ext>
              </c:extLst>
            </c:dLbl>
            <c:dLbl>
              <c:idx val="3"/>
              <c:numFmt formatCode="#,##0.0_ ;[Red]\-#,##0.0\ " sourceLinked="0"/>
              <c:spPr>
                <a:noFill/>
                <a:ln>
                  <a:noFill/>
                </a:ln>
                <a:effectLst/>
              </c:spPr>
              <c:txPr>
                <a:bodyPr wrap="square" lIns="38100" tIns="19050" rIns="38100" bIns="19050" anchor="ctr">
                  <a:spAutoFit/>
                </a:bodyPr>
                <a:lstStyle/>
                <a:p>
                  <a:pPr>
                    <a:defRPr>
                      <a:solidFill>
                        <a:schemeClr val="accent6">
                          <a:lumMod val="50000"/>
                        </a:schemeClr>
                      </a:solidFill>
                    </a:defRPr>
                  </a:pPr>
                  <a:endParaRPr lang="en-US"/>
                </a:p>
              </c:txPr>
              <c:dLblPos val="t"/>
              <c:showLegendKey val="0"/>
              <c:showVal val="1"/>
              <c:showCatName val="0"/>
              <c:showSerName val="0"/>
              <c:showPercent val="0"/>
              <c:showBubbleSize val="0"/>
              <c:extLst>
                <c:ext xmlns:c16="http://schemas.microsoft.com/office/drawing/2014/chart" uri="{C3380CC4-5D6E-409C-BE32-E72D297353CC}">
                  <c16:uniqueId val="{00000006-19D8-44FD-814F-EFA71E43AA2B}"/>
                </c:ext>
              </c:extLst>
            </c:dLbl>
            <c:dLbl>
              <c:idx val="4"/>
              <c:numFmt formatCode="#,##0.0_ ;[Red]\-#,##0.0\ " sourceLinked="0"/>
              <c:spPr>
                <a:noFill/>
                <a:ln>
                  <a:noFill/>
                </a:ln>
                <a:effectLst/>
              </c:spPr>
              <c:txPr>
                <a:bodyPr wrap="square" lIns="38100" tIns="19050" rIns="38100" bIns="19050" anchor="ctr">
                  <a:spAutoFit/>
                </a:bodyPr>
                <a:lstStyle/>
                <a:p>
                  <a:pPr>
                    <a:defRPr>
                      <a:solidFill>
                        <a:schemeClr val="accent6">
                          <a:lumMod val="50000"/>
                        </a:schemeClr>
                      </a:solidFill>
                    </a:defRPr>
                  </a:pPr>
                  <a:endParaRPr lang="en-US"/>
                </a:p>
              </c:txPr>
              <c:dLblPos val="t"/>
              <c:showLegendKey val="0"/>
              <c:showVal val="1"/>
              <c:showCatName val="0"/>
              <c:showSerName val="0"/>
              <c:showPercent val="0"/>
              <c:showBubbleSize val="0"/>
              <c:extLst>
                <c:ext xmlns:c16="http://schemas.microsoft.com/office/drawing/2014/chart" uri="{C3380CC4-5D6E-409C-BE32-E72D297353CC}">
                  <c16:uniqueId val="{00000005-19D8-44FD-814F-EFA71E43AA2B}"/>
                </c:ext>
              </c:extLst>
            </c:dLbl>
            <c:dLbl>
              <c:idx val="5"/>
              <c:numFmt formatCode="#,##0.0_ ;[Red]\-#,##0.0\ " sourceLinked="0"/>
              <c:spPr>
                <a:noFill/>
                <a:ln>
                  <a:noFill/>
                </a:ln>
                <a:effectLst/>
              </c:spPr>
              <c:txPr>
                <a:bodyPr wrap="square" lIns="38100" tIns="19050" rIns="38100" bIns="19050" anchor="ctr">
                  <a:spAutoFit/>
                </a:bodyPr>
                <a:lstStyle/>
                <a:p>
                  <a:pPr>
                    <a:defRPr>
                      <a:solidFill>
                        <a:schemeClr val="accent6">
                          <a:lumMod val="50000"/>
                        </a:schemeClr>
                      </a:solidFill>
                    </a:defRPr>
                  </a:pPr>
                  <a:endParaRPr lang="en-US"/>
                </a:p>
              </c:txPr>
              <c:dLblPos val="t"/>
              <c:showLegendKey val="0"/>
              <c:showVal val="1"/>
              <c:showCatName val="0"/>
              <c:showSerName val="0"/>
              <c:showPercent val="0"/>
              <c:showBubbleSize val="0"/>
              <c:extLst>
                <c:ext xmlns:c16="http://schemas.microsoft.com/office/drawing/2014/chart" uri="{C3380CC4-5D6E-409C-BE32-E72D297353CC}">
                  <c16:uniqueId val="{00000004-19D8-44FD-814F-EFA71E43AA2B}"/>
                </c:ext>
              </c:extLst>
            </c:dLbl>
            <c:dLbl>
              <c:idx val="12"/>
              <c:numFmt formatCode="#,##0.0_ ;[Red]\-#,##0.0\ " sourceLinked="0"/>
              <c:spPr/>
              <c:txPr>
                <a:bodyPr/>
                <a:lstStyle/>
                <a:p>
                  <a:pPr>
                    <a:defRPr b="1"/>
                  </a:pPr>
                  <a:endParaRPr lang="en-US"/>
                </a:p>
              </c:txPr>
              <c:dLblPos val="t"/>
              <c:showLegendKey val="0"/>
              <c:showVal val="1"/>
              <c:showCatName val="0"/>
              <c:showSerName val="0"/>
              <c:showPercent val="0"/>
              <c:showBubbleSize val="0"/>
              <c:extLst>
                <c:ext xmlns:c16="http://schemas.microsoft.com/office/drawing/2014/chart" uri="{C3380CC4-5D6E-409C-BE32-E72D297353CC}">
                  <c16:uniqueId val="{00000002-9CC0-4019-B3E5-720B510617FD}"/>
                </c:ext>
              </c:extLst>
            </c:dLbl>
            <c:numFmt formatCode="#,##0.0_ ;[Red]\-#,##0.0\ " sourceLinked="0"/>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'monthly+constant'!$B$10:$N$11</c:f>
              <c:multiLvlStrCache>
                <c:ptCount val="13"/>
                <c:lvl>
                  <c:pt idx="0">
                    <c:v>Δεκ.</c:v>
                  </c:pt>
                  <c:pt idx="1">
                    <c:v>Ιαν.</c:v>
                  </c:pt>
                  <c:pt idx="2">
                    <c:v>Φεβ.</c:v>
                  </c:pt>
                  <c:pt idx="3">
                    <c:v>Μάρ.</c:v>
                  </c:pt>
                  <c:pt idx="4">
                    <c:v>Απρ.</c:v>
                  </c:pt>
                  <c:pt idx="5">
                    <c:v>Μάιος</c:v>
                  </c:pt>
                  <c:pt idx="6">
                    <c:v>Ιούν.</c:v>
                  </c:pt>
                  <c:pt idx="7">
                    <c:v>Ιούλ.</c:v>
                  </c:pt>
                  <c:pt idx="8">
                    <c:v>Αύγ.</c:v>
                  </c:pt>
                  <c:pt idx="9">
                    <c:v>Σεπ.</c:v>
                  </c:pt>
                  <c:pt idx="10">
                    <c:v>Οκτ.</c:v>
                  </c:pt>
                  <c:pt idx="11">
                    <c:v>Νοέμ.</c:v>
                  </c:pt>
                  <c:pt idx="12">
                    <c:v>Δεκ.</c:v>
                  </c:pt>
                </c:lvl>
                <c:lvl>
                  <c:pt idx="0">
                    <c:v>2019</c:v>
                  </c:pt>
                  <c:pt idx="1">
                    <c:v>2020</c:v>
                  </c:pt>
                </c:lvl>
              </c:multiLvlStrCache>
            </c:multiLvlStrRef>
          </c:cat>
          <c:val>
            <c:numRef>
              <c:f>'monthly+constant'!$B$20:$N$20</c:f>
              <c:numCache>
                <c:formatCode>#,##0.0</c:formatCode>
                <c:ptCount val="13"/>
                <c:pt idx="0">
                  <c:v>2.4</c:v>
                </c:pt>
                <c:pt idx="1">
                  <c:v>2.4</c:v>
                </c:pt>
                <c:pt idx="2">
                  <c:v>1.7</c:v>
                </c:pt>
                <c:pt idx="3">
                  <c:v>1.5</c:v>
                </c:pt>
                <c:pt idx="4">
                  <c:v>0.5</c:v>
                </c:pt>
                <c:pt idx="5">
                  <c:v>0.6</c:v>
                </c:pt>
                <c:pt idx="6">
                  <c:v>-1</c:v>
                </c:pt>
                <c:pt idx="7">
                  <c:v>-1.2</c:v>
                </c:pt>
                <c:pt idx="8">
                  <c:v>-1.4</c:v>
                </c:pt>
                <c:pt idx="9">
                  <c:v>-1.4</c:v>
                </c:pt>
                <c:pt idx="10">
                  <c:v>-1.1000000000000001</c:v>
                </c:pt>
                <c:pt idx="11">
                  <c:v>-1.3</c:v>
                </c:pt>
                <c:pt idx="12">
                  <c:v>-1.5</c:v>
                </c:pt>
              </c:numCache>
            </c:numRef>
          </c:val>
          <c:smooth val="0"/>
          <c:extLst>
            <c:ext xmlns:c16="http://schemas.microsoft.com/office/drawing/2014/chart" uri="{C3380CC4-5D6E-409C-BE32-E72D297353CC}">
              <c16:uniqueId val="{00000003-9CC0-4019-B3E5-720B510617FD}"/>
            </c:ext>
          </c:extLst>
        </c:ser>
        <c:dLbls>
          <c:showLegendKey val="0"/>
          <c:showVal val="0"/>
          <c:showCatName val="0"/>
          <c:showSerName val="0"/>
          <c:showPercent val="0"/>
          <c:showBubbleSize val="0"/>
        </c:dLbls>
        <c:marker val="1"/>
        <c:smooth val="0"/>
        <c:axId val="138040064"/>
        <c:axId val="138041984"/>
      </c:lineChart>
      <c:catAx>
        <c:axId val="138040064"/>
        <c:scaling>
          <c:orientation val="minMax"/>
        </c:scaling>
        <c:delete val="0"/>
        <c:axPos val="b"/>
        <c:numFmt formatCode="#,##0.0_ ;[Red]\-#,##0.0\ " sourceLinked="0"/>
        <c:majorTickMark val="none"/>
        <c:minorTickMark val="none"/>
        <c:tickLblPos val="low"/>
        <c:spPr>
          <a:noFill/>
          <a:ln w="12700" cap="flat" cmpd="sng" algn="ctr">
            <a:solidFill>
              <a:srgbClr val="C00000"/>
            </a:solidFill>
            <a:prstDash val="dash"/>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041984"/>
        <c:crossesAt val="0"/>
        <c:auto val="1"/>
        <c:lblAlgn val="ctr"/>
        <c:lblOffset val="100"/>
        <c:noMultiLvlLbl val="0"/>
      </c:catAx>
      <c:valAx>
        <c:axId val="1380419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a:t>%</a:t>
                </a:r>
              </a:p>
            </c:rich>
          </c:tx>
          <c:overlay val="0"/>
          <c:spPr>
            <a:noFill/>
            <a:ln>
              <a:noFill/>
            </a:ln>
            <a:effectLst/>
          </c:spPr>
        </c:title>
        <c:numFmt formatCode="#,##0.0_ ;[Red]\-#,##0.0\ "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040064"/>
        <c:crosses val="autoZero"/>
        <c:crossBetween val="between"/>
      </c:valAx>
      <c:spPr>
        <a:noFill/>
        <a:ln>
          <a:noFill/>
        </a:ln>
        <a:effectLst/>
      </c:spPr>
    </c:plotArea>
    <c:legend>
      <c:legendPos val="b"/>
      <c:layout>
        <c:manualLayout>
          <c:xMode val="edge"/>
          <c:yMode val="edge"/>
          <c:x val="0.21788946056833147"/>
          <c:y val="0.9240984052794412"/>
          <c:w val="0.57538739967973318"/>
          <c:h val="5.033592277475382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v>Εν.ΔΤΚ</c:v>
          </c:tx>
          <c:spPr>
            <a:solidFill>
              <a:srgbClr val="5B9BD5">
                <a:lumMod val="60000"/>
                <a:lumOff val="4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'monthly+constant'!$A$182:$A$193</c:f>
              <c:strCache>
                <c:ptCount val="12"/>
                <c:pt idx="0">
                  <c:v>Μεταφορές </c:v>
                </c:pt>
                <c:pt idx="1">
                  <c:v>Στέγαση - Ύδρευση - Ηλεκτρισμός - Αέριο</c:v>
                </c:pt>
                <c:pt idx="2">
                  <c:v>Επικοινωνίες </c:v>
                </c:pt>
                <c:pt idx="3">
                  <c:v>Διαρκή αγαθά - Είδη νοικοκυριού και υπηρεσίες </c:v>
                </c:pt>
                <c:pt idx="4">
                  <c:v>Ξενοδοχεία - Καφέ - Εστιατόρια </c:v>
                </c:pt>
                <c:pt idx="5">
                  <c:v>Άλλα αγαθά και υπηρεσίες </c:v>
                </c:pt>
                <c:pt idx="6">
                  <c:v>Αναψυχή - Πολιτιστικές δραστηριότητες </c:v>
                </c:pt>
                <c:pt idx="7">
                  <c:v>Αλκοολούχα ποτά και καπνός </c:v>
                </c:pt>
                <c:pt idx="8">
                  <c:v>Υγεία </c:v>
                </c:pt>
                <c:pt idx="9">
                  <c:v>Εκπαίδευση </c:v>
                </c:pt>
                <c:pt idx="10">
                  <c:v>Ένδυση και υπόδηση </c:v>
                </c:pt>
                <c:pt idx="11">
                  <c:v>Διατροφή και μη αλκοολούχα ποτά </c:v>
                </c:pt>
              </c:strCache>
            </c:strRef>
          </c:cat>
          <c:val>
            <c:numRef>
              <c:f>'monthly+constant'!$B$182:$B$193</c:f>
              <c:numCache>
                <c:formatCode>0.0%</c:formatCode>
                <c:ptCount val="12"/>
                <c:pt idx="0">
                  <c:v>-4.7E-2</c:v>
                </c:pt>
                <c:pt idx="1">
                  <c:v>-4.0999999999999995E-2</c:v>
                </c:pt>
                <c:pt idx="2">
                  <c:v>-1.7000000000000001E-2</c:v>
                </c:pt>
                <c:pt idx="3">
                  <c:v>-1.4999999999999999E-2</c:v>
                </c:pt>
                <c:pt idx="4">
                  <c:v>-1.3000000000000001E-2</c:v>
                </c:pt>
                <c:pt idx="5">
                  <c:v>-1.2E-2</c:v>
                </c:pt>
                <c:pt idx="6">
                  <c:v>-6.0000000000000001E-3</c:v>
                </c:pt>
                <c:pt idx="7">
                  <c:v>1E-3</c:v>
                </c:pt>
                <c:pt idx="8">
                  <c:v>2E-3</c:v>
                </c:pt>
                <c:pt idx="9">
                  <c:v>4.0000000000000001E-3</c:v>
                </c:pt>
                <c:pt idx="10">
                  <c:v>9.0000000000000011E-3</c:v>
                </c:pt>
                <c:pt idx="11">
                  <c:v>1.6E-2</c:v>
                </c:pt>
              </c:numCache>
            </c:numRef>
          </c:val>
          <c:extLst>
            <c:ext xmlns:c16="http://schemas.microsoft.com/office/drawing/2014/chart" uri="{C3380CC4-5D6E-409C-BE32-E72D297353CC}">
              <c16:uniqueId val="{00000000-A585-4A30-8E65-9F34916F4628}"/>
            </c:ext>
          </c:extLst>
        </c:ser>
        <c:dLbls>
          <c:showLegendKey val="0"/>
          <c:showVal val="0"/>
          <c:showCatName val="0"/>
          <c:showSerName val="0"/>
          <c:showPercent val="0"/>
          <c:showBubbleSize val="0"/>
        </c:dLbls>
        <c:gapWidth val="50"/>
        <c:axId val="139612160"/>
        <c:axId val="139614080"/>
      </c:barChart>
      <c:catAx>
        <c:axId val="139612160"/>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614080"/>
        <c:crosses val="autoZero"/>
        <c:auto val="1"/>
        <c:lblAlgn val="ctr"/>
        <c:lblOffset val="100"/>
        <c:noMultiLvlLbl val="0"/>
      </c:catAx>
      <c:valAx>
        <c:axId val="13961408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612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0585471170942344E-2"/>
          <c:y val="5.3849297318847814E-2"/>
          <c:w val="0.88530013170736332"/>
          <c:h val="0.70238234980775005"/>
        </c:manualLayout>
      </c:layout>
      <c:lineChart>
        <c:grouping val="standard"/>
        <c:varyColors val="0"/>
        <c:ser>
          <c:idx val="0"/>
          <c:order val="0"/>
          <c:tx>
            <c:v>Εν.ΔΤΚ - Ελλάδα</c:v>
          </c:tx>
          <c:dLbls>
            <c:dLbl>
              <c:idx val="12"/>
              <c:numFmt formatCode="#,##0.0_ ;[Red]\-#,##0.0\ " sourceLinked="0"/>
              <c:spPr/>
              <c:txPr>
                <a:bodyPr/>
                <a:lstStyle/>
                <a:p>
                  <a:pPr>
                    <a:defRPr b="1">
                      <a:solidFill>
                        <a:srgbClr val="FF0000"/>
                      </a:solidFill>
                    </a:defRPr>
                  </a:pPr>
                  <a:endParaRPr lang="en-US"/>
                </a:p>
              </c:txPr>
              <c:dLblPos val="b"/>
              <c:showLegendKey val="0"/>
              <c:showVal val="1"/>
              <c:showCatName val="0"/>
              <c:showSerName val="0"/>
              <c:showPercent val="0"/>
              <c:showBubbleSize val="0"/>
              <c:extLst>
                <c:ext xmlns:c16="http://schemas.microsoft.com/office/drawing/2014/chart" uri="{C3380CC4-5D6E-409C-BE32-E72D297353CC}">
                  <c16:uniqueId val="{00000000-D9D3-4593-BA27-5D4A45048807}"/>
                </c:ext>
              </c:extLst>
            </c:dLbl>
            <c:numFmt formatCode="#,##0.0_ ;[Red]\-#,##0.0\ " sourceLinked="0"/>
            <c:spPr>
              <a:noFill/>
              <a:ln>
                <a:noFill/>
              </a:ln>
              <a:effectLst/>
            </c:spPr>
            <c:txPr>
              <a:bodyPr wrap="square" lIns="38100" tIns="19050" rIns="38100" bIns="19050" anchor="ctr">
                <a:spAutoFit/>
              </a:bodyPr>
              <a:lstStyle/>
              <a:p>
                <a:pPr>
                  <a:defRPr>
                    <a:solidFill>
                      <a:srgbClr val="0070C0"/>
                    </a:solidFill>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'monthly+constant'!$B$10:$N$11</c:f>
              <c:multiLvlStrCache>
                <c:ptCount val="13"/>
                <c:lvl>
                  <c:pt idx="0">
                    <c:v>Δεκ.</c:v>
                  </c:pt>
                  <c:pt idx="1">
                    <c:v>Ιαν.</c:v>
                  </c:pt>
                  <c:pt idx="2">
                    <c:v>Φεβ.</c:v>
                  </c:pt>
                  <c:pt idx="3">
                    <c:v>Μάρ.</c:v>
                  </c:pt>
                  <c:pt idx="4">
                    <c:v>Απρ.</c:v>
                  </c:pt>
                  <c:pt idx="5">
                    <c:v>Μάιος</c:v>
                  </c:pt>
                  <c:pt idx="6">
                    <c:v>Ιούν.</c:v>
                  </c:pt>
                  <c:pt idx="7">
                    <c:v>Ιούλ.</c:v>
                  </c:pt>
                  <c:pt idx="8">
                    <c:v>Αύγ.</c:v>
                  </c:pt>
                  <c:pt idx="9">
                    <c:v>Σεπ.</c:v>
                  </c:pt>
                  <c:pt idx="10">
                    <c:v>Οκτ.</c:v>
                  </c:pt>
                  <c:pt idx="11">
                    <c:v>Νοέμ.</c:v>
                  </c:pt>
                  <c:pt idx="12">
                    <c:v>Δεκ.</c:v>
                  </c:pt>
                </c:lvl>
                <c:lvl>
                  <c:pt idx="0">
                    <c:v>2019</c:v>
                  </c:pt>
                  <c:pt idx="1">
                    <c:v>2020</c:v>
                  </c:pt>
                </c:lvl>
              </c:multiLvlStrCache>
            </c:multiLvlStrRef>
          </c:cat>
          <c:val>
            <c:numRef>
              <c:f>'monthly+constant'!$B$15:$N$15</c:f>
              <c:numCache>
                <c:formatCode>#,##0.0</c:formatCode>
                <c:ptCount val="13"/>
                <c:pt idx="0">
                  <c:v>1.1000000000000001</c:v>
                </c:pt>
                <c:pt idx="1">
                  <c:v>1.1000000000000001</c:v>
                </c:pt>
                <c:pt idx="2">
                  <c:v>0.4</c:v>
                </c:pt>
                <c:pt idx="3">
                  <c:v>0.2</c:v>
                </c:pt>
                <c:pt idx="4">
                  <c:v>-0.9</c:v>
                </c:pt>
                <c:pt idx="5">
                  <c:v>-0.7</c:v>
                </c:pt>
                <c:pt idx="6">
                  <c:v>-1.9</c:v>
                </c:pt>
                <c:pt idx="7">
                  <c:v>-2.1</c:v>
                </c:pt>
                <c:pt idx="8">
                  <c:v>-2.2999999999999998</c:v>
                </c:pt>
                <c:pt idx="9">
                  <c:v>-2.2999999999999998</c:v>
                </c:pt>
                <c:pt idx="10">
                  <c:v>-2</c:v>
                </c:pt>
                <c:pt idx="11">
                  <c:v>-2.1</c:v>
                </c:pt>
                <c:pt idx="12">
                  <c:v>-2.4</c:v>
                </c:pt>
              </c:numCache>
            </c:numRef>
          </c:val>
          <c:smooth val="0"/>
          <c:extLst>
            <c:ext xmlns:c16="http://schemas.microsoft.com/office/drawing/2014/chart" uri="{C3380CC4-5D6E-409C-BE32-E72D297353CC}">
              <c16:uniqueId val="{00000001-D9D3-4593-BA27-5D4A45048807}"/>
            </c:ext>
          </c:extLst>
        </c:ser>
        <c:ser>
          <c:idx val="5"/>
          <c:order val="1"/>
          <c:tx>
            <c:v>Εν.ΔΤΚ - Ευρωζώνη (19 κ-μ)</c:v>
          </c:tx>
          <c:spPr>
            <a:ln>
              <a:solidFill>
                <a:srgbClr val="00B050"/>
              </a:solidFill>
            </a:ln>
          </c:spPr>
          <c:marker>
            <c:spPr>
              <a:solidFill>
                <a:srgbClr val="00B050"/>
              </a:solidFill>
              <a:ln>
                <a:solidFill>
                  <a:srgbClr val="00B050"/>
                </a:solidFill>
              </a:ln>
            </c:spPr>
          </c:marker>
          <c:dLbls>
            <c:dLbl>
              <c:idx val="0"/>
              <c:numFmt formatCode="#,##0.0_ ;[Red]\-#,##0.0\ " sourceLinked="0"/>
              <c:spPr>
                <a:noFill/>
                <a:ln>
                  <a:noFill/>
                </a:ln>
                <a:effectLst/>
              </c:spPr>
              <c:txPr>
                <a:bodyPr wrap="square" lIns="38100" tIns="19050" rIns="38100" bIns="19050" anchor="ctr">
                  <a:spAutoFit/>
                </a:bodyPr>
                <a:lstStyle/>
                <a:p>
                  <a:pPr>
                    <a:defRPr>
                      <a:solidFill>
                        <a:schemeClr val="accent6">
                          <a:lumMod val="50000"/>
                        </a:schemeClr>
                      </a:solidFill>
                    </a:defRPr>
                  </a:pPr>
                  <a:endParaRPr lang="en-US"/>
                </a:p>
              </c:txPr>
              <c:dLblPos val="t"/>
              <c:showLegendKey val="0"/>
              <c:showVal val="1"/>
              <c:showCatName val="0"/>
              <c:showSerName val="0"/>
              <c:showPercent val="0"/>
              <c:showBubbleSize val="0"/>
              <c:extLst>
                <c:ext xmlns:c16="http://schemas.microsoft.com/office/drawing/2014/chart" uri="{C3380CC4-5D6E-409C-BE32-E72D297353CC}">
                  <c16:uniqueId val="{00000007-FE2B-4643-BB26-AE263E79B19F}"/>
                </c:ext>
              </c:extLst>
            </c:dLbl>
            <c:dLbl>
              <c:idx val="1"/>
              <c:numFmt formatCode="#,##0.0_ ;[Red]\-#,##0.0\ " sourceLinked="0"/>
              <c:spPr>
                <a:noFill/>
                <a:ln>
                  <a:noFill/>
                </a:ln>
                <a:effectLst/>
              </c:spPr>
              <c:txPr>
                <a:bodyPr wrap="square" lIns="38100" tIns="19050" rIns="38100" bIns="19050" anchor="ctr">
                  <a:spAutoFit/>
                </a:bodyPr>
                <a:lstStyle/>
                <a:p>
                  <a:pPr>
                    <a:defRPr>
                      <a:solidFill>
                        <a:schemeClr val="accent6">
                          <a:lumMod val="50000"/>
                        </a:schemeClr>
                      </a:solidFill>
                    </a:defRPr>
                  </a:pPr>
                  <a:endParaRPr lang="en-US"/>
                </a:p>
              </c:txPr>
              <c:dLblPos val="t"/>
              <c:showLegendKey val="0"/>
              <c:showVal val="1"/>
              <c:showCatName val="0"/>
              <c:showSerName val="0"/>
              <c:showPercent val="0"/>
              <c:showBubbleSize val="0"/>
              <c:extLst>
                <c:ext xmlns:c16="http://schemas.microsoft.com/office/drawing/2014/chart" uri="{C3380CC4-5D6E-409C-BE32-E72D297353CC}">
                  <c16:uniqueId val="{00000006-FE2B-4643-BB26-AE263E79B19F}"/>
                </c:ext>
              </c:extLst>
            </c:dLbl>
            <c:dLbl>
              <c:idx val="2"/>
              <c:numFmt formatCode="#,##0.0_ ;[Red]\-#,##0.0\ " sourceLinked="0"/>
              <c:spPr>
                <a:noFill/>
                <a:ln>
                  <a:noFill/>
                </a:ln>
                <a:effectLst/>
              </c:spPr>
              <c:txPr>
                <a:bodyPr wrap="square" lIns="38100" tIns="19050" rIns="38100" bIns="19050" anchor="ctr">
                  <a:spAutoFit/>
                </a:bodyPr>
                <a:lstStyle/>
                <a:p>
                  <a:pPr>
                    <a:defRPr>
                      <a:solidFill>
                        <a:schemeClr val="accent6">
                          <a:lumMod val="50000"/>
                        </a:schemeClr>
                      </a:solidFill>
                    </a:defRPr>
                  </a:pPr>
                  <a:endParaRPr lang="en-US"/>
                </a:p>
              </c:txPr>
              <c:dLblPos val="t"/>
              <c:showLegendKey val="0"/>
              <c:showVal val="1"/>
              <c:showCatName val="0"/>
              <c:showSerName val="0"/>
              <c:showPercent val="0"/>
              <c:showBubbleSize val="0"/>
              <c:extLst>
                <c:ext xmlns:c16="http://schemas.microsoft.com/office/drawing/2014/chart" uri="{C3380CC4-5D6E-409C-BE32-E72D297353CC}">
                  <c16:uniqueId val="{00000005-FE2B-4643-BB26-AE263E79B19F}"/>
                </c:ext>
              </c:extLst>
            </c:dLbl>
            <c:dLbl>
              <c:idx val="3"/>
              <c:numFmt formatCode="#,##0.0_ ;[Red]\-#,##0.0\ " sourceLinked="0"/>
              <c:spPr>
                <a:noFill/>
                <a:ln>
                  <a:noFill/>
                </a:ln>
                <a:effectLst/>
              </c:spPr>
              <c:txPr>
                <a:bodyPr wrap="square" lIns="38100" tIns="19050" rIns="38100" bIns="19050" anchor="ctr">
                  <a:spAutoFit/>
                </a:bodyPr>
                <a:lstStyle/>
                <a:p>
                  <a:pPr>
                    <a:defRPr>
                      <a:solidFill>
                        <a:schemeClr val="accent6">
                          <a:lumMod val="50000"/>
                        </a:schemeClr>
                      </a:solidFill>
                    </a:defRPr>
                  </a:pPr>
                  <a:endParaRPr lang="en-US"/>
                </a:p>
              </c:txPr>
              <c:dLblPos val="t"/>
              <c:showLegendKey val="0"/>
              <c:showVal val="1"/>
              <c:showCatName val="0"/>
              <c:showSerName val="0"/>
              <c:showPercent val="0"/>
              <c:showBubbleSize val="0"/>
              <c:extLst>
                <c:ext xmlns:c16="http://schemas.microsoft.com/office/drawing/2014/chart" uri="{C3380CC4-5D6E-409C-BE32-E72D297353CC}">
                  <c16:uniqueId val="{00000004-FE2B-4643-BB26-AE263E79B19F}"/>
                </c:ext>
              </c:extLst>
            </c:dLbl>
            <c:dLbl>
              <c:idx val="4"/>
              <c:numFmt formatCode="#,##0.0_ ;[Red]\-#,##0.0\ " sourceLinked="0"/>
              <c:spPr>
                <a:noFill/>
                <a:ln>
                  <a:noFill/>
                </a:ln>
                <a:effectLst/>
              </c:spPr>
              <c:txPr>
                <a:bodyPr wrap="square" lIns="38100" tIns="19050" rIns="38100" bIns="19050" anchor="ctr">
                  <a:spAutoFit/>
                </a:bodyPr>
                <a:lstStyle/>
                <a:p>
                  <a:pPr>
                    <a:defRPr>
                      <a:solidFill>
                        <a:schemeClr val="accent6">
                          <a:lumMod val="50000"/>
                        </a:schemeClr>
                      </a:solidFill>
                    </a:defRPr>
                  </a:pPr>
                  <a:endParaRPr lang="en-US"/>
                </a:p>
              </c:txPr>
              <c:dLblPos val="t"/>
              <c:showLegendKey val="0"/>
              <c:showVal val="1"/>
              <c:showCatName val="0"/>
              <c:showSerName val="0"/>
              <c:showPercent val="0"/>
              <c:showBubbleSize val="0"/>
              <c:extLst>
                <c:ext xmlns:c16="http://schemas.microsoft.com/office/drawing/2014/chart" uri="{C3380CC4-5D6E-409C-BE32-E72D297353CC}">
                  <c16:uniqueId val="{00000003-FE2B-4643-BB26-AE263E79B19F}"/>
                </c:ext>
              </c:extLst>
            </c:dLbl>
            <c:dLbl>
              <c:idx val="5"/>
              <c:numFmt formatCode="#,##0.0_ ;[Red]\-#,##0.0\ " sourceLinked="0"/>
              <c:spPr>
                <a:noFill/>
                <a:ln>
                  <a:noFill/>
                </a:ln>
                <a:effectLst/>
              </c:spPr>
              <c:txPr>
                <a:bodyPr wrap="square" lIns="38100" tIns="19050" rIns="38100" bIns="19050" anchor="ctr">
                  <a:spAutoFit/>
                </a:bodyPr>
                <a:lstStyle/>
                <a:p>
                  <a:pPr>
                    <a:defRPr>
                      <a:solidFill>
                        <a:schemeClr val="accent6">
                          <a:lumMod val="50000"/>
                        </a:schemeClr>
                      </a:solidFill>
                    </a:defRPr>
                  </a:pPr>
                  <a:endParaRPr lang="en-US"/>
                </a:p>
              </c:txPr>
              <c:dLblPos val="t"/>
              <c:showLegendKey val="0"/>
              <c:showVal val="1"/>
              <c:showCatName val="0"/>
              <c:showSerName val="0"/>
              <c:showPercent val="0"/>
              <c:showBubbleSize val="0"/>
              <c:extLst>
                <c:ext xmlns:c16="http://schemas.microsoft.com/office/drawing/2014/chart" uri="{C3380CC4-5D6E-409C-BE32-E72D297353CC}">
                  <c16:uniqueId val="{00000002-FE2B-4643-BB26-AE263E79B19F}"/>
                </c:ext>
              </c:extLst>
            </c:dLbl>
            <c:dLbl>
              <c:idx val="6"/>
              <c:numFmt formatCode="#,##0.0_ ;[Red]\-#,##0.0\ " sourceLinked="0"/>
              <c:spPr>
                <a:noFill/>
                <a:ln>
                  <a:noFill/>
                </a:ln>
                <a:effectLst/>
              </c:spPr>
              <c:txPr>
                <a:bodyPr wrap="square" lIns="38100" tIns="19050" rIns="38100" bIns="19050" anchor="ctr">
                  <a:spAutoFit/>
                </a:bodyPr>
                <a:lstStyle/>
                <a:p>
                  <a:pPr>
                    <a:defRPr>
                      <a:solidFill>
                        <a:schemeClr val="accent6">
                          <a:lumMod val="50000"/>
                        </a:schemeClr>
                      </a:solidFill>
                    </a:defRPr>
                  </a:pPr>
                  <a:endParaRPr lang="en-US"/>
                </a:p>
              </c:txPr>
              <c:dLblPos val="t"/>
              <c:showLegendKey val="0"/>
              <c:showVal val="1"/>
              <c:showCatName val="0"/>
              <c:showSerName val="0"/>
              <c:showPercent val="0"/>
              <c:showBubbleSize val="0"/>
              <c:extLst>
                <c:ext xmlns:c16="http://schemas.microsoft.com/office/drawing/2014/chart" uri="{C3380CC4-5D6E-409C-BE32-E72D297353CC}">
                  <c16:uniqueId val="{00000001-FE2B-4643-BB26-AE263E79B19F}"/>
                </c:ext>
              </c:extLst>
            </c:dLbl>
            <c:dLbl>
              <c:idx val="7"/>
              <c:numFmt formatCode="#,##0.0_ ;[Red]\-#,##0.0\ " sourceLinked="0"/>
              <c:spPr>
                <a:noFill/>
                <a:ln>
                  <a:noFill/>
                </a:ln>
                <a:effectLst/>
              </c:spPr>
              <c:txPr>
                <a:bodyPr wrap="square" lIns="38100" tIns="19050" rIns="38100" bIns="19050" anchor="ctr">
                  <a:spAutoFit/>
                </a:bodyPr>
                <a:lstStyle/>
                <a:p>
                  <a:pPr>
                    <a:defRPr>
                      <a:solidFill>
                        <a:schemeClr val="accent6">
                          <a:lumMod val="50000"/>
                        </a:schemeClr>
                      </a:solidFill>
                    </a:defRPr>
                  </a:pPr>
                  <a:endParaRPr lang="en-US"/>
                </a:p>
              </c:txPr>
              <c:dLblPos val="t"/>
              <c:showLegendKey val="0"/>
              <c:showVal val="1"/>
              <c:showCatName val="0"/>
              <c:showSerName val="0"/>
              <c:showPercent val="0"/>
              <c:showBubbleSize val="0"/>
              <c:extLst>
                <c:ext xmlns:c16="http://schemas.microsoft.com/office/drawing/2014/chart" uri="{C3380CC4-5D6E-409C-BE32-E72D297353CC}">
                  <c16:uniqueId val="{00000000-FE2B-4643-BB26-AE263E79B19F}"/>
                </c:ext>
              </c:extLst>
            </c:dLbl>
            <c:dLbl>
              <c:idx val="8"/>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9D3-4593-BA27-5D4A45048807}"/>
                </c:ext>
              </c:extLst>
            </c:dLbl>
            <c:dLbl>
              <c:idx val="9"/>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9D3-4593-BA27-5D4A45048807}"/>
                </c:ext>
              </c:extLst>
            </c:dLbl>
            <c:dLbl>
              <c:idx val="10"/>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9D3-4593-BA27-5D4A45048807}"/>
                </c:ext>
              </c:extLst>
            </c:dLbl>
            <c:dLbl>
              <c:idx val="11"/>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9D3-4593-BA27-5D4A45048807}"/>
                </c:ext>
              </c:extLst>
            </c:dLbl>
            <c:dLbl>
              <c:idx val="12"/>
              <c:numFmt formatCode="#,##0.0_ ;[Red]\-#,##0.0\ " sourceLinked="0"/>
              <c:spPr/>
              <c:txPr>
                <a:bodyPr/>
                <a:lstStyle/>
                <a:p>
                  <a:pPr>
                    <a:defRPr b="1"/>
                  </a:pPr>
                  <a:endParaRPr lang="en-US"/>
                </a:p>
              </c:txPr>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9D3-4593-BA27-5D4A45048807}"/>
                </c:ext>
              </c:extLst>
            </c:dLbl>
            <c:numFmt formatCode="#,##0.0_ ;[Red]\-#,##0.0\ " sourceLinked="0"/>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'monthly+constant'!$B$10:$N$11</c:f>
              <c:multiLvlStrCache>
                <c:ptCount val="13"/>
                <c:lvl>
                  <c:pt idx="0">
                    <c:v>Δεκ.</c:v>
                  </c:pt>
                  <c:pt idx="1">
                    <c:v>Ιαν.</c:v>
                  </c:pt>
                  <c:pt idx="2">
                    <c:v>Φεβ.</c:v>
                  </c:pt>
                  <c:pt idx="3">
                    <c:v>Μάρ.</c:v>
                  </c:pt>
                  <c:pt idx="4">
                    <c:v>Απρ.</c:v>
                  </c:pt>
                  <c:pt idx="5">
                    <c:v>Μάιος</c:v>
                  </c:pt>
                  <c:pt idx="6">
                    <c:v>Ιούν.</c:v>
                  </c:pt>
                  <c:pt idx="7">
                    <c:v>Ιούλ.</c:v>
                  </c:pt>
                  <c:pt idx="8">
                    <c:v>Αύγ.</c:v>
                  </c:pt>
                  <c:pt idx="9">
                    <c:v>Σεπ.</c:v>
                  </c:pt>
                  <c:pt idx="10">
                    <c:v>Οκτ.</c:v>
                  </c:pt>
                  <c:pt idx="11">
                    <c:v>Νοέμ.</c:v>
                  </c:pt>
                  <c:pt idx="12">
                    <c:v>Δεκ.</c:v>
                  </c:pt>
                </c:lvl>
                <c:lvl>
                  <c:pt idx="0">
                    <c:v>2019</c:v>
                  </c:pt>
                  <c:pt idx="1">
                    <c:v>2020</c:v>
                  </c:pt>
                </c:lvl>
              </c:multiLvlStrCache>
            </c:multiLvlStrRef>
          </c:cat>
          <c:val>
            <c:numRef>
              <c:f>'monthly+constant'!$B$14:$N$14</c:f>
              <c:numCache>
                <c:formatCode>#,##0.0</c:formatCode>
                <c:ptCount val="13"/>
                <c:pt idx="0">
                  <c:v>1.3</c:v>
                </c:pt>
                <c:pt idx="1">
                  <c:v>1.4</c:v>
                </c:pt>
                <c:pt idx="2">
                  <c:v>1.2</c:v>
                </c:pt>
                <c:pt idx="3">
                  <c:v>0.7</c:v>
                </c:pt>
                <c:pt idx="4">
                  <c:v>0.3</c:v>
                </c:pt>
                <c:pt idx="5">
                  <c:v>0.1</c:v>
                </c:pt>
                <c:pt idx="6">
                  <c:v>0.3</c:v>
                </c:pt>
                <c:pt idx="7">
                  <c:v>0.4</c:v>
                </c:pt>
                <c:pt idx="8">
                  <c:v>-0.2</c:v>
                </c:pt>
                <c:pt idx="9">
                  <c:v>-0.3</c:v>
                </c:pt>
                <c:pt idx="10">
                  <c:v>-0.3</c:v>
                </c:pt>
                <c:pt idx="11">
                  <c:v>-0.3</c:v>
                </c:pt>
                <c:pt idx="12">
                  <c:v>-0.3</c:v>
                </c:pt>
              </c:numCache>
            </c:numRef>
          </c:val>
          <c:smooth val="0"/>
          <c:extLst>
            <c:ext xmlns:c16="http://schemas.microsoft.com/office/drawing/2014/chart" uri="{C3380CC4-5D6E-409C-BE32-E72D297353CC}">
              <c16:uniqueId val="{00000007-D9D3-4593-BA27-5D4A45048807}"/>
            </c:ext>
          </c:extLst>
        </c:ser>
        <c:dLbls>
          <c:showLegendKey val="0"/>
          <c:showVal val="0"/>
          <c:showCatName val="0"/>
          <c:showSerName val="0"/>
          <c:showPercent val="0"/>
          <c:showBubbleSize val="0"/>
        </c:dLbls>
        <c:marker val="1"/>
        <c:smooth val="0"/>
        <c:axId val="146558336"/>
        <c:axId val="150314368"/>
      </c:lineChart>
      <c:catAx>
        <c:axId val="146558336"/>
        <c:scaling>
          <c:orientation val="minMax"/>
        </c:scaling>
        <c:delete val="0"/>
        <c:axPos val="b"/>
        <c:numFmt formatCode="#,##0.0_ ;[Red]\-#,##0.0\ " sourceLinked="0"/>
        <c:majorTickMark val="none"/>
        <c:minorTickMark val="none"/>
        <c:tickLblPos val="low"/>
        <c:spPr>
          <a:noFill/>
          <a:ln w="12700" cap="flat" cmpd="sng" algn="ctr">
            <a:solidFill>
              <a:srgbClr val="C00000"/>
            </a:solidFill>
            <a:prstDash val="dash"/>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314368"/>
        <c:crossesAt val="0"/>
        <c:auto val="1"/>
        <c:lblAlgn val="ctr"/>
        <c:lblOffset val="100"/>
        <c:noMultiLvlLbl val="0"/>
      </c:catAx>
      <c:valAx>
        <c:axId val="1503143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a:t>%</a:t>
                </a:r>
              </a:p>
            </c:rich>
          </c:tx>
          <c:overlay val="0"/>
          <c:spPr>
            <a:noFill/>
            <a:ln>
              <a:noFill/>
            </a:ln>
            <a:effectLst/>
          </c:spPr>
        </c:title>
        <c:numFmt formatCode="#,##0.0_ ;[Red]\-#,##0.0\ "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558336"/>
        <c:crosses val="autoZero"/>
        <c:crossBetween val="between"/>
      </c:valAx>
      <c:spPr>
        <a:noFill/>
        <a:ln>
          <a:noFill/>
        </a:ln>
        <a:effectLst/>
      </c:spPr>
    </c:plotArea>
    <c:legend>
      <c:legendPos val="b"/>
      <c:layout>
        <c:manualLayout>
          <c:xMode val="edge"/>
          <c:yMode val="edge"/>
          <c:x val="0.17697489979817502"/>
          <c:y val="0.91908552535486188"/>
          <c:w val="0.69572429883046227"/>
          <c:h val="5.033592277475382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0471617056836508E-2"/>
          <c:y val="7.517542202981084E-2"/>
          <c:w val="0.84067622562579103"/>
          <c:h val="0.67379165819217246"/>
        </c:manualLayout>
      </c:layout>
      <c:barChart>
        <c:barDir val="col"/>
        <c:grouping val="clustered"/>
        <c:varyColors val="0"/>
        <c:ser>
          <c:idx val="3"/>
          <c:order val="1"/>
          <c:tx>
            <c:strRef>
              <c:f>Sheet3!$E$1</c:f>
              <c:strCache>
                <c:ptCount val="1"/>
                <c:pt idx="0">
                  <c:v>Εργατικό Δυναμικό (χιλ.)</c:v>
                </c:pt>
              </c:strCache>
            </c:strRef>
          </c:tx>
          <c:spPr>
            <a:solidFill>
              <a:sysClr val="window" lastClr="FFFFFF">
                <a:lumMod val="75000"/>
              </a:sysClr>
            </a:solidFill>
          </c:spPr>
          <c:invertIfNegative val="0"/>
          <c:dLbls>
            <c:spPr>
              <a:noFill/>
              <a:ln>
                <a:noFill/>
              </a:ln>
              <a:effectLst/>
            </c:spPr>
            <c:txPr>
              <a:bodyPr rot="-5400000" vert="horz" wrap="square" lIns="38100" tIns="19050" rIns="38100" bIns="19050" anchor="ctr">
                <a:spAutoFit/>
              </a:bodyPr>
              <a:lstStyle/>
              <a:p>
                <a:pPr>
                  <a:defRPr b="1"/>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Sheet3!$E$2:$E$14</c:f>
              <c:numCache>
                <c:formatCode>#,##0</c:formatCode>
                <c:ptCount val="13"/>
                <c:pt idx="0">
                  <c:v>4998.375</c:v>
                </c:pt>
                <c:pt idx="1">
                  <c:v>5040.7</c:v>
                </c:pt>
                <c:pt idx="2">
                  <c:v>5029.125</c:v>
                </c:pt>
                <c:pt idx="3">
                  <c:v>5047.3249999999998</c:v>
                </c:pt>
                <c:pt idx="4">
                  <c:v>4890.0749999999998</c:v>
                </c:pt>
                <c:pt idx="5">
                  <c:v>4843.5499999999993</c:v>
                </c:pt>
                <c:pt idx="6">
                  <c:v>4810.6750000000002</c:v>
                </c:pt>
                <c:pt idx="7">
                  <c:v>4807.625</c:v>
                </c:pt>
                <c:pt idx="8">
                  <c:v>4804.5</c:v>
                </c:pt>
                <c:pt idx="9">
                  <c:v>4779.7250000000004</c:v>
                </c:pt>
                <c:pt idx="10">
                  <c:v>4743.05</c:v>
                </c:pt>
                <c:pt idx="11">
                  <c:v>4729.8999999999996</c:v>
                </c:pt>
                <c:pt idx="12">
                  <c:v>4630.4500000000007</c:v>
                </c:pt>
              </c:numCache>
            </c:numRef>
          </c:val>
          <c:extLst>
            <c:ext xmlns:c16="http://schemas.microsoft.com/office/drawing/2014/chart" uri="{C3380CC4-5D6E-409C-BE32-E72D297353CC}">
              <c16:uniqueId val="{00000000-06A6-4B62-8B7D-8D26A0313037}"/>
            </c:ext>
          </c:extLst>
        </c:ser>
        <c:ser>
          <c:idx val="1"/>
          <c:order val="2"/>
          <c:tx>
            <c:strRef>
              <c:f>'F:\ΗFISC\Απασχόληση\[Book1.xlsx]Sheet1'!$C$1</c:f>
              <c:strCache>
                <c:ptCount val="1"/>
                <c:pt idx="0">
                  <c:v>Απασχολούμενοι (χιλ.) </c:v>
                </c:pt>
              </c:strCache>
            </c:strRef>
          </c:tx>
          <c:invertIfNegative val="0"/>
          <c:dLbls>
            <c:dLbl>
              <c:idx val="2"/>
              <c:numFmt formatCode="_(* #,##0_);_(* \(#,##0\);_(* &quot;-&quot;_);_(@_)" sourceLinked="0"/>
              <c:spPr>
                <a:noFill/>
                <a:ln>
                  <a:noFill/>
                </a:ln>
                <a:effectLst>
                  <a:outerShdw algn="ctr" rotWithShape="0">
                    <a:srgbClr val="000000"/>
                  </a:outerShdw>
                  <a:softEdge rad="0"/>
                </a:effectLst>
              </c:spPr>
              <c:txPr>
                <a:bodyPr rot="-5400000" vertOverflow="overflow" horzOverflow="overflow" vert="horz" wrap="square" lIns="0" tIns="0" rIns="0" bIns="0" anchor="b" anchorCtr="0">
                  <a:spAutoFit/>
                </a:bodyPr>
                <a:lstStyle/>
                <a:p>
                  <a:pPr>
                    <a:defRPr b="1"/>
                  </a:pPr>
                  <a:endParaRPr lang="en-US"/>
                </a:p>
              </c:txPr>
              <c:dLblPos val="inBase"/>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06A6-4B62-8B7D-8D26A0313037}"/>
                </c:ext>
              </c:extLst>
            </c:dLbl>
            <c:numFmt formatCode="_(* #,##0_);_(* \(#,##0\);_(* &quot;-&quot;_);_(@_)" sourceLinked="0"/>
            <c:spPr>
              <a:noFill/>
              <a:ln>
                <a:noFill/>
              </a:ln>
              <a:effectLst>
                <a:outerShdw algn="ctr" rotWithShape="0">
                  <a:srgbClr val="000000"/>
                </a:outerShdw>
                <a:softEdge rad="0"/>
              </a:effectLst>
            </c:spPr>
            <c:txPr>
              <a:bodyPr rot="-5400000" vertOverflow="overflow" horzOverflow="overflow" vert="horz" wrap="square" lIns="38100" tIns="19050" rIns="38100" bIns="19050" anchor="b" anchorCtr="0">
                <a:spAutoFit/>
              </a:bodyPr>
              <a:lstStyle/>
              <a:p>
                <a:pPr>
                  <a:defRPr b="1"/>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numRef>
              <c:f>'F:\ΗFISC\Απασχόληση\[Book1.xlsx]Sheet1'!$A$2:$A$14</c:f>
              <c:numCache>
                <c:formatCode>General</c:formatCod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numCache>
            </c:numRef>
          </c:cat>
          <c:val>
            <c:numRef>
              <c:f>'F:\ΗFISC\Απασχόληση\[Book1.xlsx]Sheet1'!$C$2:$C$14</c:f>
              <c:numCache>
                <c:formatCode>General</c:formatCode>
                <c:ptCount val="13"/>
                <c:pt idx="0">
                  <c:v>4610.5</c:v>
                </c:pt>
                <c:pt idx="1">
                  <c:v>4556</c:v>
                </c:pt>
                <c:pt idx="2">
                  <c:v>4389.75</c:v>
                </c:pt>
                <c:pt idx="3">
                  <c:v>4165.5</c:v>
                </c:pt>
                <c:pt idx="4">
                  <c:v>3694.9749999999999</c:v>
                </c:pt>
                <c:pt idx="5">
                  <c:v>3513.2</c:v>
                </c:pt>
                <c:pt idx="6">
                  <c:v>3536.25</c:v>
                </c:pt>
                <c:pt idx="7">
                  <c:v>3610.6750000000002</c:v>
                </c:pt>
                <c:pt idx="8">
                  <c:v>3673.5499999999997</c:v>
                </c:pt>
                <c:pt idx="9">
                  <c:v>3752.6750000000002</c:v>
                </c:pt>
                <c:pt idx="10">
                  <c:v>3828.0250000000005</c:v>
                </c:pt>
                <c:pt idx="11">
                  <c:v>3911.0249999999996</c:v>
                </c:pt>
                <c:pt idx="12">
                  <c:v>3875.4750000000004</c:v>
                </c:pt>
              </c:numCache>
            </c:numRef>
          </c:val>
          <c:extLst>
            <c:ext xmlns:c16="http://schemas.microsoft.com/office/drawing/2014/chart" uri="{C3380CC4-5D6E-409C-BE32-E72D297353CC}">
              <c16:uniqueId val="{00000002-06A6-4B62-8B7D-8D26A0313037}"/>
            </c:ext>
          </c:extLst>
        </c:ser>
        <c:dLbls>
          <c:showLegendKey val="0"/>
          <c:showVal val="0"/>
          <c:showCatName val="0"/>
          <c:showSerName val="0"/>
          <c:showPercent val="0"/>
          <c:showBubbleSize val="0"/>
        </c:dLbls>
        <c:gapWidth val="142"/>
        <c:axId val="48182400"/>
        <c:axId val="48184320"/>
      </c:barChart>
      <c:lineChart>
        <c:grouping val="standard"/>
        <c:varyColors val="0"/>
        <c:ser>
          <c:idx val="0"/>
          <c:order val="0"/>
          <c:tx>
            <c:strRef>
              <c:f>'F:\ΗFISC\Απασχόληση\[Book1.xlsx]Sheet1'!$B$1</c:f>
              <c:strCache>
                <c:ptCount val="1"/>
                <c:pt idx="0">
                  <c:v>Απασχολούμενοι</c:v>
                </c:pt>
              </c:strCache>
            </c:strRef>
          </c:tx>
          <c:dLbls>
            <c:dLbl>
              <c:idx val="1"/>
              <c:delete val="1"/>
              <c:extLst>
                <c:ext xmlns:c15="http://schemas.microsoft.com/office/drawing/2012/chart" uri="{CE6537A1-D6FC-4f65-9D91-7224C49458BB}"/>
                <c:ext xmlns:c16="http://schemas.microsoft.com/office/drawing/2014/chart" uri="{C3380CC4-5D6E-409C-BE32-E72D297353CC}">
                  <c16:uniqueId val="{00000003-06A6-4B62-8B7D-8D26A0313037}"/>
                </c:ext>
              </c:extLst>
            </c:dLbl>
            <c:dLbl>
              <c:idx val="2"/>
              <c:delete val="1"/>
              <c:extLst>
                <c:ext xmlns:c15="http://schemas.microsoft.com/office/drawing/2012/chart" uri="{CE6537A1-D6FC-4f65-9D91-7224C49458BB}"/>
                <c:ext xmlns:c16="http://schemas.microsoft.com/office/drawing/2014/chart" uri="{C3380CC4-5D6E-409C-BE32-E72D297353CC}">
                  <c16:uniqueId val="{00000004-06A6-4B62-8B7D-8D26A0313037}"/>
                </c:ext>
              </c:extLst>
            </c:dLbl>
            <c:numFmt formatCode="General"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'F:\ΗFISC\Απασχόληση\[Book1.xlsx]Sheet1'!$A$2:$B$14</c:f>
              <c:multiLvlStrCache>
                <c:ptCount val="13"/>
                <c:lvl>
                  <c:pt idx="1">
                    <c:v>4545,6</c:v>
                  </c:pt>
                  <c:pt idx="2">
                    <c:v>4446</c:v>
                  </c:pt>
                  <c:pt idx="3">
                    <c:v>4165,5</c:v>
                  </c:pt>
                  <c:pt idx="4">
                    <c:v>3785</c:v>
                  </c:pt>
                  <c:pt idx="5">
                    <c:v>3504,2</c:v>
                  </c:pt>
                  <c:pt idx="6">
                    <c:v>3483,7</c:v>
                  </c:pt>
                  <c:pt idx="7">
                    <c:v>3504,4</c:v>
                  </c:pt>
                  <c:pt idx="8">
                    <c:v>3606,3</c:v>
                  </c:pt>
                  <c:pt idx="9">
                    <c:v>3659,3</c:v>
                  </c:pt>
                  <c:pt idx="10">
                    <c:v>3723,8</c:v>
                  </c:pt>
                  <c:pt idx="11">
                    <c:v>3814</c:v>
                  </c:pt>
                  <c:pt idx="12">
                    <c:v>3956,4</c:v>
                  </c:pt>
                </c:lvl>
                <c:lvl>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lvl>
              </c:multiLvlStrCache>
            </c:multiLvlStrRef>
          </c:cat>
          <c:val>
            <c:numRef>
              <c:f>'F:\ΗFISC\Απασχόληση\[Book1.xlsx]Sheet1'!$B$2:$B$13</c:f>
              <c:numCache>
                <c:formatCode>General</c:formatCode>
                <c:ptCount val="12"/>
                <c:pt idx="1">
                  <c:v>4545.6000000000004</c:v>
                </c:pt>
                <c:pt idx="2">
                  <c:v>4446</c:v>
                </c:pt>
                <c:pt idx="3">
                  <c:v>4165.5</c:v>
                </c:pt>
                <c:pt idx="4">
                  <c:v>3785</c:v>
                </c:pt>
                <c:pt idx="5">
                  <c:v>3504.2</c:v>
                </c:pt>
                <c:pt idx="6">
                  <c:v>3483.7</c:v>
                </c:pt>
                <c:pt idx="7">
                  <c:v>3504.4</c:v>
                </c:pt>
                <c:pt idx="8">
                  <c:v>3606.3</c:v>
                </c:pt>
                <c:pt idx="9">
                  <c:v>3659.3</c:v>
                </c:pt>
                <c:pt idx="10">
                  <c:v>3723.8</c:v>
                </c:pt>
                <c:pt idx="11">
                  <c:v>3814</c:v>
                </c:pt>
              </c:numCache>
            </c:numRef>
          </c:val>
          <c:smooth val="0"/>
          <c:extLst>
            <c:ext xmlns:c16="http://schemas.microsoft.com/office/drawing/2014/chart" uri="{C3380CC4-5D6E-409C-BE32-E72D297353CC}">
              <c16:uniqueId val="{00000005-06A6-4B62-8B7D-8D26A0313037}"/>
            </c:ext>
          </c:extLst>
        </c:ser>
        <c:ser>
          <c:idx val="2"/>
          <c:order val="3"/>
          <c:tx>
            <c:strRef>
              <c:f>'F:\ΗFISC\Απασχόληση\[Book1.xlsx]Sheet1'!$D$1</c:f>
              <c:strCache>
                <c:ptCount val="1"/>
                <c:pt idx="0">
                  <c:v>Ποσοστό ανεργίας</c:v>
                </c:pt>
              </c:strCache>
            </c:strRef>
          </c:tx>
          <c:spPr>
            <a:ln>
              <a:solidFill>
                <a:srgbClr val="00B050"/>
              </a:solidFill>
            </a:ln>
          </c:spPr>
          <c:marker>
            <c:spPr>
              <a:solidFill>
                <a:srgbClr val="00B050"/>
              </a:solidFill>
              <a:ln>
                <a:solidFill>
                  <a:srgbClr val="00B050"/>
                </a:solidFill>
              </a:ln>
            </c:spPr>
          </c:marker>
          <c:dLbls>
            <c:dLbl>
              <c:idx val="0"/>
              <c:layout>
                <c:manualLayout>
                  <c:x val="-4.8611111111111119E-2"/>
                  <c:y val="-4.76284977178011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6A6-4B62-8B7D-8D26A0313037}"/>
                </c:ext>
              </c:extLst>
            </c:dLbl>
            <c:dLbl>
              <c:idx val="1"/>
              <c:layout>
                <c:manualLayout>
                  <c:x val="-5.0925925925925923E-2"/>
                  <c:y val="-4.76284977178012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6A6-4B62-8B7D-8D26A0313037}"/>
                </c:ext>
              </c:extLst>
            </c:dLbl>
            <c:dLbl>
              <c:idx val="2"/>
              <c:layout>
                <c:manualLayout>
                  <c:x val="-5.5555555555555552E-2"/>
                  <c:y val="-3.57213732883509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6A6-4B62-8B7D-8D26A0313037}"/>
                </c:ext>
              </c:extLst>
            </c:dLbl>
            <c:dLbl>
              <c:idx val="3"/>
              <c:layout>
                <c:manualLayout>
                  <c:x val="-6.4814814814814853E-2"/>
                  <c:y val="-4.76284977178011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6A6-4B62-8B7D-8D26A0313037}"/>
                </c:ext>
              </c:extLst>
            </c:dLbl>
            <c:dLbl>
              <c:idx val="4"/>
              <c:layout>
                <c:manualLayout>
                  <c:x val="-5.5555555555555552E-2"/>
                  <c:y val="-4.76284977178011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6A6-4B62-8B7D-8D26A0313037}"/>
                </c:ext>
              </c:extLst>
            </c:dLbl>
            <c:dLbl>
              <c:idx val="5"/>
              <c:layout>
                <c:manualLayout>
                  <c:x val="-9.6758587324625063E-3"/>
                  <c:y val="-2.6547197310998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6A6-4B62-8B7D-8D26A0313037}"/>
                </c:ext>
              </c:extLst>
            </c:dLbl>
            <c:dLbl>
              <c:idx val="12"/>
              <c:layout>
                <c:manualLayout>
                  <c:x val="-4.063860667634267E-2"/>
                  <c:y val="4.31391956303731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6A6-4B62-8B7D-8D26A0313037}"/>
                </c:ext>
              </c:extLst>
            </c:dLbl>
            <c:numFmt formatCode="0.0%" sourceLinked="0"/>
            <c:spPr>
              <a:noFill/>
              <a:ln>
                <a:noFill/>
              </a:ln>
              <a:effectLst/>
            </c:spPr>
            <c:txPr>
              <a:bodyPr wrap="square" lIns="38100" tIns="19050" rIns="38100" bIns="19050" anchor="t" anchorCtr="0">
                <a:spAutoFit/>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'F:\ΗFISC\Απασχόληση\[Book1.xlsx]Sheet1'!$A$2:$B$14</c:f>
              <c:multiLvlStrCache>
                <c:ptCount val="13"/>
                <c:lvl>
                  <c:pt idx="1">
                    <c:v>4545,6</c:v>
                  </c:pt>
                  <c:pt idx="2">
                    <c:v>4446</c:v>
                  </c:pt>
                  <c:pt idx="3">
                    <c:v>4165,5</c:v>
                  </c:pt>
                  <c:pt idx="4">
                    <c:v>3785</c:v>
                  </c:pt>
                  <c:pt idx="5">
                    <c:v>3504,2</c:v>
                  </c:pt>
                  <c:pt idx="6">
                    <c:v>3483,7</c:v>
                  </c:pt>
                  <c:pt idx="7">
                    <c:v>3504,4</c:v>
                  </c:pt>
                  <c:pt idx="8">
                    <c:v>3606,3</c:v>
                  </c:pt>
                  <c:pt idx="9">
                    <c:v>3659,3</c:v>
                  </c:pt>
                  <c:pt idx="10">
                    <c:v>3723,8</c:v>
                  </c:pt>
                  <c:pt idx="11">
                    <c:v>3814</c:v>
                  </c:pt>
                  <c:pt idx="12">
                    <c:v>3956,4</c:v>
                  </c:pt>
                </c:lvl>
                <c:lvl>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lvl>
              </c:multiLvlStrCache>
            </c:multiLvlStrRef>
          </c:cat>
          <c:val>
            <c:numRef>
              <c:f>'F:\ΗFISC\Απασχόληση\[Book1.xlsx]Sheet1'!$D$2:$D$14</c:f>
              <c:numCache>
                <c:formatCode>General</c:formatCode>
                <c:ptCount val="13"/>
                <c:pt idx="0">
                  <c:v>7.8E-2</c:v>
                </c:pt>
                <c:pt idx="1">
                  <c:v>9.6000000000000002E-2</c:v>
                </c:pt>
                <c:pt idx="2">
                  <c:v>0.127</c:v>
                </c:pt>
                <c:pt idx="3">
                  <c:v>0.17899999999999999</c:v>
                </c:pt>
                <c:pt idx="4">
                  <c:v>0.24399999999999999</c:v>
                </c:pt>
                <c:pt idx="5">
                  <c:v>0.27500000000000002</c:v>
                </c:pt>
                <c:pt idx="6">
                  <c:v>0.26500000000000001</c:v>
                </c:pt>
                <c:pt idx="7">
                  <c:v>0.249</c:v>
                </c:pt>
                <c:pt idx="8">
                  <c:v>0.23499999999999999</c:v>
                </c:pt>
                <c:pt idx="9">
                  <c:v>0.215</c:v>
                </c:pt>
                <c:pt idx="10">
                  <c:v>0.193</c:v>
                </c:pt>
                <c:pt idx="11">
                  <c:v>0.17299999999999999</c:v>
                </c:pt>
                <c:pt idx="12">
                  <c:v>0.16300000000000001</c:v>
                </c:pt>
              </c:numCache>
            </c:numRef>
          </c:val>
          <c:smooth val="0"/>
          <c:extLst>
            <c:ext xmlns:c16="http://schemas.microsoft.com/office/drawing/2014/chart" uri="{C3380CC4-5D6E-409C-BE32-E72D297353CC}">
              <c16:uniqueId val="{0000000D-06A6-4B62-8B7D-8D26A0313037}"/>
            </c:ext>
          </c:extLst>
        </c:ser>
        <c:dLbls>
          <c:showLegendKey val="0"/>
          <c:showVal val="1"/>
          <c:showCatName val="0"/>
          <c:showSerName val="0"/>
          <c:showPercent val="0"/>
          <c:showBubbleSize val="0"/>
        </c:dLbls>
        <c:marker val="1"/>
        <c:smooth val="0"/>
        <c:axId val="48699648"/>
        <c:axId val="48698112"/>
      </c:lineChart>
      <c:catAx>
        <c:axId val="48182400"/>
        <c:scaling>
          <c:orientation val="minMax"/>
        </c:scaling>
        <c:delete val="0"/>
        <c:axPos val="b"/>
        <c:numFmt formatCode="General" sourceLinked="0"/>
        <c:majorTickMark val="none"/>
        <c:minorTickMark val="cross"/>
        <c:tickLblPos val="nextTo"/>
        <c:txPr>
          <a:bodyPr rot="0" vert="horz"/>
          <a:lstStyle/>
          <a:p>
            <a:pPr>
              <a:defRPr/>
            </a:pPr>
            <a:endParaRPr lang="en-US"/>
          </a:p>
        </c:txPr>
        <c:crossAx val="48184320"/>
        <c:crosses val="autoZero"/>
        <c:auto val="1"/>
        <c:lblAlgn val="ctr"/>
        <c:lblOffset val="100"/>
        <c:noMultiLvlLbl val="0"/>
      </c:catAx>
      <c:valAx>
        <c:axId val="48184320"/>
        <c:scaling>
          <c:orientation val="minMax"/>
          <c:max val="5500"/>
          <c:min val="0"/>
        </c:scaling>
        <c:delete val="0"/>
        <c:axPos val="l"/>
        <c:majorGridlines>
          <c:spPr>
            <a:ln>
              <a:gradFill flip="none" rotWithShape="1">
                <a:gsLst>
                  <a:gs pos="0">
                    <a:srgbClr val="FFEFD1"/>
                  </a:gs>
                  <a:gs pos="18000">
                    <a:srgbClr val="F0EBD5"/>
                  </a:gs>
                  <a:gs pos="100000">
                    <a:srgbClr val="D1C39F"/>
                  </a:gs>
                </a:gsLst>
                <a:lin ang="13500000" scaled="1"/>
                <a:tileRect/>
              </a:gradFill>
            </a:ln>
          </c:spPr>
        </c:majorGridlines>
        <c:numFmt formatCode="#,##0" sourceLinked="0"/>
        <c:majorTickMark val="none"/>
        <c:minorTickMark val="none"/>
        <c:tickLblPos val="nextTo"/>
        <c:txPr>
          <a:bodyPr rot="0" vert="horz"/>
          <a:lstStyle/>
          <a:p>
            <a:pPr>
              <a:defRPr/>
            </a:pPr>
            <a:endParaRPr lang="en-US"/>
          </a:p>
        </c:txPr>
        <c:crossAx val="48182400"/>
        <c:crosses val="autoZero"/>
        <c:crossBetween val="between"/>
      </c:valAx>
      <c:valAx>
        <c:axId val="48698112"/>
        <c:scaling>
          <c:orientation val="minMax"/>
          <c:max val="0.30000000000000004"/>
        </c:scaling>
        <c:delete val="0"/>
        <c:axPos val="r"/>
        <c:numFmt formatCode="0%" sourceLinked="0"/>
        <c:majorTickMark val="out"/>
        <c:minorTickMark val="none"/>
        <c:tickLblPos val="nextTo"/>
        <c:spPr>
          <a:ln>
            <a:solidFill>
              <a:srgbClr val="00B050">
                <a:alpha val="90000"/>
              </a:srgbClr>
            </a:solidFill>
            <a:headEnd type="none"/>
          </a:ln>
        </c:spPr>
        <c:txPr>
          <a:bodyPr/>
          <a:lstStyle/>
          <a:p>
            <a:pPr>
              <a:defRPr b="1">
                <a:solidFill>
                  <a:srgbClr val="00B050"/>
                </a:solidFill>
              </a:defRPr>
            </a:pPr>
            <a:endParaRPr lang="en-US"/>
          </a:p>
        </c:txPr>
        <c:crossAx val="48699648"/>
        <c:crosses val="max"/>
        <c:crossBetween val="between"/>
      </c:valAx>
      <c:catAx>
        <c:axId val="48699648"/>
        <c:scaling>
          <c:orientation val="minMax"/>
        </c:scaling>
        <c:delete val="1"/>
        <c:axPos val="b"/>
        <c:numFmt formatCode="General" sourceLinked="1"/>
        <c:majorTickMark val="out"/>
        <c:minorTickMark val="none"/>
        <c:tickLblPos val="nextTo"/>
        <c:crossAx val="48698112"/>
        <c:crosses val="autoZero"/>
        <c:auto val="1"/>
        <c:lblAlgn val="ctr"/>
        <c:lblOffset val="100"/>
        <c:noMultiLvlLbl val="0"/>
      </c:catAx>
    </c:plotArea>
    <c:legend>
      <c:legendPos val="b"/>
      <c:legendEntry>
        <c:idx val="2"/>
        <c:delete val="1"/>
      </c:legendEntry>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4208571401499"/>
          <c:y val="3.9162326931355802E-2"/>
          <c:w val="0.87052245875425338"/>
          <c:h val="0.75498866168177337"/>
        </c:manualLayout>
      </c:layout>
      <c:barChart>
        <c:barDir val="col"/>
        <c:grouping val="stacked"/>
        <c:varyColors val="0"/>
        <c:ser>
          <c:idx val="0"/>
          <c:order val="0"/>
          <c:tx>
            <c:v>Ισοζύγιο αγαθών</c:v>
          </c:tx>
          <c:spPr>
            <a:solidFill>
              <a:srgbClr val="00B0F0"/>
            </a:solidFill>
          </c:spPr>
          <c:invertIfNegative val="0"/>
          <c:dLbls>
            <c:numFmt formatCode="#,##0" sourceLinked="0"/>
            <c:spPr>
              <a:noFill/>
              <a:ln>
                <a:noFill/>
              </a:ln>
              <a:effectLst/>
            </c:spPr>
            <c:txPr>
              <a:bodyPr wrap="square" lIns="38100" tIns="19050" rIns="38100" bIns="19050" anchor="ctr">
                <a:spAutoFit/>
              </a:bodyPr>
              <a:lstStyle/>
              <a:p>
                <a:pPr>
                  <a:defRPr sz="900" b="0"/>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#REF!</c:f>
            </c:multiLvlStrRef>
          </c:cat>
          <c:val>
            <c:numRef>
              <c:f>annualy!$P$7:$U$7</c:f>
              <c:numCache>
                <c:formatCode>#,##0</c:formatCode>
                <c:ptCount val="6"/>
                <c:pt idx="0">
                  <c:v>-17666.087578999999</c:v>
                </c:pt>
                <c:pt idx="1">
                  <c:v>-17960.253911</c:v>
                </c:pt>
                <c:pt idx="2">
                  <c:v>-19833.89892</c:v>
                </c:pt>
                <c:pt idx="3">
                  <c:v>-22489.085885999997</c:v>
                </c:pt>
                <c:pt idx="4">
                  <c:v>-22833.268652999999</c:v>
                </c:pt>
                <c:pt idx="5" formatCode="#,##0_ ;\-#,##0\ ">
                  <c:v>-18528.069596000001</c:v>
                </c:pt>
              </c:numCache>
            </c:numRef>
          </c:val>
          <c:extLst>
            <c:ext xmlns:c16="http://schemas.microsoft.com/office/drawing/2014/chart" uri="{C3380CC4-5D6E-409C-BE32-E72D297353CC}">
              <c16:uniqueId val="{00000000-70AB-47FC-904C-0B775DC2B2AE}"/>
            </c:ext>
          </c:extLst>
        </c:ser>
        <c:ser>
          <c:idx val="1"/>
          <c:order val="1"/>
          <c:tx>
            <c:v>Ισοζύγιο υπηρεσιών</c:v>
          </c:tx>
          <c:spPr>
            <a:solidFill>
              <a:srgbClr val="92D050"/>
            </a:solidFill>
          </c:spPr>
          <c:invertIfNegative val="0"/>
          <c:dLbls>
            <c:numFmt formatCode="#,##0" sourceLinked="0"/>
            <c:spPr>
              <a:noFill/>
              <a:ln>
                <a:noFill/>
              </a:ln>
              <a:effectLst/>
            </c:spPr>
            <c:txPr>
              <a:bodyPr wrap="square" lIns="38100" tIns="19050" rIns="38100" bIns="19050" anchor="ctr">
                <a:spAutoFit/>
              </a:bodyPr>
              <a:lstStyle/>
              <a:p>
                <a:pPr>
                  <a:defRPr sz="900" b="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#REF!</c:f>
            </c:multiLvlStrRef>
          </c:cat>
          <c:val>
            <c:numRef>
              <c:f>annualy!$P$22:$U$22</c:f>
              <c:numCache>
                <c:formatCode>#,##0</c:formatCode>
                <c:ptCount val="6"/>
                <c:pt idx="0">
                  <c:v>16581.337416000002</c:v>
                </c:pt>
                <c:pt idx="1">
                  <c:v>16297.577614999998</c:v>
                </c:pt>
                <c:pt idx="2">
                  <c:v>18043.687883999999</c:v>
                </c:pt>
                <c:pt idx="3">
                  <c:v>19304.374785</c:v>
                </c:pt>
                <c:pt idx="4">
                  <c:v>21115.867029000005</c:v>
                </c:pt>
                <c:pt idx="5" formatCode="#,##0_ ;\-#,##0\ ">
                  <c:v>7278.3294449999994</c:v>
                </c:pt>
              </c:numCache>
            </c:numRef>
          </c:val>
          <c:extLst>
            <c:ext xmlns:c16="http://schemas.microsoft.com/office/drawing/2014/chart" uri="{C3380CC4-5D6E-409C-BE32-E72D297353CC}">
              <c16:uniqueId val="{00000001-70AB-47FC-904C-0B775DC2B2AE}"/>
            </c:ext>
          </c:extLst>
        </c:ser>
        <c:ser>
          <c:idx val="2"/>
          <c:order val="2"/>
          <c:tx>
            <c:v>Ισοζύγιο πρωτογενών εισοδημάτων</c:v>
          </c:tx>
          <c:spPr>
            <a:solidFill>
              <a:schemeClr val="tx1">
                <a:lumMod val="50000"/>
                <a:lumOff val="50000"/>
              </a:schemeClr>
            </a:solidFill>
          </c:spPr>
          <c:invertIfNegative val="0"/>
          <c:cat>
            <c:multiLvlStrRef>
              <c:f>#REF!</c:f>
            </c:multiLvlStrRef>
          </c:cat>
          <c:val>
            <c:numRef>
              <c:f>annualy!$P$35:$U$35</c:f>
              <c:numCache>
                <c:formatCode>#,##0</c:formatCode>
                <c:ptCount val="6"/>
                <c:pt idx="0">
                  <c:v>153.67200775000038</c:v>
                </c:pt>
                <c:pt idx="1">
                  <c:v>-798.93764299999907</c:v>
                </c:pt>
                <c:pt idx="2">
                  <c:v>-1057.2573722499999</c:v>
                </c:pt>
                <c:pt idx="3">
                  <c:v>-1726.3937611999997</c:v>
                </c:pt>
                <c:pt idx="4">
                  <c:v>-1591.5707180999998</c:v>
                </c:pt>
                <c:pt idx="5" formatCode="#,##0_ ;\-#,##0\ ">
                  <c:v>-455.62254225000027</c:v>
                </c:pt>
              </c:numCache>
            </c:numRef>
          </c:val>
          <c:extLst>
            <c:ext xmlns:c16="http://schemas.microsoft.com/office/drawing/2014/chart" uri="{C3380CC4-5D6E-409C-BE32-E72D297353CC}">
              <c16:uniqueId val="{00000002-70AB-47FC-904C-0B775DC2B2AE}"/>
            </c:ext>
          </c:extLst>
        </c:ser>
        <c:ser>
          <c:idx val="3"/>
          <c:order val="3"/>
          <c:tx>
            <c:v>Ισοζύγιο δευτερογενών εισοδημάτων</c:v>
          </c:tx>
          <c:spPr>
            <a:solidFill>
              <a:schemeClr val="bg2">
                <a:lumMod val="90000"/>
              </a:schemeClr>
            </a:solidFill>
          </c:spPr>
          <c:invertIfNegative val="0"/>
          <c:cat>
            <c:multiLvlStrRef>
              <c:f>#REF!</c:f>
            </c:multiLvlStrRef>
          </c:cat>
          <c:val>
            <c:numRef>
              <c:f>annualy!$P$45:$U$45</c:f>
              <c:numCache>
                <c:formatCode>#,##0</c:formatCode>
                <c:ptCount val="6"/>
                <c:pt idx="0">
                  <c:v>-507.32550074999995</c:v>
                </c:pt>
                <c:pt idx="1">
                  <c:v>-588.41673300000002</c:v>
                </c:pt>
                <c:pt idx="2">
                  <c:v>-558.70650775000001</c:v>
                </c:pt>
                <c:pt idx="3">
                  <c:v>-321.12380779999978</c:v>
                </c:pt>
                <c:pt idx="4">
                  <c:v>583.48367809999991</c:v>
                </c:pt>
                <c:pt idx="5" formatCode="#,##0_ ;\-#,##0\ ">
                  <c:v>561.17005625000002</c:v>
                </c:pt>
              </c:numCache>
            </c:numRef>
          </c:val>
          <c:extLst>
            <c:ext xmlns:c16="http://schemas.microsoft.com/office/drawing/2014/chart" uri="{C3380CC4-5D6E-409C-BE32-E72D297353CC}">
              <c16:uniqueId val="{00000003-70AB-47FC-904C-0B775DC2B2AE}"/>
            </c:ext>
          </c:extLst>
        </c:ser>
        <c:dLbls>
          <c:showLegendKey val="0"/>
          <c:showVal val="0"/>
          <c:showCatName val="0"/>
          <c:showSerName val="0"/>
          <c:showPercent val="0"/>
          <c:showBubbleSize val="0"/>
        </c:dLbls>
        <c:gapWidth val="100"/>
        <c:overlap val="100"/>
        <c:axId val="137841280"/>
        <c:axId val="124371328"/>
      </c:barChart>
      <c:lineChart>
        <c:grouping val="standard"/>
        <c:varyColors val="0"/>
        <c:ser>
          <c:idx val="4"/>
          <c:order val="4"/>
          <c:tx>
            <c:v>Ισοζύγιο τρεχουσών συναλλαγών</c:v>
          </c:tx>
          <c:spPr>
            <a:ln>
              <a:solidFill>
                <a:schemeClr val="tx2"/>
              </a:solidFill>
            </a:ln>
            <a:effectLst/>
          </c:spPr>
          <c:marker>
            <c:spPr>
              <a:solidFill>
                <a:schemeClr val="tx2"/>
              </a:solidFill>
              <a:ln>
                <a:solidFill>
                  <a:schemeClr val="tx2"/>
                </a:solidFill>
              </a:ln>
              <a:effectLst/>
            </c:spPr>
          </c:marker>
          <c:dLbls>
            <c:numFmt formatCode="#,##0" sourceLinked="0"/>
            <c:spPr>
              <a:solidFill>
                <a:srgbClr val="4472C4">
                  <a:lumMod val="60000"/>
                  <a:lumOff val="40000"/>
                </a:srgbClr>
              </a:solidFill>
              <a:ln>
                <a:noFill/>
              </a:ln>
              <a:effectLst/>
            </c:spPr>
            <c:txPr>
              <a:bodyPr wrap="square" lIns="38100" tIns="19050" rIns="38100" bIns="19050" anchor="ctr">
                <a:spAutoFit/>
              </a:bodyPr>
              <a:lstStyle/>
              <a:p>
                <a:pPr>
                  <a:defRPr b="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annualy!$P$2:$U$2</c:f>
              <c:strCache>
                <c:ptCount val="6"/>
                <c:pt idx="0">
                  <c:v>2015</c:v>
                </c:pt>
                <c:pt idx="1">
                  <c:v>2016</c:v>
                </c:pt>
                <c:pt idx="2">
                  <c:v>2017</c:v>
                </c:pt>
                <c:pt idx="3">
                  <c:v>2018</c:v>
                </c:pt>
                <c:pt idx="4">
                  <c:v>2019</c:v>
                </c:pt>
                <c:pt idx="5">
                  <c:v>2020</c:v>
                </c:pt>
              </c:strCache>
            </c:strRef>
          </c:cat>
          <c:val>
            <c:numRef>
              <c:f>annualy!$P$3:$U$3</c:f>
              <c:numCache>
                <c:formatCode>#,##0</c:formatCode>
                <c:ptCount val="6"/>
                <c:pt idx="0">
                  <c:v>-1438.4036560000031</c:v>
                </c:pt>
                <c:pt idx="1">
                  <c:v>-3050.0306720000008</c:v>
                </c:pt>
                <c:pt idx="2">
                  <c:v>-3406.1749159999963</c:v>
                </c:pt>
                <c:pt idx="3">
                  <c:v>-5232.2286700000022</c:v>
                </c:pt>
                <c:pt idx="4">
                  <c:v>-2725.4886639999968</c:v>
                </c:pt>
                <c:pt idx="5" formatCode="#,##0_ ;\-#,##0\ ">
                  <c:v>-11144.192637</c:v>
                </c:pt>
              </c:numCache>
            </c:numRef>
          </c:val>
          <c:smooth val="0"/>
          <c:extLst>
            <c:ext xmlns:c16="http://schemas.microsoft.com/office/drawing/2014/chart" uri="{C3380CC4-5D6E-409C-BE32-E72D297353CC}">
              <c16:uniqueId val="{00000004-70AB-47FC-904C-0B775DC2B2AE}"/>
            </c:ext>
          </c:extLst>
        </c:ser>
        <c:dLbls>
          <c:showLegendKey val="0"/>
          <c:showVal val="0"/>
          <c:showCatName val="0"/>
          <c:showSerName val="0"/>
          <c:showPercent val="0"/>
          <c:showBubbleSize val="0"/>
        </c:dLbls>
        <c:marker val="1"/>
        <c:smooth val="0"/>
        <c:axId val="137841280"/>
        <c:axId val="124371328"/>
      </c:lineChart>
      <c:catAx>
        <c:axId val="137841280"/>
        <c:scaling>
          <c:orientation val="minMax"/>
        </c:scaling>
        <c:delete val="0"/>
        <c:axPos val="b"/>
        <c:numFmt formatCode="0" sourceLinked="1"/>
        <c:majorTickMark val="none"/>
        <c:minorTickMark val="none"/>
        <c:tickLblPos val="low"/>
        <c:spPr>
          <a:ln>
            <a:solidFill>
              <a:srgbClr val="C00000"/>
            </a:solidFill>
            <a:prstDash val="dash"/>
          </a:ln>
        </c:spPr>
        <c:txPr>
          <a:bodyPr rot="-60000000" vert="horz"/>
          <a:lstStyle/>
          <a:p>
            <a:pPr>
              <a:defRPr/>
            </a:pPr>
            <a:endParaRPr lang="en-US"/>
          </a:p>
        </c:txPr>
        <c:crossAx val="124371328"/>
        <c:crosses val="autoZero"/>
        <c:auto val="1"/>
        <c:lblAlgn val="ctr"/>
        <c:lblOffset val="100"/>
        <c:noMultiLvlLbl val="0"/>
      </c:catAx>
      <c:valAx>
        <c:axId val="124371328"/>
        <c:scaling>
          <c:orientation val="minMax"/>
        </c:scaling>
        <c:delete val="0"/>
        <c:axPos val="l"/>
        <c:majorGridlines>
          <c:spPr>
            <a:ln>
              <a:solidFill>
                <a:schemeClr val="tx1">
                  <a:lumMod val="15000"/>
                  <a:lumOff val="85000"/>
                </a:schemeClr>
              </a:solidFill>
            </a:ln>
          </c:spPr>
        </c:majorGridlines>
        <c:numFmt formatCode="#,##0" sourceLinked="0"/>
        <c:majorTickMark val="none"/>
        <c:minorTickMark val="none"/>
        <c:tickLblPos val="nextTo"/>
        <c:txPr>
          <a:bodyPr rot="-60000000" vert="horz"/>
          <a:lstStyle/>
          <a:p>
            <a:pPr>
              <a:defRPr/>
            </a:pPr>
            <a:endParaRPr lang="en-US"/>
          </a:p>
        </c:txPr>
        <c:crossAx val="137841280"/>
        <c:crosses val="autoZero"/>
        <c:crossBetween val="between"/>
      </c:valAx>
    </c:plotArea>
    <c:legend>
      <c:legendPos val="b"/>
      <c:layout>
        <c:manualLayout>
          <c:xMode val="edge"/>
          <c:yMode val="edge"/>
          <c:x val="3.4397415124553472E-2"/>
          <c:y val="0.86884362376617286"/>
          <c:w val="0.93324331750949907"/>
          <c:h val="0.12099962315793651"/>
        </c:manualLayout>
      </c:layout>
      <c:overlay val="0"/>
      <c:txPr>
        <a:bodyPr/>
        <a:lstStyle/>
        <a:p>
          <a:pPr>
            <a:defRPr sz="800"/>
          </a:pPr>
          <a:endParaRPr lang="en-US"/>
        </a:p>
      </c:txPr>
    </c:legend>
    <c:plotVisOnly val="1"/>
    <c:dispBlanksAs val="gap"/>
    <c:showDLblsOverMax val="0"/>
  </c:chart>
  <c:spPr>
    <a:solidFill>
      <a:schemeClr val="bg1"/>
    </a:solidFill>
    <a:ln>
      <a:solidFill>
        <a:schemeClr val="accent1"/>
      </a:solid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0671897059798931E-2"/>
          <c:y val="0.10823370451474629"/>
          <c:w val="0.88472876810976242"/>
          <c:h val="0.74251223034990443"/>
        </c:manualLayout>
      </c:layout>
      <c:barChart>
        <c:barDir val="col"/>
        <c:grouping val="clustered"/>
        <c:varyColors val="0"/>
        <c:ser>
          <c:idx val="1"/>
          <c:order val="1"/>
          <c:tx>
            <c:v>Ισοζύγιο καυσίμων</c:v>
          </c:tx>
          <c:spPr>
            <a:solidFill>
              <a:srgbClr val="92D050"/>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B05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annualy!$P$2:$U$2</c:f>
              <c:strCache>
                <c:ptCount val="6"/>
                <c:pt idx="0">
                  <c:v>2015</c:v>
                </c:pt>
                <c:pt idx="1">
                  <c:v>2016</c:v>
                </c:pt>
                <c:pt idx="2">
                  <c:v>2017</c:v>
                </c:pt>
                <c:pt idx="3">
                  <c:v>2018</c:v>
                </c:pt>
                <c:pt idx="4">
                  <c:v>2019</c:v>
                </c:pt>
                <c:pt idx="5">
                  <c:v>2020</c:v>
                </c:pt>
              </c:strCache>
            </c:strRef>
          </c:cat>
          <c:val>
            <c:numRef>
              <c:f>annualy!$P$8:$U$8</c:f>
              <c:numCache>
                <c:formatCode>#,##0</c:formatCode>
                <c:ptCount val="6"/>
                <c:pt idx="0">
                  <c:v>-4134.2999999999993</c:v>
                </c:pt>
                <c:pt idx="1">
                  <c:v>-2985.5249999999996</c:v>
                </c:pt>
                <c:pt idx="2">
                  <c:v>-3717.6299999999997</c:v>
                </c:pt>
                <c:pt idx="3">
                  <c:v>-5180.6709999999994</c:v>
                </c:pt>
                <c:pt idx="4">
                  <c:v>-5040.5015000000003</c:v>
                </c:pt>
                <c:pt idx="5" formatCode="#,##0_ ;\-#,##0\ ">
                  <c:v>-3195.9969999999998</c:v>
                </c:pt>
              </c:numCache>
            </c:numRef>
          </c:val>
          <c:extLst>
            <c:ext xmlns:c16="http://schemas.microsoft.com/office/drawing/2014/chart" uri="{C3380CC4-5D6E-409C-BE32-E72D297353CC}">
              <c16:uniqueId val="{00000000-FEB7-44FE-97FF-A4DFC05F6C89}"/>
            </c:ext>
          </c:extLst>
        </c:ser>
        <c:ser>
          <c:idx val="2"/>
          <c:order val="2"/>
          <c:tx>
            <c:v>Ισοζύγιο πλοίων</c:v>
          </c:tx>
          <c:spPr>
            <a:solidFill>
              <a:schemeClr val="tx1">
                <a:lumMod val="50000"/>
                <a:lumOff val="50000"/>
              </a:schemeClr>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annualy!$P$2:$U$2</c:f>
              <c:strCache>
                <c:ptCount val="6"/>
                <c:pt idx="0">
                  <c:v>2015</c:v>
                </c:pt>
                <c:pt idx="1">
                  <c:v>2016</c:v>
                </c:pt>
                <c:pt idx="2">
                  <c:v>2017</c:v>
                </c:pt>
                <c:pt idx="3">
                  <c:v>2018</c:v>
                </c:pt>
                <c:pt idx="4">
                  <c:v>2019</c:v>
                </c:pt>
                <c:pt idx="5">
                  <c:v>2020</c:v>
                </c:pt>
              </c:strCache>
            </c:strRef>
          </c:cat>
          <c:val>
            <c:numRef>
              <c:f>annualy!$P$10:$U$10</c:f>
              <c:numCache>
                <c:formatCode>#,##0</c:formatCode>
                <c:ptCount val="6"/>
                <c:pt idx="0">
                  <c:v>-84.832499999999968</c:v>
                </c:pt>
                <c:pt idx="1">
                  <c:v>31.472000000000005</c:v>
                </c:pt>
                <c:pt idx="2">
                  <c:v>-39.922000000000011</c:v>
                </c:pt>
                <c:pt idx="3">
                  <c:v>-56.772999999999996</c:v>
                </c:pt>
                <c:pt idx="4">
                  <c:v>-345.065</c:v>
                </c:pt>
                <c:pt idx="5" formatCode="#,##0_ ;\-#,##0\ ">
                  <c:v>-64.859999999999985</c:v>
                </c:pt>
              </c:numCache>
            </c:numRef>
          </c:val>
          <c:extLst>
            <c:ext xmlns:c16="http://schemas.microsoft.com/office/drawing/2014/chart" uri="{C3380CC4-5D6E-409C-BE32-E72D297353CC}">
              <c16:uniqueId val="{00000001-FEB7-44FE-97FF-A4DFC05F6C89}"/>
            </c:ext>
          </c:extLst>
        </c:ser>
        <c:ser>
          <c:idx val="3"/>
          <c:order val="3"/>
          <c:tx>
            <c:v>Ισοζύγιο λοιπών αγαθών</c:v>
          </c:tx>
          <c:spPr>
            <a:solidFill>
              <a:srgbClr val="00B0F0"/>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B0F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annualy!$P$2:$U$2</c:f>
              <c:strCache>
                <c:ptCount val="6"/>
                <c:pt idx="0">
                  <c:v>2015</c:v>
                </c:pt>
                <c:pt idx="1">
                  <c:v>2016</c:v>
                </c:pt>
                <c:pt idx="2">
                  <c:v>2017</c:v>
                </c:pt>
                <c:pt idx="3">
                  <c:v>2018</c:v>
                </c:pt>
                <c:pt idx="4">
                  <c:v>2019</c:v>
                </c:pt>
                <c:pt idx="5">
                  <c:v>2020</c:v>
                </c:pt>
              </c:strCache>
            </c:strRef>
          </c:cat>
          <c:val>
            <c:numRef>
              <c:f>annualy!$P$12:$U$12</c:f>
              <c:numCache>
                <c:formatCode>#,##0</c:formatCode>
                <c:ptCount val="6"/>
                <c:pt idx="0">
                  <c:v>-13446.955078999999</c:v>
                </c:pt>
                <c:pt idx="1">
                  <c:v>-15006.200911</c:v>
                </c:pt>
                <c:pt idx="2">
                  <c:v>-16076.34692</c:v>
                </c:pt>
                <c:pt idx="3">
                  <c:v>-17251.641886000001</c:v>
                </c:pt>
                <c:pt idx="4">
                  <c:v>-17447.702152999998</c:v>
                </c:pt>
                <c:pt idx="5" formatCode="#,##0_ ;\-#,##0\ ">
                  <c:v>-15267.212596000001</c:v>
                </c:pt>
              </c:numCache>
            </c:numRef>
          </c:val>
          <c:extLst>
            <c:ext xmlns:c16="http://schemas.microsoft.com/office/drawing/2014/chart" uri="{C3380CC4-5D6E-409C-BE32-E72D297353CC}">
              <c16:uniqueId val="{00000002-FEB7-44FE-97FF-A4DFC05F6C89}"/>
            </c:ext>
          </c:extLst>
        </c:ser>
        <c:dLbls>
          <c:showLegendKey val="0"/>
          <c:showVal val="0"/>
          <c:showCatName val="0"/>
          <c:showSerName val="0"/>
          <c:showPercent val="0"/>
          <c:showBubbleSize val="0"/>
        </c:dLbls>
        <c:gapWidth val="219"/>
        <c:axId val="124422016"/>
        <c:axId val="124423552"/>
      </c:barChart>
      <c:lineChart>
        <c:grouping val="standard"/>
        <c:varyColors val="0"/>
        <c:ser>
          <c:idx val="0"/>
          <c:order val="0"/>
          <c:tx>
            <c:v>Ισοζύγιο αγαθών</c:v>
          </c:tx>
          <c:spPr>
            <a:ln w="28575" cap="rnd">
              <a:solidFill>
                <a:schemeClr val="tx2"/>
              </a:solidFill>
              <a:round/>
            </a:ln>
            <a:effectLst/>
          </c:spPr>
          <c:marker>
            <c:symbol val="circle"/>
            <c:size val="5"/>
            <c:spPr>
              <a:solidFill>
                <a:schemeClr val="tx2"/>
              </a:solidFill>
              <a:ln w="9525">
                <a:solidFill>
                  <a:schemeClr val="tx2"/>
                </a:solidFill>
              </a:ln>
              <a:effectLst/>
            </c:spPr>
          </c:marker>
          <c:dLbls>
            <c:numFmt formatCode="#,##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5">
                        <a:lumMod val="50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#REF!</c:f>
            </c:multiLvlStrRef>
          </c:cat>
          <c:val>
            <c:numRef>
              <c:f>annualy!$P$7:$U$7</c:f>
              <c:numCache>
                <c:formatCode>#,##0</c:formatCode>
                <c:ptCount val="6"/>
                <c:pt idx="0">
                  <c:v>-17666.087578999999</c:v>
                </c:pt>
                <c:pt idx="1">
                  <c:v>-17960.253911</c:v>
                </c:pt>
                <c:pt idx="2">
                  <c:v>-19833.89892</c:v>
                </c:pt>
                <c:pt idx="3">
                  <c:v>-22489.085885999997</c:v>
                </c:pt>
                <c:pt idx="4">
                  <c:v>-22833.268652999999</c:v>
                </c:pt>
                <c:pt idx="5" formatCode="#,##0_ ;\-#,##0\ ">
                  <c:v>-18528.069596000001</c:v>
                </c:pt>
              </c:numCache>
            </c:numRef>
          </c:val>
          <c:smooth val="0"/>
          <c:extLst>
            <c:ext xmlns:c16="http://schemas.microsoft.com/office/drawing/2014/chart" uri="{C3380CC4-5D6E-409C-BE32-E72D297353CC}">
              <c16:uniqueId val="{00000003-FEB7-44FE-97FF-A4DFC05F6C89}"/>
            </c:ext>
          </c:extLst>
        </c:ser>
        <c:dLbls>
          <c:showLegendKey val="0"/>
          <c:showVal val="0"/>
          <c:showCatName val="0"/>
          <c:showSerName val="0"/>
          <c:showPercent val="0"/>
          <c:showBubbleSize val="0"/>
        </c:dLbls>
        <c:marker val="1"/>
        <c:smooth val="0"/>
        <c:axId val="124422016"/>
        <c:axId val="124423552"/>
      </c:lineChart>
      <c:catAx>
        <c:axId val="124422016"/>
        <c:scaling>
          <c:orientation val="minMax"/>
        </c:scaling>
        <c:delete val="0"/>
        <c:axPos val="b"/>
        <c:numFmt formatCode="General" sourceLinked="1"/>
        <c:majorTickMark val="none"/>
        <c:minorTickMark val="none"/>
        <c:tickLblPos val="high"/>
        <c:spPr>
          <a:noFill/>
          <a:ln w="9525" cap="flat" cmpd="sng" algn="ctr">
            <a:solidFill>
              <a:srgbClr val="C00000"/>
            </a:solidFill>
            <a:prstDash val="dash"/>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24423552"/>
        <c:crosses val="autoZero"/>
        <c:auto val="1"/>
        <c:lblAlgn val="ctr"/>
        <c:lblOffset val="100"/>
        <c:noMultiLvlLbl val="0"/>
      </c:catAx>
      <c:valAx>
        <c:axId val="124423552"/>
        <c:scaling>
          <c:orientation val="minMax"/>
          <c:max val="20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422016"/>
        <c:crosses val="autoZero"/>
        <c:crossBetween val="between"/>
      </c:valAx>
      <c:spPr>
        <a:noFill/>
        <a:ln>
          <a:noFill/>
        </a:ln>
        <a:effectLst/>
      </c:spPr>
    </c:plotArea>
    <c:legend>
      <c:legendPos val="b"/>
      <c:layout>
        <c:manualLayout>
          <c:xMode val="edge"/>
          <c:yMode val="edge"/>
          <c:x val="2.0866425992779786E-2"/>
          <c:y val="0.84911149419931975"/>
          <c:w val="0.95104693140794228"/>
          <c:h val="0.127219866747425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0.01125</cdr:x>
      <cdr:y>0.28195</cdr:y>
    </cdr:from>
    <cdr:to>
      <cdr:x>0.98625</cdr:x>
      <cdr:y>0.28195</cdr:y>
    </cdr:to>
    <cdr:cxnSp macro="">
      <cdr:nvCxnSpPr>
        <cdr:cNvPr id="3" name="Ευθεία γραμμή σύνδεσης 2"/>
        <cdr:cNvCxnSpPr/>
      </cdr:nvCxnSpPr>
      <cdr:spPr>
        <a:xfrm xmlns:a="http://schemas.openxmlformats.org/drawingml/2006/main">
          <a:off x="57150" y="952500"/>
          <a:ext cx="4953000" cy="0"/>
        </a:xfrm>
        <a:prstGeom xmlns:a="http://schemas.openxmlformats.org/drawingml/2006/main" prst="line">
          <a:avLst/>
        </a:prstGeom>
        <a:ln xmlns:a="http://schemas.openxmlformats.org/drawingml/2006/main" w="12700">
          <a:solidFill>
            <a:srgbClr val="C0000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0.07668</cdr:x>
      <cdr:y>0.43741</cdr:y>
    </cdr:from>
    <cdr:to>
      <cdr:x>0.98089</cdr:x>
      <cdr:y>0.43741</cdr:y>
    </cdr:to>
    <cdr:cxnSp macro="">
      <cdr:nvCxnSpPr>
        <cdr:cNvPr id="3" name="Ευθεία γραμμή σύνδεσης 2"/>
        <cdr:cNvCxnSpPr/>
      </cdr:nvCxnSpPr>
      <cdr:spPr>
        <a:xfrm xmlns:a="http://schemas.openxmlformats.org/drawingml/2006/main">
          <a:off x="403907" y="1424893"/>
          <a:ext cx="4762734" cy="0"/>
        </a:xfrm>
        <a:prstGeom xmlns:a="http://schemas.openxmlformats.org/drawingml/2006/main" prst="line">
          <a:avLst/>
        </a:prstGeom>
        <a:ln xmlns:a="http://schemas.openxmlformats.org/drawingml/2006/main" w="9525" cap="flat" cmpd="sng" algn="ctr">
          <a:solidFill>
            <a:schemeClr val="dk1"/>
          </a:solidFill>
          <a:prstDash val="dash"/>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cxnSp>
  </cdr:relSizeAnchor>
</c:userShape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3-Μ Bulletin">
    <a:dk1>
      <a:sysClr val="windowText" lastClr="000000"/>
    </a:dk1>
    <a:lt1>
      <a:sysClr val="window" lastClr="FFFFFF"/>
    </a:lt1>
    <a:dk2>
      <a:srgbClr val="44546A"/>
    </a:dk2>
    <a:lt2>
      <a:srgbClr val="E7E6E6"/>
    </a:lt2>
    <a:accent1>
      <a:srgbClr val="C0C0C0"/>
    </a:accent1>
    <a:accent2>
      <a:srgbClr val="00A3E0"/>
    </a:accent2>
    <a:accent3>
      <a:srgbClr val="676A6E"/>
    </a:accent3>
    <a:accent4>
      <a:srgbClr val="84BD00"/>
    </a:accent4>
    <a:accent5>
      <a:srgbClr val="0033A0"/>
    </a:accent5>
    <a:accent6>
      <a:srgbClr val="00843D"/>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70F58D-C602-47B7-85EA-0C7DF22F78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20648</Words>
  <Characters>117698</Characters>
  <Application>Microsoft Office Word</Application>
  <DocSecurity>0</DocSecurity>
  <Lines>980</Lines>
  <Paragraphs>276</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ΕΑΡΙΝΗ ΕΚΘΕΣΗ 2021</vt:lpstr>
      <vt:lpstr>ΦΘΙΝΟΠΩΡΙΝΗ ΕΚΘΕΣΗ 2017</vt:lpstr>
    </vt:vector>
  </TitlesOfParts>
  <Company>Microsoft</Company>
  <LinksUpToDate>false</LinksUpToDate>
  <CharactersWithSpaces>138070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ΕΑΡΙΝΗ ΕΚΘΕΣΗ 2021</dc:title>
  <dc:creator>research@hfisc.gr</dc:creator>
  <cp:lastModifiedBy>user</cp:lastModifiedBy>
  <cp:revision>2</cp:revision>
  <cp:lastPrinted>2021-06-01T12:54:00Z</cp:lastPrinted>
  <dcterms:created xsi:type="dcterms:W3CDTF">2021-06-02T11:20:00Z</dcterms:created>
  <dcterms:modified xsi:type="dcterms:W3CDTF">2021-06-02T11:20:00Z</dcterms:modified>
</cp:coreProperties>
</file>