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B969E" w14:textId="47EB05CF" w:rsidR="004D0936" w:rsidRDefault="00A42177">
      <w:pPr>
        <w:rPr>
          <w:b/>
          <w:bCs/>
        </w:rPr>
      </w:pPr>
      <w:r>
        <w:rPr>
          <w:b/>
          <w:bCs/>
          <w:noProof/>
        </w:rPr>
        <w:drawing>
          <wp:inline distT="0" distB="0" distL="0" distR="0" wp14:anchorId="6979447A" wp14:editId="240BCC64">
            <wp:extent cx="1652270" cy="323215"/>
            <wp:effectExtent l="0" t="0" r="508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2270" cy="323215"/>
                    </a:xfrm>
                    <a:prstGeom prst="rect">
                      <a:avLst/>
                    </a:prstGeom>
                    <a:noFill/>
                  </pic:spPr>
                </pic:pic>
              </a:graphicData>
            </a:graphic>
          </wp:inline>
        </w:drawing>
      </w:r>
    </w:p>
    <w:p w14:paraId="1E4AAD7E" w14:textId="31EE85B4" w:rsidR="00A42177" w:rsidRDefault="00A42177">
      <w:pPr>
        <w:rPr>
          <w:b/>
          <w:bCs/>
        </w:rPr>
      </w:pPr>
    </w:p>
    <w:p w14:paraId="268C1672" w14:textId="6745D4E6" w:rsidR="00A42177" w:rsidRPr="00111FE3" w:rsidRDefault="00A42177">
      <w:pPr>
        <w:rPr>
          <w:b/>
          <w:bCs/>
          <w:lang w:val="en-US"/>
        </w:rPr>
      </w:pPr>
    </w:p>
    <w:p w14:paraId="7D057250" w14:textId="719FF58D" w:rsidR="00A42177" w:rsidRPr="00A04030" w:rsidRDefault="00A42177">
      <w:pPr>
        <w:rPr>
          <w:b/>
          <w:bCs/>
          <w:sz w:val="28"/>
          <w:szCs w:val="28"/>
          <w:lang w:val="el-GR"/>
        </w:rPr>
      </w:pPr>
      <w:r w:rsidRPr="00A04030">
        <w:rPr>
          <w:b/>
          <w:bCs/>
          <w:sz w:val="28"/>
          <w:szCs w:val="28"/>
          <w:lang w:val="el-GR"/>
        </w:rPr>
        <w:t>Δελτίο Τύπου</w:t>
      </w:r>
    </w:p>
    <w:p w14:paraId="209C141E" w14:textId="1EBC79F9" w:rsidR="00A42177" w:rsidRPr="00AC09ED" w:rsidRDefault="00A42177">
      <w:pPr>
        <w:rPr>
          <w:b/>
          <w:bCs/>
          <w:sz w:val="28"/>
          <w:szCs w:val="28"/>
          <w:lang w:val="el-GR"/>
        </w:rPr>
      </w:pPr>
    </w:p>
    <w:p w14:paraId="3FA00C57" w14:textId="1914B24C" w:rsidR="00A42177" w:rsidRPr="00AC09ED" w:rsidRDefault="00F92130" w:rsidP="00111FE3">
      <w:pPr>
        <w:jc w:val="center"/>
        <w:rPr>
          <w:b/>
          <w:bCs/>
          <w:sz w:val="28"/>
          <w:szCs w:val="28"/>
          <w:lang w:val="el-GR"/>
        </w:rPr>
      </w:pPr>
      <w:r w:rsidRPr="00AC09ED">
        <w:rPr>
          <w:b/>
          <w:bCs/>
          <w:sz w:val="28"/>
          <w:szCs w:val="28"/>
          <w:lang w:val="el-GR"/>
        </w:rPr>
        <w:t xml:space="preserve">Ετήσια Έρευνα της </w:t>
      </w:r>
      <w:r w:rsidRPr="00AC09ED">
        <w:rPr>
          <w:b/>
          <w:bCs/>
          <w:sz w:val="28"/>
          <w:szCs w:val="28"/>
        </w:rPr>
        <w:t>Deloitte</w:t>
      </w:r>
      <w:r w:rsidRPr="00AC09ED">
        <w:rPr>
          <w:b/>
          <w:bCs/>
          <w:sz w:val="28"/>
          <w:szCs w:val="28"/>
          <w:lang w:val="el-GR"/>
        </w:rPr>
        <w:t xml:space="preserve"> για την </w:t>
      </w:r>
      <w:r w:rsidR="00852A45">
        <w:rPr>
          <w:b/>
          <w:bCs/>
          <w:sz w:val="28"/>
          <w:szCs w:val="28"/>
          <w:lang w:val="el-GR"/>
        </w:rPr>
        <w:t>Αγορά</w:t>
      </w:r>
      <w:r w:rsidR="007B36E8">
        <w:rPr>
          <w:b/>
          <w:bCs/>
          <w:sz w:val="28"/>
          <w:szCs w:val="28"/>
          <w:lang w:val="el-GR"/>
        </w:rPr>
        <w:t xml:space="preserve"> </w:t>
      </w:r>
      <w:r w:rsidRPr="00AC09ED">
        <w:rPr>
          <w:b/>
          <w:bCs/>
          <w:sz w:val="28"/>
          <w:szCs w:val="28"/>
          <w:lang w:val="el-GR"/>
        </w:rPr>
        <w:t xml:space="preserve">του Ποδοσφαίρου: Τα έσοδα της </w:t>
      </w:r>
      <w:r w:rsidR="00BE563D">
        <w:rPr>
          <w:b/>
          <w:bCs/>
          <w:sz w:val="28"/>
          <w:szCs w:val="28"/>
          <w:lang w:val="el-GR"/>
        </w:rPr>
        <w:t>ε</w:t>
      </w:r>
      <w:r w:rsidR="00BE563D" w:rsidRPr="00AC09ED">
        <w:rPr>
          <w:b/>
          <w:bCs/>
          <w:sz w:val="28"/>
          <w:szCs w:val="28"/>
          <w:lang w:val="el-GR"/>
        </w:rPr>
        <w:t xml:space="preserve">υρωπαϊκής </w:t>
      </w:r>
      <w:r w:rsidR="00AC3AEF" w:rsidRPr="00AC09ED">
        <w:rPr>
          <w:b/>
          <w:bCs/>
          <w:sz w:val="28"/>
          <w:szCs w:val="28"/>
          <w:lang w:val="el-GR"/>
        </w:rPr>
        <w:t>α</w:t>
      </w:r>
      <w:r w:rsidRPr="00AC09ED">
        <w:rPr>
          <w:b/>
          <w:bCs/>
          <w:sz w:val="28"/>
          <w:szCs w:val="28"/>
          <w:lang w:val="el-GR"/>
        </w:rPr>
        <w:t>γοράς αυξήθηκαν κατά 10% τη χρονική περίοδο 2020</w:t>
      </w:r>
      <w:r w:rsidR="00446D7A" w:rsidRPr="00AC09ED">
        <w:rPr>
          <w:b/>
          <w:bCs/>
          <w:sz w:val="28"/>
          <w:szCs w:val="28"/>
          <w:lang w:val="el-GR"/>
        </w:rPr>
        <w:t>-20</w:t>
      </w:r>
      <w:r w:rsidRPr="00AC09ED">
        <w:rPr>
          <w:b/>
          <w:bCs/>
          <w:sz w:val="28"/>
          <w:szCs w:val="28"/>
          <w:lang w:val="el-GR"/>
        </w:rPr>
        <w:t>21, παρά τη σχεδόν ολοκληρωτική απώλεια των αγωνιστικών εσόδων.</w:t>
      </w:r>
    </w:p>
    <w:p w14:paraId="30EC4385" w14:textId="355FF060" w:rsidR="00F92130" w:rsidRPr="00AC3AEF" w:rsidRDefault="00F92130">
      <w:pPr>
        <w:rPr>
          <w:b/>
          <w:bCs/>
          <w:sz w:val="24"/>
          <w:szCs w:val="24"/>
          <w:lang w:val="el-GR"/>
        </w:rPr>
      </w:pPr>
    </w:p>
    <w:p w14:paraId="3C9559FC" w14:textId="04DE7E4B" w:rsidR="00F92130" w:rsidRDefault="00F92130">
      <w:pPr>
        <w:rPr>
          <w:b/>
          <w:bCs/>
          <w:sz w:val="24"/>
          <w:szCs w:val="24"/>
          <w:lang w:val="el-GR"/>
        </w:rPr>
      </w:pPr>
      <w:r>
        <w:rPr>
          <w:b/>
          <w:bCs/>
          <w:sz w:val="24"/>
          <w:szCs w:val="24"/>
          <w:lang w:val="el-GR"/>
        </w:rPr>
        <w:t xml:space="preserve">Σύμφωνα με τα βασικότερα ευρήματα της </w:t>
      </w:r>
      <w:r w:rsidR="00AC3AEF">
        <w:rPr>
          <w:b/>
          <w:bCs/>
          <w:sz w:val="24"/>
          <w:szCs w:val="24"/>
          <w:lang w:val="el-GR"/>
        </w:rPr>
        <w:t>31</w:t>
      </w:r>
      <w:r w:rsidR="00AC3AEF" w:rsidRPr="00AC3AEF">
        <w:rPr>
          <w:b/>
          <w:bCs/>
          <w:sz w:val="24"/>
          <w:szCs w:val="24"/>
          <w:vertAlign w:val="superscript"/>
          <w:lang w:val="el-GR"/>
        </w:rPr>
        <w:t>ης</w:t>
      </w:r>
      <w:r w:rsidR="00AC3AEF">
        <w:rPr>
          <w:b/>
          <w:bCs/>
          <w:sz w:val="24"/>
          <w:szCs w:val="24"/>
          <w:lang w:val="el-GR"/>
        </w:rPr>
        <w:t xml:space="preserve"> Ετήσιας Έρευνας της </w:t>
      </w:r>
      <w:r w:rsidR="00AC3AEF">
        <w:rPr>
          <w:b/>
          <w:bCs/>
          <w:sz w:val="24"/>
          <w:szCs w:val="24"/>
        </w:rPr>
        <w:t>Deloitte</w:t>
      </w:r>
      <w:r w:rsidR="00AC3AEF" w:rsidRPr="00AC3AEF">
        <w:rPr>
          <w:b/>
          <w:bCs/>
          <w:sz w:val="24"/>
          <w:szCs w:val="24"/>
          <w:lang w:val="el-GR"/>
        </w:rPr>
        <w:t xml:space="preserve"> </w:t>
      </w:r>
      <w:r w:rsidR="00AC3AEF">
        <w:rPr>
          <w:b/>
          <w:bCs/>
          <w:sz w:val="24"/>
          <w:szCs w:val="24"/>
          <w:lang w:val="el-GR"/>
        </w:rPr>
        <w:t xml:space="preserve">για την </w:t>
      </w:r>
      <w:r w:rsidR="00852A45">
        <w:rPr>
          <w:b/>
          <w:bCs/>
          <w:sz w:val="24"/>
          <w:szCs w:val="24"/>
          <w:lang w:val="el-GR"/>
        </w:rPr>
        <w:t xml:space="preserve">Αγορά </w:t>
      </w:r>
      <w:r w:rsidR="00AC3AEF">
        <w:rPr>
          <w:b/>
          <w:bCs/>
          <w:sz w:val="24"/>
          <w:szCs w:val="24"/>
          <w:lang w:val="el-GR"/>
        </w:rPr>
        <w:t>του Ποδοσφαίρου</w:t>
      </w:r>
      <w:r w:rsidR="00AC3AEF" w:rsidRPr="00AC3AEF">
        <w:rPr>
          <w:b/>
          <w:bCs/>
          <w:sz w:val="24"/>
          <w:szCs w:val="24"/>
          <w:lang w:val="el-GR"/>
        </w:rPr>
        <w:t>:</w:t>
      </w:r>
    </w:p>
    <w:p w14:paraId="31250C7A" w14:textId="36D17A49" w:rsidR="00AC3AEF" w:rsidRPr="005774F5" w:rsidRDefault="00AC3AEF" w:rsidP="00D42EAB">
      <w:pPr>
        <w:pStyle w:val="ListParagraph"/>
        <w:numPr>
          <w:ilvl w:val="0"/>
          <w:numId w:val="1"/>
        </w:numPr>
        <w:ind w:left="284" w:hanging="284"/>
        <w:jc w:val="both"/>
        <w:rPr>
          <w:lang w:val="el-GR"/>
        </w:rPr>
      </w:pPr>
      <w:r w:rsidRPr="005774F5">
        <w:rPr>
          <w:lang w:val="el-GR"/>
        </w:rPr>
        <w:t xml:space="preserve">Η </w:t>
      </w:r>
      <w:r w:rsidR="007C1345" w:rsidRPr="005774F5">
        <w:rPr>
          <w:lang w:val="el-GR"/>
        </w:rPr>
        <w:t>ευρωπαϊκή</w:t>
      </w:r>
      <w:r w:rsidRPr="005774F5">
        <w:rPr>
          <w:lang w:val="el-GR"/>
        </w:rPr>
        <w:t xml:space="preserve"> αγορά ποδοσφαίρου αύξησε τα συνολικά έσοδά της κατά 10%</w:t>
      </w:r>
      <w:r w:rsidR="005E7C2E" w:rsidRPr="005774F5">
        <w:rPr>
          <w:lang w:val="el-GR"/>
        </w:rPr>
        <w:t xml:space="preserve"> </w:t>
      </w:r>
      <w:r w:rsidRPr="005774F5">
        <w:rPr>
          <w:lang w:val="el-GR"/>
        </w:rPr>
        <w:t>(</w:t>
      </w:r>
      <w:r w:rsidR="009E3798">
        <w:rPr>
          <w:lang w:val="el-GR"/>
        </w:rPr>
        <w:t>€</w:t>
      </w:r>
      <w:r w:rsidRPr="005774F5">
        <w:rPr>
          <w:lang w:val="el-GR"/>
        </w:rPr>
        <w:t>2</w:t>
      </w:r>
      <w:r w:rsidR="00DC4CE1" w:rsidRPr="005774F5">
        <w:rPr>
          <w:lang w:val="el-GR"/>
        </w:rPr>
        <w:t>,</w:t>
      </w:r>
      <w:r w:rsidRPr="005774F5">
        <w:rPr>
          <w:lang w:val="el-GR"/>
        </w:rPr>
        <w:t>4</w:t>
      </w:r>
      <w:r w:rsidR="00DC4CE1" w:rsidRPr="005774F5">
        <w:rPr>
          <w:lang w:val="el-GR"/>
        </w:rPr>
        <w:t xml:space="preserve"> </w:t>
      </w:r>
      <w:r w:rsidRPr="005774F5">
        <w:rPr>
          <w:lang w:val="el-GR"/>
        </w:rPr>
        <w:t>δι</w:t>
      </w:r>
      <w:r w:rsidR="00DC4CE1" w:rsidRPr="005774F5">
        <w:rPr>
          <w:lang w:val="el-GR"/>
        </w:rPr>
        <w:t>σ.</w:t>
      </w:r>
      <w:r w:rsidRPr="005774F5">
        <w:rPr>
          <w:lang w:val="el-GR"/>
        </w:rPr>
        <w:t xml:space="preserve">) την περίοδο 2020-2021 </w:t>
      </w:r>
      <w:r w:rsidR="00BE563D" w:rsidRPr="005774F5">
        <w:rPr>
          <w:lang w:val="el-GR"/>
        </w:rPr>
        <w:t xml:space="preserve">τα οποία </w:t>
      </w:r>
      <w:r w:rsidR="00852A45" w:rsidRPr="005774F5">
        <w:rPr>
          <w:lang w:val="el-GR"/>
        </w:rPr>
        <w:t>ανήλθαν στα</w:t>
      </w:r>
      <w:r w:rsidRPr="005774F5">
        <w:rPr>
          <w:lang w:val="el-GR"/>
        </w:rPr>
        <w:t xml:space="preserve"> </w:t>
      </w:r>
      <w:r w:rsidR="009E3798">
        <w:rPr>
          <w:lang w:val="el-GR"/>
        </w:rPr>
        <w:t>€</w:t>
      </w:r>
      <w:r w:rsidR="003C1BD0" w:rsidRPr="005774F5">
        <w:rPr>
          <w:lang w:val="el-GR"/>
        </w:rPr>
        <w:t>27</w:t>
      </w:r>
      <w:r w:rsidR="00DC4CE1" w:rsidRPr="005774F5">
        <w:rPr>
          <w:lang w:val="el-GR"/>
        </w:rPr>
        <w:t>,</w:t>
      </w:r>
      <w:r w:rsidR="003C1BD0" w:rsidRPr="005774F5">
        <w:rPr>
          <w:lang w:val="el-GR"/>
        </w:rPr>
        <w:t>6 δι</w:t>
      </w:r>
      <w:r w:rsidR="00446D7A" w:rsidRPr="005774F5">
        <w:rPr>
          <w:lang w:val="el-GR"/>
        </w:rPr>
        <w:t>σ.</w:t>
      </w:r>
      <w:r w:rsidR="003C1BD0" w:rsidRPr="005774F5">
        <w:rPr>
          <w:lang w:val="el-GR"/>
        </w:rPr>
        <w:t xml:space="preserve">, παρά τη σχεδόν ολοκληρωτική απουσία των </w:t>
      </w:r>
      <w:r w:rsidR="00BE563D" w:rsidRPr="005774F5">
        <w:rPr>
          <w:lang w:val="el-GR"/>
        </w:rPr>
        <w:t xml:space="preserve">φιλάθλων </w:t>
      </w:r>
      <w:r w:rsidR="003C1BD0" w:rsidRPr="005774F5">
        <w:rPr>
          <w:lang w:val="el-GR"/>
        </w:rPr>
        <w:t xml:space="preserve">από τα ποδοσφαιρικά στάδια κατά τη διάρκεια της περιόδου, </w:t>
      </w:r>
      <w:r w:rsidR="00A46D85" w:rsidRPr="005774F5">
        <w:rPr>
          <w:lang w:val="el-GR"/>
        </w:rPr>
        <w:t xml:space="preserve">με την αύξηση να οφείλεται στα </w:t>
      </w:r>
      <w:r w:rsidR="00B50CAE" w:rsidRPr="005774F5">
        <w:rPr>
          <w:lang w:val="el-GR"/>
        </w:rPr>
        <w:t>αναβαλλόμενα</w:t>
      </w:r>
      <w:r w:rsidR="00A46D85" w:rsidRPr="005774F5">
        <w:rPr>
          <w:lang w:val="el-GR"/>
        </w:rPr>
        <w:t xml:space="preserve"> έσοδα της τηλεοπτικής </w:t>
      </w:r>
      <w:r w:rsidR="00111FE3" w:rsidRPr="005774F5">
        <w:rPr>
          <w:lang w:val="el-GR"/>
        </w:rPr>
        <w:t>ανα</w:t>
      </w:r>
      <w:r w:rsidR="00A46D85" w:rsidRPr="005774F5">
        <w:rPr>
          <w:lang w:val="el-GR"/>
        </w:rPr>
        <w:t>μετάδοσης των αγώνων του προηγούμενου έτους</w:t>
      </w:r>
      <w:r w:rsidR="00B50CAE" w:rsidRPr="005774F5">
        <w:rPr>
          <w:lang w:val="el-GR"/>
        </w:rPr>
        <w:t>,</w:t>
      </w:r>
      <w:r w:rsidR="00A46D85" w:rsidRPr="005774F5">
        <w:rPr>
          <w:lang w:val="el-GR"/>
        </w:rPr>
        <w:t xml:space="preserve"> καθώς και στην επιτυχία τ</w:t>
      </w:r>
      <w:r w:rsidR="00382D54" w:rsidRPr="005774F5">
        <w:rPr>
          <w:lang w:val="el-GR"/>
        </w:rPr>
        <w:t xml:space="preserve">ου </w:t>
      </w:r>
      <w:r w:rsidR="00382D54" w:rsidRPr="005774F5">
        <w:t>UEFA</w:t>
      </w:r>
      <w:r w:rsidR="00382D54" w:rsidRPr="005774F5">
        <w:rPr>
          <w:lang w:val="el-GR"/>
        </w:rPr>
        <w:t xml:space="preserve"> </w:t>
      </w:r>
      <w:r w:rsidR="00382D54" w:rsidRPr="005774F5">
        <w:t>EURO</w:t>
      </w:r>
      <w:r w:rsidR="00382D54" w:rsidRPr="005774F5">
        <w:rPr>
          <w:lang w:val="el-GR"/>
        </w:rPr>
        <w:t xml:space="preserve"> 2020 το οποίο </w:t>
      </w:r>
      <w:r w:rsidR="002516EC" w:rsidRPr="005774F5">
        <w:rPr>
          <w:lang w:val="el-GR"/>
        </w:rPr>
        <w:t>είχε αναβληθεί</w:t>
      </w:r>
      <w:r w:rsidR="00382D54" w:rsidRPr="005774F5">
        <w:rPr>
          <w:lang w:val="el-GR"/>
        </w:rPr>
        <w:t xml:space="preserve">. </w:t>
      </w:r>
    </w:p>
    <w:p w14:paraId="43FED05F" w14:textId="06E43F94" w:rsidR="00382D54" w:rsidRPr="005774F5" w:rsidRDefault="00446D7A" w:rsidP="00D42EAB">
      <w:pPr>
        <w:pStyle w:val="ListParagraph"/>
        <w:numPr>
          <w:ilvl w:val="0"/>
          <w:numId w:val="1"/>
        </w:numPr>
        <w:ind w:left="284" w:hanging="284"/>
        <w:jc w:val="both"/>
        <w:rPr>
          <w:lang w:val="el-GR"/>
        </w:rPr>
      </w:pPr>
      <w:r w:rsidRPr="005774F5">
        <w:rPr>
          <w:lang w:val="el-GR"/>
        </w:rPr>
        <w:t xml:space="preserve">Τα </w:t>
      </w:r>
      <w:r w:rsidR="002516EC" w:rsidRPr="005774F5">
        <w:rPr>
          <w:lang w:val="el-GR"/>
        </w:rPr>
        <w:t>«</w:t>
      </w:r>
      <w:r w:rsidRPr="005774F5">
        <w:rPr>
          <w:lang w:val="el-GR"/>
        </w:rPr>
        <w:t>πέντε μεγάλα</w:t>
      </w:r>
      <w:r w:rsidR="002516EC" w:rsidRPr="005774F5">
        <w:rPr>
          <w:lang w:val="el-GR"/>
        </w:rPr>
        <w:t>»</w:t>
      </w:r>
      <w:r w:rsidRPr="005774F5">
        <w:rPr>
          <w:lang w:val="el-GR"/>
        </w:rPr>
        <w:t xml:space="preserve"> </w:t>
      </w:r>
      <w:r w:rsidR="002516EC" w:rsidRPr="005774F5">
        <w:rPr>
          <w:lang w:val="el-GR"/>
        </w:rPr>
        <w:t>ε</w:t>
      </w:r>
      <w:r w:rsidRPr="005774F5">
        <w:rPr>
          <w:lang w:val="el-GR"/>
        </w:rPr>
        <w:t>υρωπαϊκά πρωταθλήματα</w:t>
      </w:r>
      <w:r w:rsidR="00382D54" w:rsidRPr="005774F5">
        <w:rPr>
          <w:lang w:val="el-GR"/>
        </w:rPr>
        <w:t xml:space="preserve">, η </w:t>
      </w:r>
      <w:r w:rsidR="00382D54" w:rsidRPr="005774F5">
        <w:t>Premier</w:t>
      </w:r>
      <w:r w:rsidR="00382D54" w:rsidRPr="005774F5">
        <w:rPr>
          <w:lang w:val="el-GR"/>
        </w:rPr>
        <w:t xml:space="preserve"> </w:t>
      </w:r>
      <w:r w:rsidR="00382D54" w:rsidRPr="005774F5">
        <w:t>League</w:t>
      </w:r>
      <w:r w:rsidR="00382D54" w:rsidRPr="005774F5">
        <w:rPr>
          <w:lang w:val="el-GR"/>
        </w:rPr>
        <w:t xml:space="preserve">, η </w:t>
      </w:r>
      <w:r w:rsidR="00382D54" w:rsidRPr="005774F5">
        <w:t>Bundesliga</w:t>
      </w:r>
      <w:r w:rsidR="00382D54" w:rsidRPr="005774F5">
        <w:rPr>
          <w:lang w:val="el-GR"/>
        </w:rPr>
        <w:t xml:space="preserve">, η </w:t>
      </w:r>
      <w:r w:rsidR="00382D54" w:rsidRPr="005774F5">
        <w:t>La</w:t>
      </w:r>
      <w:r w:rsidR="00382D54" w:rsidRPr="005774F5">
        <w:rPr>
          <w:lang w:val="el-GR"/>
        </w:rPr>
        <w:t xml:space="preserve"> </w:t>
      </w:r>
      <w:r w:rsidR="00382D54" w:rsidRPr="005774F5">
        <w:t>Liga</w:t>
      </w:r>
      <w:r w:rsidR="00382D54" w:rsidRPr="005774F5">
        <w:rPr>
          <w:lang w:val="el-GR"/>
        </w:rPr>
        <w:t xml:space="preserve">, η </w:t>
      </w:r>
      <w:r w:rsidR="00382D54" w:rsidRPr="005774F5">
        <w:t>Serie</w:t>
      </w:r>
      <w:r w:rsidR="00382D54" w:rsidRPr="005774F5">
        <w:rPr>
          <w:lang w:val="el-GR"/>
        </w:rPr>
        <w:t xml:space="preserve"> </w:t>
      </w:r>
      <w:r w:rsidR="00382D54" w:rsidRPr="005774F5">
        <w:t>A</w:t>
      </w:r>
      <w:r w:rsidR="00382D54" w:rsidRPr="005774F5">
        <w:rPr>
          <w:lang w:val="el-GR"/>
        </w:rPr>
        <w:t xml:space="preserve"> </w:t>
      </w:r>
      <w:r w:rsidR="007C1345" w:rsidRPr="005774F5">
        <w:rPr>
          <w:lang w:val="el-GR"/>
        </w:rPr>
        <w:t xml:space="preserve">και </w:t>
      </w:r>
      <w:r w:rsidR="00382D54" w:rsidRPr="005774F5">
        <w:rPr>
          <w:lang w:val="el-GR"/>
        </w:rPr>
        <w:t xml:space="preserve">η </w:t>
      </w:r>
      <w:r w:rsidR="00382D54" w:rsidRPr="005774F5">
        <w:t>Ligue</w:t>
      </w:r>
      <w:r w:rsidR="00382D54" w:rsidRPr="005774F5">
        <w:rPr>
          <w:lang w:val="el-GR"/>
        </w:rPr>
        <w:t xml:space="preserve"> 1, απέφεραν </w:t>
      </w:r>
      <w:r w:rsidRPr="005774F5">
        <w:rPr>
          <w:lang w:val="el-GR"/>
        </w:rPr>
        <w:t>έσοδα</w:t>
      </w:r>
      <w:r w:rsidR="009E3798">
        <w:rPr>
          <w:lang w:val="el-GR"/>
        </w:rPr>
        <w:t xml:space="preserve"> €</w:t>
      </w:r>
      <w:r w:rsidR="00382D54" w:rsidRPr="005774F5">
        <w:rPr>
          <w:lang w:val="el-GR"/>
        </w:rPr>
        <w:t>15</w:t>
      </w:r>
      <w:r w:rsidRPr="005774F5">
        <w:rPr>
          <w:lang w:val="el-GR"/>
        </w:rPr>
        <w:t>,</w:t>
      </w:r>
      <w:r w:rsidR="00382D54" w:rsidRPr="005774F5">
        <w:rPr>
          <w:lang w:val="el-GR"/>
        </w:rPr>
        <w:t>6 δι</w:t>
      </w:r>
      <w:r w:rsidRPr="005774F5">
        <w:rPr>
          <w:lang w:val="el-GR"/>
        </w:rPr>
        <w:t>σ.</w:t>
      </w:r>
      <w:r w:rsidR="00382D54" w:rsidRPr="005774F5">
        <w:rPr>
          <w:lang w:val="el-GR"/>
        </w:rPr>
        <w:t xml:space="preserve"> τη χρονική περίοδο 2020-2021, σημειώνοντας αύξηση 3% συγκριτικά με το προηγούμενο έτος</w:t>
      </w:r>
      <w:r w:rsidR="006B4154" w:rsidRPr="005774F5">
        <w:rPr>
          <w:lang w:val="el-GR"/>
        </w:rPr>
        <w:t xml:space="preserve"> (</w:t>
      </w:r>
      <w:r w:rsidR="009E3798">
        <w:rPr>
          <w:lang w:val="el-GR"/>
        </w:rPr>
        <w:t>€</w:t>
      </w:r>
      <w:r w:rsidR="006B4154" w:rsidRPr="005774F5">
        <w:rPr>
          <w:lang w:val="el-GR"/>
        </w:rPr>
        <w:t>15</w:t>
      </w:r>
      <w:r w:rsidRPr="005774F5">
        <w:rPr>
          <w:lang w:val="el-GR"/>
        </w:rPr>
        <w:t>,</w:t>
      </w:r>
      <w:r w:rsidR="006B4154" w:rsidRPr="005774F5">
        <w:rPr>
          <w:lang w:val="el-GR"/>
        </w:rPr>
        <w:t>1δι</w:t>
      </w:r>
      <w:r w:rsidRPr="005774F5">
        <w:rPr>
          <w:lang w:val="el-GR"/>
        </w:rPr>
        <w:t>σ.</w:t>
      </w:r>
      <w:r w:rsidR="006B4154" w:rsidRPr="005774F5">
        <w:rPr>
          <w:lang w:val="el-GR"/>
        </w:rPr>
        <w:t xml:space="preserve"> το 2019</w:t>
      </w:r>
      <w:r w:rsidRPr="005774F5">
        <w:rPr>
          <w:lang w:val="el-GR"/>
        </w:rPr>
        <w:t>-</w:t>
      </w:r>
      <w:r w:rsidR="006B4154" w:rsidRPr="005774F5">
        <w:rPr>
          <w:lang w:val="el-GR"/>
        </w:rPr>
        <w:t>2020)</w:t>
      </w:r>
      <w:r w:rsidR="002516EC" w:rsidRPr="005774F5">
        <w:rPr>
          <w:lang w:val="el-GR"/>
        </w:rPr>
        <w:t>.</w:t>
      </w:r>
    </w:p>
    <w:p w14:paraId="3C1408DD" w14:textId="4E20D05F" w:rsidR="006B4154" w:rsidRPr="005774F5" w:rsidRDefault="004E6175" w:rsidP="00D42EAB">
      <w:pPr>
        <w:pStyle w:val="ListParagraph"/>
        <w:numPr>
          <w:ilvl w:val="0"/>
          <w:numId w:val="1"/>
        </w:numPr>
        <w:ind w:left="284" w:hanging="284"/>
        <w:jc w:val="both"/>
        <w:rPr>
          <w:lang w:val="el-GR"/>
        </w:rPr>
      </w:pPr>
      <w:r w:rsidRPr="005774F5">
        <w:rPr>
          <w:lang w:val="el-GR"/>
        </w:rPr>
        <w:t xml:space="preserve">Τα έσοδα της </w:t>
      </w:r>
      <w:r w:rsidRPr="005774F5">
        <w:t>Premier</w:t>
      </w:r>
      <w:r w:rsidRPr="005774F5">
        <w:rPr>
          <w:lang w:val="el-GR"/>
        </w:rPr>
        <w:t xml:space="preserve"> </w:t>
      </w:r>
      <w:r w:rsidRPr="005774F5">
        <w:t>League</w:t>
      </w:r>
      <w:r w:rsidRPr="005774F5">
        <w:rPr>
          <w:lang w:val="el-GR"/>
        </w:rPr>
        <w:t xml:space="preserve"> σημείωσαν αύξηση 8%</w:t>
      </w:r>
      <w:r w:rsidR="00446D7A" w:rsidRPr="005774F5">
        <w:rPr>
          <w:lang w:val="el-GR"/>
        </w:rPr>
        <w:t>,</w:t>
      </w:r>
      <w:r w:rsidRPr="005774F5">
        <w:rPr>
          <w:lang w:val="el-GR"/>
        </w:rPr>
        <w:t xml:space="preserve"> δηλαδή άγγιξαν τα</w:t>
      </w:r>
      <w:r w:rsidR="009E3798">
        <w:rPr>
          <w:lang w:val="el-GR"/>
        </w:rPr>
        <w:t xml:space="preserve"> €</w:t>
      </w:r>
      <w:r w:rsidRPr="005774F5">
        <w:rPr>
          <w:lang w:val="el-GR"/>
        </w:rPr>
        <w:t>5</w:t>
      </w:r>
      <w:r w:rsidR="00446D7A" w:rsidRPr="005774F5">
        <w:rPr>
          <w:lang w:val="el-GR"/>
        </w:rPr>
        <w:t>,</w:t>
      </w:r>
      <w:r w:rsidRPr="005774F5">
        <w:rPr>
          <w:lang w:val="el-GR"/>
        </w:rPr>
        <w:t>5 δι</w:t>
      </w:r>
      <w:r w:rsidR="00446D7A" w:rsidRPr="005774F5">
        <w:rPr>
          <w:lang w:val="el-GR"/>
        </w:rPr>
        <w:t>σ.</w:t>
      </w:r>
      <w:r w:rsidRPr="005774F5">
        <w:rPr>
          <w:lang w:val="el-GR"/>
        </w:rPr>
        <w:t xml:space="preserve"> συγκριτικά με τα</w:t>
      </w:r>
      <w:r w:rsidR="009E3798">
        <w:rPr>
          <w:lang w:val="el-GR"/>
        </w:rPr>
        <w:t xml:space="preserve"> €</w:t>
      </w:r>
      <w:r w:rsidRPr="005774F5">
        <w:rPr>
          <w:lang w:val="el-GR"/>
        </w:rPr>
        <w:t>5</w:t>
      </w:r>
      <w:r w:rsidR="00446D7A" w:rsidRPr="005774F5">
        <w:rPr>
          <w:lang w:val="el-GR"/>
        </w:rPr>
        <w:t>,</w:t>
      </w:r>
      <w:r w:rsidRPr="005774F5">
        <w:rPr>
          <w:lang w:val="el-GR"/>
        </w:rPr>
        <w:t>1 δι</w:t>
      </w:r>
      <w:r w:rsidR="00446D7A" w:rsidRPr="005774F5">
        <w:rPr>
          <w:lang w:val="el-GR"/>
        </w:rPr>
        <w:t>σ.</w:t>
      </w:r>
      <w:r w:rsidRPr="005774F5">
        <w:rPr>
          <w:lang w:val="el-GR"/>
        </w:rPr>
        <w:t xml:space="preserve"> κατά τη διάρκεια </w:t>
      </w:r>
      <w:r w:rsidR="00446D7A" w:rsidRPr="005774F5">
        <w:rPr>
          <w:lang w:val="el-GR"/>
        </w:rPr>
        <w:t xml:space="preserve">της περιόδου </w:t>
      </w:r>
      <w:r w:rsidRPr="005774F5">
        <w:rPr>
          <w:lang w:val="el-GR"/>
        </w:rPr>
        <w:t>2019-2020 και αναμένεται να αγγίξουν τα</w:t>
      </w:r>
      <w:r w:rsidR="009E3798">
        <w:rPr>
          <w:lang w:val="el-GR"/>
        </w:rPr>
        <w:t xml:space="preserve"> €</w:t>
      </w:r>
      <w:r w:rsidRPr="005774F5">
        <w:rPr>
          <w:lang w:val="el-GR"/>
        </w:rPr>
        <w:t>6</w:t>
      </w:r>
      <w:r w:rsidR="00446D7A" w:rsidRPr="005774F5">
        <w:rPr>
          <w:lang w:val="el-GR"/>
        </w:rPr>
        <w:t>,</w:t>
      </w:r>
      <w:r w:rsidRPr="005774F5">
        <w:rPr>
          <w:lang w:val="el-GR"/>
        </w:rPr>
        <w:t>5 δι</w:t>
      </w:r>
      <w:r w:rsidR="00446D7A" w:rsidRPr="005774F5">
        <w:rPr>
          <w:lang w:val="el-GR"/>
        </w:rPr>
        <w:t>σ.</w:t>
      </w:r>
      <w:r w:rsidRPr="005774F5">
        <w:rPr>
          <w:lang w:val="el-GR"/>
        </w:rPr>
        <w:t xml:space="preserve"> τη χρονική περίοδο 2021</w:t>
      </w:r>
      <w:r w:rsidR="00446D7A" w:rsidRPr="005774F5">
        <w:rPr>
          <w:lang w:val="el-GR"/>
        </w:rPr>
        <w:t>-</w:t>
      </w:r>
      <w:r w:rsidRPr="005774F5">
        <w:rPr>
          <w:lang w:val="el-GR"/>
        </w:rPr>
        <w:t>2022.</w:t>
      </w:r>
    </w:p>
    <w:p w14:paraId="65AFC6D4" w14:textId="7AE6D855" w:rsidR="004E6175" w:rsidRPr="005774F5" w:rsidRDefault="004E6175" w:rsidP="00D42EAB">
      <w:pPr>
        <w:pStyle w:val="ListParagraph"/>
        <w:numPr>
          <w:ilvl w:val="0"/>
          <w:numId w:val="1"/>
        </w:numPr>
        <w:ind w:left="284" w:hanging="284"/>
        <w:jc w:val="both"/>
        <w:rPr>
          <w:lang w:val="el-GR"/>
        </w:rPr>
      </w:pPr>
      <w:r w:rsidRPr="005774F5">
        <w:rPr>
          <w:lang w:val="el-GR"/>
        </w:rPr>
        <w:t xml:space="preserve">Η </w:t>
      </w:r>
      <w:r w:rsidRPr="005774F5">
        <w:t>Premier</w:t>
      </w:r>
      <w:r w:rsidRPr="005774F5">
        <w:rPr>
          <w:lang w:val="el-GR"/>
        </w:rPr>
        <w:t xml:space="preserve"> </w:t>
      </w:r>
      <w:r w:rsidRPr="005774F5">
        <w:t>League</w:t>
      </w:r>
      <w:r w:rsidRPr="005774F5">
        <w:rPr>
          <w:lang w:val="el-GR"/>
        </w:rPr>
        <w:t xml:space="preserve"> ήταν η μοναδική από τ</w:t>
      </w:r>
      <w:r w:rsidR="00446D7A" w:rsidRPr="005774F5">
        <w:rPr>
          <w:lang w:val="el-GR"/>
        </w:rPr>
        <w:t>α</w:t>
      </w:r>
      <w:r w:rsidRPr="005774F5">
        <w:rPr>
          <w:lang w:val="el-GR"/>
        </w:rPr>
        <w:t xml:space="preserve"> 5 μεγάλ</w:t>
      </w:r>
      <w:r w:rsidR="00446D7A" w:rsidRPr="005774F5">
        <w:rPr>
          <w:lang w:val="el-GR"/>
        </w:rPr>
        <w:t>α</w:t>
      </w:r>
      <w:r w:rsidRPr="005774F5">
        <w:rPr>
          <w:lang w:val="el-GR"/>
        </w:rPr>
        <w:t xml:space="preserve"> </w:t>
      </w:r>
      <w:r w:rsidR="00BE563D" w:rsidRPr="005774F5">
        <w:rPr>
          <w:lang w:val="el-GR"/>
        </w:rPr>
        <w:t xml:space="preserve">ευρωπαϊκά </w:t>
      </w:r>
      <w:r w:rsidR="00446D7A" w:rsidRPr="005774F5">
        <w:rPr>
          <w:lang w:val="el-GR"/>
        </w:rPr>
        <w:t>πρωταθλήματα</w:t>
      </w:r>
      <w:r w:rsidR="00E82A7B" w:rsidRPr="005774F5">
        <w:rPr>
          <w:lang w:val="el-GR"/>
        </w:rPr>
        <w:t xml:space="preserve">, της οποίας οι σύλλογοι βελτίωσαν τα συνολικά λειτουργικά κέρδη μέσα στο έτος, </w:t>
      </w:r>
      <w:r w:rsidR="005B27B9" w:rsidRPr="005774F5">
        <w:rPr>
          <w:lang w:val="el-GR"/>
        </w:rPr>
        <w:t>από</w:t>
      </w:r>
      <w:r w:rsidR="009E3798">
        <w:rPr>
          <w:lang w:val="el-GR"/>
        </w:rPr>
        <w:t xml:space="preserve"> €</w:t>
      </w:r>
      <w:r w:rsidR="005B27B9" w:rsidRPr="005774F5">
        <w:rPr>
          <w:lang w:val="el-GR"/>
        </w:rPr>
        <w:t>55</w:t>
      </w:r>
      <w:r w:rsidR="00446D7A" w:rsidRPr="005774F5">
        <w:rPr>
          <w:lang w:val="el-GR"/>
        </w:rPr>
        <w:t xml:space="preserve"> εκατ.</w:t>
      </w:r>
      <w:r w:rsidR="005B27B9" w:rsidRPr="005774F5">
        <w:rPr>
          <w:lang w:val="el-GR"/>
        </w:rPr>
        <w:t xml:space="preserve"> σε</w:t>
      </w:r>
      <w:r w:rsidR="009E3798">
        <w:rPr>
          <w:lang w:val="el-GR"/>
        </w:rPr>
        <w:t xml:space="preserve"> €</w:t>
      </w:r>
      <w:r w:rsidR="005B27B9" w:rsidRPr="005774F5">
        <w:rPr>
          <w:lang w:val="el-GR"/>
        </w:rPr>
        <w:t>541</w:t>
      </w:r>
      <w:r w:rsidR="00446D7A" w:rsidRPr="005774F5">
        <w:rPr>
          <w:lang w:val="el-GR"/>
        </w:rPr>
        <w:t xml:space="preserve"> εκατ</w:t>
      </w:r>
      <w:r w:rsidR="005B27B9" w:rsidRPr="005774F5">
        <w:rPr>
          <w:lang w:val="el-GR"/>
        </w:rPr>
        <w:t>.</w:t>
      </w:r>
      <w:r w:rsidR="00446D7A" w:rsidRPr="005774F5">
        <w:rPr>
          <w:lang w:val="el-GR"/>
        </w:rPr>
        <w:t>.</w:t>
      </w:r>
      <w:r w:rsidR="005B27B9" w:rsidRPr="005774F5">
        <w:rPr>
          <w:lang w:val="el-GR"/>
        </w:rPr>
        <w:t xml:space="preserve"> </w:t>
      </w:r>
    </w:p>
    <w:p w14:paraId="7638E69D" w14:textId="58CAC869" w:rsidR="005B27B9" w:rsidRPr="005774F5" w:rsidRDefault="005B27B9" w:rsidP="00D42EAB">
      <w:pPr>
        <w:pStyle w:val="ListParagraph"/>
        <w:numPr>
          <w:ilvl w:val="0"/>
          <w:numId w:val="1"/>
        </w:numPr>
        <w:ind w:left="284" w:hanging="284"/>
        <w:jc w:val="both"/>
        <w:rPr>
          <w:lang w:val="el-GR"/>
        </w:rPr>
      </w:pPr>
      <w:r w:rsidRPr="005774F5">
        <w:rPr>
          <w:lang w:val="el-GR"/>
        </w:rPr>
        <w:t xml:space="preserve">Το χρέος των συλλόγων της </w:t>
      </w:r>
      <w:r w:rsidRPr="005774F5">
        <w:t>Premier</w:t>
      </w:r>
      <w:r w:rsidRPr="005774F5">
        <w:rPr>
          <w:lang w:val="el-GR"/>
        </w:rPr>
        <w:t xml:space="preserve"> </w:t>
      </w:r>
      <w:r w:rsidRPr="005774F5">
        <w:t>League</w:t>
      </w:r>
      <w:r w:rsidRPr="005774F5">
        <w:rPr>
          <w:lang w:val="el-GR"/>
        </w:rPr>
        <w:t xml:space="preserve"> στο τέλος της χρονικής περιόδου 2020</w:t>
      </w:r>
      <w:r w:rsidR="00446D7A" w:rsidRPr="005774F5">
        <w:rPr>
          <w:lang w:val="el-GR"/>
        </w:rPr>
        <w:t>-</w:t>
      </w:r>
      <w:r w:rsidRPr="005774F5">
        <w:rPr>
          <w:lang w:val="el-GR"/>
        </w:rPr>
        <w:t>2021 αυξήθηκε μόλις 4%</w:t>
      </w:r>
      <w:r w:rsidR="00446D7A" w:rsidRPr="005774F5">
        <w:rPr>
          <w:lang w:val="el-GR"/>
        </w:rPr>
        <w:t>,</w:t>
      </w:r>
      <w:r w:rsidRPr="005774F5">
        <w:rPr>
          <w:lang w:val="el-GR"/>
        </w:rPr>
        <w:t xml:space="preserve"> δηλαδή </w:t>
      </w:r>
      <w:r w:rsidR="00BE563D" w:rsidRPr="005774F5">
        <w:rPr>
          <w:lang w:val="el-GR"/>
        </w:rPr>
        <w:t xml:space="preserve">ανήλθε </w:t>
      </w:r>
      <w:r w:rsidRPr="005774F5">
        <w:rPr>
          <w:lang w:val="el-GR"/>
        </w:rPr>
        <w:t>στα</w:t>
      </w:r>
      <w:r w:rsidR="009E3798">
        <w:rPr>
          <w:lang w:val="el-GR"/>
        </w:rPr>
        <w:t xml:space="preserve"> €</w:t>
      </w:r>
      <w:r w:rsidRPr="005774F5">
        <w:rPr>
          <w:lang w:val="el-GR"/>
        </w:rPr>
        <w:t>4.6 δι</w:t>
      </w:r>
      <w:r w:rsidR="00446D7A" w:rsidRPr="005774F5">
        <w:rPr>
          <w:lang w:val="el-GR"/>
        </w:rPr>
        <w:t>σ</w:t>
      </w:r>
      <w:r w:rsidRPr="005774F5">
        <w:rPr>
          <w:lang w:val="el-GR"/>
        </w:rPr>
        <w:t>.</w:t>
      </w:r>
    </w:p>
    <w:p w14:paraId="20DCF628" w14:textId="15E0E8F1" w:rsidR="00AC3AEF" w:rsidRPr="005774F5" w:rsidRDefault="00AC3AEF" w:rsidP="00D42EAB">
      <w:pPr>
        <w:ind w:left="284" w:hanging="284"/>
        <w:jc w:val="both"/>
        <w:rPr>
          <w:lang w:val="el-GR"/>
        </w:rPr>
      </w:pPr>
    </w:p>
    <w:p w14:paraId="151E1D21" w14:textId="3A29D517" w:rsidR="005B27B9" w:rsidRPr="005774F5" w:rsidRDefault="005B27B9" w:rsidP="008D2675">
      <w:pPr>
        <w:jc w:val="both"/>
        <w:rPr>
          <w:b/>
          <w:bCs/>
          <w:lang w:val="el-GR"/>
        </w:rPr>
      </w:pPr>
      <w:r w:rsidRPr="005774F5">
        <w:rPr>
          <w:b/>
          <w:bCs/>
          <w:lang w:val="el-GR"/>
        </w:rPr>
        <w:t xml:space="preserve">Αθήνα </w:t>
      </w:r>
      <w:r w:rsidR="007C1345" w:rsidRPr="005774F5">
        <w:rPr>
          <w:b/>
          <w:bCs/>
          <w:lang w:val="el-GR"/>
        </w:rPr>
        <w:t>2</w:t>
      </w:r>
      <w:r w:rsidR="00391E8C">
        <w:rPr>
          <w:b/>
          <w:bCs/>
          <w:lang w:val="el-GR"/>
        </w:rPr>
        <w:t>6</w:t>
      </w:r>
      <w:r w:rsidR="00721CC1" w:rsidRPr="005774F5">
        <w:rPr>
          <w:b/>
          <w:bCs/>
          <w:lang w:val="el-GR"/>
        </w:rPr>
        <w:t xml:space="preserve"> Αυγούστου </w:t>
      </w:r>
      <w:r w:rsidR="007C1345" w:rsidRPr="005774F5">
        <w:rPr>
          <w:b/>
          <w:bCs/>
          <w:lang w:val="el-GR"/>
        </w:rPr>
        <w:t>2022</w:t>
      </w:r>
      <w:r w:rsidR="00B50CAE" w:rsidRPr="005774F5">
        <w:rPr>
          <w:b/>
          <w:bCs/>
          <w:lang w:val="el-GR"/>
        </w:rPr>
        <w:t xml:space="preserve"> - </w:t>
      </w:r>
      <w:r w:rsidR="00930789" w:rsidRPr="005774F5">
        <w:rPr>
          <w:lang w:val="el-GR"/>
        </w:rPr>
        <w:t xml:space="preserve">Σύμφωνα με τα ευρήματα </w:t>
      </w:r>
      <w:r w:rsidR="00B50CAE" w:rsidRPr="005774F5">
        <w:rPr>
          <w:lang w:val="el-GR"/>
        </w:rPr>
        <w:t>του 31</w:t>
      </w:r>
      <w:r w:rsidR="00B50CAE" w:rsidRPr="005774F5">
        <w:rPr>
          <w:vertAlign w:val="superscript"/>
          <w:lang w:val="el-GR"/>
        </w:rPr>
        <w:t>ου</w:t>
      </w:r>
      <w:r w:rsidR="00B50CAE" w:rsidRPr="005774F5">
        <w:rPr>
          <w:lang w:val="el-GR"/>
        </w:rPr>
        <w:t xml:space="preserve"> </w:t>
      </w:r>
      <w:r w:rsidR="00B50CAE" w:rsidRPr="005774F5">
        <w:rPr>
          <w:lang w:val="en-US"/>
        </w:rPr>
        <w:t>Annual</w:t>
      </w:r>
      <w:r w:rsidR="00B50CAE" w:rsidRPr="005774F5">
        <w:rPr>
          <w:lang w:val="el-GR"/>
        </w:rPr>
        <w:t xml:space="preserve"> </w:t>
      </w:r>
      <w:r w:rsidR="00B50CAE" w:rsidRPr="005774F5">
        <w:rPr>
          <w:lang w:val="en-US"/>
        </w:rPr>
        <w:t>Review</w:t>
      </w:r>
      <w:r w:rsidR="00B50CAE" w:rsidRPr="005774F5">
        <w:rPr>
          <w:lang w:val="el-GR"/>
        </w:rPr>
        <w:t xml:space="preserve"> </w:t>
      </w:r>
      <w:r w:rsidR="00B50CAE" w:rsidRPr="005774F5">
        <w:rPr>
          <w:lang w:val="en-US"/>
        </w:rPr>
        <w:t>of</w:t>
      </w:r>
      <w:r w:rsidR="00B50CAE" w:rsidRPr="005774F5">
        <w:rPr>
          <w:lang w:val="el-GR"/>
        </w:rPr>
        <w:t xml:space="preserve"> </w:t>
      </w:r>
      <w:r w:rsidR="00B50CAE" w:rsidRPr="005774F5">
        <w:rPr>
          <w:lang w:val="en-US"/>
        </w:rPr>
        <w:t>Football</w:t>
      </w:r>
      <w:r w:rsidR="00B50CAE" w:rsidRPr="005774F5">
        <w:rPr>
          <w:lang w:val="el-GR"/>
        </w:rPr>
        <w:t xml:space="preserve"> </w:t>
      </w:r>
      <w:r w:rsidR="00B50CAE" w:rsidRPr="005774F5">
        <w:rPr>
          <w:lang w:val="en-US"/>
        </w:rPr>
        <w:t>Finance</w:t>
      </w:r>
      <w:r w:rsidR="003C44D4" w:rsidRPr="005774F5">
        <w:rPr>
          <w:lang w:val="el-GR"/>
        </w:rPr>
        <w:t xml:space="preserve"> </w:t>
      </w:r>
      <w:r w:rsidR="00B50CAE" w:rsidRPr="005774F5">
        <w:rPr>
          <w:lang w:val="el-GR"/>
        </w:rPr>
        <w:t xml:space="preserve">του </w:t>
      </w:r>
      <w:r w:rsidR="003C44D4" w:rsidRPr="005774F5">
        <w:t>Sports</w:t>
      </w:r>
      <w:r w:rsidR="003C44D4" w:rsidRPr="005774F5">
        <w:rPr>
          <w:lang w:val="el-GR"/>
        </w:rPr>
        <w:t xml:space="preserve"> </w:t>
      </w:r>
      <w:r w:rsidR="003C44D4" w:rsidRPr="005774F5">
        <w:t>Business</w:t>
      </w:r>
      <w:r w:rsidR="003C44D4" w:rsidRPr="005774F5">
        <w:rPr>
          <w:lang w:val="el-GR"/>
        </w:rPr>
        <w:t xml:space="preserve"> </w:t>
      </w:r>
      <w:r w:rsidR="003C44D4" w:rsidRPr="005774F5">
        <w:t>Group</w:t>
      </w:r>
      <w:r w:rsidR="003C44D4" w:rsidRPr="005774F5">
        <w:rPr>
          <w:lang w:val="el-GR"/>
        </w:rPr>
        <w:t xml:space="preserve"> της </w:t>
      </w:r>
      <w:r w:rsidR="003C44D4" w:rsidRPr="005774F5">
        <w:t>Deloitte</w:t>
      </w:r>
      <w:r w:rsidR="003C44D4" w:rsidRPr="005774F5">
        <w:rPr>
          <w:lang w:val="el-GR"/>
        </w:rPr>
        <w:t>,</w:t>
      </w:r>
      <w:r w:rsidR="007B36E8" w:rsidRPr="005774F5">
        <w:rPr>
          <w:lang w:val="el-GR"/>
        </w:rPr>
        <w:t xml:space="preserve"> </w:t>
      </w:r>
      <w:r w:rsidR="003C44D4" w:rsidRPr="005774F5">
        <w:rPr>
          <w:lang w:val="el-GR"/>
        </w:rPr>
        <w:t xml:space="preserve">η </w:t>
      </w:r>
      <w:r w:rsidR="002516EC" w:rsidRPr="005774F5">
        <w:rPr>
          <w:lang w:val="el-GR"/>
        </w:rPr>
        <w:t>ε</w:t>
      </w:r>
      <w:r w:rsidR="005E7C2E" w:rsidRPr="005774F5">
        <w:rPr>
          <w:lang w:val="el-GR"/>
        </w:rPr>
        <w:t>υρωπαϊκή</w:t>
      </w:r>
      <w:r w:rsidRPr="005774F5">
        <w:rPr>
          <w:lang w:val="el-GR"/>
        </w:rPr>
        <w:t xml:space="preserve"> </w:t>
      </w:r>
      <w:r w:rsidR="002516EC" w:rsidRPr="005774F5">
        <w:rPr>
          <w:lang w:val="el-GR"/>
        </w:rPr>
        <w:t>α</w:t>
      </w:r>
      <w:r w:rsidRPr="005774F5">
        <w:rPr>
          <w:lang w:val="el-GR"/>
        </w:rPr>
        <w:t>γορά ποδοσφαίρου</w:t>
      </w:r>
      <w:r w:rsidR="00930789" w:rsidRPr="005774F5">
        <w:rPr>
          <w:lang w:val="el-GR"/>
        </w:rPr>
        <w:t xml:space="preserve"> συνολικά σημείωσε αύξηση </w:t>
      </w:r>
      <w:r w:rsidR="008C4597" w:rsidRPr="005774F5">
        <w:rPr>
          <w:lang w:val="el-GR"/>
        </w:rPr>
        <w:t>εσόδων</w:t>
      </w:r>
      <w:r w:rsidR="00930789" w:rsidRPr="005774F5">
        <w:rPr>
          <w:lang w:val="el-GR"/>
        </w:rPr>
        <w:t xml:space="preserve"> κατά 10% αγγίζοντας τα</w:t>
      </w:r>
      <w:r w:rsidR="009E3798">
        <w:rPr>
          <w:lang w:val="el-GR"/>
        </w:rPr>
        <w:t xml:space="preserve"> €</w:t>
      </w:r>
      <w:r w:rsidR="00930789" w:rsidRPr="005774F5">
        <w:rPr>
          <w:lang w:val="el-GR"/>
        </w:rPr>
        <w:t>27</w:t>
      </w:r>
      <w:r w:rsidR="00B50CAE" w:rsidRPr="005774F5">
        <w:rPr>
          <w:lang w:val="el-GR"/>
        </w:rPr>
        <w:t>,</w:t>
      </w:r>
      <w:r w:rsidR="00930789" w:rsidRPr="005774F5">
        <w:rPr>
          <w:lang w:val="el-GR"/>
        </w:rPr>
        <w:t>6 δι</w:t>
      </w:r>
      <w:r w:rsidR="00B50CAE" w:rsidRPr="005774F5">
        <w:rPr>
          <w:lang w:val="el-GR"/>
        </w:rPr>
        <w:t>σ.</w:t>
      </w:r>
      <w:r w:rsidR="00930789" w:rsidRPr="005774F5">
        <w:rPr>
          <w:lang w:val="el-GR"/>
        </w:rPr>
        <w:t xml:space="preserve"> κατά την περίοδο 2020</w:t>
      </w:r>
      <w:r w:rsidR="00B50CAE" w:rsidRPr="005774F5">
        <w:rPr>
          <w:lang w:val="el-GR"/>
        </w:rPr>
        <w:t>-</w:t>
      </w:r>
      <w:r w:rsidR="00930789" w:rsidRPr="005774F5">
        <w:rPr>
          <w:lang w:val="el-GR"/>
        </w:rPr>
        <w:t>2021</w:t>
      </w:r>
      <w:r w:rsidR="00B50CAE" w:rsidRPr="005774F5">
        <w:rPr>
          <w:lang w:val="el-GR"/>
        </w:rPr>
        <w:t>,</w:t>
      </w:r>
      <w:r w:rsidR="00930789" w:rsidRPr="005774F5">
        <w:rPr>
          <w:lang w:val="el-GR"/>
        </w:rPr>
        <w:t xml:space="preserve"> παρά την απουσία των </w:t>
      </w:r>
      <w:r w:rsidR="00BE563D" w:rsidRPr="005774F5">
        <w:rPr>
          <w:lang w:val="el-GR"/>
        </w:rPr>
        <w:t xml:space="preserve">φιλάθλων </w:t>
      </w:r>
      <w:r w:rsidR="00930789" w:rsidRPr="005774F5">
        <w:rPr>
          <w:lang w:val="el-GR"/>
        </w:rPr>
        <w:t xml:space="preserve">από </w:t>
      </w:r>
      <w:r w:rsidR="00CB64C6" w:rsidRPr="005774F5">
        <w:rPr>
          <w:lang w:val="el-GR"/>
        </w:rPr>
        <w:t xml:space="preserve">τα ποδοσφαιρικά </w:t>
      </w:r>
      <w:r w:rsidR="00930789" w:rsidRPr="005774F5">
        <w:rPr>
          <w:lang w:val="el-GR"/>
        </w:rPr>
        <w:t xml:space="preserve">γήπεδα κατά τη διάρκεια της </w:t>
      </w:r>
      <w:r w:rsidR="00B50CAE" w:rsidRPr="005774F5">
        <w:rPr>
          <w:lang w:val="el-GR"/>
        </w:rPr>
        <w:t>σεζόν</w:t>
      </w:r>
      <w:r w:rsidR="003C44D4" w:rsidRPr="005774F5">
        <w:rPr>
          <w:lang w:val="el-GR"/>
        </w:rPr>
        <w:t>.</w:t>
      </w:r>
    </w:p>
    <w:p w14:paraId="3D324F8C" w14:textId="2657BF44" w:rsidR="003C44D4" w:rsidRPr="005774F5" w:rsidRDefault="003C44D4" w:rsidP="008D2675">
      <w:pPr>
        <w:jc w:val="both"/>
        <w:rPr>
          <w:lang w:val="el-GR"/>
        </w:rPr>
      </w:pPr>
      <w:r w:rsidRPr="005774F5">
        <w:rPr>
          <w:lang w:val="el-GR"/>
        </w:rPr>
        <w:t xml:space="preserve">Η ισχυρή ανάκαμψη </w:t>
      </w:r>
      <w:r w:rsidR="00B50CAE" w:rsidRPr="005774F5">
        <w:rPr>
          <w:lang w:val="el-GR"/>
        </w:rPr>
        <w:t>των εσόδων</w:t>
      </w:r>
      <w:r w:rsidRPr="005774F5">
        <w:rPr>
          <w:lang w:val="el-GR"/>
        </w:rPr>
        <w:t xml:space="preserve"> </w:t>
      </w:r>
      <w:r w:rsidR="00B50CAE" w:rsidRPr="005774F5">
        <w:rPr>
          <w:lang w:val="el-GR"/>
        </w:rPr>
        <w:t xml:space="preserve">στην </w:t>
      </w:r>
      <w:r w:rsidR="002516EC" w:rsidRPr="005774F5">
        <w:rPr>
          <w:lang w:val="el-GR"/>
        </w:rPr>
        <w:t>ε</w:t>
      </w:r>
      <w:r w:rsidR="00B50CAE" w:rsidRPr="005774F5">
        <w:rPr>
          <w:lang w:val="el-GR"/>
        </w:rPr>
        <w:t>υρω</w:t>
      </w:r>
      <w:r w:rsidR="00FC15A3" w:rsidRPr="005774F5">
        <w:rPr>
          <w:lang w:val="el-GR"/>
        </w:rPr>
        <w:t>παϊκ</w:t>
      </w:r>
      <w:r w:rsidR="00B50CAE" w:rsidRPr="005774F5">
        <w:rPr>
          <w:lang w:val="el-GR"/>
        </w:rPr>
        <w:t>ή</w:t>
      </w:r>
      <w:r w:rsidR="00FC15A3" w:rsidRPr="005774F5">
        <w:rPr>
          <w:lang w:val="el-GR"/>
        </w:rPr>
        <w:t xml:space="preserve"> </w:t>
      </w:r>
      <w:r w:rsidR="00B50CAE" w:rsidRPr="005774F5">
        <w:rPr>
          <w:lang w:val="el-GR"/>
        </w:rPr>
        <w:t>α</w:t>
      </w:r>
      <w:r w:rsidR="00FC15A3" w:rsidRPr="005774F5">
        <w:rPr>
          <w:lang w:val="el-GR"/>
        </w:rPr>
        <w:t>γορ</w:t>
      </w:r>
      <w:r w:rsidR="00B50CAE" w:rsidRPr="005774F5">
        <w:rPr>
          <w:lang w:val="el-GR"/>
        </w:rPr>
        <w:t>ά</w:t>
      </w:r>
      <w:r w:rsidR="00FC15A3" w:rsidRPr="005774F5">
        <w:rPr>
          <w:lang w:val="el-GR"/>
        </w:rPr>
        <w:t xml:space="preserve">, τα οποία σημείωσαν μείωση για πρώτη φορά μέσα σε μία δεκαετία κατά τη διάρκεια </w:t>
      </w:r>
      <w:r w:rsidR="00B50CAE" w:rsidRPr="005774F5">
        <w:rPr>
          <w:lang w:val="el-GR"/>
        </w:rPr>
        <w:t xml:space="preserve">της περιόδου </w:t>
      </w:r>
      <w:r w:rsidR="00FC15A3" w:rsidRPr="005774F5">
        <w:rPr>
          <w:lang w:val="el-GR"/>
        </w:rPr>
        <w:t xml:space="preserve">2019-2020 εξαιτίας του </w:t>
      </w:r>
      <w:r w:rsidR="00FC15A3" w:rsidRPr="005774F5">
        <w:t>Covid</w:t>
      </w:r>
      <w:r w:rsidR="00FC15A3" w:rsidRPr="005774F5">
        <w:rPr>
          <w:lang w:val="el-GR"/>
        </w:rPr>
        <w:t xml:space="preserve">-19, </w:t>
      </w:r>
      <w:r w:rsidR="00853932" w:rsidRPr="005774F5">
        <w:rPr>
          <w:lang w:val="el-GR"/>
        </w:rPr>
        <w:t xml:space="preserve">οφείλεται στα </w:t>
      </w:r>
      <w:proofErr w:type="spellStart"/>
      <w:r w:rsidR="002516EC" w:rsidRPr="005774F5">
        <w:rPr>
          <w:lang w:val="el-GR"/>
        </w:rPr>
        <w:t>προεισπραχθέντα</w:t>
      </w:r>
      <w:proofErr w:type="spellEnd"/>
      <w:r w:rsidR="00FC15A3" w:rsidRPr="005774F5">
        <w:rPr>
          <w:lang w:val="el-GR"/>
        </w:rPr>
        <w:t xml:space="preserve"> έσοδα της τηλεοπτικής </w:t>
      </w:r>
      <w:r w:rsidR="00111FE3" w:rsidRPr="005774F5">
        <w:rPr>
          <w:lang w:val="el-GR"/>
        </w:rPr>
        <w:t>ανα</w:t>
      </w:r>
      <w:r w:rsidR="00FC15A3" w:rsidRPr="005774F5">
        <w:rPr>
          <w:lang w:val="el-GR"/>
        </w:rPr>
        <w:t>μετάδοσης των αγώνων του προηγούμενου έτους</w:t>
      </w:r>
      <w:r w:rsidR="002516EC" w:rsidRPr="005774F5">
        <w:rPr>
          <w:lang w:val="el-GR"/>
        </w:rPr>
        <w:t>,</w:t>
      </w:r>
      <w:r w:rsidR="00FC15A3" w:rsidRPr="005774F5">
        <w:rPr>
          <w:lang w:val="el-GR"/>
        </w:rPr>
        <w:t xml:space="preserve"> καθώς και </w:t>
      </w:r>
      <w:r w:rsidR="00853932" w:rsidRPr="005774F5">
        <w:rPr>
          <w:lang w:val="el-GR"/>
        </w:rPr>
        <w:t>στην επιτυχία του UEFA EURO 2020</w:t>
      </w:r>
      <w:r w:rsidR="00BE563D" w:rsidRPr="005774F5">
        <w:rPr>
          <w:lang w:val="el-GR"/>
        </w:rPr>
        <w:t>,</w:t>
      </w:r>
      <w:r w:rsidR="00853932" w:rsidRPr="005774F5">
        <w:rPr>
          <w:lang w:val="el-GR"/>
        </w:rPr>
        <w:t xml:space="preserve"> </w:t>
      </w:r>
      <w:r w:rsidR="002516EC" w:rsidRPr="005774F5">
        <w:rPr>
          <w:lang w:val="el-GR"/>
        </w:rPr>
        <w:t>η διεξαγωγή του οποίου καθυστέρησε</w:t>
      </w:r>
      <w:r w:rsidR="00853932" w:rsidRPr="005774F5">
        <w:rPr>
          <w:lang w:val="el-GR"/>
        </w:rPr>
        <w:t>.</w:t>
      </w:r>
    </w:p>
    <w:p w14:paraId="7037BE4F" w14:textId="77777777" w:rsidR="00853932" w:rsidRPr="005774F5" w:rsidRDefault="00853932" w:rsidP="00D42EAB">
      <w:pPr>
        <w:ind w:left="284" w:hanging="284"/>
        <w:jc w:val="both"/>
        <w:rPr>
          <w:lang w:val="el-GR"/>
        </w:rPr>
      </w:pPr>
    </w:p>
    <w:p w14:paraId="177CFFF2" w14:textId="77777777" w:rsidR="00C82FC1" w:rsidRDefault="00C82FC1" w:rsidP="00D42EAB">
      <w:pPr>
        <w:ind w:left="284" w:hanging="284"/>
        <w:jc w:val="both"/>
        <w:rPr>
          <w:b/>
          <w:bCs/>
          <w:lang w:val="el-GR"/>
        </w:rPr>
      </w:pPr>
    </w:p>
    <w:p w14:paraId="4059B3FC" w14:textId="31739645" w:rsidR="00853932" w:rsidRPr="005774F5" w:rsidRDefault="00853932" w:rsidP="00D42EAB">
      <w:pPr>
        <w:ind w:left="284" w:hanging="284"/>
        <w:jc w:val="both"/>
        <w:rPr>
          <w:b/>
          <w:bCs/>
          <w:lang w:val="el-GR"/>
        </w:rPr>
      </w:pPr>
      <w:r w:rsidRPr="005774F5">
        <w:rPr>
          <w:b/>
          <w:bCs/>
          <w:lang w:val="el-GR"/>
        </w:rPr>
        <w:lastRenderedPageBreak/>
        <w:t xml:space="preserve">Οι </w:t>
      </w:r>
      <w:r w:rsidR="00F23A92" w:rsidRPr="005774F5">
        <w:rPr>
          <w:b/>
          <w:bCs/>
          <w:lang w:val="en-US"/>
        </w:rPr>
        <w:t>p</w:t>
      </w:r>
      <w:proofErr w:type="spellStart"/>
      <w:r w:rsidRPr="005774F5">
        <w:rPr>
          <w:b/>
          <w:bCs/>
        </w:rPr>
        <w:t>remier</w:t>
      </w:r>
      <w:proofErr w:type="spellEnd"/>
      <w:r w:rsidRPr="005774F5">
        <w:rPr>
          <w:b/>
          <w:bCs/>
          <w:lang w:val="el-GR"/>
        </w:rPr>
        <w:t xml:space="preserve"> </w:t>
      </w:r>
      <w:r w:rsidR="00F23A92" w:rsidRPr="005774F5">
        <w:rPr>
          <w:b/>
          <w:bCs/>
        </w:rPr>
        <w:t>l</w:t>
      </w:r>
      <w:r w:rsidRPr="005774F5">
        <w:rPr>
          <w:b/>
          <w:bCs/>
        </w:rPr>
        <w:t>eagues</w:t>
      </w:r>
      <w:r w:rsidRPr="005774F5">
        <w:rPr>
          <w:b/>
          <w:bCs/>
          <w:lang w:val="el-GR"/>
        </w:rPr>
        <w:t xml:space="preserve"> της Ευρώπης </w:t>
      </w:r>
    </w:p>
    <w:p w14:paraId="13F2489C" w14:textId="152318DA" w:rsidR="005B27B9" w:rsidRPr="005774F5" w:rsidRDefault="002516EC" w:rsidP="008D2675">
      <w:pPr>
        <w:jc w:val="both"/>
        <w:rPr>
          <w:lang w:val="el-GR"/>
        </w:rPr>
      </w:pPr>
      <w:r w:rsidRPr="005774F5">
        <w:rPr>
          <w:lang w:val="el-GR"/>
        </w:rPr>
        <w:t xml:space="preserve">Τα </w:t>
      </w:r>
      <w:r w:rsidR="002C3BA6" w:rsidRPr="005774F5">
        <w:rPr>
          <w:lang w:val="el-GR"/>
        </w:rPr>
        <w:t>«</w:t>
      </w:r>
      <w:r w:rsidRPr="005774F5">
        <w:rPr>
          <w:lang w:val="el-GR"/>
        </w:rPr>
        <w:t>πέντε μεγάλα</w:t>
      </w:r>
      <w:r w:rsidR="002C3BA6" w:rsidRPr="005774F5">
        <w:rPr>
          <w:lang w:val="el-GR"/>
        </w:rPr>
        <w:t xml:space="preserve">» </w:t>
      </w:r>
      <w:r w:rsidRPr="005774F5">
        <w:rPr>
          <w:lang w:val="el-GR"/>
        </w:rPr>
        <w:t>ε</w:t>
      </w:r>
      <w:r w:rsidR="002C3BA6" w:rsidRPr="005774F5">
        <w:rPr>
          <w:lang w:val="el-GR"/>
        </w:rPr>
        <w:t>υρωπαϊκ</w:t>
      </w:r>
      <w:r w:rsidRPr="005774F5">
        <w:rPr>
          <w:lang w:val="el-GR"/>
        </w:rPr>
        <w:t>ά</w:t>
      </w:r>
      <w:r w:rsidR="002C3BA6" w:rsidRPr="005774F5">
        <w:rPr>
          <w:lang w:val="el-GR"/>
        </w:rPr>
        <w:t xml:space="preserve"> </w:t>
      </w:r>
      <w:r w:rsidRPr="005774F5">
        <w:rPr>
          <w:lang w:val="el-GR"/>
        </w:rPr>
        <w:t>πρωταθλήματα</w:t>
      </w:r>
      <w:r w:rsidR="002C3BA6" w:rsidRPr="005774F5">
        <w:rPr>
          <w:lang w:val="el-GR"/>
        </w:rPr>
        <w:t xml:space="preserve">, </w:t>
      </w:r>
      <w:r w:rsidR="00F23A92" w:rsidRPr="005774F5">
        <w:rPr>
          <w:lang w:val="el-GR"/>
        </w:rPr>
        <w:t>που</w:t>
      </w:r>
      <w:r w:rsidR="002C3BA6" w:rsidRPr="005774F5">
        <w:rPr>
          <w:lang w:val="el-GR"/>
        </w:rPr>
        <w:t xml:space="preserve"> αντιπροσωπεύουν το 57% </w:t>
      </w:r>
      <w:r w:rsidR="00EE09D0" w:rsidRPr="005774F5">
        <w:rPr>
          <w:lang w:val="el-GR"/>
        </w:rPr>
        <w:t xml:space="preserve">της </w:t>
      </w:r>
      <w:r w:rsidR="00BE563D" w:rsidRPr="005774F5">
        <w:rPr>
          <w:lang w:val="el-GR"/>
        </w:rPr>
        <w:t xml:space="preserve">ευρωπαϊκής </w:t>
      </w:r>
      <w:r w:rsidR="00F23A92" w:rsidRPr="005774F5">
        <w:rPr>
          <w:lang w:val="el-GR"/>
        </w:rPr>
        <w:t>α</w:t>
      </w:r>
      <w:r w:rsidR="00EE09D0" w:rsidRPr="005774F5">
        <w:rPr>
          <w:lang w:val="el-GR"/>
        </w:rPr>
        <w:t xml:space="preserve">γοράς </w:t>
      </w:r>
      <w:r w:rsidR="00F23A92" w:rsidRPr="005774F5">
        <w:rPr>
          <w:lang w:val="el-GR"/>
        </w:rPr>
        <w:t>π</w:t>
      </w:r>
      <w:r w:rsidR="00EE09D0" w:rsidRPr="005774F5">
        <w:rPr>
          <w:lang w:val="el-GR"/>
        </w:rPr>
        <w:t>οδοσφαίρου, αυξήθηκαν κατά 3%</w:t>
      </w:r>
      <w:r w:rsidR="007B36E8" w:rsidRPr="005774F5">
        <w:rPr>
          <w:lang w:val="el-GR"/>
        </w:rPr>
        <w:t xml:space="preserve"> </w:t>
      </w:r>
      <w:r w:rsidR="00DC42AC" w:rsidRPr="005774F5">
        <w:rPr>
          <w:lang w:val="el-GR"/>
        </w:rPr>
        <w:t xml:space="preserve">και ανήλθαν </w:t>
      </w:r>
      <w:r w:rsidR="00EE09D0" w:rsidRPr="005774F5">
        <w:rPr>
          <w:lang w:val="el-GR"/>
        </w:rPr>
        <w:t xml:space="preserve">στα </w:t>
      </w:r>
      <w:r w:rsidR="00687954" w:rsidRPr="005774F5">
        <w:rPr>
          <w:lang w:val="el-GR"/>
        </w:rPr>
        <w:t>€</w:t>
      </w:r>
      <w:r w:rsidR="00EE09D0" w:rsidRPr="005774F5">
        <w:rPr>
          <w:lang w:val="el-GR"/>
        </w:rPr>
        <w:t>15</w:t>
      </w:r>
      <w:r w:rsidRPr="005774F5">
        <w:rPr>
          <w:lang w:val="el-GR"/>
        </w:rPr>
        <w:t>,</w:t>
      </w:r>
      <w:r w:rsidR="00EE09D0" w:rsidRPr="005774F5">
        <w:rPr>
          <w:lang w:val="el-GR"/>
        </w:rPr>
        <w:t>6</w:t>
      </w:r>
      <w:r w:rsidRPr="005774F5">
        <w:rPr>
          <w:lang w:val="el-GR"/>
        </w:rPr>
        <w:t xml:space="preserve"> </w:t>
      </w:r>
      <w:r w:rsidR="00EE09D0" w:rsidRPr="005774F5">
        <w:rPr>
          <w:lang w:val="el-GR"/>
        </w:rPr>
        <w:t>δι</w:t>
      </w:r>
      <w:r w:rsidRPr="005774F5">
        <w:rPr>
          <w:lang w:val="el-GR"/>
        </w:rPr>
        <w:t>σ.</w:t>
      </w:r>
      <w:r w:rsidR="00EE09D0" w:rsidRPr="005774F5">
        <w:rPr>
          <w:lang w:val="el-GR"/>
        </w:rPr>
        <w:t xml:space="preserve">. Ωστόσο, η πόλωση των εσόδων μεταξύ και εντός των ευρωπαϊκών ποδοσφαιρικών συλλόγων, συνεχίστηκε με ταχύ ρυθμό. </w:t>
      </w:r>
    </w:p>
    <w:p w14:paraId="042FC498" w14:textId="69C17FA9" w:rsidR="005B27B9" w:rsidRPr="005774F5" w:rsidRDefault="00EE09D0" w:rsidP="008D2675">
      <w:pPr>
        <w:jc w:val="both"/>
        <w:rPr>
          <w:lang w:val="el-GR"/>
        </w:rPr>
      </w:pPr>
      <w:r w:rsidRPr="005774F5">
        <w:rPr>
          <w:lang w:val="el-GR"/>
        </w:rPr>
        <w:t xml:space="preserve">Χάρη στα </w:t>
      </w:r>
      <w:proofErr w:type="spellStart"/>
      <w:r w:rsidRPr="005774F5">
        <w:rPr>
          <w:lang w:val="el-GR"/>
        </w:rPr>
        <w:t>προεισπασχθέντα</w:t>
      </w:r>
      <w:proofErr w:type="spellEnd"/>
      <w:r w:rsidRPr="005774F5">
        <w:rPr>
          <w:lang w:val="el-GR"/>
        </w:rPr>
        <w:t xml:space="preserve"> έσοδα </w:t>
      </w:r>
      <w:r w:rsidR="00D9405D" w:rsidRPr="005774F5">
        <w:rPr>
          <w:lang w:val="el-GR"/>
        </w:rPr>
        <w:t xml:space="preserve">από τηλεοπτικές </w:t>
      </w:r>
      <w:r w:rsidR="00111FE3" w:rsidRPr="005774F5">
        <w:rPr>
          <w:lang w:val="el-GR"/>
        </w:rPr>
        <w:t>ανα</w:t>
      </w:r>
      <w:r w:rsidR="00D9405D" w:rsidRPr="005774F5">
        <w:rPr>
          <w:lang w:val="el-GR"/>
        </w:rPr>
        <w:t xml:space="preserve">μεταδόσεις, τα έσοδα της </w:t>
      </w:r>
      <w:r w:rsidR="00D9405D" w:rsidRPr="005774F5">
        <w:t>Premier</w:t>
      </w:r>
      <w:r w:rsidR="00D9405D" w:rsidRPr="005774F5">
        <w:rPr>
          <w:lang w:val="el-GR"/>
        </w:rPr>
        <w:t xml:space="preserve"> </w:t>
      </w:r>
      <w:r w:rsidR="00D9405D" w:rsidRPr="005774F5">
        <w:t>League</w:t>
      </w:r>
      <w:r w:rsidR="00D9405D" w:rsidRPr="005774F5">
        <w:rPr>
          <w:lang w:val="el-GR"/>
        </w:rPr>
        <w:t xml:space="preserve"> σημείωσαν αύξηση 8% δηλαδή </w:t>
      </w:r>
      <w:r w:rsidR="00687954" w:rsidRPr="005774F5">
        <w:rPr>
          <w:lang w:val="el-GR"/>
        </w:rPr>
        <w:t>€</w:t>
      </w:r>
      <w:r w:rsidR="00D9405D" w:rsidRPr="005774F5">
        <w:rPr>
          <w:lang w:val="el-GR"/>
        </w:rPr>
        <w:t>5</w:t>
      </w:r>
      <w:r w:rsidR="00F23A92" w:rsidRPr="005774F5">
        <w:rPr>
          <w:lang w:val="el-GR"/>
        </w:rPr>
        <w:t>,</w:t>
      </w:r>
      <w:r w:rsidR="00D9405D" w:rsidRPr="005774F5">
        <w:rPr>
          <w:lang w:val="el-GR"/>
        </w:rPr>
        <w:t>5 δι</w:t>
      </w:r>
      <w:r w:rsidR="00F23A92" w:rsidRPr="005774F5">
        <w:rPr>
          <w:lang w:val="el-GR"/>
        </w:rPr>
        <w:t>σ.</w:t>
      </w:r>
      <w:r w:rsidR="00D9405D" w:rsidRPr="005774F5">
        <w:rPr>
          <w:lang w:val="el-GR"/>
        </w:rPr>
        <w:t xml:space="preserve"> κατά την περίοδο 2020-2021. Σε αντίθεση η </w:t>
      </w:r>
      <w:r w:rsidR="00D9405D" w:rsidRPr="005774F5">
        <w:t>Bundesliga</w:t>
      </w:r>
      <w:r w:rsidR="00D9405D" w:rsidRPr="005774F5">
        <w:rPr>
          <w:lang w:val="el-GR"/>
        </w:rPr>
        <w:t xml:space="preserve">, η οποία σημείωσε το μικρότερο άλμα </w:t>
      </w:r>
      <w:r w:rsidR="00F23A92" w:rsidRPr="005774F5">
        <w:rPr>
          <w:lang w:val="el-GR"/>
        </w:rPr>
        <w:t xml:space="preserve">μεταξύ των «πέντε μεγάλων» </w:t>
      </w:r>
      <w:r w:rsidR="00D9405D" w:rsidRPr="005774F5">
        <w:rPr>
          <w:lang w:val="el-GR"/>
        </w:rPr>
        <w:t xml:space="preserve">όσον αφορά τα συνολικά έσοδα από τηλεοπτικές μεταδόσεις κατά την περίοδο 2020-2021, ανέφερε μείωση 6% στα έσοδά </w:t>
      </w:r>
      <w:r w:rsidR="00BE563D" w:rsidRPr="005774F5">
        <w:rPr>
          <w:lang w:val="el-GR"/>
        </w:rPr>
        <w:t>της,</w:t>
      </w:r>
      <w:r w:rsidR="00D9405D" w:rsidRPr="005774F5">
        <w:rPr>
          <w:lang w:val="el-GR"/>
        </w:rPr>
        <w:t xml:space="preserve"> </w:t>
      </w:r>
      <w:r w:rsidR="00F23A92" w:rsidRPr="005774F5">
        <w:rPr>
          <w:lang w:val="el-GR"/>
        </w:rPr>
        <w:t xml:space="preserve">φτάνοντας στα </w:t>
      </w:r>
      <w:r w:rsidR="00687954" w:rsidRPr="005774F5">
        <w:rPr>
          <w:lang w:val="el-GR"/>
        </w:rPr>
        <w:t>€</w:t>
      </w:r>
      <w:r w:rsidR="00D9405D" w:rsidRPr="005774F5">
        <w:rPr>
          <w:lang w:val="el-GR"/>
        </w:rPr>
        <w:t>3 δι</w:t>
      </w:r>
      <w:r w:rsidR="00F23A92" w:rsidRPr="005774F5">
        <w:rPr>
          <w:lang w:val="el-GR"/>
        </w:rPr>
        <w:t>σ</w:t>
      </w:r>
      <w:r w:rsidR="00D9405D" w:rsidRPr="005774F5">
        <w:rPr>
          <w:lang w:val="el-GR"/>
        </w:rPr>
        <w:t>.</w:t>
      </w:r>
      <w:r w:rsidR="00F23A92" w:rsidRPr="005774F5">
        <w:rPr>
          <w:lang w:val="el-GR"/>
        </w:rPr>
        <w:t>.</w:t>
      </w:r>
    </w:p>
    <w:p w14:paraId="61112E16" w14:textId="78EC7DD7" w:rsidR="00EE09D0" w:rsidRPr="005774F5" w:rsidRDefault="003E26EC" w:rsidP="008D2675">
      <w:pPr>
        <w:jc w:val="both"/>
        <w:rPr>
          <w:lang w:val="el-GR"/>
        </w:rPr>
      </w:pPr>
      <w:r w:rsidRPr="005774F5">
        <w:rPr>
          <w:lang w:val="el-GR"/>
        </w:rPr>
        <w:t xml:space="preserve">Τα έσοδα της </w:t>
      </w:r>
      <w:r w:rsidR="00BE563D" w:rsidRPr="005774F5">
        <w:rPr>
          <w:lang w:val="el-GR"/>
        </w:rPr>
        <w:t xml:space="preserve">ισπανικής </w:t>
      </w:r>
      <w:r w:rsidRPr="005774F5">
        <w:t>La</w:t>
      </w:r>
      <w:r w:rsidRPr="005774F5">
        <w:rPr>
          <w:lang w:val="el-GR"/>
        </w:rPr>
        <w:t xml:space="preserve"> </w:t>
      </w:r>
      <w:r w:rsidRPr="005774F5">
        <w:t>Liga</w:t>
      </w:r>
      <w:r w:rsidRPr="005774F5">
        <w:rPr>
          <w:lang w:val="el-GR"/>
        </w:rPr>
        <w:t xml:space="preserve"> επίσης </w:t>
      </w:r>
      <w:r w:rsidR="00F23A92" w:rsidRPr="005774F5">
        <w:rPr>
          <w:lang w:val="el-GR"/>
        </w:rPr>
        <w:t>συρρικνώθηκαν</w:t>
      </w:r>
      <w:r w:rsidRPr="005774F5">
        <w:rPr>
          <w:lang w:val="el-GR"/>
        </w:rPr>
        <w:t xml:space="preserve"> κατά 6%, </w:t>
      </w:r>
      <w:r w:rsidR="002E389F" w:rsidRPr="005774F5">
        <w:rPr>
          <w:lang w:val="el-GR"/>
        </w:rPr>
        <w:t xml:space="preserve">φτάνοντας τα </w:t>
      </w:r>
      <w:r w:rsidR="00687954" w:rsidRPr="005774F5">
        <w:rPr>
          <w:lang w:val="el-GR"/>
        </w:rPr>
        <w:t>€</w:t>
      </w:r>
      <w:r w:rsidR="00F23A92" w:rsidRPr="005774F5">
        <w:rPr>
          <w:lang w:val="el-GR"/>
        </w:rPr>
        <w:t>2,</w:t>
      </w:r>
      <w:r w:rsidR="002E389F" w:rsidRPr="005774F5">
        <w:rPr>
          <w:lang w:val="el-GR"/>
        </w:rPr>
        <w:t>9 δι</w:t>
      </w:r>
      <w:r w:rsidR="00F23A92" w:rsidRPr="005774F5">
        <w:rPr>
          <w:lang w:val="el-GR"/>
        </w:rPr>
        <w:t>σ.</w:t>
      </w:r>
      <w:r w:rsidR="002E389F" w:rsidRPr="005774F5">
        <w:rPr>
          <w:lang w:val="el-GR"/>
        </w:rPr>
        <w:t xml:space="preserve">. Οι σύλλογοι της </w:t>
      </w:r>
      <w:r w:rsidR="002E389F" w:rsidRPr="005774F5">
        <w:t>La</w:t>
      </w:r>
      <w:r w:rsidR="002E389F" w:rsidRPr="005774F5">
        <w:rPr>
          <w:lang w:val="el-GR"/>
        </w:rPr>
        <w:t xml:space="preserve"> </w:t>
      </w:r>
      <w:r w:rsidR="002E389F" w:rsidRPr="005774F5">
        <w:t>Liga</w:t>
      </w:r>
      <w:r w:rsidR="002E389F" w:rsidRPr="005774F5">
        <w:rPr>
          <w:lang w:val="el-GR"/>
        </w:rPr>
        <w:t xml:space="preserve"> συνολικά σημείωσαν απώλεια στα λειτουργικά κέρδη για πρώτη φορά από τότε που το </w:t>
      </w:r>
      <w:r w:rsidR="002E389F" w:rsidRPr="005774F5">
        <w:t>Sports</w:t>
      </w:r>
      <w:r w:rsidR="002E389F" w:rsidRPr="005774F5">
        <w:rPr>
          <w:lang w:val="el-GR"/>
        </w:rPr>
        <w:t xml:space="preserve"> </w:t>
      </w:r>
      <w:r w:rsidR="002E389F" w:rsidRPr="005774F5">
        <w:t>Business</w:t>
      </w:r>
      <w:r w:rsidR="002E389F" w:rsidRPr="005774F5">
        <w:rPr>
          <w:lang w:val="el-GR"/>
        </w:rPr>
        <w:t xml:space="preserve"> </w:t>
      </w:r>
      <w:r w:rsidR="002E389F" w:rsidRPr="005774F5">
        <w:t>Group</w:t>
      </w:r>
      <w:r w:rsidR="002E389F" w:rsidRPr="005774F5">
        <w:rPr>
          <w:lang w:val="el-GR"/>
        </w:rPr>
        <w:t xml:space="preserve"> άρχισε να καταγράφει τα δεδομένα</w:t>
      </w:r>
      <w:r w:rsidR="007B36E8" w:rsidRPr="005774F5">
        <w:rPr>
          <w:lang w:val="el-GR"/>
        </w:rPr>
        <w:t xml:space="preserve"> </w:t>
      </w:r>
      <w:r w:rsidR="002E389F" w:rsidRPr="005774F5">
        <w:rPr>
          <w:lang w:val="el-GR"/>
        </w:rPr>
        <w:t xml:space="preserve">των συλλόγων </w:t>
      </w:r>
      <w:r w:rsidR="00E207B2" w:rsidRPr="005774F5">
        <w:rPr>
          <w:lang w:val="el-GR"/>
        </w:rPr>
        <w:t>κατά τη χρονική περίοδο 2013-2014.</w:t>
      </w:r>
    </w:p>
    <w:p w14:paraId="2F9F4815" w14:textId="3A144E5F" w:rsidR="00E207B2" w:rsidRPr="005774F5" w:rsidRDefault="00E207B2" w:rsidP="008D2675">
      <w:pPr>
        <w:jc w:val="both"/>
        <w:rPr>
          <w:lang w:val="el-GR"/>
        </w:rPr>
      </w:pPr>
      <w:r w:rsidRPr="005774F5">
        <w:rPr>
          <w:lang w:val="el-GR"/>
        </w:rPr>
        <w:t xml:space="preserve">Οι σύλλογοι της </w:t>
      </w:r>
      <w:r w:rsidRPr="005774F5">
        <w:t>Serie</w:t>
      </w:r>
      <w:r w:rsidRPr="005774F5">
        <w:rPr>
          <w:lang w:val="el-GR"/>
        </w:rPr>
        <w:t xml:space="preserve"> </w:t>
      </w:r>
      <w:r w:rsidRPr="005774F5">
        <w:t>A</w:t>
      </w:r>
      <w:r w:rsidR="00CD657A" w:rsidRPr="005774F5">
        <w:rPr>
          <w:lang w:val="el-GR"/>
        </w:rPr>
        <w:t xml:space="preserve"> </w:t>
      </w:r>
      <w:r w:rsidR="00CB3AA0" w:rsidRPr="005774F5">
        <w:rPr>
          <w:lang w:val="el-GR"/>
        </w:rPr>
        <w:t>σημείωσ</w:t>
      </w:r>
      <w:r w:rsidR="00D95E66" w:rsidRPr="005774F5">
        <w:rPr>
          <w:lang w:val="el-GR"/>
        </w:rPr>
        <w:t>αν</w:t>
      </w:r>
      <w:r w:rsidR="00CB3AA0" w:rsidRPr="005774F5">
        <w:rPr>
          <w:lang w:val="el-GR"/>
        </w:rPr>
        <w:t xml:space="preserve"> τη μεγαλύτερη </w:t>
      </w:r>
      <w:r w:rsidR="00E45FEA" w:rsidRPr="005774F5">
        <w:rPr>
          <w:lang w:val="el-GR"/>
        </w:rPr>
        <w:t>ποσοστιαία αύξηση στα συνολικά έσοδα συγκρι</w:t>
      </w:r>
      <w:r w:rsidR="00F26BC4" w:rsidRPr="005774F5">
        <w:rPr>
          <w:lang w:val="el-GR"/>
        </w:rPr>
        <w:t xml:space="preserve">τικά </w:t>
      </w:r>
      <w:r w:rsidR="00CE0A7B" w:rsidRPr="005774F5">
        <w:rPr>
          <w:lang w:val="el-GR"/>
        </w:rPr>
        <w:t>με τ</w:t>
      </w:r>
      <w:r w:rsidR="00F23A92" w:rsidRPr="005774F5">
        <w:rPr>
          <w:lang w:val="el-GR"/>
        </w:rPr>
        <w:t>α υπόλοιπα «πέντε μεγάλα</w:t>
      </w:r>
      <w:r w:rsidR="0023229F" w:rsidRPr="005774F5">
        <w:rPr>
          <w:lang w:val="el-GR"/>
        </w:rPr>
        <w:t xml:space="preserve">» </w:t>
      </w:r>
      <w:r w:rsidR="00F23A92" w:rsidRPr="005774F5">
        <w:rPr>
          <w:lang w:val="el-GR"/>
        </w:rPr>
        <w:t>πρωταθλήματα</w:t>
      </w:r>
      <w:r w:rsidR="0023229F" w:rsidRPr="005774F5">
        <w:rPr>
          <w:lang w:val="el-GR"/>
        </w:rPr>
        <w:t xml:space="preserve"> κατά την περί</w:t>
      </w:r>
      <w:r w:rsidR="00AE635E" w:rsidRPr="005774F5">
        <w:rPr>
          <w:lang w:val="el-GR"/>
        </w:rPr>
        <w:t>ο</w:t>
      </w:r>
      <w:r w:rsidR="0023229F" w:rsidRPr="005774F5">
        <w:rPr>
          <w:lang w:val="el-GR"/>
        </w:rPr>
        <w:t>δο 2020-2021</w:t>
      </w:r>
      <w:r w:rsidR="00F23A92" w:rsidRPr="005774F5">
        <w:rPr>
          <w:lang w:val="el-GR"/>
        </w:rPr>
        <w:t>,</w:t>
      </w:r>
      <w:r w:rsidR="00A259C3" w:rsidRPr="005774F5">
        <w:rPr>
          <w:lang w:val="el-GR"/>
        </w:rPr>
        <w:t xml:space="preserve"> καθώς </w:t>
      </w:r>
      <w:r w:rsidR="00BE563D" w:rsidRPr="005774F5">
        <w:rPr>
          <w:lang w:val="el-GR"/>
        </w:rPr>
        <w:t xml:space="preserve">τα έσοδά της </w:t>
      </w:r>
      <w:r w:rsidR="00A259C3" w:rsidRPr="005774F5">
        <w:rPr>
          <w:lang w:val="el-GR"/>
        </w:rPr>
        <w:t xml:space="preserve">αυξήθηκαν κατά </w:t>
      </w:r>
      <w:r w:rsidR="00FB4E41" w:rsidRPr="005774F5">
        <w:rPr>
          <w:lang w:val="el-GR"/>
        </w:rPr>
        <w:t xml:space="preserve">23% αγγίζοντας το ποσό ρεκόρ των </w:t>
      </w:r>
      <w:r w:rsidR="00687954" w:rsidRPr="005774F5">
        <w:rPr>
          <w:lang w:val="el-GR"/>
        </w:rPr>
        <w:t>€</w:t>
      </w:r>
      <w:r w:rsidR="00FB4E41" w:rsidRPr="005774F5">
        <w:rPr>
          <w:lang w:val="el-GR"/>
        </w:rPr>
        <w:t>2</w:t>
      </w:r>
      <w:r w:rsidR="00F23A92" w:rsidRPr="005774F5">
        <w:rPr>
          <w:lang w:val="el-GR"/>
        </w:rPr>
        <w:t>,</w:t>
      </w:r>
      <w:r w:rsidR="00FB4E41" w:rsidRPr="005774F5">
        <w:rPr>
          <w:lang w:val="el-GR"/>
        </w:rPr>
        <w:t>5 δι</w:t>
      </w:r>
      <w:r w:rsidR="00F23A92" w:rsidRPr="005774F5">
        <w:rPr>
          <w:lang w:val="el-GR"/>
        </w:rPr>
        <w:t>σ</w:t>
      </w:r>
      <w:r w:rsidR="00FB4E41" w:rsidRPr="005774F5">
        <w:rPr>
          <w:lang w:val="el-GR"/>
        </w:rPr>
        <w:t>.</w:t>
      </w:r>
      <w:r w:rsidR="00F23A92" w:rsidRPr="005774F5">
        <w:rPr>
          <w:lang w:val="el-GR"/>
        </w:rPr>
        <w:t>.</w:t>
      </w:r>
      <w:r w:rsidR="00FB4E41" w:rsidRPr="005774F5">
        <w:rPr>
          <w:lang w:val="el-GR"/>
        </w:rPr>
        <w:t xml:space="preserve"> </w:t>
      </w:r>
      <w:r w:rsidR="00F23A92" w:rsidRPr="005774F5">
        <w:rPr>
          <w:lang w:val="el-GR"/>
        </w:rPr>
        <w:t>Λόγω</w:t>
      </w:r>
      <w:r w:rsidR="00960A03" w:rsidRPr="005774F5">
        <w:rPr>
          <w:lang w:val="el-GR"/>
        </w:rPr>
        <w:t xml:space="preserve"> </w:t>
      </w:r>
      <w:r w:rsidR="00D60B58" w:rsidRPr="005774F5">
        <w:rPr>
          <w:lang w:val="el-GR"/>
        </w:rPr>
        <w:t xml:space="preserve">δε </w:t>
      </w:r>
      <w:r w:rsidR="00F23A92" w:rsidRPr="005774F5">
        <w:rPr>
          <w:lang w:val="el-GR"/>
        </w:rPr>
        <w:t xml:space="preserve">της </w:t>
      </w:r>
      <w:r w:rsidR="00960A03" w:rsidRPr="005774F5">
        <w:rPr>
          <w:lang w:val="el-GR"/>
        </w:rPr>
        <w:t>αύξηση</w:t>
      </w:r>
      <w:r w:rsidR="00F23A92" w:rsidRPr="005774F5">
        <w:rPr>
          <w:lang w:val="el-GR"/>
        </w:rPr>
        <w:t>ς</w:t>
      </w:r>
      <w:r w:rsidR="00960A03" w:rsidRPr="005774F5">
        <w:rPr>
          <w:lang w:val="el-GR"/>
        </w:rPr>
        <w:t xml:space="preserve"> </w:t>
      </w:r>
      <w:r w:rsidR="00D60B58" w:rsidRPr="005774F5">
        <w:rPr>
          <w:lang w:val="el-GR"/>
        </w:rPr>
        <w:t xml:space="preserve">κατά </w:t>
      </w:r>
      <w:r w:rsidR="00960A03" w:rsidRPr="005774F5">
        <w:rPr>
          <w:lang w:val="el-GR"/>
        </w:rPr>
        <w:t>48%</w:t>
      </w:r>
      <w:r w:rsidR="007B36E8" w:rsidRPr="005774F5">
        <w:rPr>
          <w:lang w:val="el-GR"/>
        </w:rPr>
        <w:t xml:space="preserve"> </w:t>
      </w:r>
      <w:r w:rsidR="00F7029B" w:rsidRPr="005774F5">
        <w:rPr>
          <w:lang w:val="el-GR"/>
        </w:rPr>
        <w:t>στ</w:t>
      </w:r>
      <w:r w:rsidR="00A96270" w:rsidRPr="005774F5">
        <w:rPr>
          <w:lang w:val="el-GR"/>
        </w:rPr>
        <w:t xml:space="preserve">α </w:t>
      </w:r>
      <w:r w:rsidR="00F23A92" w:rsidRPr="005774F5">
        <w:rPr>
          <w:lang w:val="el-GR"/>
        </w:rPr>
        <w:t xml:space="preserve">έσοδα </w:t>
      </w:r>
      <w:r w:rsidR="00111FE3" w:rsidRPr="005774F5">
        <w:rPr>
          <w:lang w:val="el-GR"/>
        </w:rPr>
        <w:t xml:space="preserve">τηλεοπτικών αναμεταδόσεων </w:t>
      </w:r>
      <w:r w:rsidR="00D60B58" w:rsidRPr="005774F5">
        <w:rPr>
          <w:lang w:val="el-GR"/>
        </w:rPr>
        <w:t>από τις</w:t>
      </w:r>
      <w:r w:rsidR="007B36E8" w:rsidRPr="005774F5">
        <w:rPr>
          <w:lang w:val="el-GR"/>
        </w:rPr>
        <w:t xml:space="preserve"> </w:t>
      </w:r>
      <w:r w:rsidR="00F23A92" w:rsidRPr="005774F5">
        <w:rPr>
          <w:lang w:val="el-GR"/>
        </w:rPr>
        <w:t>προεισπράξ</w:t>
      </w:r>
      <w:r w:rsidR="00D60B58" w:rsidRPr="005774F5">
        <w:rPr>
          <w:lang w:val="el-GR"/>
        </w:rPr>
        <w:t>εις</w:t>
      </w:r>
      <w:r w:rsidR="00DF2A6B" w:rsidRPr="005774F5">
        <w:rPr>
          <w:lang w:val="el-GR"/>
        </w:rPr>
        <w:t xml:space="preserve"> είναι </w:t>
      </w:r>
      <w:r w:rsidR="00F23A92" w:rsidRPr="005774F5">
        <w:rPr>
          <w:lang w:val="el-GR"/>
        </w:rPr>
        <w:t>το μόνο πρωτάθλημα το οποίο</w:t>
      </w:r>
      <w:r w:rsidR="00DF2A6B" w:rsidRPr="005774F5">
        <w:rPr>
          <w:lang w:val="el-GR"/>
        </w:rPr>
        <w:t xml:space="preserve"> </w:t>
      </w:r>
      <w:r w:rsidR="00CB6859" w:rsidRPr="005774F5">
        <w:rPr>
          <w:lang w:val="el-GR"/>
        </w:rPr>
        <w:t xml:space="preserve">αναφέρει υψηλότερα μικτά έσοδα </w:t>
      </w:r>
      <w:r w:rsidR="00010942" w:rsidRPr="005774F5">
        <w:rPr>
          <w:lang w:val="el-GR"/>
        </w:rPr>
        <w:t>από ό</w:t>
      </w:r>
      <w:r w:rsidR="00BE563D" w:rsidRPr="005774F5">
        <w:rPr>
          <w:lang w:val="el-GR"/>
        </w:rPr>
        <w:t>,</w:t>
      </w:r>
      <w:r w:rsidR="00010942" w:rsidRPr="005774F5">
        <w:rPr>
          <w:lang w:val="el-GR"/>
        </w:rPr>
        <w:t xml:space="preserve">τι πριν από την αρχή της πανδημίας. </w:t>
      </w:r>
    </w:p>
    <w:p w14:paraId="453C298C" w14:textId="74AAAED2" w:rsidR="00C81E29" w:rsidRPr="005774F5" w:rsidRDefault="005270D0" w:rsidP="008D2675">
      <w:pPr>
        <w:jc w:val="both"/>
        <w:rPr>
          <w:lang w:val="el-GR"/>
        </w:rPr>
      </w:pPr>
      <w:r w:rsidRPr="005774F5">
        <w:t>H</w:t>
      </w:r>
      <w:r w:rsidRPr="005774F5">
        <w:rPr>
          <w:lang w:val="el-GR"/>
        </w:rPr>
        <w:t xml:space="preserve"> </w:t>
      </w:r>
      <w:r w:rsidRPr="005774F5">
        <w:t>Ligue</w:t>
      </w:r>
      <w:r w:rsidRPr="005774F5">
        <w:rPr>
          <w:lang w:val="el-GR"/>
        </w:rPr>
        <w:t xml:space="preserve"> 1 βρίσκεται ακόμα πιο πίσω από τη </w:t>
      </w:r>
      <w:r w:rsidRPr="005774F5">
        <w:t>Serie</w:t>
      </w:r>
      <w:r w:rsidRPr="005774F5">
        <w:rPr>
          <w:lang w:val="el-GR"/>
        </w:rPr>
        <w:t xml:space="preserve"> </w:t>
      </w:r>
      <w:r w:rsidRPr="005774F5">
        <w:t>A</w:t>
      </w:r>
      <w:r w:rsidRPr="005774F5">
        <w:rPr>
          <w:lang w:val="el-GR"/>
        </w:rPr>
        <w:t xml:space="preserve"> </w:t>
      </w:r>
      <w:r w:rsidR="00F23A92" w:rsidRPr="005774F5">
        <w:rPr>
          <w:lang w:val="el-GR"/>
        </w:rPr>
        <w:t xml:space="preserve">σε </w:t>
      </w:r>
      <w:proofErr w:type="gramStart"/>
      <w:r w:rsidR="00BE563D" w:rsidRPr="005774F5">
        <w:rPr>
          <w:lang w:val="el-GR"/>
        </w:rPr>
        <w:t>ό,τι</w:t>
      </w:r>
      <w:proofErr w:type="gramEnd"/>
      <w:r w:rsidR="00F23A92" w:rsidRPr="005774F5">
        <w:rPr>
          <w:lang w:val="el-GR"/>
        </w:rPr>
        <w:t xml:space="preserve"> αφορά τα έσοδα</w:t>
      </w:r>
      <w:r w:rsidRPr="005774F5">
        <w:rPr>
          <w:lang w:val="el-GR"/>
        </w:rPr>
        <w:t>, με τ</w:t>
      </w:r>
      <w:r w:rsidR="0062183A" w:rsidRPr="005774F5">
        <w:rPr>
          <w:lang w:val="el-GR"/>
        </w:rPr>
        <w:t xml:space="preserve">ο </w:t>
      </w:r>
      <w:r w:rsidR="00F23A92" w:rsidRPr="005774F5">
        <w:rPr>
          <w:lang w:val="el-GR"/>
        </w:rPr>
        <w:t>χάσμα</w:t>
      </w:r>
      <w:r w:rsidR="0062183A" w:rsidRPr="005774F5">
        <w:rPr>
          <w:lang w:val="el-GR"/>
        </w:rPr>
        <w:t xml:space="preserve"> μεταξύ των </w:t>
      </w:r>
      <w:r w:rsidR="006C6607" w:rsidRPr="005774F5">
        <w:rPr>
          <w:lang w:val="el-GR"/>
        </w:rPr>
        <w:t xml:space="preserve">εσόδων των δύο </w:t>
      </w:r>
      <w:r w:rsidR="00F23A92" w:rsidRPr="005774F5">
        <w:rPr>
          <w:lang w:val="el-GR"/>
        </w:rPr>
        <w:t>πρωταθλημάτων</w:t>
      </w:r>
      <w:r w:rsidR="006C6607" w:rsidRPr="005774F5">
        <w:rPr>
          <w:lang w:val="el-GR"/>
        </w:rPr>
        <w:t xml:space="preserve"> να έχει διπλασιαστεί</w:t>
      </w:r>
      <w:r w:rsidR="00BE563D" w:rsidRPr="005774F5">
        <w:rPr>
          <w:lang w:val="el-GR"/>
        </w:rPr>
        <w:t>,</w:t>
      </w:r>
      <w:r w:rsidR="006C6607" w:rsidRPr="005774F5">
        <w:rPr>
          <w:lang w:val="el-GR"/>
        </w:rPr>
        <w:t xml:space="preserve"> ξεπερνώντας τα </w:t>
      </w:r>
      <w:r w:rsidR="00687954" w:rsidRPr="005774F5">
        <w:rPr>
          <w:lang w:val="el-GR"/>
        </w:rPr>
        <w:t>€</w:t>
      </w:r>
      <w:r w:rsidR="006C6607" w:rsidRPr="005774F5">
        <w:rPr>
          <w:lang w:val="el-GR"/>
        </w:rPr>
        <w:t>900 εκατ</w:t>
      </w:r>
      <w:r w:rsidR="00774A54" w:rsidRPr="005774F5">
        <w:rPr>
          <w:lang w:val="el-GR"/>
        </w:rPr>
        <w:t>.</w:t>
      </w:r>
      <w:r w:rsidR="006C6607" w:rsidRPr="005774F5">
        <w:rPr>
          <w:lang w:val="el-GR"/>
        </w:rPr>
        <w:t xml:space="preserve">. </w:t>
      </w:r>
      <w:r w:rsidR="008E1EFD" w:rsidRPr="005774F5">
        <w:rPr>
          <w:lang w:val="el-GR"/>
        </w:rPr>
        <w:t xml:space="preserve">Τα έσοδα των συλλόγων της </w:t>
      </w:r>
      <w:r w:rsidR="002B1A70" w:rsidRPr="005774F5">
        <w:t>Li</w:t>
      </w:r>
      <w:r w:rsidR="008E1EFD" w:rsidRPr="005774F5">
        <w:t>gue</w:t>
      </w:r>
      <w:r w:rsidR="008E1EFD" w:rsidRPr="005774F5">
        <w:rPr>
          <w:lang w:val="el-GR"/>
        </w:rPr>
        <w:t xml:space="preserve"> 1 </w:t>
      </w:r>
      <w:r w:rsidR="000B2147" w:rsidRPr="005774F5">
        <w:rPr>
          <w:lang w:val="el-GR"/>
        </w:rPr>
        <w:t xml:space="preserve">αυξήθηκαν </w:t>
      </w:r>
      <w:r w:rsidR="00774A54" w:rsidRPr="005774F5">
        <w:rPr>
          <w:lang w:val="el-GR"/>
        </w:rPr>
        <w:t xml:space="preserve">μόλις </w:t>
      </w:r>
      <w:r w:rsidR="00DC42AC" w:rsidRPr="005774F5">
        <w:rPr>
          <w:lang w:val="el-GR"/>
        </w:rPr>
        <w:t xml:space="preserve">κατά </w:t>
      </w:r>
      <w:r w:rsidR="000B2147" w:rsidRPr="005774F5">
        <w:rPr>
          <w:lang w:val="el-GR"/>
        </w:rPr>
        <w:t xml:space="preserve">1% κατά τη διάρκεια 2020-2021 αγγίζοντας το </w:t>
      </w:r>
      <w:r w:rsidR="00687954" w:rsidRPr="005774F5">
        <w:rPr>
          <w:lang w:val="el-GR"/>
        </w:rPr>
        <w:t>€</w:t>
      </w:r>
      <w:r w:rsidR="000B2147" w:rsidRPr="005774F5">
        <w:rPr>
          <w:lang w:val="el-GR"/>
        </w:rPr>
        <w:t>1</w:t>
      </w:r>
      <w:r w:rsidR="00774A54" w:rsidRPr="005774F5">
        <w:rPr>
          <w:lang w:val="el-GR"/>
        </w:rPr>
        <w:t>,</w:t>
      </w:r>
      <w:r w:rsidR="000B2147" w:rsidRPr="005774F5">
        <w:rPr>
          <w:lang w:val="el-GR"/>
        </w:rPr>
        <w:t>6 δι</w:t>
      </w:r>
      <w:r w:rsidR="00774A54" w:rsidRPr="005774F5">
        <w:rPr>
          <w:lang w:val="el-GR"/>
        </w:rPr>
        <w:t>σ.,</w:t>
      </w:r>
      <w:r w:rsidR="007B36E8" w:rsidRPr="005774F5">
        <w:rPr>
          <w:lang w:val="el-GR"/>
        </w:rPr>
        <w:t xml:space="preserve"> </w:t>
      </w:r>
      <w:r w:rsidR="00C97794" w:rsidRPr="005774F5">
        <w:rPr>
          <w:lang w:val="el-GR"/>
        </w:rPr>
        <w:t xml:space="preserve">καθώς η περικοπή </w:t>
      </w:r>
      <w:r w:rsidR="00BC535C" w:rsidRPr="005774F5">
        <w:rPr>
          <w:lang w:val="el-GR"/>
        </w:rPr>
        <w:t xml:space="preserve">και όχι η </w:t>
      </w:r>
      <w:r w:rsidR="003D0C2E" w:rsidRPr="005774F5">
        <w:rPr>
          <w:lang w:val="el-GR"/>
        </w:rPr>
        <w:t xml:space="preserve">αναβολή του διαγωνισμού οδήγησε </w:t>
      </w:r>
      <w:r w:rsidR="00F869F4" w:rsidRPr="005774F5">
        <w:rPr>
          <w:lang w:val="el-GR"/>
        </w:rPr>
        <w:t>σ</w:t>
      </w:r>
      <w:r w:rsidR="00A354AE" w:rsidRPr="005774F5">
        <w:rPr>
          <w:lang w:val="el-GR"/>
        </w:rPr>
        <w:t xml:space="preserve">την αναγνώριση των πολύ </w:t>
      </w:r>
      <w:r w:rsidR="000B6474" w:rsidRPr="005774F5">
        <w:rPr>
          <w:lang w:val="el-GR"/>
        </w:rPr>
        <w:t xml:space="preserve">περιορισμένων </w:t>
      </w:r>
      <w:proofErr w:type="spellStart"/>
      <w:r w:rsidR="000B6474" w:rsidRPr="005774F5">
        <w:rPr>
          <w:lang w:val="el-GR"/>
        </w:rPr>
        <w:t>προεισπραχθέντων</w:t>
      </w:r>
      <w:proofErr w:type="spellEnd"/>
      <w:r w:rsidR="000B6474" w:rsidRPr="005774F5">
        <w:rPr>
          <w:lang w:val="el-GR"/>
        </w:rPr>
        <w:t xml:space="preserve"> εσόδων.</w:t>
      </w:r>
    </w:p>
    <w:p w14:paraId="6E6E3ED6" w14:textId="41BA85DF" w:rsidR="00C81E29" w:rsidRPr="005774F5" w:rsidRDefault="00C81E29" w:rsidP="008D2675">
      <w:pPr>
        <w:jc w:val="both"/>
        <w:rPr>
          <w:lang w:val="el-GR"/>
        </w:rPr>
      </w:pPr>
      <w:r w:rsidRPr="005774F5">
        <w:rPr>
          <w:lang w:val="el-GR"/>
        </w:rPr>
        <w:t xml:space="preserve">Η </w:t>
      </w:r>
      <w:r w:rsidRPr="005774F5">
        <w:t>Premier</w:t>
      </w:r>
      <w:r w:rsidRPr="005774F5">
        <w:rPr>
          <w:lang w:val="el-GR"/>
        </w:rPr>
        <w:t xml:space="preserve"> </w:t>
      </w:r>
      <w:r w:rsidRPr="005774F5">
        <w:t>League</w:t>
      </w:r>
      <w:r w:rsidR="007B36E8" w:rsidRPr="005774F5">
        <w:rPr>
          <w:lang w:val="el-GR"/>
        </w:rPr>
        <w:t xml:space="preserve"> </w:t>
      </w:r>
      <w:r w:rsidR="00525C44" w:rsidRPr="005774F5">
        <w:rPr>
          <w:lang w:val="el-GR"/>
        </w:rPr>
        <w:t xml:space="preserve">ήταν </w:t>
      </w:r>
      <w:r w:rsidR="00774A54" w:rsidRPr="005774F5">
        <w:rPr>
          <w:lang w:val="el-GR"/>
        </w:rPr>
        <w:t>το μόνο από τα «πέντε μεγάλα» πρωταθλήματα</w:t>
      </w:r>
      <w:r w:rsidR="00955768" w:rsidRPr="005774F5">
        <w:rPr>
          <w:lang w:val="el-GR"/>
        </w:rPr>
        <w:t xml:space="preserve"> </w:t>
      </w:r>
      <w:r w:rsidR="00774A54" w:rsidRPr="005774F5">
        <w:rPr>
          <w:lang w:val="el-GR"/>
        </w:rPr>
        <w:t>που</w:t>
      </w:r>
      <w:r w:rsidR="002273FF" w:rsidRPr="005774F5">
        <w:rPr>
          <w:lang w:val="el-GR"/>
        </w:rPr>
        <w:t xml:space="preserve"> κατάφερε να </w:t>
      </w:r>
      <w:r w:rsidR="00525C44" w:rsidRPr="005774F5">
        <w:rPr>
          <w:lang w:val="el-GR"/>
        </w:rPr>
        <w:t>σημε</w:t>
      </w:r>
      <w:r w:rsidR="002273FF" w:rsidRPr="005774F5">
        <w:rPr>
          <w:lang w:val="el-GR"/>
        </w:rPr>
        <w:t>ιώσει</w:t>
      </w:r>
      <w:r w:rsidR="00525C44" w:rsidRPr="005774F5">
        <w:rPr>
          <w:lang w:val="el-GR"/>
        </w:rPr>
        <w:t xml:space="preserve"> βελτίωση στο σύνολο</w:t>
      </w:r>
      <w:r w:rsidR="008C39C5" w:rsidRPr="005774F5">
        <w:rPr>
          <w:lang w:val="el-GR"/>
        </w:rPr>
        <w:t xml:space="preserve"> των λειτουργικών κερδών μέσα στο έτος</w:t>
      </w:r>
      <w:r w:rsidR="002905FC" w:rsidRPr="005774F5">
        <w:rPr>
          <w:lang w:val="el-GR"/>
        </w:rPr>
        <w:t>,</w:t>
      </w:r>
      <w:r w:rsidR="003A120D" w:rsidRPr="005774F5">
        <w:rPr>
          <w:lang w:val="el-GR"/>
        </w:rPr>
        <w:t xml:space="preserve"> σημειώνοντας μαζική αύξηση από </w:t>
      </w:r>
      <w:r w:rsidR="00687954" w:rsidRPr="005774F5">
        <w:rPr>
          <w:lang w:val="el-GR"/>
        </w:rPr>
        <w:t>€</w:t>
      </w:r>
      <w:r w:rsidR="003A120D" w:rsidRPr="005774F5">
        <w:rPr>
          <w:lang w:val="el-GR"/>
        </w:rPr>
        <w:t>55</w:t>
      </w:r>
      <w:r w:rsidR="00774A54" w:rsidRPr="005774F5">
        <w:rPr>
          <w:lang w:val="el-GR"/>
        </w:rPr>
        <w:t xml:space="preserve"> εκατ. </w:t>
      </w:r>
      <w:r w:rsidR="003A120D" w:rsidRPr="005774F5">
        <w:rPr>
          <w:lang w:val="el-GR"/>
        </w:rPr>
        <w:t xml:space="preserve">στα </w:t>
      </w:r>
      <w:r w:rsidR="00687954" w:rsidRPr="005774F5">
        <w:rPr>
          <w:lang w:val="el-GR"/>
        </w:rPr>
        <w:t>€</w:t>
      </w:r>
      <w:r w:rsidR="009C7AFF" w:rsidRPr="005774F5">
        <w:rPr>
          <w:lang w:val="el-GR"/>
        </w:rPr>
        <w:t>541</w:t>
      </w:r>
      <w:r w:rsidR="00774A54" w:rsidRPr="005774F5">
        <w:rPr>
          <w:lang w:val="el-GR"/>
        </w:rPr>
        <w:t xml:space="preserve"> εκατ.</w:t>
      </w:r>
      <w:r w:rsidR="009C7AFF" w:rsidRPr="005774F5">
        <w:rPr>
          <w:lang w:val="el-GR"/>
        </w:rPr>
        <w:t xml:space="preserve">. </w:t>
      </w:r>
      <w:r w:rsidR="00774A54" w:rsidRPr="005774F5">
        <w:rPr>
          <w:lang w:val="el-GR"/>
        </w:rPr>
        <w:t>Εκτός</w:t>
      </w:r>
      <w:r w:rsidR="00BD2A05" w:rsidRPr="005774F5">
        <w:rPr>
          <w:lang w:val="el-GR"/>
        </w:rPr>
        <w:t xml:space="preserve"> τη</w:t>
      </w:r>
      <w:r w:rsidR="00774A54" w:rsidRPr="005774F5">
        <w:rPr>
          <w:lang w:val="el-GR"/>
        </w:rPr>
        <w:t>ς</w:t>
      </w:r>
      <w:r w:rsidR="00BD2A05" w:rsidRPr="005774F5">
        <w:rPr>
          <w:lang w:val="el-GR"/>
        </w:rPr>
        <w:t xml:space="preserve"> </w:t>
      </w:r>
      <w:r w:rsidR="00BD2A05" w:rsidRPr="005774F5">
        <w:t>Premier</w:t>
      </w:r>
      <w:r w:rsidR="00BD2A05" w:rsidRPr="005774F5">
        <w:rPr>
          <w:lang w:val="el-GR"/>
        </w:rPr>
        <w:t xml:space="preserve"> </w:t>
      </w:r>
      <w:r w:rsidR="00BD2A05" w:rsidRPr="005774F5">
        <w:t>League</w:t>
      </w:r>
      <w:r w:rsidR="00774A54" w:rsidRPr="005774F5">
        <w:rPr>
          <w:lang w:val="el-GR"/>
        </w:rPr>
        <w:t>, τα «πέντε μεγάλα» πρωταθλήματα</w:t>
      </w:r>
      <w:r w:rsidR="00BD2A05" w:rsidRPr="005774F5">
        <w:rPr>
          <w:lang w:val="el-GR"/>
        </w:rPr>
        <w:t xml:space="preserve"> </w:t>
      </w:r>
      <w:r w:rsidR="00774A54" w:rsidRPr="005774F5">
        <w:rPr>
          <w:lang w:val="el-GR"/>
        </w:rPr>
        <w:t>κατέγραψαν</w:t>
      </w:r>
      <w:r w:rsidR="002F486A" w:rsidRPr="005774F5">
        <w:rPr>
          <w:lang w:val="el-GR"/>
        </w:rPr>
        <w:t xml:space="preserve"> αυξημένες </w:t>
      </w:r>
      <w:r w:rsidR="002B79C4" w:rsidRPr="005774F5">
        <w:rPr>
          <w:lang w:val="el-GR"/>
        </w:rPr>
        <w:t>λειτουργικές ζημίες κατά τη διάρκεια τ</w:t>
      </w:r>
      <w:r w:rsidR="002273FF" w:rsidRPr="005774F5">
        <w:rPr>
          <w:lang w:val="el-GR"/>
        </w:rPr>
        <w:t>ου έτους</w:t>
      </w:r>
      <w:r w:rsidR="002B79C4" w:rsidRPr="005774F5">
        <w:rPr>
          <w:lang w:val="el-GR"/>
        </w:rPr>
        <w:t xml:space="preserve">, οι οποίες αυξήθηκαν από </w:t>
      </w:r>
      <w:r w:rsidR="00687954" w:rsidRPr="005774F5">
        <w:rPr>
          <w:lang w:val="el-GR"/>
        </w:rPr>
        <w:t>€</w:t>
      </w:r>
      <w:r w:rsidR="00B63F45" w:rsidRPr="005774F5">
        <w:rPr>
          <w:lang w:val="el-GR"/>
        </w:rPr>
        <w:t>461</w:t>
      </w:r>
      <w:r w:rsidR="00774A54" w:rsidRPr="005774F5">
        <w:rPr>
          <w:lang w:val="el-GR"/>
        </w:rPr>
        <w:t xml:space="preserve"> εκατ.</w:t>
      </w:r>
      <w:r w:rsidR="00B63F45" w:rsidRPr="005774F5">
        <w:rPr>
          <w:lang w:val="el-GR"/>
        </w:rPr>
        <w:t xml:space="preserve"> στα </w:t>
      </w:r>
      <w:r w:rsidR="00687954" w:rsidRPr="005774F5">
        <w:rPr>
          <w:lang w:val="el-GR"/>
        </w:rPr>
        <w:t>€</w:t>
      </w:r>
      <w:r w:rsidR="00B63F45" w:rsidRPr="005774F5">
        <w:rPr>
          <w:lang w:val="el-GR"/>
        </w:rPr>
        <w:t>901</w:t>
      </w:r>
      <w:r w:rsidR="00774A54" w:rsidRPr="005774F5">
        <w:rPr>
          <w:lang w:val="el-GR"/>
        </w:rPr>
        <w:t xml:space="preserve"> εκατ.</w:t>
      </w:r>
      <w:r w:rsidR="00B63F45" w:rsidRPr="005774F5">
        <w:rPr>
          <w:lang w:val="el-GR"/>
        </w:rPr>
        <w:t>.</w:t>
      </w:r>
    </w:p>
    <w:p w14:paraId="639D209F" w14:textId="7C01FC10" w:rsidR="00B63F45" w:rsidRPr="005774F5" w:rsidRDefault="00B63F45" w:rsidP="008D2675">
      <w:pPr>
        <w:jc w:val="both"/>
        <w:rPr>
          <w:lang w:val="el-GR"/>
        </w:rPr>
      </w:pPr>
      <w:r w:rsidRPr="005774F5">
        <w:rPr>
          <w:lang w:val="el-GR"/>
        </w:rPr>
        <w:t xml:space="preserve">Ο </w:t>
      </w:r>
      <w:r w:rsidRPr="005774F5">
        <w:t>Tim</w:t>
      </w:r>
      <w:r w:rsidRPr="005774F5">
        <w:rPr>
          <w:lang w:val="el-GR"/>
        </w:rPr>
        <w:t xml:space="preserve"> </w:t>
      </w:r>
      <w:r w:rsidRPr="005774F5">
        <w:t>Bridge</w:t>
      </w:r>
      <w:r w:rsidRPr="005774F5">
        <w:rPr>
          <w:lang w:val="el-GR"/>
        </w:rPr>
        <w:t xml:space="preserve">, </w:t>
      </w:r>
      <w:r w:rsidR="007D297A" w:rsidRPr="005774F5">
        <w:rPr>
          <w:lang w:val="el-GR"/>
        </w:rPr>
        <w:t xml:space="preserve">επικεφαλής του </w:t>
      </w:r>
      <w:r w:rsidR="007D297A" w:rsidRPr="005774F5">
        <w:t>Sports</w:t>
      </w:r>
      <w:r w:rsidR="007D297A" w:rsidRPr="005774F5">
        <w:rPr>
          <w:lang w:val="el-GR"/>
        </w:rPr>
        <w:t xml:space="preserve"> </w:t>
      </w:r>
      <w:r w:rsidR="007D297A" w:rsidRPr="005774F5">
        <w:t>Business</w:t>
      </w:r>
      <w:r w:rsidR="007D297A" w:rsidRPr="005774F5">
        <w:rPr>
          <w:lang w:val="el-GR"/>
        </w:rPr>
        <w:t xml:space="preserve"> </w:t>
      </w:r>
      <w:r w:rsidR="007D297A" w:rsidRPr="005774F5">
        <w:t>Group</w:t>
      </w:r>
      <w:r w:rsidR="007D297A" w:rsidRPr="005774F5">
        <w:rPr>
          <w:lang w:val="el-GR"/>
        </w:rPr>
        <w:t xml:space="preserve"> της </w:t>
      </w:r>
      <w:r w:rsidR="007D297A" w:rsidRPr="005774F5">
        <w:t>Deloitte</w:t>
      </w:r>
      <w:r w:rsidR="00774A54" w:rsidRPr="005774F5">
        <w:rPr>
          <w:lang w:val="el-GR"/>
        </w:rPr>
        <w:t>,</w:t>
      </w:r>
      <w:r w:rsidR="007D297A" w:rsidRPr="005774F5">
        <w:rPr>
          <w:lang w:val="el-GR"/>
        </w:rPr>
        <w:t xml:space="preserve"> δήλωσε: «Οι σύλλογοι σε όλη την Ευρώπη </w:t>
      </w:r>
      <w:r w:rsidR="00C2124A" w:rsidRPr="005774F5">
        <w:rPr>
          <w:lang w:val="el-GR"/>
        </w:rPr>
        <w:t xml:space="preserve">διεξήγαγαν ένα πολύ σημαντικό μέρος των αγώνων πίσω από κλειστές πόρτες </w:t>
      </w:r>
      <w:r w:rsidR="00571FB0" w:rsidRPr="005774F5">
        <w:rPr>
          <w:lang w:val="el-GR"/>
        </w:rPr>
        <w:t>ή με μειωμένη χωρητικότητα κατά την περίοδο 2020-2021, γεγονός που προκάλεσε</w:t>
      </w:r>
      <w:r w:rsidR="007D780D" w:rsidRPr="005774F5">
        <w:rPr>
          <w:lang w:val="el-GR"/>
        </w:rPr>
        <w:t xml:space="preserve"> σχεδόν ολοκληρωτική απώλεια των </w:t>
      </w:r>
      <w:r w:rsidR="004B49AE" w:rsidRPr="005774F5">
        <w:rPr>
          <w:lang w:val="el-GR"/>
        </w:rPr>
        <w:t>εσόδων</w:t>
      </w:r>
      <w:r w:rsidR="00774A54" w:rsidRPr="005774F5">
        <w:rPr>
          <w:lang w:val="el-GR"/>
        </w:rPr>
        <w:t xml:space="preserve"> τις ημέρες των αγώνων</w:t>
      </w:r>
      <w:r w:rsidR="004B49AE" w:rsidRPr="005774F5">
        <w:rPr>
          <w:lang w:val="el-GR"/>
        </w:rPr>
        <w:t xml:space="preserve">. </w:t>
      </w:r>
      <w:r w:rsidR="00774A54" w:rsidRPr="005774F5">
        <w:rPr>
          <w:lang w:val="el-GR"/>
        </w:rPr>
        <w:t>Αυτό</w:t>
      </w:r>
      <w:r w:rsidR="00B47FD5" w:rsidRPr="005774F5">
        <w:rPr>
          <w:lang w:val="el-GR"/>
        </w:rPr>
        <w:t xml:space="preserve"> μαρτυρά την ανθεκτικότητα της βιομηχανίας του ποδοσφαίρου</w:t>
      </w:r>
      <w:r w:rsidR="00890571" w:rsidRPr="005774F5">
        <w:rPr>
          <w:lang w:val="el-GR"/>
        </w:rPr>
        <w:t xml:space="preserve">, την αξία </w:t>
      </w:r>
      <w:r w:rsidR="0032314D" w:rsidRPr="005774F5">
        <w:rPr>
          <w:lang w:val="el-GR"/>
        </w:rPr>
        <w:t>που δημιου</w:t>
      </w:r>
      <w:r w:rsidR="00176EF0" w:rsidRPr="005774F5">
        <w:rPr>
          <w:lang w:val="el-GR"/>
        </w:rPr>
        <w:t>ργείται από τις</w:t>
      </w:r>
      <w:r w:rsidR="007B36E8" w:rsidRPr="005774F5">
        <w:rPr>
          <w:lang w:val="el-GR"/>
        </w:rPr>
        <w:t xml:space="preserve"> </w:t>
      </w:r>
      <w:r w:rsidR="003B2E3C" w:rsidRPr="005774F5">
        <w:rPr>
          <w:lang w:val="el-GR"/>
        </w:rPr>
        <w:t>συμφων</w:t>
      </w:r>
      <w:r w:rsidR="00176EF0" w:rsidRPr="005774F5">
        <w:rPr>
          <w:lang w:val="el-GR"/>
        </w:rPr>
        <w:t xml:space="preserve">ίες </w:t>
      </w:r>
      <w:r w:rsidR="00774A54" w:rsidRPr="005774F5">
        <w:rPr>
          <w:lang w:val="el-GR"/>
        </w:rPr>
        <w:t xml:space="preserve">των δικαιωμάτων αναμετάδοσης </w:t>
      </w:r>
      <w:r w:rsidR="00C7403F" w:rsidRPr="005774F5">
        <w:rPr>
          <w:lang w:val="el-GR"/>
        </w:rPr>
        <w:t xml:space="preserve">και την επιτυχία </w:t>
      </w:r>
      <w:r w:rsidR="00774A54" w:rsidRPr="005774F5">
        <w:rPr>
          <w:lang w:val="el-GR"/>
        </w:rPr>
        <w:t xml:space="preserve">των </w:t>
      </w:r>
      <w:r w:rsidR="00774A54" w:rsidRPr="005774F5">
        <w:rPr>
          <w:lang w:val="en-US"/>
        </w:rPr>
        <w:t>Euro</w:t>
      </w:r>
      <w:r w:rsidR="00774A54" w:rsidRPr="005774F5">
        <w:rPr>
          <w:lang w:val="el-GR"/>
        </w:rPr>
        <w:t>, καθώς η ε</w:t>
      </w:r>
      <w:r w:rsidR="008242EC" w:rsidRPr="005774F5">
        <w:rPr>
          <w:lang w:val="el-GR"/>
        </w:rPr>
        <w:t>υρωπαϊκή</w:t>
      </w:r>
      <w:r w:rsidR="000A0840" w:rsidRPr="005774F5">
        <w:rPr>
          <w:lang w:val="el-GR"/>
        </w:rPr>
        <w:t xml:space="preserve"> </w:t>
      </w:r>
      <w:r w:rsidR="00774A54" w:rsidRPr="005774F5">
        <w:rPr>
          <w:lang w:val="el-GR"/>
        </w:rPr>
        <w:t>α</w:t>
      </w:r>
      <w:r w:rsidR="000A0840" w:rsidRPr="005774F5">
        <w:rPr>
          <w:lang w:val="el-GR"/>
        </w:rPr>
        <w:t xml:space="preserve">γορά </w:t>
      </w:r>
      <w:r w:rsidR="00774A54" w:rsidRPr="005774F5">
        <w:rPr>
          <w:lang w:val="el-GR"/>
        </w:rPr>
        <w:t>π</w:t>
      </w:r>
      <w:r w:rsidR="000A0840" w:rsidRPr="005774F5">
        <w:rPr>
          <w:lang w:val="el-GR"/>
        </w:rPr>
        <w:t xml:space="preserve">οδοσφαίρου έχει </w:t>
      </w:r>
      <w:r w:rsidR="00E40CE5" w:rsidRPr="005774F5">
        <w:rPr>
          <w:lang w:val="el-GR"/>
        </w:rPr>
        <w:t xml:space="preserve">σημειώσει διαρκή ανάπτυξη, όσον αφορά τα έσοδα κατά το τελευταίο έτος. </w:t>
      </w:r>
    </w:p>
    <w:p w14:paraId="2070EE1D" w14:textId="0F816AEE" w:rsidR="00E40CE5" w:rsidRPr="005774F5" w:rsidRDefault="00E40CE5" w:rsidP="008D2675">
      <w:pPr>
        <w:jc w:val="both"/>
        <w:rPr>
          <w:lang w:val="el-GR"/>
        </w:rPr>
      </w:pPr>
      <w:r w:rsidRPr="005774F5">
        <w:rPr>
          <w:lang w:val="el-GR"/>
        </w:rPr>
        <w:t>Ωστόσο</w:t>
      </w:r>
      <w:r w:rsidR="00774A54" w:rsidRPr="005774F5">
        <w:rPr>
          <w:lang w:val="el-GR"/>
        </w:rPr>
        <w:t>,</w:t>
      </w:r>
      <w:r w:rsidRPr="005774F5">
        <w:rPr>
          <w:lang w:val="el-GR"/>
        </w:rPr>
        <w:t xml:space="preserve"> είναι σημαντικό να μην παραβλέψουμε </w:t>
      </w:r>
      <w:r w:rsidR="006563CA" w:rsidRPr="005774F5">
        <w:rPr>
          <w:lang w:val="el-GR"/>
        </w:rPr>
        <w:t xml:space="preserve">τις ζημίες που κατέγραψαν πολλοί σύλλογοι. </w:t>
      </w:r>
      <w:r w:rsidR="00770745" w:rsidRPr="005774F5">
        <w:rPr>
          <w:lang w:val="el-GR"/>
        </w:rPr>
        <w:t xml:space="preserve">Η επίπτωση της πανδημίας </w:t>
      </w:r>
      <w:r w:rsidR="00774A54" w:rsidRPr="005774F5">
        <w:rPr>
          <w:lang w:val="en-US"/>
        </w:rPr>
        <w:t>C</w:t>
      </w:r>
      <w:proofErr w:type="spellStart"/>
      <w:r w:rsidR="00770745" w:rsidRPr="005774F5">
        <w:t>ovid</w:t>
      </w:r>
      <w:proofErr w:type="spellEnd"/>
      <w:r w:rsidR="00770745" w:rsidRPr="005774F5">
        <w:rPr>
          <w:lang w:val="el-GR"/>
        </w:rPr>
        <w:t xml:space="preserve">-19 άλλαξε άρδην </w:t>
      </w:r>
      <w:r w:rsidR="0004030B" w:rsidRPr="005774F5">
        <w:rPr>
          <w:lang w:val="el-GR"/>
        </w:rPr>
        <w:t xml:space="preserve">την οικονομική διαχείριση </w:t>
      </w:r>
      <w:r w:rsidR="008242EC" w:rsidRPr="005774F5">
        <w:rPr>
          <w:lang w:val="el-GR"/>
        </w:rPr>
        <w:t xml:space="preserve">του </w:t>
      </w:r>
      <w:r w:rsidR="00774A54" w:rsidRPr="005774F5">
        <w:rPr>
          <w:lang w:val="el-GR"/>
        </w:rPr>
        <w:t>ε</w:t>
      </w:r>
      <w:r w:rsidR="008242EC" w:rsidRPr="005774F5">
        <w:rPr>
          <w:lang w:val="el-GR"/>
        </w:rPr>
        <w:t>υρωπαϊκού ποδοσφαίρου, με τ</w:t>
      </w:r>
      <w:r w:rsidR="006456FE" w:rsidRPr="005774F5">
        <w:rPr>
          <w:lang w:val="el-GR"/>
        </w:rPr>
        <w:t xml:space="preserve">α πρωταθλήματα </w:t>
      </w:r>
      <w:r w:rsidR="008242EC" w:rsidRPr="005774F5">
        <w:rPr>
          <w:lang w:val="el-GR"/>
        </w:rPr>
        <w:t>και τους συλλόγους να</w:t>
      </w:r>
      <w:r w:rsidR="009A52A6" w:rsidRPr="005774F5">
        <w:rPr>
          <w:lang w:val="el-GR"/>
        </w:rPr>
        <w:t xml:space="preserve"> αναγκάζονται</w:t>
      </w:r>
      <w:r w:rsidR="008242EC" w:rsidRPr="005774F5">
        <w:rPr>
          <w:lang w:val="el-GR"/>
        </w:rPr>
        <w:t xml:space="preserve"> </w:t>
      </w:r>
      <w:r w:rsidR="006456FE" w:rsidRPr="005774F5">
        <w:rPr>
          <w:lang w:val="el-GR"/>
        </w:rPr>
        <w:t>να αναζητούν</w:t>
      </w:r>
      <w:r w:rsidR="009A52A6" w:rsidRPr="005774F5">
        <w:rPr>
          <w:lang w:val="el-GR"/>
        </w:rPr>
        <w:t xml:space="preserve"> εξωτερι</w:t>
      </w:r>
      <w:r w:rsidR="006456FE" w:rsidRPr="005774F5">
        <w:rPr>
          <w:lang w:val="el-GR"/>
        </w:rPr>
        <w:t>κές</w:t>
      </w:r>
      <w:r w:rsidR="009A52A6" w:rsidRPr="005774F5">
        <w:rPr>
          <w:lang w:val="el-GR"/>
        </w:rPr>
        <w:t xml:space="preserve"> επενδύσ</w:t>
      </w:r>
      <w:r w:rsidR="006456FE" w:rsidRPr="005774F5">
        <w:rPr>
          <w:lang w:val="el-GR"/>
        </w:rPr>
        <w:t>εις,</w:t>
      </w:r>
      <w:r w:rsidR="009A52A6" w:rsidRPr="005774F5">
        <w:rPr>
          <w:lang w:val="el-GR"/>
        </w:rPr>
        <w:t xml:space="preserve"> </w:t>
      </w:r>
      <w:r w:rsidR="00795787" w:rsidRPr="005774F5">
        <w:rPr>
          <w:lang w:val="el-GR"/>
        </w:rPr>
        <w:t xml:space="preserve">ενώ καλούνται να ανταποκριθούν </w:t>
      </w:r>
      <w:r w:rsidR="00ED4BAA" w:rsidRPr="005774F5">
        <w:rPr>
          <w:lang w:val="el-GR"/>
        </w:rPr>
        <w:t xml:space="preserve">στις </w:t>
      </w:r>
      <w:r w:rsidR="00795787" w:rsidRPr="005774F5">
        <w:rPr>
          <w:lang w:val="el-GR"/>
        </w:rPr>
        <w:t>αλλαγ</w:t>
      </w:r>
      <w:r w:rsidR="004208EF" w:rsidRPr="005774F5">
        <w:rPr>
          <w:lang w:val="el-GR"/>
        </w:rPr>
        <w:t>ές που σημειώνονται</w:t>
      </w:r>
      <w:r w:rsidR="00795787" w:rsidRPr="005774F5">
        <w:rPr>
          <w:lang w:val="el-GR"/>
        </w:rPr>
        <w:t xml:space="preserve"> </w:t>
      </w:r>
      <w:r w:rsidR="004208EF" w:rsidRPr="005774F5">
        <w:rPr>
          <w:lang w:val="el-GR"/>
        </w:rPr>
        <w:t>στις νέες τάσεις π</w:t>
      </w:r>
      <w:r w:rsidR="00795787" w:rsidRPr="005774F5">
        <w:rPr>
          <w:lang w:val="el-GR"/>
        </w:rPr>
        <w:t xml:space="preserve">ου αφορούν </w:t>
      </w:r>
      <w:r w:rsidR="006456FE" w:rsidRPr="005774F5">
        <w:rPr>
          <w:lang w:val="el-GR"/>
        </w:rPr>
        <w:t>σ</w:t>
      </w:r>
      <w:r w:rsidR="007874BB" w:rsidRPr="005774F5">
        <w:rPr>
          <w:lang w:val="el-GR"/>
        </w:rPr>
        <w:t>τις δαπάνες μεταγ</w:t>
      </w:r>
      <w:r w:rsidR="00ED4BAA" w:rsidRPr="005774F5">
        <w:rPr>
          <w:lang w:val="el-GR"/>
        </w:rPr>
        <w:t xml:space="preserve">ραφών </w:t>
      </w:r>
      <w:r w:rsidR="006456FE" w:rsidRPr="005774F5">
        <w:rPr>
          <w:lang w:val="el-GR"/>
        </w:rPr>
        <w:t xml:space="preserve">και </w:t>
      </w:r>
      <w:r w:rsidR="004208EF" w:rsidRPr="005774F5">
        <w:rPr>
          <w:lang w:val="el-GR"/>
        </w:rPr>
        <w:t>λειτουργ</w:t>
      </w:r>
      <w:r w:rsidR="006456FE" w:rsidRPr="005774F5">
        <w:rPr>
          <w:lang w:val="el-GR"/>
        </w:rPr>
        <w:t>ίας</w:t>
      </w:r>
      <w:r w:rsidR="00E1242D" w:rsidRPr="005774F5">
        <w:rPr>
          <w:lang w:val="el-GR"/>
        </w:rPr>
        <w:t xml:space="preserve"> των συλλόγων. </w:t>
      </w:r>
    </w:p>
    <w:p w14:paraId="3971A72F" w14:textId="39DFE52E" w:rsidR="00E1242D" w:rsidRPr="005774F5" w:rsidRDefault="00685AEC" w:rsidP="008D2675">
      <w:pPr>
        <w:jc w:val="both"/>
        <w:rPr>
          <w:lang w:val="el-GR"/>
        </w:rPr>
      </w:pPr>
      <w:r w:rsidRPr="005774F5">
        <w:rPr>
          <w:lang w:val="el-GR"/>
        </w:rPr>
        <w:t xml:space="preserve">Τα άλματα </w:t>
      </w:r>
      <w:r w:rsidR="006456FE" w:rsidRPr="005774F5">
        <w:rPr>
          <w:lang w:val="el-GR"/>
        </w:rPr>
        <w:t>που</w:t>
      </w:r>
      <w:r w:rsidRPr="005774F5">
        <w:rPr>
          <w:lang w:val="el-GR"/>
        </w:rPr>
        <w:t xml:space="preserve"> σημειώνονται </w:t>
      </w:r>
      <w:r w:rsidR="00664502" w:rsidRPr="005774F5">
        <w:rPr>
          <w:lang w:val="el-GR"/>
        </w:rPr>
        <w:t xml:space="preserve">με σκοπό την ενίσχυση της οικονομικής </w:t>
      </w:r>
      <w:r w:rsidR="00A7668A" w:rsidRPr="005774F5">
        <w:rPr>
          <w:lang w:val="el-GR"/>
        </w:rPr>
        <w:t xml:space="preserve">βιωσιμότητας </w:t>
      </w:r>
      <w:r w:rsidR="009B5632" w:rsidRPr="005774F5">
        <w:rPr>
          <w:lang w:val="el-GR"/>
        </w:rPr>
        <w:t xml:space="preserve">μέσω των νέων κανονισμών της </w:t>
      </w:r>
      <w:r w:rsidR="009B5632" w:rsidRPr="005774F5">
        <w:t>UEFA</w:t>
      </w:r>
      <w:r w:rsidR="006456FE" w:rsidRPr="005774F5">
        <w:rPr>
          <w:lang w:val="el-GR"/>
        </w:rPr>
        <w:t>,</w:t>
      </w:r>
      <w:r w:rsidR="009B5632" w:rsidRPr="005774F5">
        <w:rPr>
          <w:lang w:val="el-GR"/>
        </w:rPr>
        <w:t xml:space="preserve"> καθώς και</w:t>
      </w:r>
      <w:r w:rsidR="006456FE" w:rsidRPr="005774F5">
        <w:rPr>
          <w:lang w:val="el-GR"/>
        </w:rPr>
        <w:t xml:space="preserve"> η μετατροπή</w:t>
      </w:r>
      <w:r w:rsidR="00846777" w:rsidRPr="005774F5">
        <w:rPr>
          <w:lang w:val="el-GR"/>
        </w:rPr>
        <w:t xml:space="preserve"> των γυναικείων </w:t>
      </w:r>
      <w:r w:rsidR="00DE3B29" w:rsidRPr="005774F5">
        <w:rPr>
          <w:lang w:val="el-GR"/>
        </w:rPr>
        <w:t xml:space="preserve">ποδοσφαιρικών </w:t>
      </w:r>
      <w:r w:rsidR="002C17C4">
        <w:rPr>
          <w:lang w:val="el-GR"/>
        </w:rPr>
        <w:t>ομάδων</w:t>
      </w:r>
      <w:r w:rsidR="006456FE" w:rsidRPr="005774F5">
        <w:rPr>
          <w:lang w:val="el-GR"/>
        </w:rPr>
        <w:t xml:space="preserve"> σε επαγγελματικ</w:t>
      </w:r>
      <w:r w:rsidR="00574BE9">
        <w:rPr>
          <w:lang w:val="el-GR"/>
        </w:rPr>
        <w:t>έ</w:t>
      </w:r>
      <w:r w:rsidR="006456FE" w:rsidRPr="005774F5">
        <w:rPr>
          <w:lang w:val="el-GR"/>
        </w:rPr>
        <w:t>ς</w:t>
      </w:r>
      <w:r w:rsidR="00846777" w:rsidRPr="005774F5">
        <w:rPr>
          <w:lang w:val="el-GR"/>
        </w:rPr>
        <w:t xml:space="preserve">, θα </w:t>
      </w:r>
      <w:r w:rsidR="00090F10" w:rsidRPr="005774F5">
        <w:rPr>
          <w:lang w:val="el-GR"/>
        </w:rPr>
        <w:t>π</w:t>
      </w:r>
      <w:r w:rsidR="00931750" w:rsidRPr="005774F5">
        <w:rPr>
          <w:lang w:val="el-GR"/>
        </w:rPr>
        <w:t>αρακινήσει τ</w:t>
      </w:r>
      <w:r w:rsidR="00090F10" w:rsidRPr="005774F5">
        <w:rPr>
          <w:lang w:val="el-GR"/>
        </w:rPr>
        <w:t xml:space="preserve">ους συλλόγους να σπάσουν τις παραδόσεις, </w:t>
      </w:r>
      <w:r w:rsidR="00931750" w:rsidRPr="005774F5">
        <w:rPr>
          <w:lang w:val="el-GR"/>
        </w:rPr>
        <w:t xml:space="preserve">αυξάνοντας </w:t>
      </w:r>
      <w:r w:rsidR="00931750" w:rsidRPr="005774F5">
        <w:rPr>
          <w:lang w:val="el-GR"/>
        </w:rPr>
        <w:lastRenderedPageBreak/>
        <w:t xml:space="preserve">ενδεχομένως </w:t>
      </w:r>
      <w:r w:rsidR="00867C0D" w:rsidRPr="005774F5">
        <w:rPr>
          <w:lang w:val="el-GR"/>
        </w:rPr>
        <w:t xml:space="preserve">την </w:t>
      </w:r>
      <w:r w:rsidR="006456FE" w:rsidRPr="005774F5">
        <w:rPr>
          <w:lang w:val="el-GR"/>
        </w:rPr>
        <w:t>κερδοφορία</w:t>
      </w:r>
      <w:r w:rsidR="00867C0D" w:rsidRPr="005774F5">
        <w:rPr>
          <w:lang w:val="el-GR"/>
        </w:rPr>
        <w:t xml:space="preserve"> σε </w:t>
      </w:r>
      <w:r w:rsidR="00BD3A67" w:rsidRPr="005774F5">
        <w:rPr>
          <w:lang w:val="el-GR"/>
        </w:rPr>
        <w:t xml:space="preserve">μία </w:t>
      </w:r>
      <w:r w:rsidR="00DC286A" w:rsidRPr="005774F5">
        <w:rPr>
          <w:lang w:val="el-GR"/>
        </w:rPr>
        <w:t>βιομηχανία η οποία ως γνωστόν σημειώνει απώλειες</w:t>
      </w:r>
      <w:r w:rsidR="00DE3B29" w:rsidRPr="005774F5">
        <w:rPr>
          <w:lang w:val="el-GR"/>
        </w:rPr>
        <w:t xml:space="preserve">, </w:t>
      </w:r>
      <w:r w:rsidR="00DC286A" w:rsidRPr="005774F5">
        <w:rPr>
          <w:lang w:val="el-GR"/>
        </w:rPr>
        <w:t xml:space="preserve">ενώ παράλληλα θα συμβάλλει στη διαμόρφωση </w:t>
      </w:r>
      <w:r w:rsidR="00DE3B29" w:rsidRPr="005774F5">
        <w:rPr>
          <w:lang w:val="el-GR"/>
        </w:rPr>
        <w:t>ενός</w:t>
      </w:r>
      <w:r w:rsidR="007F4482" w:rsidRPr="005774F5">
        <w:rPr>
          <w:lang w:val="el-GR"/>
        </w:rPr>
        <w:t xml:space="preserve"> περιβάλλοντος που ευνοεί την ενσωμάτωση </w:t>
      </w:r>
      <w:r w:rsidR="006456FE" w:rsidRPr="005774F5">
        <w:rPr>
          <w:lang w:val="el-GR"/>
        </w:rPr>
        <w:t>όλων</w:t>
      </w:r>
      <w:r w:rsidR="007F4482" w:rsidRPr="005774F5">
        <w:rPr>
          <w:lang w:val="el-GR"/>
        </w:rPr>
        <w:t xml:space="preserve">. Είναι μία </w:t>
      </w:r>
      <w:r w:rsidR="00DE3B29" w:rsidRPr="005774F5">
        <w:rPr>
          <w:lang w:val="el-GR"/>
        </w:rPr>
        <w:t xml:space="preserve">συναρπαστική περίοδος, </w:t>
      </w:r>
      <w:r w:rsidR="006456FE" w:rsidRPr="005774F5">
        <w:rPr>
          <w:lang w:val="el-GR"/>
        </w:rPr>
        <w:t>κατά την οποία οφείλουμε να</w:t>
      </w:r>
      <w:r w:rsidR="00DE3B29" w:rsidRPr="005774F5">
        <w:rPr>
          <w:lang w:val="el-GR"/>
        </w:rPr>
        <w:t xml:space="preserve"> βρισκόμαστε σε πλήρη ετοιμότητα».</w:t>
      </w:r>
    </w:p>
    <w:p w14:paraId="6171E584" w14:textId="3F257D9F" w:rsidR="00DE3B29" w:rsidRPr="00754D94" w:rsidRDefault="00BC0D1A" w:rsidP="008D2675">
      <w:pPr>
        <w:jc w:val="both"/>
        <w:rPr>
          <w:lang w:val="el-GR"/>
        </w:rPr>
      </w:pPr>
      <w:r w:rsidRPr="00BC0D1A">
        <w:rPr>
          <w:lang w:val="el-GR"/>
        </w:rPr>
        <w:t xml:space="preserve">Ο </w:t>
      </w:r>
      <w:r w:rsidRPr="006E249A">
        <w:rPr>
          <w:b/>
          <w:bCs/>
          <w:lang w:val="el-GR"/>
        </w:rPr>
        <w:t xml:space="preserve">Μάνος </w:t>
      </w:r>
      <w:proofErr w:type="spellStart"/>
      <w:r w:rsidRPr="006E249A">
        <w:rPr>
          <w:b/>
          <w:bCs/>
          <w:lang w:val="el-GR"/>
        </w:rPr>
        <w:t>Πηλείδης</w:t>
      </w:r>
      <w:proofErr w:type="spellEnd"/>
      <w:r w:rsidRPr="006E249A">
        <w:rPr>
          <w:b/>
          <w:bCs/>
          <w:lang w:val="el-GR"/>
        </w:rPr>
        <w:t xml:space="preserve">, </w:t>
      </w:r>
      <w:r w:rsidR="00BE5094" w:rsidRPr="006E249A">
        <w:rPr>
          <w:b/>
          <w:bCs/>
          <w:lang w:val="el-GR"/>
        </w:rPr>
        <w:t xml:space="preserve">Πρόεδρος του </w:t>
      </w:r>
      <w:r w:rsidRPr="006E249A">
        <w:rPr>
          <w:b/>
          <w:bCs/>
          <w:lang w:val="el-GR"/>
        </w:rPr>
        <w:t>Deloitte</w:t>
      </w:r>
      <w:r w:rsidR="00BE5094" w:rsidRPr="006E249A">
        <w:rPr>
          <w:b/>
          <w:bCs/>
          <w:lang w:val="el-GR"/>
        </w:rPr>
        <w:t xml:space="preserve"> </w:t>
      </w:r>
      <w:r w:rsidR="00BE5094" w:rsidRPr="006E249A">
        <w:rPr>
          <w:b/>
          <w:bCs/>
          <w:lang w:val="en-US"/>
        </w:rPr>
        <w:t>Foundation</w:t>
      </w:r>
      <w:r w:rsidRPr="00BC0D1A">
        <w:rPr>
          <w:lang w:val="el-GR"/>
        </w:rPr>
        <w:t xml:space="preserve"> στην Ελλάδα σχολίασε: «</w:t>
      </w:r>
      <w:r>
        <w:rPr>
          <w:lang w:val="el-GR"/>
        </w:rPr>
        <w:t xml:space="preserve">Προκύπτει, από τη </w:t>
      </w:r>
      <w:r w:rsidRPr="00BC0D1A">
        <w:rPr>
          <w:lang w:val="el-GR"/>
        </w:rPr>
        <w:t xml:space="preserve">φετινή </w:t>
      </w:r>
      <w:r>
        <w:rPr>
          <w:lang w:val="el-GR"/>
        </w:rPr>
        <w:t>Έκθεση της</w:t>
      </w:r>
      <w:r w:rsidRPr="00BC0D1A">
        <w:rPr>
          <w:lang w:val="el-GR"/>
        </w:rPr>
        <w:t xml:space="preserve"> Deloitte </w:t>
      </w:r>
      <w:proofErr w:type="spellStart"/>
      <w:r w:rsidRPr="00BC0D1A">
        <w:rPr>
          <w:lang w:val="el-GR"/>
        </w:rPr>
        <w:t>Annual</w:t>
      </w:r>
      <w:proofErr w:type="spellEnd"/>
      <w:r w:rsidRPr="00BC0D1A">
        <w:rPr>
          <w:lang w:val="el-GR"/>
        </w:rPr>
        <w:t xml:space="preserve"> Review of </w:t>
      </w:r>
      <w:proofErr w:type="spellStart"/>
      <w:r w:rsidRPr="00BC0D1A">
        <w:rPr>
          <w:lang w:val="el-GR"/>
        </w:rPr>
        <w:t>Football</w:t>
      </w:r>
      <w:proofErr w:type="spellEnd"/>
      <w:r w:rsidRPr="00BC0D1A">
        <w:rPr>
          <w:lang w:val="el-GR"/>
        </w:rPr>
        <w:t xml:space="preserve"> </w:t>
      </w:r>
      <w:proofErr w:type="spellStart"/>
      <w:r w:rsidRPr="00BC0D1A">
        <w:rPr>
          <w:lang w:val="el-GR"/>
        </w:rPr>
        <w:t>Finance</w:t>
      </w:r>
      <w:proofErr w:type="spellEnd"/>
      <w:r>
        <w:rPr>
          <w:lang w:val="el-GR"/>
        </w:rPr>
        <w:t>, ότι μετά από μια δύσκολη σεζόν, λόγω της πανδημίας, το ευρωπαϊκό ποδόσφαιρο επανακάμπτει</w:t>
      </w:r>
      <w:r w:rsidR="00754D94">
        <w:rPr>
          <w:lang w:val="el-GR"/>
        </w:rPr>
        <w:t xml:space="preserve">, με αξιοσημείωτο της χρονιάς που πέρασε την εντυπωσιακή άνοδο του γυναικείου ποδοσφαίρου. Η επόμενη σεζόν θα είναι εξαιρετικά </w:t>
      </w:r>
      <w:r w:rsidR="002D61BE">
        <w:rPr>
          <w:lang w:val="el-GR"/>
        </w:rPr>
        <w:t xml:space="preserve">σημαντική </w:t>
      </w:r>
      <w:r w:rsidR="00754D94">
        <w:rPr>
          <w:lang w:val="el-GR"/>
        </w:rPr>
        <w:t xml:space="preserve">καθώς </w:t>
      </w:r>
      <w:r w:rsidR="002D61BE">
        <w:rPr>
          <w:lang w:val="el-GR"/>
        </w:rPr>
        <w:t xml:space="preserve">θα περιλαμβάνει το πρώτο </w:t>
      </w:r>
      <w:r w:rsidR="002D61BE">
        <w:rPr>
          <w:lang w:val="en-US"/>
        </w:rPr>
        <w:t>FIFA</w:t>
      </w:r>
      <w:r w:rsidR="002D61BE" w:rsidRPr="002D61BE">
        <w:rPr>
          <w:lang w:val="el-GR"/>
        </w:rPr>
        <w:t xml:space="preserve"> </w:t>
      </w:r>
      <w:r w:rsidR="002D61BE">
        <w:rPr>
          <w:lang w:val="en-US"/>
        </w:rPr>
        <w:t>World</w:t>
      </w:r>
      <w:r w:rsidR="002D61BE" w:rsidRPr="002D61BE">
        <w:rPr>
          <w:lang w:val="el-GR"/>
        </w:rPr>
        <w:t xml:space="preserve"> </w:t>
      </w:r>
      <w:r w:rsidR="002D61BE">
        <w:rPr>
          <w:lang w:val="en-US"/>
        </w:rPr>
        <w:t>Cup</w:t>
      </w:r>
      <w:r w:rsidR="002D61BE" w:rsidRPr="002D61BE">
        <w:rPr>
          <w:lang w:val="el-GR"/>
        </w:rPr>
        <w:t xml:space="preserve"> </w:t>
      </w:r>
      <w:r w:rsidR="002D61BE">
        <w:rPr>
          <w:lang w:val="el-GR"/>
        </w:rPr>
        <w:t xml:space="preserve">που θα φιλοξενηθεί στη Μέση Ανατολή </w:t>
      </w:r>
      <w:r w:rsidR="00754D94">
        <w:rPr>
          <w:lang w:val="el-GR"/>
        </w:rPr>
        <w:t xml:space="preserve">και τη διακοπή των αγώνων των 5 μεγάλων </w:t>
      </w:r>
      <w:r w:rsidR="00602B3A">
        <w:rPr>
          <w:lang w:val="el-GR"/>
        </w:rPr>
        <w:t>πρωταθλημάτων</w:t>
      </w:r>
      <w:r w:rsidR="00754D94" w:rsidRPr="00754D94">
        <w:rPr>
          <w:lang w:val="el-GR"/>
        </w:rPr>
        <w:t xml:space="preserve">, </w:t>
      </w:r>
      <w:r w:rsidR="00754D94">
        <w:rPr>
          <w:lang w:val="el-GR"/>
        </w:rPr>
        <w:t xml:space="preserve">λόγω του Παγκοσμίου Κυπέλλου Ποδοσφαίρου του 2022. Οι προοπτικές που βλέπουμε είναι εξαιρετικές, με θεσμικούς και </w:t>
      </w:r>
      <w:r w:rsidR="00BE5094">
        <w:rPr>
          <w:lang w:val="el-GR"/>
        </w:rPr>
        <w:t>ισχυρούς</w:t>
      </w:r>
      <w:r w:rsidR="00754D94">
        <w:rPr>
          <w:lang w:val="el-GR"/>
        </w:rPr>
        <w:t xml:space="preserve"> ιδιώτες επενδυτές να δείχνουν ένα ενδιαφέρον χωρίς προηγούμενο</w:t>
      </w:r>
      <w:r w:rsidR="00BE5094">
        <w:rPr>
          <w:lang w:val="el-GR"/>
        </w:rPr>
        <w:t>».</w:t>
      </w:r>
      <w:r w:rsidR="009E3798">
        <w:rPr>
          <w:lang w:val="el-GR"/>
        </w:rPr>
        <w:t xml:space="preserve"> </w:t>
      </w:r>
    </w:p>
    <w:p w14:paraId="3F3FC03E" w14:textId="42338E5C" w:rsidR="00DE3B22" w:rsidRPr="002D61BE" w:rsidRDefault="00DE3B22" w:rsidP="008D2675">
      <w:pPr>
        <w:jc w:val="both"/>
        <w:rPr>
          <w:b/>
          <w:bCs/>
          <w:lang w:val="el-GR"/>
        </w:rPr>
      </w:pPr>
      <w:r w:rsidRPr="002D61BE">
        <w:rPr>
          <w:b/>
          <w:bCs/>
          <w:lang w:val="el-GR"/>
        </w:rPr>
        <w:t xml:space="preserve">30 </w:t>
      </w:r>
      <w:r w:rsidRPr="005774F5">
        <w:rPr>
          <w:b/>
          <w:bCs/>
          <w:lang w:val="el-GR"/>
        </w:rPr>
        <w:t>χρόνια</w:t>
      </w:r>
      <w:r w:rsidRPr="002D61BE">
        <w:rPr>
          <w:b/>
          <w:bCs/>
          <w:lang w:val="el-GR"/>
        </w:rPr>
        <w:t xml:space="preserve"> </w:t>
      </w:r>
      <w:r w:rsidRPr="005774F5">
        <w:rPr>
          <w:b/>
          <w:bCs/>
        </w:rPr>
        <w:t>Premier</w:t>
      </w:r>
      <w:r w:rsidRPr="002D61BE">
        <w:rPr>
          <w:b/>
          <w:bCs/>
          <w:lang w:val="el-GR"/>
        </w:rPr>
        <w:t xml:space="preserve"> </w:t>
      </w:r>
      <w:r w:rsidRPr="005774F5">
        <w:rPr>
          <w:b/>
          <w:bCs/>
        </w:rPr>
        <w:t>League</w:t>
      </w:r>
    </w:p>
    <w:p w14:paraId="76533903" w14:textId="32319E9E" w:rsidR="00E6469A" w:rsidRPr="005774F5" w:rsidRDefault="00DC7F2A" w:rsidP="008D2675">
      <w:pPr>
        <w:jc w:val="both"/>
        <w:rPr>
          <w:lang w:val="el-GR"/>
        </w:rPr>
      </w:pPr>
      <w:r w:rsidRPr="005774F5">
        <w:rPr>
          <w:lang w:val="el-GR"/>
        </w:rPr>
        <w:t xml:space="preserve">Παρά το γεγονός ότι τα έσοδα </w:t>
      </w:r>
      <w:r w:rsidR="006456FE" w:rsidRPr="005774F5">
        <w:rPr>
          <w:lang w:val="el-GR"/>
        </w:rPr>
        <w:t>τις ημέρες των αγώνων</w:t>
      </w:r>
      <w:r w:rsidRPr="005774F5">
        <w:rPr>
          <w:lang w:val="el-GR"/>
        </w:rPr>
        <w:t xml:space="preserve"> </w:t>
      </w:r>
      <w:r w:rsidR="003C668D" w:rsidRPr="005774F5">
        <w:rPr>
          <w:lang w:val="el-GR"/>
        </w:rPr>
        <w:t>σημείωσαν πτώση</w:t>
      </w:r>
      <w:r w:rsidR="003D2E81" w:rsidRPr="005774F5">
        <w:rPr>
          <w:lang w:val="el-GR"/>
        </w:rPr>
        <w:t>,</w:t>
      </w:r>
      <w:r w:rsidR="003C668D" w:rsidRPr="005774F5">
        <w:rPr>
          <w:lang w:val="el-GR"/>
        </w:rPr>
        <w:t xml:space="preserve"> </w:t>
      </w:r>
      <w:r w:rsidR="006456FE" w:rsidRPr="005774F5">
        <w:rPr>
          <w:lang w:val="el-GR"/>
        </w:rPr>
        <w:t xml:space="preserve">φτάνοντας </w:t>
      </w:r>
      <w:r w:rsidR="003C668D" w:rsidRPr="005774F5">
        <w:rPr>
          <w:lang w:val="el-GR"/>
        </w:rPr>
        <w:t xml:space="preserve">μόλις </w:t>
      </w:r>
      <w:r w:rsidR="00687954" w:rsidRPr="005774F5">
        <w:rPr>
          <w:lang w:val="el-GR"/>
        </w:rPr>
        <w:t>€</w:t>
      </w:r>
      <w:r w:rsidR="003C668D" w:rsidRPr="005774F5">
        <w:rPr>
          <w:lang w:val="el-GR"/>
        </w:rPr>
        <w:t>35 εκατ</w:t>
      </w:r>
      <w:r w:rsidR="006456FE" w:rsidRPr="005774F5">
        <w:rPr>
          <w:lang w:val="el-GR"/>
        </w:rPr>
        <w:t>.</w:t>
      </w:r>
      <w:r w:rsidR="003C668D" w:rsidRPr="005774F5">
        <w:rPr>
          <w:lang w:val="el-GR"/>
        </w:rPr>
        <w:t xml:space="preserve">, τα έσοδα των συλλόγων της </w:t>
      </w:r>
      <w:r w:rsidR="003C668D" w:rsidRPr="005774F5">
        <w:t>Premier</w:t>
      </w:r>
      <w:r w:rsidR="003C668D" w:rsidRPr="005774F5">
        <w:rPr>
          <w:lang w:val="el-GR"/>
        </w:rPr>
        <w:t xml:space="preserve"> </w:t>
      </w:r>
      <w:r w:rsidR="003C668D" w:rsidRPr="005774F5">
        <w:t>League</w:t>
      </w:r>
      <w:r w:rsidR="003C668D" w:rsidRPr="005774F5">
        <w:rPr>
          <w:lang w:val="el-GR"/>
        </w:rPr>
        <w:t xml:space="preserve"> </w:t>
      </w:r>
      <w:r w:rsidR="00E14B3C" w:rsidRPr="005774F5">
        <w:rPr>
          <w:lang w:val="el-GR"/>
        </w:rPr>
        <w:t xml:space="preserve">αυξήθηκαν κατά 8% </w:t>
      </w:r>
      <w:r w:rsidR="00333456" w:rsidRPr="005774F5">
        <w:rPr>
          <w:lang w:val="el-GR"/>
        </w:rPr>
        <w:t xml:space="preserve">στα </w:t>
      </w:r>
      <w:r w:rsidR="00687954" w:rsidRPr="005774F5">
        <w:rPr>
          <w:lang w:val="el-GR"/>
        </w:rPr>
        <w:t>€</w:t>
      </w:r>
      <w:r w:rsidR="00333456" w:rsidRPr="005774F5">
        <w:rPr>
          <w:lang w:val="el-GR"/>
        </w:rPr>
        <w:t>5</w:t>
      </w:r>
      <w:r w:rsidR="006456FE" w:rsidRPr="005774F5">
        <w:rPr>
          <w:lang w:val="el-GR"/>
        </w:rPr>
        <w:t>,</w:t>
      </w:r>
      <w:r w:rsidR="00333456" w:rsidRPr="005774F5">
        <w:rPr>
          <w:lang w:val="el-GR"/>
        </w:rPr>
        <w:t>5 δι</w:t>
      </w:r>
      <w:r w:rsidR="006456FE" w:rsidRPr="005774F5">
        <w:rPr>
          <w:lang w:val="el-GR"/>
        </w:rPr>
        <w:t>σ.</w:t>
      </w:r>
      <w:r w:rsidR="00333456" w:rsidRPr="005774F5">
        <w:rPr>
          <w:lang w:val="el-GR"/>
        </w:rPr>
        <w:t xml:space="preserve"> κατά τη χρονική περίοδο 2020-2021</w:t>
      </w:r>
      <w:r w:rsidR="00C374AD" w:rsidRPr="005774F5">
        <w:rPr>
          <w:lang w:val="el-GR"/>
        </w:rPr>
        <w:t xml:space="preserve">, μετά την πρώτη </w:t>
      </w:r>
      <w:r w:rsidR="006456FE" w:rsidRPr="005774F5">
        <w:rPr>
          <w:lang w:val="el-GR"/>
        </w:rPr>
        <w:t xml:space="preserve">στα χρονικά </w:t>
      </w:r>
      <w:r w:rsidR="00C374AD" w:rsidRPr="005774F5">
        <w:rPr>
          <w:lang w:val="el-GR"/>
        </w:rPr>
        <w:t xml:space="preserve">μείωση εσόδων </w:t>
      </w:r>
      <w:r w:rsidR="006456FE" w:rsidRPr="005774F5">
        <w:rPr>
          <w:lang w:val="el-GR"/>
        </w:rPr>
        <w:t xml:space="preserve">του πρωταθλήματος </w:t>
      </w:r>
      <w:r w:rsidR="00C374AD" w:rsidRPr="005774F5">
        <w:rPr>
          <w:lang w:val="el-GR"/>
        </w:rPr>
        <w:t>τη</w:t>
      </w:r>
      <w:r w:rsidR="006456FE" w:rsidRPr="005774F5">
        <w:rPr>
          <w:lang w:val="el-GR"/>
        </w:rPr>
        <w:t>ν</w:t>
      </w:r>
      <w:r w:rsidR="00C374AD" w:rsidRPr="005774F5">
        <w:rPr>
          <w:lang w:val="el-GR"/>
        </w:rPr>
        <w:t xml:space="preserve"> προηγούμενη </w:t>
      </w:r>
      <w:r w:rsidR="00A30A4A" w:rsidRPr="005774F5">
        <w:rPr>
          <w:lang w:val="el-GR"/>
        </w:rPr>
        <w:t>περ</w:t>
      </w:r>
      <w:r w:rsidR="006456FE" w:rsidRPr="005774F5">
        <w:rPr>
          <w:lang w:val="el-GR"/>
        </w:rPr>
        <w:t>ίοδο.</w:t>
      </w:r>
    </w:p>
    <w:p w14:paraId="0D96C937" w14:textId="2401A0AA" w:rsidR="00E6469A" w:rsidRPr="005774F5" w:rsidRDefault="00E6469A" w:rsidP="008D2675">
      <w:pPr>
        <w:jc w:val="both"/>
        <w:rPr>
          <w:lang w:val="el-GR"/>
        </w:rPr>
      </w:pPr>
      <w:r w:rsidRPr="005774F5">
        <w:rPr>
          <w:lang w:val="el-GR"/>
        </w:rPr>
        <w:t xml:space="preserve">Αυτή η αύξηση οφείλεται κυρίως </w:t>
      </w:r>
      <w:r w:rsidR="008220AF" w:rsidRPr="005774F5">
        <w:rPr>
          <w:lang w:val="el-GR"/>
        </w:rPr>
        <w:t xml:space="preserve">στην αναφερόμενη έκπτωση </w:t>
      </w:r>
      <w:r w:rsidR="00BF6850" w:rsidRPr="005774F5">
        <w:rPr>
          <w:lang w:val="el-GR"/>
        </w:rPr>
        <w:t xml:space="preserve">των τηλεοπτικών μεταδόσεων </w:t>
      </w:r>
      <w:r w:rsidR="00A728EB" w:rsidRPr="005774F5">
        <w:rPr>
          <w:lang w:val="el-GR"/>
        </w:rPr>
        <w:t xml:space="preserve">ύψους </w:t>
      </w:r>
      <w:r w:rsidR="007B36E8" w:rsidRPr="005774F5">
        <w:rPr>
          <w:lang w:val="el-GR"/>
        </w:rPr>
        <w:t>€372,9</w:t>
      </w:r>
      <w:r w:rsidR="00A728EB" w:rsidRPr="005774F5">
        <w:rPr>
          <w:lang w:val="el-GR"/>
        </w:rPr>
        <w:t xml:space="preserve"> εκατ</w:t>
      </w:r>
      <w:r w:rsidR="006456FE" w:rsidRPr="005774F5">
        <w:rPr>
          <w:lang w:val="el-GR"/>
        </w:rPr>
        <w:t>.</w:t>
      </w:r>
      <w:r w:rsidR="00A728EB" w:rsidRPr="005774F5">
        <w:rPr>
          <w:lang w:val="el-GR"/>
        </w:rPr>
        <w:t xml:space="preserve"> η οποία </w:t>
      </w:r>
      <w:r w:rsidR="00693A3E" w:rsidRPr="005774F5">
        <w:rPr>
          <w:lang w:val="el-GR"/>
        </w:rPr>
        <w:t xml:space="preserve">κατέστειλε τα έσοδα της περιόδου 2019-2020 και </w:t>
      </w:r>
      <w:r w:rsidR="009D6B9D" w:rsidRPr="005774F5">
        <w:rPr>
          <w:lang w:val="el-GR"/>
        </w:rPr>
        <w:t xml:space="preserve">στην αναβολή </w:t>
      </w:r>
      <w:r w:rsidR="00D374D3" w:rsidRPr="005774F5">
        <w:rPr>
          <w:lang w:val="el-GR"/>
        </w:rPr>
        <w:t xml:space="preserve">ενός μέρους των εσόδων των τηλεοπτικών μεταδόσεων </w:t>
      </w:r>
      <w:r w:rsidR="00157FF7" w:rsidRPr="005774F5">
        <w:rPr>
          <w:lang w:val="el-GR"/>
        </w:rPr>
        <w:t xml:space="preserve">από την περίοδο 2019-20 μέχρι την οικονομική περίοδο 2020-21. </w:t>
      </w:r>
    </w:p>
    <w:p w14:paraId="7EEA4B92" w14:textId="0EB6EFA9" w:rsidR="00DD658E" w:rsidRPr="005774F5" w:rsidRDefault="00564134" w:rsidP="008D2675">
      <w:pPr>
        <w:jc w:val="both"/>
        <w:rPr>
          <w:lang w:val="el-GR"/>
        </w:rPr>
      </w:pPr>
      <w:r w:rsidRPr="005774F5">
        <w:rPr>
          <w:lang w:val="el-GR"/>
        </w:rPr>
        <w:t xml:space="preserve">Τα μισθολογικά κόστη των συλλόγων της </w:t>
      </w:r>
      <w:r w:rsidRPr="005774F5">
        <w:t>Premier</w:t>
      </w:r>
      <w:r w:rsidRPr="005774F5">
        <w:rPr>
          <w:lang w:val="el-GR"/>
        </w:rPr>
        <w:t xml:space="preserve"> </w:t>
      </w:r>
      <w:r w:rsidRPr="005774F5">
        <w:t>League</w:t>
      </w:r>
      <w:r w:rsidRPr="005774F5">
        <w:rPr>
          <w:lang w:val="el-GR"/>
        </w:rPr>
        <w:t xml:space="preserve"> αυξήθηκαν </w:t>
      </w:r>
      <w:r w:rsidR="009426CE" w:rsidRPr="005774F5">
        <w:rPr>
          <w:lang w:val="el-GR"/>
        </w:rPr>
        <w:t xml:space="preserve">κατά 5% </w:t>
      </w:r>
      <w:r w:rsidR="00201D73" w:rsidRPr="005774F5">
        <w:rPr>
          <w:lang w:val="el-GR"/>
        </w:rPr>
        <w:t xml:space="preserve">στα </w:t>
      </w:r>
      <w:r w:rsidR="00687954" w:rsidRPr="005774F5">
        <w:rPr>
          <w:lang w:val="el-GR"/>
        </w:rPr>
        <w:t>€</w:t>
      </w:r>
      <w:r w:rsidR="00201D73" w:rsidRPr="005774F5">
        <w:rPr>
          <w:lang w:val="el-GR"/>
        </w:rPr>
        <w:t>3</w:t>
      </w:r>
      <w:r w:rsidR="006456FE" w:rsidRPr="005774F5">
        <w:rPr>
          <w:lang w:val="el-GR"/>
        </w:rPr>
        <w:t>,</w:t>
      </w:r>
      <w:r w:rsidR="00201D73" w:rsidRPr="005774F5">
        <w:rPr>
          <w:lang w:val="el-GR"/>
        </w:rPr>
        <w:t>9 δι</w:t>
      </w:r>
      <w:r w:rsidR="006456FE" w:rsidRPr="005774F5">
        <w:rPr>
          <w:lang w:val="el-GR"/>
        </w:rPr>
        <w:t>σ.</w:t>
      </w:r>
      <w:r w:rsidR="007B36E8" w:rsidRPr="005774F5">
        <w:rPr>
          <w:lang w:val="el-GR"/>
        </w:rPr>
        <w:t xml:space="preserve"> </w:t>
      </w:r>
      <w:r w:rsidR="00201D73" w:rsidRPr="005774F5">
        <w:rPr>
          <w:lang w:val="el-GR"/>
        </w:rPr>
        <w:t xml:space="preserve">την περίοδο 2020-21, με μόνο 7 από </w:t>
      </w:r>
      <w:r w:rsidR="00EE0DAD" w:rsidRPr="005774F5">
        <w:rPr>
          <w:lang w:val="el-GR"/>
        </w:rPr>
        <w:t xml:space="preserve">τους 17 σταθερούς συλλόγους της </w:t>
      </w:r>
      <w:r w:rsidR="00EE0DAD" w:rsidRPr="005774F5">
        <w:t>Premier</w:t>
      </w:r>
      <w:r w:rsidR="00EE0DAD" w:rsidRPr="005774F5">
        <w:rPr>
          <w:lang w:val="el-GR"/>
        </w:rPr>
        <w:t xml:space="preserve"> </w:t>
      </w:r>
      <w:r w:rsidR="00EE0DAD" w:rsidRPr="005774F5">
        <w:t>League</w:t>
      </w:r>
      <w:r w:rsidR="00EE0DAD" w:rsidRPr="005774F5">
        <w:rPr>
          <w:lang w:val="el-GR"/>
        </w:rPr>
        <w:t xml:space="preserve"> να αναφέρουν μείωση </w:t>
      </w:r>
      <w:r w:rsidR="00BF35D6" w:rsidRPr="005774F5">
        <w:rPr>
          <w:lang w:val="el-GR"/>
        </w:rPr>
        <w:t xml:space="preserve">στις αμοιβές. Ως αποτέλεσμα </w:t>
      </w:r>
      <w:r w:rsidR="009D19E1" w:rsidRPr="005774F5">
        <w:rPr>
          <w:lang w:val="el-GR"/>
        </w:rPr>
        <w:t xml:space="preserve">της </w:t>
      </w:r>
      <w:r w:rsidR="00B90915" w:rsidRPr="005774F5">
        <w:rPr>
          <w:lang w:val="el-GR"/>
        </w:rPr>
        <w:t xml:space="preserve">υπέρβασης της </w:t>
      </w:r>
      <w:r w:rsidR="009D19E1" w:rsidRPr="005774F5">
        <w:rPr>
          <w:lang w:val="el-GR"/>
        </w:rPr>
        <w:t xml:space="preserve">αύξησης των εσόδων </w:t>
      </w:r>
      <w:r w:rsidR="00B90915" w:rsidRPr="005774F5">
        <w:rPr>
          <w:lang w:val="el-GR"/>
        </w:rPr>
        <w:t xml:space="preserve">έναντι </w:t>
      </w:r>
      <w:r w:rsidR="001E2D60" w:rsidRPr="005774F5">
        <w:rPr>
          <w:lang w:val="el-GR"/>
        </w:rPr>
        <w:t xml:space="preserve">της αύξησης των αμοιβών, </w:t>
      </w:r>
      <w:r w:rsidR="00FB2D9A" w:rsidRPr="005774F5">
        <w:rPr>
          <w:lang w:val="el-GR"/>
        </w:rPr>
        <w:t>η διαφορά των ποσοστών αμοιβών/εσόδων</w:t>
      </w:r>
      <w:r w:rsidR="007B36E8" w:rsidRPr="005774F5">
        <w:rPr>
          <w:lang w:val="el-GR"/>
        </w:rPr>
        <w:t xml:space="preserve"> </w:t>
      </w:r>
      <w:r w:rsidR="00FB2D9A" w:rsidRPr="005774F5">
        <w:rPr>
          <w:lang w:val="el-GR"/>
        </w:rPr>
        <w:t xml:space="preserve">μειώθηκε ελαφρώς από </w:t>
      </w:r>
      <w:r w:rsidR="00E00843" w:rsidRPr="005774F5">
        <w:rPr>
          <w:lang w:val="el-GR"/>
        </w:rPr>
        <w:t>73% στο 71% κατά την περίοδο 2020</w:t>
      </w:r>
      <w:r w:rsidR="006456FE" w:rsidRPr="005774F5">
        <w:rPr>
          <w:lang w:val="el-GR"/>
        </w:rPr>
        <w:t>-20</w:t>
      </w:r>
      <w:r w:rsidR="00E00843" w:rsidRPr="005774F5">
        <w:rPr>
          <w:lang w:val="el-GR"/>
        </w:rPr>
        <w:t>21.</w:t>
      </w:r>
    </w:p>
    <w:p w14:paraId="12B19D3A" w14:textId="38588FB0" w:rsidR="00E00843" w:rsidRPr="005774F5" w:rsidRDefault="00E00843" w:rsidP="008D2675">
      <w:pPr>
        <w:jc w:val="both"/>
        <w:rPr>
          <w:lang w:val="el-GR"/>
        </w:rPr>
      </w:pPr>
      <w:r w:rsidRPr="005774F5">
        <w:rPr>
          <w:lang w:val="el-GR"/>
        </w:rPr>
        <w:t xml:space="preserve">Ενώ τα λειτουργικά κέρδη </w:t>
      </w:r>
      <w:r w:rsidR="003C6C79" w:rsidRPr="005774F5">
        <w:rPr>
          <w:lang w:val="el-GR"/>
        </w:rPr>
        <w:t xml:space="preserve">των συλλόγων της </w:t>
      </w:r>
      <w:r w:rsidR="003C6C79" w:rsidRPr="005774F5">
        <w:t>Premier</w:t>
      </w:r>
      <w:r w:rsidR="003C6C79" w:rsidRPr="005774F5">
        <w:rPr>
          <w:lang w:val="el-GR"/>
        </w:rPr>
        <w:t xml:space="preserve"> </w:t>
      </w:r>
      <w:r w:rsidR="003C6C79" w:rsidRPr="005774F5">
        <w:t>League</w:t>
      </w:r>
      <w:r w:rsidR="003C6C79" w:rsidRPr="005774F5">
        <w:rPr>
          <w:lang w:val="el-GR"/>
        </w:rPr>
        <w:t xml:space="preserve"> αυξήθηκαν από </w:t>
      </w:r>
      <w:r w:rsidR="00687954" w:rsidRPr="005774F5">
        <w:rPr>
          <w:lang w:val="el-GR"/>
        </w:rPr>
        <w:t>€</w:t>
      </w:r>
      <w:r w:rsidR="003C6C79" w:rsidRPr="005774F5">
        <w:rPr>
          <w:lang w:val="el-GR"/>
        </w:rPr>
        <w:t>55 εκατ</w:t>
      </w:r>
      <w:r w:rsidR="006456FE" w:rsidRPr="005774F5">
        <w:rPr>
          <w:lang w:val="el-GR"/>
        </w:rPr>
        <w:t>.</w:t>
      </w:r>
      <w:r w:rsidR="007B36E8" w:rsidRPr="005774F5">
        <w:rPr>
          <w:lang w:val="el-GR"/>
        </w:rPr>
        <w:t xml:space="preserve"> </w:t>
      </w:r>
      <w:r w:rsidR="003C6C79" w:rsidRPr="005774F5">
        <w:rPr>
          <w:lang w:val="el-GR"/>
        </w:rPr>
        <w:t>σε</w:t>
      </w:r>
      <w:r w:rsidR="007B36E8" w:rsidRPr="005774F5">
        <w:rPr>
          <w:lang w:val="el-GR"/>
        </w:rPr>
        <w:t xml:space="preserve"> </w:t>
      </w:r>
      <w:r w:rsidR="00687954" w:rsidRPr="005774F5">
        <w:rPr>
          <w:lang w:val="el-GR"/>
        </w:rPr>
        <w:t>€</w:t>
      </w:r>
      <w:r w:rsidR="003C6C79" w:rsidRPr="005774F5">
        <w:rPr>
          <w:lang w:val="el-GR"/>
        </w:rPr>
        <w:t>541 εκατ</w:t>
      </w:r>
      <w:r w:rsidR="006456FE" w:rsidRPr="005774F5">
        <w:rPr>
          <w:lang w:val="el-GR"/>
        </w:rPr>
        <w:t xml:space="preserve">. </w:t>
      </w:r>
      <w:r w:rsidR="003C6C79" w:rsidRPr="005774F5">
        <w:rPr>
          <w:lang w:val="el-GR"/>
        </w:rPr>
        <w:t>τη χρονική περίοδο 2020-21</w:t>
      </w:r>
      <w:r w:rsidR="000273F6" w:rsidRPr="005774F5">
        <w:rPr>
          <w:lang w:val="el-GR"/>
        </w:rPr>
        <w:t xml:space="preserve">, οι ζημίες προ φόρων </w:t>
      </w:r>
      <w:r w:rsidR="00B95E34" w:rsidRPr="005774F5">
        <w:rPr>
          <w:lang w:val="el-GR"/>
        </w:rPr>
        <w:t>παρέμειναν υψηλές</w:t>
      </w:r>
      <w:r w:rsidR="006456FE" w:rsidRPr="005774F5">
        <w:rPr>
          <w:lang w:val="el-GR"/>
        </w:rPr>
        <w:t>,</w:t>
      </w:r>
      <w:r w:rsidR="00B95E34" w:rsidRPr="005774F5">
        <w:rPr>
          <w:lang w:val="el-GR"/>
        </w:rPr>
        <w:t xml:space="preserve"> παρά το γεγονός ότι μειώθηκαν από </w:t>
      </w:r>
      <w:r w:rsidR="00687954" w:rsidRPr="005774F5">
        <w:rPr>
          <w:lang w:val="el-GR"/>
        </w:rPr>
        <w:t>€</w:t>
      </w:r>
      <w:r w:rsidR="00B95E34" w:rsidRPr="005774F5">
        <w:rPr>
          <w:lang w:val="el-GR"/>
        </w:rPr>
        <w:t>1</w:t>
      </w:r>
      <w:r w:rsidR="006456FE" w:rsidRPr="005774F5">
        <w:rPr>
          <w:lang w:val="el-GR"/>
        </w:rPr>
        <w:t>,</w:t>
      </w:r>
      <w:r w:rsidR="00B95E34" w:rsidRPr="005774F5">
        <w:rPr>
          <w:lang w:val="el-GR"/>
        </w:rPr>
        <w:t>1 δι</w:t>
      </w:r>
      <w:r w:rsidR="006456FE" w:rsidRPr="005774F5">
        <w:rPr>
          <w:lang w:val="el-GR"/>
        </w:rPr>
        <w:t>σ.</w:t>
      </w:r>
      <w:r w:rsidR="00B95E34" w:rsidRPr="005774F5">
        <w:rPr>
          <w:lang w:val="el-GR"/>
        </w:rPr>
        <w:t xml:space="preserve"> στα </w:t>
      </w:r>
      <w:r w:rsidR="00687954" w:rsidRPr="005774F5">
        <w:rPr>
          <w:lang w:val="el-GR"/>
        </w:rPr>
        <w:t>€</w:t>
      </w:r>
      <w:r w:rsidR="00867EF6" w:rsidRPr="005774F5">
        <w:rPr>
          <w:lang w:val="el-GR"/>
        </w:rPr>
        <w:t>756 εκατ</w:t>
      </w:r>
      <w:r w:rsidR="006456FE" w:rsidRPr="005774F5">
        <w:rPr>
          <w:lang w:val="el-GR"/>
        </w:rPr>
        <w:t>.</w:t>
      </w:r>
      <w:r w:rsidR="00867EF6" w:rsidRPr="005774F5">
        <w:rPr>
          <w:lang w:val="el-GR"/>
        </w:rPr>
        <w:t xml:space="preserve">. Αυτό είναι και το τρίτο συνεχόμενο έτος </w:t>
      </w:r>
      <w:r w:rsidR="00297835" w:rsidRPr="005774F5">
        <w:rPr>
          <w:lang w:val="el-GR"/>
        </w:rPr>
        <w:t xml:space="preserve">κατά το οποίο οι σύλλογοι της </w:t>
      </w:r>
      <w:r w:rsidR="00297835" w:rsidRPr="005774F5">
        <w:t>Premier</w:t>
      </w:r>
      <w:r w:rsidR="00297835" w:rsidRPr="005774F5">
        <w:rPr>
          <w:lang w:val="el-GR"/>
        </w:rPr>
        <w:t xml:space="preserve"> </w:t>
      </w:r>
      <w:r w:rsidR="00297835" w:rsidRPr="005774F5">
        <w:t>League</w:t>
      </w:r>
      <w:r w:rsidR="00297835" w:rsidRPr="005774F5">
        <w:rPr>
          <w:lang w:val="el-GR"/>
        </w:rPr>
        <w:t xml:space="preserve"> αναφέρουν </w:t>
      </w:r>
      <w:r w:rsidR="00140E53" w:rsidRPr="005774F5">
        <w:rPr>
          <w:lang w:val="el-GR"/>
        </w:rPr>
        <w:t>ζημίες προ</w:t>
      </w:r>
      <w:r w:rsidR="006456FE" w:rsidRPr="005774F5">
        <w:rPr>
          <w:lang w:val="el-GR"/>
        </w:rPr>
        <w:t xml:space="preserve"> </w:t>
      </w:r>
      <w:r w:rsidR="00140E53" w:rsidRPr="005774F5">
        <w:rPr>
          <w:lang w:val="el-GR"/>
        </w:rPr>
        <w:t xml:space="preserve">φόρων, με μόνο 4 συλλόγους να δηλώνουν </w:t>
      </w:r>
      <w:r w:rsidR="00653BED" w:rsidRPr="005774F5">
        <w:rPr>
          <w:lang w:val="el-GR"/>
        </w:rPr>
        <w:t>κέρδη πριν από τη φορολόγηση κατά τη διάρκεια του 2020-</w:t>
      </w:r>
      <w:r w:rsidR="006456FE" w:rsidRPr="005774F5">
        <w:rPr>
          <w:lang w:val="el-GR"/>
        </w:rPr>
        <w:t>20</w:t>
      </w:r>
      <w:r w:rsidR="00653BED" w:rsidRPr="005774F5">
        <w:rPr>
          <w:lang w:val="el-GR"/>
        </w:rPr>
        <w:t>21.</w:t>
      </w:r>
    </w:p>
    <w:p w14:paraId="30453C25" w14:textId="774F5B93" w:rsidR="00653BED" w:rsidRPr="005774F5" w:rsidRDefault="00767437" w:rsidP="008D2675">
      <w:pPr>
        <w:jc w:val="both"/>
        <w:rPr>
          <w:lang w:val="el-GR"/>
        </w:rPr>
      </w:pPr>
      <w:r w:rsidRPr="005774F5">
        <w:rPr>
          <w:lang w:val="el-GR"/>
        </w:rPr>
        <w:t xml:space="preserve">Συνολικά, το καθαρό κέρδος </w:t>
      </w:r>
      <w:r w:rsidR="00772C69" w:rsidRPr="005774F5">
        <w:rPr>
          <w:lang w:val="el-GR"/>
        </w:rPr>
        <w:t xml:space="preserve">των συλλόγων της </w:t>
      </w:r>
      <w:r w:rsidR="00772C69" w:rsidRPr="005774F5">
        <w:t>Premier</w:t>
      </w:r>
      <w:r w:rsidR="00772C69" w:rsidRPr="005774F5">
        <w:rPr>
          <w:lang w:val="el-GR"/>
        </w:rPr>
        <w:t xml:space="preserve"> </w:t>
      </w:r>
      <w:r w:rsidR="00772C69" w:rsidRPr="005774F5">
        <w:t>League</w:t>
      </w:r>
      <w:r w:rsidR="00772C69" w:rsidRPr="005774F5">
        <w:rPr>
          <w:lang w:val="el-GR"/>
        </w:rPr>
        <w:t xml:space="preserve"> στο τέλος της περιόδου 2020-</w:t>
      </w:r>
      <w:r w:rsidR="006456FE" w:rsidRPr="005774F5">
        <w:rPr>
          <w:lang w:val="el-GR"/>
        </w:rPr>
        <w:t>20</w:t>
      </w:r>
      <w:r w:rsidR="00772C69" w:rsidRPr="005774F5">
        <w:rPr>
          <w:lang w:val="el-GR"/>
        </w:rPr>
        <w:t xml:space="preserve">21 σημείωσε αύξηση κατά 4% αγγίζοντας δηλαδή τα </w:t>
      </w:r>
      <w:r w:rsidR="00687954" w:rsidRPr="005774F5">
        <w:rPr>
          <w:lang w:val="el-GR"/>
        </w:rPr>
        <w:t>€</w:t>
      </w:r>
      <w:r w:rsidR="00772C69" w:rsidRPr="005774F5">
        <w:rPr>
          <w:lang w:val="el-GR"/>
        </w:rPr>
        <w:t>4</w:t>
      </w:r>
      <w:r w:rsidR="006456FE" w:rsidRPr="005774F5">
        <w:rPr>
          <w:lang w:val="el-GR"/>
        </w:rPr>
        <w:t>,</w:t>
      </w:r>
      <w:r w:rsidR="00772C69" w:rsidRPr="005774F5">
        <w:rPr>
          <w:lang w:val="el-GR"/>
        </w:rPr>
        <w:t>6</w:t>
      </w:r>
      <w:r w:rsidR="004F55F7" w:rsidRPr="005774F5">
        <w:rPr>
          <w:lang w:val="el-GR"/>
        </w:rPr>
        <w:t xml:space="preserve"> δι</w:t>
      </w:r>
      <w:r w:rsidR="006456FE" w:rsidRPr="005774F5">
        <w:rPr>
          <w:lang w:val="el-GR"/>
        </w:rPr>
        <w:t>σ.</w:t>
      </w:r>
      <w:r w:rsidR="004F55F7" w:rsidRPr="005774F5">
        <w:rPr>
          <w:lang w:val="el-GR"/>
        </w:rPr>
        <w:t xml:space="preserve"> έναντι των </w:t>
      </w:r>
      <w:r w:rsidR="00687954" w:rsidRPr="005774F5">
        <w:rPr>
          <w:lang w:val="el-GR"/>
        </w:rPr>
        <w:t>€</w:t>
      </w:r>
      <w:r w:rsidR="004F55F7" w:rsidRPr="005774F5">
        <w:rPr>
          <w:lang w:val="el-GR"/>
        </w:rPr>
        <w:t>4</w:t>
      </w:r>
      <w:r w:rsidR="006456FE" w:rsidRPr="005774F5">
        <w:rPr>
          <w:lang w:val="el-GR"/>
        </w:rPr>
        <w:t>,</w:t>
      </w:r>
      <w:r w:rsidR="004F55F7" w:rsidRPr="005774F5">
        <w:rPr>
          <w:lang w:val="el-GR"/>
        </w:rPr>
        <w:t>4 δι</w:t>
      </w:r>
      <w:r w:rsidR="006456FE" w:rsidRPr="005774F5">
        <w:rPr>
          <w:lang w:val="el-GR"/>
        </w:rPr>
        <w:t xml:space="preserve">σ. </w:t>
      </w:r>
      <w:r w:rsidR="00897103" w:rsidRPr="005774F5">
        <w:rPr>
          <w:lang w:val="el-GR"/>
        </w:rPr>
        <w:t xml:space="preserve">το 2020. </w:t>
      </w:r>
    </w:p>
    <w:p w14:paraId="57DA2BC4" w14:textId="53A13BD4" w:rsidR="00E65D4C" w:rsidRPr="005774F5" w:rsidRDefault="00E65D4C" w:rsidP="008D2675">
      <w:pPr>
        <w:jc w:val="both"/>
        <w:rPr>
          <w:lang w:val="el-GR"/>
        </w:rPr>
      </w:pPr>
      <w:r w:rsidRPr="005774F5">
        <w:rPr>
          <w:lang w:val="el-GR"/>
        </w:rPr>
        <w:t xml:space="preserve">Η </w:t>
      </w:r>
      <w:r w:rsidRPr="005774F5">
        <w:t>Deloitte</w:t>
      </w:r>
      <w:r w:rsidRPr="005774F5">
        <w:rPr>
          <w:lang w:val="el-GR"/>
        </w:rPr>
        <w:t xml:space="preserve"> προβλέπει ότι η επιστροφή των οπαδών στα γεμάτα ποδοσφαιρικά </w:t>
      </w:r>
      <w:r w:rsidR="0098256E" w:rsidRPr="005774F5">
        <w:rPr>
          <w:lang w:val="el-GR"/>
        </w:rPr>
        <w:t>στάδια</w:t>
      </w:r>
      <w:r w:rsidR="00621140" w:rsidRPr="005774F5">
        <w:rPr>
          <w:lang w:val="el-GR"/>
        </w:rPr>
        <w:t xml:space="preserve">, οι νέες συμφωνίες </w:t>
      </w:r>
      <w:r w:rsidR="0098256E" w:rsidRPr="005774F5">
        <w:rPr>
          <w:lang w:val="el-GR"/>
        </w:rPr>
        <w:t>ανα</w:t>
      </w:r>
      <w:r w:rsidR="00621140" w:rsidRPr="005774F5">
        <w:rPr>
          <w:lang w:val="el-GR"/>
        </w:rPr>
        <w:t>μετάδοσης</w:t>
      </w:r>
      <w:r w:rsidR="0098256E" w:rsidRPr="005774F5">
        <w:rPr>
          <w:lang w:val="el-GR"/>
        </w:rPr>
        <w:t xml:space="preserve">, </w:t>
      </w:r>
      <w:r w:rsidR="00621140" w:rsidRPr="005774F5">
        <w:rPr>
          <w:lang w:val="el-GR"/>
        </w:rPr>
        <w:t xml:space="preserve">καθώς και οι βελτιωμένες </w:t>
      </w:r>
      <w:r w:rsidR="0027563A" w:rsidRPr="005774F5">
        <w:rPr>
          <w:lang w:val="el-GR"/>
        </w:rPr>
        <w:t xml:space="preserve">εμπορικές συμφωνίες θα αυξήσουν τα έσοδα της </w:t>
      </w:r>
      <w:r w:rsidR="0027563A" w:rsidRPr="005774F5">
        <w:t>Premier</w:t>
      </w:r>
      <w:r w:rsidR="0027563A" w:rsidRPr="005774F5">
        <w:rPr>
          <w:lang w:val="el-GR"/>
        </w:rPr>
        <w:t xml:space="preserve"> </w:t>
      </w:r>
      <w:r w:rsidR="0027563A" w:rsidRPr="005774F5">
        <w:t>League</w:t>
      </w:r>
      <w:r w:rsidR="0027563A" w:rsidRPr="005774F5">
        <w:rPr>
          <w:lang w:val="el-GR"/>
        </w:rPr>
        <w:t xml:space="preserve"> τα οποία υπολογίζεται ότι θα υπερβούν τα </w:t>
      </w:r>
      <w:r w:rsidR="00687954" w:rsidRPr="005774F5">
        <w:rPr>
          <w:lang w:val="el-GR"/>
        </w:rPr>
        <w:t>€</w:t>
      </w:r>
      <w:r w:rsidR="0027563A" w:rsidRPr="005774F5">
        <w:rPr>
          <w:lang w:val="el-GR"/>
        </w:rPr>
        <w:t>7 δι</w:t>
      </w:r>
      <w:r w:rsidR="0098256E" w:rsidRPr="005774F5">
        <w:rPr>
          <w:lang w:val="el-GR"/>
        </w:rPr>
        <w:t xml:space="preserve">σ. </w:t>
      </w:r>
      <w:r w:rsidR="0027563A" w:rsidRPr="005774F5">
        <w:rPr>
          <w:lang w:val="el-GR"/>
        </w:rPr>
        <w:t>κατά την περίοδο 2022</w:t>
      </w:r>
      <w:r w:rsidR="0098256E" w:rsidRPr="005774F5">
        <w:rPr>
          <w:lang w:val="el-GR"/>
        </w:rPr>
        <w:t>-20</w:t>
      </w:r>
      <w:r w:rsidR="0027563A" w:rsidRPr="005774F5">
        <w:rPr>
          <w:lang w:val="el-GR"/>
        </w:rPr>
        <w:t>23.</w:t>
      </w:r>
    </w:p>
    <w:p w14:paraId="5B6EA8D8" w14:textId="176B20C1" w:rsidR="0027563A" w:rsidRPr="005774F5" w:rsidRDefault="0027563A" w:rsidP="008D2675">
      <w:pPr>
        <w:jc w:val="both"/>
        <w:rPr>
          <w:lang w:val="el-GR"/>
        </w:rPr>
      </w:pPr>
      <w:r w:rsidRPr="005774F5">
        <w:rPr>
          <w:lang w:val="el-GR"/>
        </w:rPr>
        <w:t xml:space="preserve">Ο </w:t>
      </w:r>
      <w:r w:rsidRPr="005774F5">
        <w:t>Bridge</w:t>
      </w:r>
      <w:r w:rsidRPr="005774F5">
        <w:rPr>
          <w:lang w:val="el-GR"/>
        </w:rPr>
        <w:t xml:space="preserve"> </w:t>
      </w:r>
      <w:r w:rsidR="0098256E" w:rsidRPr="005774F5">
        <w:rPr>
          <w:lang w:val="el-GR"/>
        </w:rPr>
        <w:t>συνέχισε</w:t>
      </w:r>
      <w:r w:rsidRPr="005774F5">
        <w:rPr>
          <w:lang w:val="el-GR"/>
        </w:rPr>
        <w:t>: «</w:t>
      </w:r>
      <w:r w:rsidR="00EA58F6" w:rsidRPr="005774F5">
        <w:rPr>
          <w:lang w:val="el-GR"/>
        </w:rPr>
        <w:t xml:space="preserve">Καθώς η </w:t>
      </w:r>
      <w:r w:rsidR="00EA58F6" w:rsidRPr="005774F5">
        <w:t>Premier</w:t>
      </w:r>
      <w:r w:rsidR="00EA58F6" w:rsidRPr="005774F5">
        <w:rPr>
          <w:lang w:val="el-GR"/>
        </w:rPr>
        <w:t xml:space="preserve"> </w:t>
      </w:r>
      <w:r w:rsidR="00EA58F6" w:rsidRPr="005774F5">
        <w:t>League</w:t>
      </w:r>
      <w:r w:rsidR="00EA58F6" w:rsidRPr="005774F5">
        <w:rPr>
          <w:lang w:val="el-GR"/>
        </w:rPr>
        <w:t xml:space="preserve"> </w:t>
      </w:r>
      <w:r w:rsidR="00670461" w:rsidRPr="005774F5">
        <w:rPr>
          <w:lang w:val="el-GR"/>
        </w:rPr>
        <w:t xml:space="preserve">εισέρχεται στην τέταρτη δεκαετία </w:t>
      </w:r>
      <w:r w:rsidR="0098256E" w:rsidRPr="005774F5">
        <w:rPr>
          <w:lang w:val="el-GR"/>
        </w:rPr>
        <w:t>της</w:t>
      </w:r>
      <w:r w:rsidR="00DB17BA" w:rsidRPr="005774F5">
        <w:rPr>
          <w:lang w:val="el-GR"/>
        </w:rPr>
        <w:t>, βρίσκεται μπροστά από τον αντ</w:t>
      </w:r>
      <w:r w:rsidR="00942A44" w:rsidRPr="005774F5">
        <w:rPr>
          <w:lang w:val="el-GR"/>
        </w:rPr>
        <w:t>αγωνισμό περισσότερο από κάθε άλλη φορά, καθώς έχει καταφέρει να</w:t>
      </w:r>
      <w:r w:rsidR="00E24152" w:rsidRPr="005774F5">
        <w:rPr>
          <w:lang w:val="el-GR"/>
        </w:rPr>
        <w:t xml:space="preserve"> </w:t>
      </w:r>
      <w:r w:rsidR="004F032B" w:rsidRPr="005774F5">
        <w:rPr>
          <w:lang w:val="el-GR"/>
        </w:rPr>
        <w:t xml:space="preserve">αναδυθεί μετά την περίοδο της πανδημίας, χωρίς να </w:t>
      </w:r>
      <w:r w:rsidR="008D7B9B" w:rsidRPr="005774F5">
        <w:rPr>
          <w:lang w:val="el-GR"/>
        </w:rPr>
        <w:t xml:space="preserve">έχει σημειώσει μεγάλη αύξηση στο καθαρό χρέος της, όπως εσφαλμένα πίστευαν πολλοί. </w:t>
      </w:r>
      <w:r w:rsidR="00CE3217" w:rsidRPr="005774F5">
        <w:rPr>
          <w:lang w:val="el-GR"/>
        </w:rPr>
        <w:t>Ωστόσο</w:t>
      </w:r>
      <w:r w:rsidR="0098256E" w:rsidRPr="005774F5">
        <w:rPr>
          <w:lang w:val="el-GR"/>
        </w:rPr>
        <w:t>,</w:t>
      </w:r>
      <w:r w:rsidR="00CE3217" w:rsidRPr="005774F5">
        <w:rPr>
          <w:lang w:val="el-GR"/>
        </w:rPr>
        <w:t xml:space="preserve"> η ωμή πραγματικότητα είναι ότι </w:t>
      </w:r>
      <w:r w:rsidR="0098256E" w:rsidRPr="005774F5">
        <w:rPr>
          <w:lang w:val="el-GR"/>
        </w:rPr>
        <w:t>το πρωτάθλημα</w:t>
      </w:r>
      <w:r w:rsidR="00CE3217" w:rsidRPr="005774F5">
        <w:rPr>
          <w:lang w:val="el-GR"/>
        </w:rPr>
        <w:t xml:space="preserve"> </w:t>
      </w:r>
      <w:r w:rsidR="009A7EA9" w:rsidRPr="005774F5">
        <w:rPr>
          <w:lang w:val="el-GR"/>
        </w:rPr>
        <w:t xml:space="preserve">κατάφερε </w:t>
      </w:r>
      <w:r w:rsidR="0098256E" w:rsidRPr="005774F5">
        <w:rPr>
          <w:lang w:val="el-GR"/>
        </w:rPr>
        <w:t>τελευταία φορά ν</w:t>
      </w:r>
      <w:r w:rsidR="009A7EA9" w:rsidRPr="005774F5">
        <w:rPr>
          <w:lang w:val="el-GR"/>
        </w:rPr>
        <w:t>α ισο</w:t>
      </w:r>
      <w:r w:rsidR="00B54518" w:rsidRPr="005774F5">
        <w:rPr>
          <w:lang w:val="el-GR"/>
        </w:rPr>
        <w:t>σκελίσει</w:t>
      </w:r>
      <w:r w:rsidR="0057565F" w:rsidRPr="005774F5">
        <w:rPr>
          <w:lang w:val="el-GR"/>
        </w:rPr>
        <w:t xml:space="preserve"> σε </w:t>
      </w:r>
      <w:r w:rsidR="00DF1292" w:rsidRPr="005774F5">
        <w:rPr>
          <w:lang w:val="el-GR"/>
        </w:rPr>
        <w:t xml:space="preserve">επίπεδα προ φόρων κατά την περίοδο 2017/2018, </w:t>
      </w:r>
      <w:r w:rsidR="0098256E" w:rsidRPr="005774F5">
        <w:rPr>
          <w:lang w:val="el-GR"/>
        </w:rPr>
        <w:t xml:space="preserve">κάτι που </w:t>
      </w:r>
      <w:r w:rsidR="00544C82" w:rsidRPr="005774F5">
        <w:rPr>
          <w:lang w:val="el-GR"/>
        </w:rPr>
        <w:t>υπογραμμίζ</w:t>
      </w:r>
      <w:r w:rsidR="0098256E" w:rsidRPr="005774F5">
        <w:rPr>
          <w:lang w:val="el-GR"/>
        </w:rPr>
        <w:t>ει</w:t>
      </w:r>
      <w:r w:rsidR="00544C82" w:rsidRPr="005774F5">
        <w:rPr>
          <w:lang w:val="el-GR"/>
        </w:rPr>
        <w:t xml:space="preserve"> </w:t>
      </w:r>
      <w:r w:rsidR="001D2952" w:rsidRPr="005774F5">
        <w:rPr>
          <w:lang w:val="el-GR"/>
        </w:rPr>
        <w:t xml:space="preserve">την επιτακτική ανάγκη για </w:t>
      </w:r>
      <w:r w:rsidR="00544C82" w:rsidRPr="005774F5">
        <w:rPr>
          <w:lang w:val="el-GR"/>
        </w:rPr>
        <w:t xml:space="preserve">ισχυρή </w:t>
      </w:r>
      <w:r w:rsidR="008D2675">
        <w:rPr>
          <w:lang w:val="el-GR"/>
        </w:rPr>
        <w:t>διοίκηση</w:t>
      </w:r>
      <w:r w:rsidR="001D2952" w:rsidRPr="005774F5">
        <w:rPr>
          <w:lang w:val="el-GR"/>
        </w:rPr>
        <w:t xml:space="preserve"> </w:t>
      </w:r>
      <w:r w:rsidR="00544C82" w:rsidRPr="005774F5">
        <w:rPr>
          <w:lang w:val="el-GR"/>
        </w:rPr>
        <w:t xml:space="preserve">και οικονομικό σχεδιασμό στα </w:t>
      </w:r>
      <w:r w:rsidR="0098256E" w:rsidRPr="005774F5">
        <w:rPr>
          <w:lang w:val="el-GR"/>
        </w:rPr>
        <w:t xml:space="preserve">επόμενα </w:t>
      </w:r>
      <w:r w:rsidR="00544C82" w:rsidRPr="005774F5">
        <w:rPr>
          <w:lang w:val="el-GR"/>
        </w:rPr>
        <w:t>χρόνια</w:t>
      </w:r>
      <w:r w:rsidR="0098256E" w:rsidRPr="005774F5">
        <w:rPr>
          <w:lang w:val="el-GR"/>
        </w:rPr>
        <w:t>»</w:t>
      </w:r>
      <w:r w:rsidR="00544C82" w:rsidRPr="005774F5">
        <w:rPr>
          <w:lang w:val="el-GR"/>
        </w:rPr>
        <w:t>.</w:t>
      </w:r>
    </w:p>
    <w:p w14:paraId="0812006C" w14:textId="52120681" w:rsidR="0010452E" w:rsidRPr="005774F5" w:rsidRDefault="0010452E" w:rsidP="008D2675">
      <w:pPr>
        <w:jc w:val="both"/>
        <w:rPr>
          <w:b/>
          <w:bCs/>
          <w:lang w:val="el-GR"/>
        </w:rPr>
      </w:pPr>
      <w:r w:rsidRPr="005774F5">
        <w:rPr>
          <w:b/>
          <w:bCs/>
          <w:lang w:val="el-GR"/>
        </w:rPr>
        <w:lastRenderedPageBreak/>
        <w:t xml:space="preserve">Επενδυτικές Ροές </w:t>
      </w:r>
    </w:p>
    <w:p w14:paraId="61BF196B" w14:textId="46FE2D73" w:rsidR="0010452E" w:rsidRPr="005774F5" w:rsidRDefault="0010452E" w:rsidP="008D2675">
      <w:pPr>
        <w:jc w:val="both"/>
        <w:rPr>
          <w:lang w:val="el-GR"/>
        </w:rPr>
      </w:pPr>
      <w:r w:rsidRPr="005774F5">
        <w:rPr>
          <w:lang w:val="el-GR"/>
        </w:rPr>
        <w:t xml:space="preserve">Η ανάλυση της </w:t>
      </w:r>
      <w:r w:rsidRPr="005774F5">
        <w:t>Deloitte</w:t>
      </w:r>
      <w:r w:rsidRPr="005774F5">
        <w:rPr>
          <w:lang w:val="el-GR"/>
        </w:rPr>
        <w:t xml:space="preserve"> </w:t>
      </w:r>
      <w:r w:rsidR="009C2FE8" w:rsidRPr="005774F5">
        <w:rPr>
          <w:lang w:val="el-GR"/>
        </w:rPr>
        <w:t xml:space="preserve">καταδεικνύει </w:t>
      </w:r>
      <w:r w:rsidR="00392CDB" w:rsidRPr="005774F5">
        <w:rPr>
          <w:lang w:val="el-GR"/>
        </w:rPr>
        <w:t xml:space="preserve">μία ραγδαία αύξηση επενδυτικών κινήσεων </w:t>
      </w:r>
      <w:r w:rsidR="004661FE" w:rsidRPr="005774F5">
        <w:rPr>
          <w:lang w:val="el-GR"/>
        </w:rPr>
        <w:t xml:space="preserve">ανάμεσα </w:t>
      </w:r>
      <w:r w:rsidR="0098256E" w:rsidRPr="005774F5">
        <w:rPr>
          <w:lang w:val="el-GR"/>
        </w:rPr>
        <w:t>στα «πέντε μεγάλα» πρωταθλήματα της Ευρώπης</w:t>
      </w:r>
      <w:r w:rsidR="004661FE" w:rsidRPr="005774F5">
        <w:rPr>
          <w:lang w:val="el-GR"/>
        </w:rPr>
        <w:t xml:space="preserve">, καθώς οι ποδοσφαιρικοί σύλλογοι </w:t>
      </w:r>
      <w:r w:rsidR="0079206A" w:rsidRPr="005774F5">
        <w:rPr>
          <w:lang w:val="el-GR"/>
        </w:rPr>
        <w:t>έχουν αναζητήσει και εν τέλει έχουν καταφέρει να προσελκύσουν επεν</w:t>
      </w:r>
      <w:r w:rsidR="00855EED" w:rsidRPr="005774F5">
        <w:rPr>
          <w:lang w:val="el-GR"/>
        </w:rPr>
        <w:t xml:space="preserve">δύσεις κορυφαίου επιπέδου. </w:t>
      </w:r>
      <w:r w:rsidR="00D64992" w:rsidRPr="005774F5">
        <w:rPr>
          <w:lang w:val="el-GR"/>
        </w:rPr>
        <w:t>Το 2021</w:t>
      </w:r>
      <w:r w:rsidR="007B36E8" w:rsidRPr="005774F5">
        <w:rPr>
          <w:lang w:val="el-GR"/>
        </w:rPr>
        <w:t xml:space="preserve"> </w:t>
      </w:r>
      <w:r w:rsidR="00D64992" w:rsidRPr="005774F5">
        <w:rPr>
          <w:lang w:val="el-GR"/>
        </w:rPr>
        <w:t xml:space="preserve">πραγματοποιήθηκαν δεκαπέντε </w:t>
      </w:r>
      <w:r w:rsidR="00A345ED" w:rsidRPr="005774F5">
        <w:rPr>
          <w:lang w:val="el-GR"/>
        </w:rPr>
        <w:t xml:space="preserve">νέες </w:t>
      </w:r>
      <w:r w:rsidR="00D64992" w:rsidRPr="005774F5">
        <w:rPr>
          <w:lang w:val="el-GR"/>
        </w:rPr>
        <w:t xml:space="preserve">επενδύσεις </w:t>
      </w:r>
      <w:r w:rsidR="00A345ED" w:rsidRPr="005774F5">
        <w:rPr>
          <w:lang w:val="el-GR"/>
        </w:rPr>
        <w:t>στ</w:t>
      </w:r>
      <w:r w:rsidR="0098256E" w:rsidRPr="005774F5">
        <w:rPr>
          <w:lang w:val="el-GR"/>
        </w:rPr>
        <w:t>α</w:t>
      </w:r>
      <w:r w:rsidR="00A345ED" w:rsidRPr="005774F5">
        <w:rPr>
          <w:lang w:val="el-GR"/>
        </w:rPr>
        <w:t xml:space="preserve"> «πέντε μεγάλ</w:t>
      </w:r>
      <w:r w:rsidR="0098256E" w:rsidRPr="005774F5">
        <w:rPr>
          <w:lang w:val="el-GR"/>
        </w:rPr>
        <w:t>α</w:t>
      </w:r>
      <w:r w:rsidR="00A345ED" w:rsidRPr="005774F5">
        <w:rPr>
          <w:lang w:val="el-GR"/>
        </w:rPr>
        <w:t xml:space="preserve">» </w:t>
      </w:r>
      <w:r w:rsidR="0098256E" w:rsidRPr="005774F5">
        <w:rPr>
          <w:lang w:val="el-GR"/>
        </w:rPr>
        <w:t>πρωταθλήματα</w:t>
      </w:r>
      <w:r w:rsidR="008D46B3" w:rsidRPr="005774F5">
        <w:rPr>
          <w:lang w:val="el-GR"/>
        </w:rPr>
        <w:t>, ξεπερνώντας συνολικά τον αριθμό επενδύσεων του 2019 και του 2020</w:t>
      </w:r>
      <w:r w:rsidR="0098256E" w:rsidRPr="005774F5">
        <w:rPr>
          <w:lang w:val="el-GR"/>
        </w:rPr>
        <w:t xml:space="preserve"> </w:t>
      </w:r>
      <w:r w:rsidR="006F7CE4" w:rsidRPr="005774F5">
        <w:rPr>
          <w:lang w:val="el-GR"/>
        </w:rPr>
        <w:t>μαζί</w:t>
      </w:r>
      <w:r w:rsidR="0098256E" w:rsidRPr="005774F5">
        <w:rPr>
          <w:lang w:val="el-GR"/>
        </w:rPr>
        <w:t>, οι οποίες ήταν 12</w:t>
      </w:r>
      <w:r w:rsidR="008D46B3" w:rsidRPr="005774F5">
        <w:rPr>
          <w:lang w:val="el-GR"/>
        </w:rPr>
        <w:t xml:space="preserve">. </w:t>
      </w:r>
      <w:r w:rsidR="00D471C7" w:rsidRPr="005774F5">
        <w:rPr>
          <w:lang w:val="el-GR"/>
        </w:rPr>
        <w:t xml:space="preserve">Η συντριπτική πλειοψηφία (87%) των επενδύσεων πραγματοποιήθηκαν από </w:t>
      </w:r>
      <w:r w:rsidR="00A67199" w:rsidRPr="005774F5">
        <w:rPr>
          <w:lang w:val="el-GR"/>
        </w:rPr>
        <w:t>επενδυτές με υψηλ</w:t>
      </w:r>
      <w:r w:rsidR="00F6486E" w:rsidRPr="005774F5">
        <w:rPr>
          <w:lang w:val="el-GR"/>
        </w:rPr>
        <w:t>ό</w:t>
      </w:r>
      <w:r w:rsidR="007B36E8" w:rsidRPr="005774F5">
        <w:rPr>
          <w:lang w:val="el-GR"/>
        </w:rPr>
        <w:t xml:space="preserve"> </w:t>
      </w:r>
      <w:r w:rsidR="0098256E" w:rsidRPr="005774F5">
        <w:rPr>
          <w:lang w:val="el-GR"/>
        </w:rPr>
        <w:t xml:space="preserve">προφίλ σε συνολική αξία </w:t>
      </w:r>
      <w:r w:rsidR="00A67199" w:rsidRPr="005774F5">
        <w:rPr>
          <w:lang w:val="el-GR"/>
        </w:rPr>
        <w:t xml:space="preserve">και </w:t>
      </w:r>
      <w:r w:rsidR="00C735AA" w:rsidRPr="005774F5">
        <w:rPr>
          <w:lang w:val="el-GR"/>
        </w:rPr>
        <w:t>εταιρείες επενδύσεων ιδιωτικών κεφαλαίων</w:t>
      </w:r>
      <w:r w:rsidR="00F61BE2" w:rsidRPr="005774F5">
        <w:rPr>
          <w:lang w:val="el-GR"/>
        </w:rPr>
        <w:t xml:space="preserve">, </w:t>
      </w:r>
      <w:r w:rsidR="0098256E" w:rsidRPr="005774F5">
        <w:rPr>
          <w:lang w:val="el-GR"/>
        </w:rPr>
        <w:t xml:space="preserve">ενώ </w:t>
      </w:r>
      <w:r w:rsidR="00F61BE2" w:rsidRPr="005774F5">
        <w:rPr>
          <w:lang w:val="el-GR"/>
        </w:rPr>
        <w:t>σημειώνεται ότι παραπάνω από τα 2/3 των επενδύσεων προήλθαν από τις ΗΠΑ.</w:t>
      </w:r>
    </w:p>
    <w:p w14:paraId="3D7365BE" w14:textId="07208F2C" w:rsidR="00C4536F" w:rsidRPr="005774F5" w:rsidRDefault="000A1FDF" w:rsidP="008D2675">
      <w:pPr>
        <w:jc w:val="both"/>
        <w:rPr>
          <w:lang w:val="el-GR"/>
        </w:rPr>
      </w:pPr>
      <w:r w:rsidRPr="005774F5">
        <w:rPr>
          <w:lang w:val="el-GR"/>
        </w:rPr>
        <w:t xml:space="preserve">Η </w:t>
      </w:r>
      <w:proofErr w:type="spellStart"/>
      <w:r w:rsidRPr="005774F5">
        <w:rPr>
          <w:lang w:val="el-GR"/>
        </w:rPr>
        <w:t>δημοφιλία</w:t>
      </w:r>
      <w:proofErr w:type="spellEnd"/>
      <w:r w:rsidRPr="005774F5">
        <w:rPr>
          <w:lang w:val="el-GR"/>
        </w:rPr>
        <w:t xml:space="preserve"> </w:t>
      </w:r>
      <w:r w:rsidR="00F6486E" w:rsidRPr="005774F5">
        <w:rPr>
          <w:lang w:val="el-GR"/>
        </w:rPr>
        <w:t xml:space="preserve">της </w:t>
      </w:r>
      <w:r w:rsidR="0098256E" w:rsidRPr="005774F5">
        <w:rPr>
          <w:lang w:val="el-GR"/>
        </w:rPr>
        <w:t>ιδιοκτησίας πολλαπλών συλλόγων (</w:t>
      </w:r>
      <w:proofErr w:type="spellStart"/>
      <w:r w:rsidR="0098256E" w:rsidRPr="005774F5">
        <w:rPr>
          <w:lang w:val="en-US"/>
        </w:rPr>
        <w:t>Multiclub</w:t>
      </w:r>
      <w:proofErr w:type="spellEnd"/>
      <w:r w:rsidR="0098256E" w:rsidRPr="005774F5">
        <w:rPr>
          <w:lang w:val="el-GR"/>
        </w:rPr>
        <w:t xml:space="preserve"> </w:t>
      </w:r>
      <w:r w:rsidR="0098256E" w:rsidRPr="005774F5">
        <w:rPr>
          <w:lang w:val="en-US"/>
        </w:rPr>
        <w:t>ownership</w:t>
      </w:r>
      <w:r w:rsidR="0098256E" w:rsidRPr="005774F5">
        <w:rPr>
          <w:lang w:val="el-GR"/>
        </w:rPr>
        <w:t xml:space="preserve"> - </w:t>
      </w:r>
      <w:r w:rsidR="0098256E" w:rsidRPr="005774F5">
        <w:rPr>
          <w:lang w:val="en-US"/>
        </w:rPr>
        <w:t>MCO</w:t>
      </w:r>
      <w:r w:rsidR="0098256E" w:rsidRPr="005774F5">
        <w:rPr>
          <w:lang w:val="el-GR"/>
        </w:rPr>
        <w:t xml:space="preserve">) </w:t>
      </w:r>
      <w:r w:rsidRPr="005774F5">
        <w:rPr>
          <w:lang w:val="el-GR"/>
        </w:rPr>
        <w:t>έχει αυξηθεί</w:t>
      </w:r>
      <w:r w:rsidR="003D2E81" w:rsidRPr="005774F5">
        <w:rPr>
          <w:lang w:val="el-GR"/>
        </w:rPr>
        <w:t>,</w:t>
      </w:r>
      <w:r w:rsidR="00941320" w:rsidRPr="005774F5">
        <w:rPr>
          <w:lang w:val="el-GR"/>
        </w:rPr>
        <w:t xml:space="preserve"> καθώς πλέον ο κόσμος του </w:t>
      </w:r>
      <w:r w:rsidR="002B1A70" w:rsidRPr="005774F5">
        <w:rPr>
          <w:lang w:val="el-GR"/>
        </w:rPr>
        <w:t>ευρωπαϊκού</w:t>
      </w:r>
      <w:r w:rsidR="00941320" w:rsidRPr="005774F5">
        <w:rPr>
          <w:lang w:val="el-GR"/>
        </w:rPr>
        <w:t xml:space="preserve"> ποδοσφαίρου προσμετρά 70 σωματεία, </w:t>
      </w:r>
      <w:r w:rsidR="0022082C" w:rsidRPr="005774F5">
        <w:rPr>
          <w:lang w:val="el-GR"/>
        </w:rPr>
        <w:t xml:space="preserve">ενώ μόλις πριν από μία πενταετία ο συνολικός αριθμός των ποδοσφαιρικών σωματείων ήταν 28. </w:t>
      </w:r>
      <w:r w:rsidR="00EE29B8" w:rsidRPr="005774F5">
        <w:rPr>
          <w:lang w:val="el-GR"/>
        </w:rPr>
        <w:t xml:space="preserve">Σημειώνεται ότι 9 από τους 20 συλλόγους της </w:t>
      </w:r>
      <w:r w:rsidR="00EE29B8" w:rsidRPr="005774F5">
        <w:t>Premier</w:t>
      </w:r>
      <w:r w:rsidR="00EE29B8" w:rsidRPr="005774F5">
        <w:rPr>
          <w:lang w:val="el-GR"/>
        </w:rPr>
        <w:t xml:space="preserve"> </w:t>
      </w:r>
      <w:r w:rsidR="00EE29B8" w:rsidRPr="005774F5">
        <w:t>League</w:t>
      </w:r>
      <w:r w:rsidR="00EE29B8" w:rsidRPr="005774F5">
        <w:rPr>
          <w:lang w:val="el-GR"/>
        </w:rPr>
        <w:t xml:space="preserve"> λειτουργούν </w:t>
      </w:r>
      <w:r w:rsidR="00111FE3" w:rsidRPr="005774F5">
        <w:rPr>
          <w:lang w:val="el-GR"/>
        </w:rPr>
        <w:t xml:space="preserve">σύμφωνα με το μοντέλο </w:t>
      </w:r>
      <w:r w:rsidR="00111FE3" w:rsidRPr="005774F5">
        <w:rPr>
          <w:lang w:val="en-US"/>
        </w:rPr>
        <w:t>MCO</w:t>
      </w:r>
      <w:r w:rsidR="00EE29B8" w:rsidRPr="005774F5">
        <w:rPr>
          <w:lang w:val="el-GR"/>
        </w:rPr>
        <w:t xml:space="preserve">. </w:t>
      </w:r>
    </w:p>
    <w:p w14:paraId="33004FCA" w14:textId="651D5884" w:rsidR="00D77EF4" w:rsidRPr="005774F5" w:rsidRDefault="00EE29B8" w:rsidP="008D2675">
      <w:pPr>
        <w:jc w:val="both"/>
        <w:rPr>
          <w:lang w:val="el-GR"/>
        </w:rPr>
      </w:pPr>
      <w:r w:rsidRPr="005774F5">
        <w:rPr>
          <w:lang w:val="el-GR"/>
        </w:rPr>
        <w:t xml:space="preserve">Ο </w:t>
      </w:r>
      <w:r w:rsidR="00E65D4C" w:rsidRPr="005774F5">
        <w:t>Sam</w:t>
      </w:r>
      <w:r w:rsidR="00E65D4C" w:rsidRPr="005774F5">
        <w:rPr>
          <w:lang w:val="el-GR"/>
        </w:rPr>
        <w:t xml:space="preserve"> </w:t>
      </w:r>
      <w:r w:rsidR="00E65D4C" w:rsidRPr="005774F5">
        <w:t>Boor</w:t>
      </w:r>
      <w:r w:rsidR="00E65D4C" w:rsidRPr="005774F5">
        <w:rPr>
          <w:lang w:val="el-GR"/>
        </w:rPr>
        <w:t xml:space="preserve">, </w:t>
      </w:r>
      <w:r w:rsidRPr="005774F5">
        <w:rPr>
          <w:lang w:val="el-GR"/>
        </w:rPr>
        <w:t>επικεφαλής</w:t>
      </w:r>
      <w:r w:rsidR="00D77EF4" w:rsidRPr="005774F5">
        <w:rPr>
          <w:lang w:val="el-GR"/>
        </w:rPr>
        <w:t xml:space="preserve"> συμβουλευτικής </w:t>
      </w:r>
      <w:r w:rsidR="00D77EF4" w:rsidRPr="005774F5">
        <w:t>s</w:t>
      </w:r>
      <w:r w:rsidR="00E65D4C" w:rsidRPr="005774F5">
        <w:t>ports</w:t>
      </w:r>
      <w:r w:rsidR="00E65D4C" w:rsidRPr="005774F5">
        <w:rPr>
          <w:lang w:val="el-GR"/>
        </w:rPr>
        <w:t xml:space="preserve"> </w:t>
      </w:r>
      <w:r w:rsidR="00E65D4C" w:rsidRPr="005774F5">
        <w:t>M</w:t>
      </w:r>
      <w:r w:rsidR="00E65D4C" w:rsidRPr="005774F5">
        <w:rPr>
          <w:lang w:val="el-GR"/>
        </w:rPr>
        <w:t>&amp;</w:t>
      </w:r>
      <w:r w:rsidR="00E65D4C" w:rsidRPr="005774F5">
        <w:t>A</w:t>
      </w:r>
      <w:r w:rsidR="00D77EF4" w:rsidRPr="005774F5">
        <w:rPr>
          <w:lang w:val="el-GR"/>
        </w:rPr>
        <w:t xml:space="preserve"> του</w:t>
      </w:r>
      <w:r w:rsidR="00E65D4C" w:rsidRPr="005774F5">
        <w:rPr>
          <w:lang w:val="el-GR"/>
        </w:rPr>
        <w:t xml:space="preserve"> </w:t>
      </w:r>
      <w:r w:rsidR="00E65D4C" w:rsidRPr="005774F5">
        <w:t>Sports</w:t>
      </w:r>
      <w:r w:rsidR="00E65D4C" w:rsidRPr="005774F5">
        <w:rPr>
          <w:lang w:val="el-GR"/>
        </w:rPr>
        <w:t xml:space="preserve"> </w:t>
      </w:r>
      <w:r w:rsidR="00E65D4C" w:rsidRPr="005774F5">
        <w:t>Business</w:t>
      </w:r>
      <w:r w:rsidR="00E65D4C" w:rsidRPr="005774F5">
        <w:rPr>
          <w:lang w:val="el-GR"/>
        </w:rPr>
        <w:t xml:space="preserve"> </w:t>
      </w:r>
      <w:r w:rsidR="00E65D4C" w:rsidRPr="005774F5">
        <w:t>Group</w:t>
      </w:r>
      <w:r w:rsidR="00D77EF4" w:rsidRPr="005774F5">
        <w:rPr>
          <w:lang w:val="el-GR"/>
        </w:rPr>
        <w:t xml:space="preserve"> της </w:t>
      </w:r>
      <w:r w:rsidR="00D77EF4" w:rsidRPr="005774F5">
        <w:t>Deloitte</w:t>
      </w:r>
      <w:r w:rsidR="00D77EF4" w:rsidRPr="005774F5">
        <w:rPr>
          <w:lang w:val="el-GR"/>
        </w:rPr>
        <w:t xml:space="preserve"> επισήμανε: «Το ποδόσφαιρο </w:t>
      </w:r>
      <w:r w:rsidR="009C2E2D" w:rsidRPr="005774F5">
        <w:rPr>
          <w:lang w:val="el-GR"/>
        </w:rPr>
        <w:t xml:space="preserve">αποδεικνύεται μία ελκυστική ευκαιρία </w:t>
      </w:r>
      <w:r w:rsidR="00111FE3" w:rsidRPr="005774F5">
        <w:rPr>
          <w:lang w:val="el-GR"/>
        </w:rPr>
        <w:t>για</w:t>
      </w:r>
      <w:r w:rsidR="0011738A" w:rsidRPr="005774F5">
        <w:rPr>
          <w:lang w:val="el-GR"/>
        </w:rPr>
        <w:t xml:space="preserve"> </w:t>
      </w:r>
      <w:r w:rsidR="004D2E84" w:rsidRPr="005774F5">
        <w:rPr>
          <w:lang w:val="el-GR"/>
        </w:rPr>
        <w:t xml:space="preserve">μία αναπτυσσόμενη δεξαμενή </w:t>
      </w:r>
      <w:r w:rsidR="007531C6" w:rsidRPr="005774F5">
        <w:rPr>
          <w:lang w:val="el-GR"/>
        </w:rPr>
        <w:t>επενδυτών</w:t>
      </w:r>
      <w:r w:rsidR="00052DB3" w:rsidRPr="005774F5">
        <w:rPr>
          <w:lang w:val="el-GR"/>
        </w:rPr>
        <w:t xml:space="preserve"> από όλα τα μήκη και τα πλάτη της γης</w:t>
      </w:r>
      <w:r w:rsidR="007531C6" w:rsidRPr="005774F5">
        <w:rPr>
          <w:lang w:val="el-GR"/>
        </w:rPr>
        <w:t xml:space="preserve">, των οποίων η αυτοπεποίθηση </w:t>
      </w:r>
      <w:r w:rsidR="0061551D" w:rsidRPr="005774F5">
        <w:rPr>
          <w:lang w:val="el-GR"/>
        </w:rPr>
        <w:t xml:space="preserve">έχει αυξηθεί σε σημαντικό βαθμό </w:t>
      </w:r>
      <w:r w:rsidR="005E7C2E" w:rsidRPr="005774F5">
        <w:rPr>
          <w:lang w:val="el-GR"/>
        </w:rPr>
        <w:t xml:space="preserve">κατόπιν της </w:t>
      </w:r>
      <w:r w:rsidR="00052DB3" w:rsidRPr="005774F5">
        <w:rPr>
          <w:lang w:val="el-GR"/>
        </w:rPr>
        <w:t>ανάκαμψη</w:t>
      </w:r>
      <w:r w:rsidR="005E7C2E" w:rsidRPr="005774F5">
        <w:rPr>
          <w:lang w:val="el-GR"/>
        </w:rPr>
        <w:t xml:space="preserve">ς </w:t>
      </w:r>
      <w:r w:rsidR="00052DB3" w:rsidRPr="005774F5">
        <w:rPr>
          <w:lang w:val="el-GR"/>
        </w:rPr>
        <w:t xml:space="preserve">των συλλόγων στη μεταπανδημική εποχή. </w:t>
      </w:r>
      <w:r w:rsidR="007606D2" w:rsidRPr="005774F5">
        <w:rPr>
          <w:lang w:val="el-GR"/>
        </w:rPr>
        <w:t>Για να διαβεβαιώσουμε ότι οι νέες επενδύσεις θα προσφέρουν αξία σε όλους</w:t>
      </w:r>
      <w:r w:rsidR="00111FE3" w:rsidRPr="005774F5">
        <w:rPr>
          <w:lang w:val="el-GR"/>
        </w:rPr>
        <w:t xml:space="preserve"> -</w:t>
      </w:r>
      <w:r w:rsidR="005E7C2E" w:rsidRPr="005774F5">
        <w:rPr>
          <w:lang w:val="el-GR"/>
        </w:rPr>
        <w:t xml:space="preserve"> </w:t>
      </w:r>
      <w:r w:rsidR="00126A54" w:rsidRPr="005774F5">
        <w:rPr>
          <w:lang w:val="el-GR"/>
        </w:rPr>
        <w:t>τους παίκτες στα γήπεδα, τους θεατές, τ</w:t>
      </w:r>
      <w:r w:rsidR="003775C4" w:rsidRPr="005774F5">
        <w:rPr>
          <w:lang w:val="el-GR"/>
        </w:rPr>
        <w:t xml:space="preserve">α διοικητικά στελέχη </w:t>
      </w:r>
      <w:r w:rsidR="009E3798" w:rsidRPr="005774F5">
        <w:rPr>
          <w:lang w:val="el-GR"/>
        </w:rPr>
        <w:t>κλπ.</w:t>
      </w:r>
      <w:r w:rsidR="00111FE3" w:rsidRPr="005774F5">
        <w:rPr>
          <w:lang w:val="el-GR"/>
        </w:rPr>
        <w:t>-</w:t>
      </w:r>
      <w:r w:rsidR="003775C4" w:rsidRPr="005774F5">
        <w:rPr>
          <w:lang w:val="el-GR"/>
        </w:rPr>
        <w:t xml:space="preserve"> η σημασ</w:t>
      </w:r>
      <w:r w:rsidR="006E61B2" w:rsidRPr="005774F5">
        <w:rPr>
          <w:lang w:val="el-GR"/>
        </w:rPr>
        <w:t xml:space="preserve">ία των υπεύθυνων επενδύσεων, οι οποίες εν τέλει προασπίζουν την οικονομική καθώς και τη λειτουργική βιωσιμότητα </w:t>
      </w:r>
      <w:r w:rsidR="0011738A" w:rsidRPr="005774F5">
        <w:rPr>
          <w:lang w:val="el-GR"/>
        </w:rPr>
        <w:t>των συλλόγων, δεν μπορεί να τονιστεί αρκετά</w:t>
      </w:r>
      <w:r w:rsidR="005E7C2E" w:rsidRPr="005774F5">
        <w:rPr>
          <w:lang w:val="el-GR"/>
        </w:rPr>
        <w:t>».</w:t>
      </w:r>
      <w:r w:rsidR="003775C4" w:rsidRPr="005774F5">
        <w:rPr>
          <w:lang w:val="el-GR"/>
        </w:rPr>
        <w:t xml:space="preserve"> </w:t>
      </w:r>
    </w:p>
    <w:p w14:paraId="0CFB4C0E" w14:textId="680544AB" w:rsidR="00EE09D0" w:rsidRPr="005774F5" w:rsidRDefault="00EE09D0" w:rsidP="008D2675">
      <w:pPr>
        <w:jc w:val="both"/>
        <w:rPr>
          <w:lang w:val="el-GR"/>
        </w:rPr>
      </w:pPr>
    </w:p>
    <w:p w14:paraId="082C4237" w14:textId="3B4E9CB6" w:rsidR="00111FE3" w:rsidRPr="005774F5" w:rsidRDefault="00111FE3" w:rsidP="00D42EAB">
      <w:pPr>
        <w:ind w:left="284" w:hanging="284"/>
        <w:jc w:val="both"/>
        <w:rPr>
          <w:b/>
          <w:lang w:val="el-GR"/>
        </w:rPr>
      </w:pPr>
      <w:r w:rsidRPr="005774F5">
        <w:rPr>
          <w:b/>
          <w:lang w:val="el-GR"/>
        </w:rPr>
        <w:t>Σημείωμα προς συντάκτες:</w:t>
      </w:r>
    </w:p>
    <w:p w14:paraId="582AE98B" w14:textId="5C28114B" w:rsidR="00111FE3" w:rsidRPr="005774F5" w:rsidRDefault="00111FE3" w:rsidP="00D42EAB">
      <w:pPr>
        <w:ind w:left="284" w:hanging="284"/>
        <w:jc w:val="both"/>
        <w:rPr>
          <w:lang w:val="el-GR"/>
        </w:rPr>
      </w:pPr>
      <w:r w:rsidRPr="005774F5">
        <w:rPr>
          <w:noProof/>
        </w:rPr>
        <w:drawing>
          <wp:inline distT="0" distB="0" distL="0" distR="0" wp14:anchorId="014E50F1" wp14:editId="3483E00E">
            <wp:extent cx="3621974" cy="2905125"/>
            <wp:effectExtent l="0" t="0" r="0" b="0"/>
            <wp:docPr id="994204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3624413" cy="2907082"/>
                    </a:xfrm>
                    <a:prstGeom prst="rect">
                      <a:avLst/>
                    </a:prstGeom>
                  </pic:spPr>
                </pic:pic>
              </a:graphicData>
            </a:graphic>
          </wp:inline>
        </w:drawing>
      </w:r>
    </w:p>
    <w:p w14:paraId="5F7E9AFB" w14:textId="77777777" w:rsidR="00111FE3" w:rsidRPr="005774F5" w:rsidRDefault="00111FE3" w:rsidP="008D2675">
      <w:pPr>
        <w:jc w:val="both"/>
        <w:rPr>
          <w:rFonts w:cstheme="minorHAnsi"/>
          <w:b/>
          <w:bCs/>
          <w:lang w:val="el-GR"/>
        </w:rPr>
      </w:pPr>
      <w:r w:rsidRPr="005774F5">
        <w:rPr>
          <w:rFonts w:cstheme="minorHAnsi"/>
          <w:b/>
          <w:bCs/>
          <w:lang w:val="el-GR"/>
        </w:rPr>
        <w:t>Συναλλαγματική ισοτιμία</w:t>
      </w:r>
    </w:p>
    <w:p w14:paraId="170C69DA" w14:textId="20226B2C" w:rsidR="00111FE3" w:rsidRPr="005774F5" w:rsidRDefault="00111FE3" w:rsidP="008D2675">
      <w:pPr>
        <w:jc w:val="both"/>
        <w:rPr>
          <w:rFonts w:cstheme="minorHAnsi"/>
          <w:lang w:val="el-GR"/>
        </w:rPr>
      </w:pPr>
      <w:r w:rsidRPr="005774F5">
        <w:rPr>
          <w:rFonts w:cstheme="minorHAnsi"/>
          <w:lang w:val="el-GR"/>
        </w:rPr>
        <w:t>Η μέση συναλλαγματική ισοτιμία για το έτος που έληξε στις 30 Ιουνίου 2021 χρησιμοποιήθηκε για τη μετατροπή των αριθμών μεταξύ ευρώ και στερλίνας (</w:t>
      </w:r>
      <w:r w:rsidRPr="005774F5">
        <w:rPr>
          <w:rFonts w:eastAsiaTheme="minorEastAsia"/>
          <w:lang w:val="el-GR"/>
        </w:rPr>
        <w:t>£</w:t>
      </w:r>
      <w:r w:rsidRPr="005774F5">
        <w:rPr>
          <w:rFonts w:cstheme="minorHAnsi"/>
          <w:lang w:val="el-GR"/>
        </w:rPr>
        <w:t xml:space="preserve">1 </w:t>
      </w:r>
      <w:r w:rsidR="00687954" w:rsidRPr="005774F5">
        <w:rPr>
          <w:rFonts w:cstheme="minorHAnsi"/>
          <w:lang w:val="el-GR"/>
        </w:rPr>
        <w:t>€</w:t>
      </w:r>
      <w:r w:rsidRPr="005774F5">
        <w:rPr>
          <w:rFonts w:cstheme="minorHAnsi"/>
          <w:lang w:val="el-GR"/>
        </w:rPr>
        <w:t xml:space="preserve">= </w:t>
      </w:r>
      <w:r w:rsidRPr="005774F5">
        <w:rPr>
          <w:rFonts w:eastAsiaTheme="minorEastAsia"/>
          <w:lang w:val="el-GR"/>
        </w:rPr>
        <w:t>€1.13</w:t>
      </w:r>
      <w:r w:rsidRPr="005774F5">
        <w:rPr>
          <w:rFonts w:cstheme="minorHAnsi"/>
          <w:lang w:val="el-GR"/>
        </w:rPr>
        <w:t>).</w:t>
      </w:r>
    </w:p>
    <w:p w14:paraId="52457B6E" w14:textId="77777777" w:rsidR="00111FE3" w:rsidRPr="005774F5" w:rsidRDefault="00111FE3" w:rsidP="008D2675">
      <w:pPr>
        <w:jc w:val="both"/>
        <w:rPr>
          <w:rFonts w:cstheme="minorHAnsi"/>
          <w:b/>
          <w:bCs/>
          <w:lang w:val="el-GR"/>
        </w:rPr>
      </w:pPr>
    </w:p>
    <w:p w14:paraId="4E9CFD62" w14:textId="77777777" w:rsidR="00111FE3" w:rsidRPr="005774F5" w:rsidRDefault="00111FE3" w:rsidP="008D2675">
      <w:pPr>
        <w:jc w:val="both"/>
        <w:rPr>
          <w:rFonts w:cstheme="minorHAnsi"/>
          <w:b/>
          <w:bCs/>
          <w:lang w:val="el-GR"/>
        </w:rPr>
      </w:pPr>
      <w:r w:rsidRPr="005774F5">
        <w:rPr>
          <w:rFonts w:cstheme="minorHAnsi"/>
          <w:b/>
          <w:bCs/>
          <w:lang w:val="el-GR"/>
        </w:rPr>
        <w:lastRenderedPageBreak/>
        <w:t>Μισθολογικά κόστη</w:t>
      </w:r>
    </w:p>
    <w:p w14:paraId="77B16AF2" w14:textId="63763B04" w:rsidR="00111FE3" w:rsidRPr="005774F5" w:rsidRDefault="00111FE3" w:rsidP="008D2675">
      <w:pPr>
        <w:jc w:val="both"/>
        <w:rPr>
          <w:rFonts w:cstheme="minorHAnsi"/>
          <w:lang w:val="el-GR"/>
        </w:rPr>
      </w:pPr>
      <w:r w:rsidRPr="005774F5">
        <w:rPr>
          <w:rFonts w:cstheme="minorHAnsi"/>
          <w:lang w:val="el-GR"/>
        </w:rPr>
        <w:t xml:space="preserve">Τα μισθολογικά κόστη αφορούν όλους τους </w:t>
      </w:r>
      <w:r w:rsidR="003D2E81" w:rsidRPr="005774F5">
        <w:rPr>
          <w:rFonts w:cstheme="minorHAnsi"/>
          <w:lang w:val="el-GR"/>
        </w:rPr>
        <w:t xml:space="preserve">εργαζομένους </w:t>
      </w:r>
      <w:r w:rsidRPr="005774F5">
        <w:rPr>
          <w:rFonts w:cstheme="minorHAnsi"/>
          <w:lang w:val="el-GR"/>
        </w:rPr>
        <w:t>(συμπεριλαμβανομένων των παικτών, τεχνικών και διοικητικών υπαλλήλων) και περιλαμβάνουν αποδοχές, μισθούς, τέλη εγγραφής, μπόνους, αποζημιώσεις διακοπής (της εργασιακής σχέσης), εισφορές κοινωνικής ασφάλισης και άλλες παροχές σε εργαζομένους.</w:t>
      </w:r>
    </w:p>
    <w:p w14:paraId="6C60B7A7" w14:textId="77777777" w:rsidR="00111FE3" w:rsidRPr="005774F5" w:rsidRDefault="00111FE3" w:rsidP="008D2675">
      <w:pPr>
        <w:jc w:val="both"/>
        <w:rPr>
          <w:rFonts w:cstheme="minorHAnsi"/>
          <w:color w:val="FF0000"/>
          <w:lang w:val="el-GR"/>
        </w:rPr>
      </w:pPr>
    </w:p>
    <w:p w14:paraId="557277AE" w14:textId="381D5119" w:rsidR="00111FE3" w:rsidRPr="005774F5" w:rsidRDefault="00111FE3" w:rsidP="008D2675">
      <w:pPr>
        <w:jc w:val="both"/>
        <w:rPr>
          <w:rFonts w:cstheme="minorHAnsi"/>
          <w:lang w:val="en-US"/>
        </w:rPr>
      </w:pPr>
      <w:r w:rsidRPr="005774F5">
        <w:rPr>
          <w:rFonts w:cstheme="minorHAnsi"/>
          <w:lang w:val="el-GR"/>
        </w:rPr>
        <w:t>Διαβάστε</w:t>
      </w:r>
      <w:r w:rsidRPr="005774F5">
        <w:rPr>
          <w:rFonts w:cstheme="minorHAnsi"/>
        </w:rPr>
        <w:t xml:space="preserve"> </w:t>
      </w:r>
      <w:r w:rsidRPr="005774F5">
        <w:rPr>
          <w:rFonts w:cstheme="minorHAnsi"/>
          <w:lang w:val="el-GR"/>
        </w:rPr>
        <w:t>ολόκληρο</w:t>
      </w:r>
      <w:r w:rsidRPr="005774F5">
        <w:rPr>
          <w:rFonts w:cstheme="minorHAnsi"/>
        </w:rPr>
        <w:t xml:space="preserve"> </w:t>
      </w:r>
      <w:r w:rsidRPr="005774F5">
        <w:rPr>
          <w:rFonts w:cstheme="minorHAnsi"/>
          <w:lang w:val="el-GR"/>
        </w:rPr>
        <w:t>το</w:t>
      </w:r>
      <w:r w:rsidRPr="005774F5">
        <w:rPr>
          <w:rFonts w:cstheme="minorHAnsi"/>
        </w:rPr>
        <w:t xml:space="preserve"> 3</w:t>
      </w:r>
      <w:r w:rsidRPr="005774F5">
        <w:rPr>
          <w:rFonts w:cstheme="minorHAnsi"/>
          <w:lang w:val="en-US"/>
        </w:rPr>
        <w:t>1</w:t>
      </w:r>
      <w:r w:rsidRPr="005774F5">
        <w:rPr>
          <w:rFonts w:cstheme="minorHAnsi"/>
        </w:rPr>
        <w:t xml:space="preserve">ο Annual Review of Football Finance </w:t>
      </w:r>
      <w:proofErr w:type="spellStart"/>
      <w:r w:rsidRPr="005774F5">
        <w:rPr>
          <w:rFonts w:cstheme="minorHAnsi"/>
        </w:rPr>
        <w:t>της</w:t>
      </w:r>
      <w:proofErr w:type="spellEnd"/>
      <w:r w:rsidRPr="005774F5">
        <w:rPr>
          <w:rFonts w:cstheme="minorHAnsi"/>
        </w:rPr>
        <w:t xml:space="preserve"> Deloitte:</w:t>
      </w:r>
      <w:r w:rsidR="009E3798">
        <w:rPr>
          <w:rFonts w:cstheme="minorHAnsi"/>
        </w:rPr>
        <w:t xml:space="preserve"> </w:t>
      </w:r>
      <w:hyperlink r:id="rId7" w:history="1">
        <w:r w:rsidR="008D2675" w:rsidRPr="008D2675">
          <w:rPr>
            <w:color w:val="0000FF"/>
            <w:u w:val="single"/>
          </w:rPr>
          <w:t>Annual Review of Football Finance 2022 (deloitte.com)</w:t>
        </w:r>
      </w:hyperlink>
    </w:p>
    <w:p w14:paraId="2199C6B5" w14:textId="39827F59" w:rsidR="00111FE3" w:rsidRPr="005774F5" w:rsidRDefault="00111FE3" w:rsidP="00D42EAB">
      <w:pPr>
        <w:ind w:left="284" w:hanging="284"/>
        <w:jc w:val="both"/>
        <w:outlineLvl w:val="0"/>
        <w:rPr>
          <w:rFonts w:ascii="Calibri" w:hAnsi="Calibri" w:cs="Calibri"/>
          <w:b/>
          <w:u w:val="single"/>
        </w:rPr>
      </w:pPr>
      <w:r w:rsidRPr="005774F5">
        <w:rPr>
          <w:rFonts w:ascii="Calibri" w:hAnsi="Calibri" w:cs="Calibri"/>
          <w:b/>
          <w:u w:val="single"/>
          <w:lang w:val="el-GR"/>
        </w:rPr>
        <w:t>Για</w:t>
      </w:r>
      <w:r w:rsidRPr="005774F5">
        <w:rPr>
          <w:rFonts w:ascii="Calibri" w:hAnsi="Calibri" w:cs="Calibri"/>
          <w:b/>
          <w:u w:val="single"/>
          <w:lang w:val="en-US"/>
        </w:rPr>
        <w:t xml:space="preserve"> </w:t>
      </w:r>
      <w:r w:rsidRPr="005774F5">
        <w:rPr>
          <w:rFonts w:ascii="Calibri" w:hAnsi="Calibri" w:cs="Calibri"/>
          <w:b/>
          <w:u w:val="single"/>
          <w:lang w:val="el-GR"/>
        </w:rPr>
        <w:t>περισσότερες</w:t>
      </w:r>
      <w:r w:rsidRPr="005774F5">
        <w:rPr>
          <w:rFonts w:ascii="Calibri" w:hAnsi="Calibri" w:cs="Calibri"/>
          <w:b/>
          <w:u w:val="single"/>
          <w:lang w:val="en-US"/>
        </w:rPr>
        <w:t xml:space="preserve"> </w:t>
      </w:r>
      <w:r w:rsidRPr="005774F5">
        <w:rPr>
          <w:rFonts w:ascii="Calibri" w:hAnsi="Calibri" w:cs="Calibri"/>
          <w:b/>
          <w:u w:val="single"/>
          <w:lang w:val="el-GR"/>
        </w:rPr>
        <w:t>πληροφορίες</w:t>
      </w:r>
    </w:p>
    <w:p w14:paraId="4DFB8C2A" w14:textId="77777777" w:rsidR="00AC09ED" w:rsidRPr="005774F5" w:rsidRDefault="00AC09ED" w:rsidP="00D42EAB">
      <w:pPr>
        <w:shd w:val="clear" w:color="auto" w:fill="FFFFFF"/>
        <w:spacing w:after="0" w:line="240" w:lineRule="auto"/>
        <w:ind w:left="284" w:hanging="284"/>
        <w:jc w:val="both"/>
        <w:rPr>
          <w:rFonts w:eastAsia="Times New Roman" w:cstheme="minorHAnsi"/>
          <w:lang w:val="en-US" w:eastAsia="el-GR"/>
        </w:rPr>
      </w:pPr>
      <w:r w:rsidRPr="005774F5">
        <w:rPr>
          <w:rFonts w:eastAsia="Times New Roman" w:cstheme="minorHAnsi"/>
          <w:lang w:val="en-US" w:eastAsia="el-GR"/>
        </w:rPr>
        <w:t xml:space="preserve">Deloitte, </w:t>
      </w:r>
      <w:r w:rsidRPr="005774F5">
        <w:rPr>
          <w:rFonts w:eastAsia="Times New Roman" w:cstheme="minorHAnsi"/>
          <w:lang w:val="el-GR" w:eastAsia="el-GR"/>
        </w:rPr>
        <w:t>Κέλλυ</w:t>
      </w:r>
      <w:r w:rsidRPr="005774F5">
        <w:rPr>
          <w:rFonts w:eastAsia="Times New Roman" w:cstheme="minorHAnsi"/>
          <w:lang w:val="en-US" w:eastAsia="el-GR"/>
        </w:rPr>
        <w:t xml:space="preserve"> </w:t>
      </w:r>
      <w:proofErr w:type="spellStart"/>
      <w:r w:rsidRPr="005774F5">
        <w:rPr>
          <w:rFonts w:eastAsia="Times New Roman" w:cstheme="minorHAnsi"/>
          <w:lang w:val="el-GR" w:eastAsia="el-GR"/>
        </w:rPr>
        <w:t>Κουφοπούλου</w:t>
      </w:r>
      <w:proofErr w:type="spellEnd"/>
      <w:r w:rsidRPr="005774F5">
        <w:rPr>
          <w:rFonts w:eastAsia="Times New Roman" w:cstheme="minorHAnsi"/>
          <w:lang w:val="en-US" w:eastAsia="el-GR"/>
        </w:rPr>
        <w:t>, Manager, Brand &amp; Communications</w:t>
      </w:r>
    </w:p>
    <w:p w14:paraId="463CFF86" w14:textId="77777777" w:rsidR="00AC09ED" w:rsidRPr="005774F5" w:rsidRDefault="00AC09ED" w:rsidP="00D42EAB">
      <w:pPr>
        <w:shd w:val="clear" w:color="auto" w:fill="FFFFFF"/>
        <w:spacing w:after="0" w:line="240" w:lineRule="auto"/>
        <w:ind w:left="284" w:hanging="284"/>
        <w:jc w:val="both"/>
        <w:rPr>
          <w:rFonts w:eastAsia="Times New Roman" w:cstheme="minorHAnsi"/>
          <w:lang w:val="en-US" w:eastAsia="el-GR"/>
        </w:rPr>
      </w:pPr>
      <w:r w:rsidRPr="005774F5">
        <w:rPr>
          <w:rFonts w:eastAsia="Times New Roman" w:cstheme="minorHAnsi"/>
          <w:lang w:val="en-US" w:eastAsia="el-GR"/>
        </w:rPr>
        <w:t xml:space="preserve">email: </w:t>
      </w:r>
      <w:hyperlink r:id="rId8" w:history="1">
        <w:r w:rsidRPr="005774F5">
          <w:rPr>
            <w:rStyle w:val="Hyperlink"/>
            <w:rFonts w:eastAsia="Times New Roman" w:cstheme="minorHAnsi"/>
            <w:lang w:val="en-US" w:eastAsia="el-GR"/>
          </w:rPr>
          <w:t>kkoufopoulou@deloitte.gr</w:t>
        </w:r>
      </w:hyperlink>
    </w:p>
    <w:p w14:paraId="5E5C4F7F" w14:textId="77777777" w:rsidR="00AC09ED" w:rsidRPr="00AC09ED" w:rsidRDefault="00AC09ED" w:rsidP="00111FE3">
      <w:pPr>
        <w:outlineLvl w:val="0"/>
        <w:rPr>
          <w:rFonts w:ascii="Calibri" w:hAnsi="Calibri" w:cs="Calibri"/>
          <w:lang w:val="en-US"/>
        </w:rPr>
      </w:pPr>
    </w:p>
    <w:p w14:paraId="064AF4C8" w14:textId="77777777" w:rsidR="00111FE3" w:rsidRPr="00BF26FA" w:rsidRDefault="00111FE3" w:rsidP="00111FE3">
      <w:pPr>
        <w:pStyle w:val="paragraph"/>
        <w:spacing w:before="0" w:beforeAutospacing="0" w:after="0" w:afterAutospacing="0"/>
        <w:textAlignment w:val="baseline"/>
        <w:rPr>
          <w:rStyle w:val="normaltextrun"/>
          <w:rFonts w:ascii="Calibri" w:hAnsi="Calibri" w:cs="Calibri"/>
          <w:sz w:val="18"/>
          <w:szCs w:val="22"/>
        </w:rPr>
      </w:pPr>
      <w:r w:rsidRPr="00BF26FA">
        <w:rPr>
          <w:rStyle w:val="normaltextrun"/>
          <w:rFonts w:ascii="Calibri" w:hAnsi="Calibri" w:cs="Calibri"/>
          <w:sz w:val="18"/>
          <w:szCs w:val="22"/>
        </w:rPr>
        <w:t xml:space="preserve">This document has been prepared by Deloitte Business Solutions </w:t>
      </w:r>
      <w:proofErr w:type="spellStart"/>
      <w:r w:rsidRPr="00BF26FA">
        <w:rPr>
          <w:rStyle w:val="normaltextrun"/>
          <w:rFonts w:ascii="Calibri" w:hAnsi="Calibri" w:cs="Calibri"/>
          <w:sz w:val="18"/>
          <w:szCs w:val="22"/>
        </w:rPr>
        <w:t>Societe</w:t>
      </w:r>
      <w:proofErr w:type="spellEnd"/>
      <w:r w:rsidRPr="00BF26FA">
        <w:rPr>
          <w:rStyle w:val="normaltextrun"/>
          <w:rFonts w:ascii="Calibri" w:hAnsi="Calibri" w:cs="Calibri"/>
          <w:sz w:val="18"/>
          <w:szCs w:val="22"/>
        </w:rPr>
        <w:t xml:space="preserve"> Anonyme of Business Consultants, Deloitte Certified Public Accountants </w:t>
      </w:r>
      <w:proofErr w:type="spellStart"/>
      <w:r w:rsidRPr="00BF26FA">
        <w:rPr>
          <w:rStyle w:val="normaltextrun"/>
          <w:rFonts w:ascii="Calibri" w:hAnsi="Calibri" w:cs="Calibri"/>
          <w:sz w:val="18"/>
          <w:szCs w:val="22"/>
        </w:rPr>
        <w:t>Societe</w:t>
      </w:r>
      <w:proofErr w:type="spellEnd"/>
      <w:r w:rsidRPr="00BF26FA">
        <w:rPr>
          <w:rStyle w:val="normaltextrun"/>
          <w:rFonts w:ascii="Calibri" w:hAnsi="Calibri" w:cs="Calibri"/>
          <w:sz w:val="18"/>
          <w:szCs w:val="22"/>
        </w:rPr>
        <w:t xml:space="preserve"> Anonyme and Deloitte Alexander Competence Center Single Member </w:t>
      </w:r>
      <w:proofErr w:type="spellStart"/>
      <w:r w:rsidRPr="00BF26FA">
        <w:rPr>
          <w:rStyle w:val="normaltextrun"/>
          <w:rFonts w:ascii="Calibri" w:hAnsi="Calibri" w:cs="Calibri"/>
          <w:sz w:val="18"/>
          <w:szCs w:val="22"/>
        </w:rPr>
        <w:t>Societe</w:t>
      </w:r>
      <w:proofErr w:type="spellEnd"/>
      <w:r w:rsidRPr="00BF26FA">
        <w:rPr>
          <w:rStyle w:val="normaltextrun"/>
          <w:rFonts w:ascii="Calibri" w:hAnsi="Calibri" w:cs="Calibri"/>
          <w:sz w:val="18"/>
          <w:szCs w:val="22"/>
        </w:rPr>
        <w:t xml:space="preserve"> Anonyme of Business Consultants. </w:t>
      </w:r>
    </w:p>
    <w:p w14:paraId="049D408D" w14:textId="77777777" w:rsidR="00111FE3" w:rsidRPr="00BF26FA" w:rsidRDefault="00111FE3" w:rsidP="00111FE3">
      <w:pPr>
        <w:pStyle w:val="paragraph"/>
        <w:spacing w:before="0" w:beforeAutospacing="0" w:after="0" w:afterAutospacing="0"/>
        <w:textAlignment w:val="baseline"/>
        <w:rPr>
          <w:rStyle w:val="normaltextrun"/>
          <w:rFonts w:ascii="Calibri" w:hAnsi="Calibri" w:cs="Calibri"/>
          <w:sz w:val="18"/>
          <w:szCs w:val="22"/>
        </w:rPr>
      </w:pPr>
      <w:r w:rsidRPr="00BF26FA">
        <w:rPr>
          <w:rStyle w:val="normaltextrun"/>
          <w:rFonts w:ascii="Calibri" w:hAnsi="Calibri" w:cs="Calibri"/>
          <w:sz w:val="18"/>
          <w:szCs w:val="22"/>
        </w:rPr>
        <w:t xml:space="preserve">Deloitte Business Solutions </w:t>
      </w:r>
      <w:proofErr w:type="spellStart"/>
      <w:r w:rsidRPr="00BF26FA">
        <w:rPr>
          <w:rStyle w:val="normaltextrun"/>
          <w:rFonts w:ascii="Calibri" w:hAnsi="Calibri" w:cs="Calibri"/>
          <w:sz w:val="18"/>
          <w:szCs w:val="22"/>
        </w:rPr>
        <w:t>Societe</w:t>
      </w:r>
      <w:proofErr w:type="spellEnd"/>
      <w:r w:rsidRPr="00BF26FA">
        <w:rPr>
          <w:rStyle w:val="normaltextrun"/>
          <w:rFonts w:ascii="Calibri" w:hAnsi="Calibri" w:cs="Calibri"/>
          <w:sz w:val="18"/>
          <w:szCs w:val="22"/>
        </w:rPr>
        <w:t xml:space="preserve"> Anonyme of Business Consultants, a Greek company, registered in Greece with registered number 000665201000 and its registered office at </w:t>
      </w:r>
      <w:proofErr w:type="spellStart"/>
      <w:r w:rsidRPr="00BF26FA">
        <w:rPr>
          <w:rStyle w:val="normaltextrun"/>
          <w:rFonts w:ascii="Calibri" w:hAnsi="Calibri" w:cs="Calibri"/>
          <w:sz w:val="18"/>
          <w:szCs w:val="22"/>
        </w:rPr>
        <w:t>Marousi</w:t>
      </w:r>
      <w:proofErr w:type="spellEnd"/>
      <w:r w:rsidRPr="00BF26FA">
        <w:rPr>
          <w:rStyle w:val="normaltextrun"/>
          <w:rFonts w:ascii="Calibri" w:hAnsi="Calibri" w:cs="Calibri"/>
          <w:sz w:val="18"/>
          <w:szCs w:val="22"/>
        </w:rPr>
        <w:t xml:space="preserve"> Attica, 3a </w:t>
      </w:r>
      <w:proofErr w:type="spellStart"/>
      <w:r w:rsidRPr="00BF26FA">
        <w:rPr>
          <w:rStyle w:val="normaltextrun"/>
          <w:rFonts w:ascii="Calibri" w:hAnsi="Calibri" w:cs="Calibri"/>
          <w:sz w:val="18"/>
          <w:szCs w:val="22"/>
        </w:rPr>
        <w:t>Fragkokklisias</w:t>
      </w:r>
      <w:proofErr w:type="spellEnd"/>
      <w:r w:rsidRPr="00BF26FA">
        <w:rPr>
          <w:rStyle w:val="normaltextrun"/>
          <w:rFonts w:ascii="Calibri" w:hAnsi="Calibri" w:cs="Calibri"/>
          <w:sz w:val="18"/>
          <w:szCs w:val="22"/>
        </w:rPr>
        <w:t xml:space="preserve"> &amp; </w:t>
      </w:r>
      <w:proofErr w:type="spellStart"/>
      <w:r w:rsidRPr="00BF26FA">
        <w:rPr>
          <w:rStyle w:val="normaltextrun"/>
          <w:rFonts w:ascii="Calibri" w:hAnsi="Calibri" w:cs="Calibri"/>
          <w:sz w:val="18"/>
          <w:szCs w:val="22"/>
        </w:rPr>
        <w:t>Granikou</w:t>
      </w:r>
      <w:proofErr w:type="spellEnd"/>
      <w:r w:rsidRPr="00BF26FA">
        <w:rPr>
          <w:rStyle w:val="normaltextrun"/>
          <w:rFonts w:ascii="Calibri" w:hAnsi="Calibri" w:cs="Calibri"/>
          <w:sz w:val="18"/>
          <w:szCs w:val="22"/>
        </w:rPr>
        <w:t xml:space="preserve"> str., 151 25, Deloitte Certified Public Accountants </w:t>
      </w:r>
      <w:proofErr w:type="spellStart"/>
      <w:r w:rsidRPr="00BF26FA">
        <w:rPr>
          <w:rStyle w:val="normaltextrun"/>
          <w:rFonts w:ascii="Calibri" w:hAnsi="Calibri" w:cs="Calibri"/>
          <w:sz w:val="18"/>
          <w:szCs w:val="22"/>
        </w:rPr>
        <w:t>Societe</w:t>
      </w:r>
      <w:proofErr w:type="spellEnd"/>
      <w:r w:rsidRPr="00BF26FA">
        <w:rPr>
          <w:rStyle w:val="normaltextrun"/>
          <w:rFonts w:ascii="Calibri" w:hAnsi="Calibri" w:cs="Calibri"/>
          <w:sz w:val="18"/>
          <w:szCs w:val="22"/>
        </w:rPr>
        <w:t xml:space="preserve"> Anonyme, a Greek company, registered in Greece with registered number 0001223601000 and its registered office at </w:t>
      </w:r>
      <w:proofErr w:type="spellStart"/>
      <w:r w:rsidRPr="00BF26FA">
        <w:rPr>
          <w:rStyle w:val="normaltextrun"/>
          <w:rFonts w:ascii="Calibri" w:hAnsi="Calibri" w:cs="Calibri"/>
          <w:sz w:val="18"/>
          <w:szCs w:val="22"/>
        </w:rPr>
        <w:t>Marousi</w:t>
      </w:r>
      <w:proofErr w:type="spellEnd"/>
      <w:r w:rsidRPr="00BF26FA">
        <w:rPr>
          <w:rStyle w:val="normaltextrun"/>
          <w:rFonts w:ascii="Calibri" w:hAnsi="Calibri" w:cs="Calibri"/>
          <w:sz w:val="18"/>
          <w:szCs w:val="22"/>
        </w:rPr>
        <w:t xml:space="preserve">, Attica, 3a </w:t>
      </w:r>
      <w:proofErr w:type="spellStart"/>
      <w:r w:rsidRPr="00BF26FA">
        <w:rPr>
          <w:rStyle w:val="normaltextrun"/>
          <w:rFonts w:ascii="Calibri" w:hAnsi="Calibri" w:cs="Calibri"/>
          <w:sz w:val="18"/>
          <w:szCs w:val="22"/>
        </w:rPr>
        <w:t>Fragkokklisias</w:t>
      </w:r>
      <w:proofErr w:type="spellEnd"/>
      <w:r w:rsidRPr="00BF26FA">
        <w:rPr>
          <w:rStyle w:val="normaltextrun"/>
          <w:rFonts w:ascii="Calibri" w:hAnsi="Calibri" w:cs="Calibri"/>
          <w:sz w:val="18"/>
          <w:szCs w:val="22"/>
        </w:rPr>
        <w:t xml:space="preserve"> &amp; </w:t>
      </w:r>
      <w:proofErr w:type="spellStart"/>
      <w:r w:rsidRPr="00BF26FA">
        <w:rPr>
          <w:rStyle w:val="normaltextrun"/>
          <w:rFonts w:ascii="Calibri" w:hAnsi="Calibri" w:cs="Calibri"/>
          <w:sz w:val="18"/>
          <w:szCs w:val="22"/>
        </w:rPr>
        <w:t>Granikou</w:t>
      </w:r>
      <w:proofErr w:type="spellEnd"/>
      <w:r w:rsidRPr="00BF26FA">
        <w:rPr>
          <w:rStyle w:val="normaltextrun"/>
          <w:rFonts w:ascii="Calibri" w:hAnsi="Calibri" w:cs="Calibri"/>
          <w:sz w:val="18"/>
          <w:szCs w:val="22"/>
        </w:rPr>
        <w:t xml:space="preserve"> str., 151 25 and Deloitte Alexander Competence Center Single Member </w:t>
      </w:r>
      <w:proofErr w:type="spellStart"/>
      <w:r w:rsidRPr="00BF26FA">
        <w:rPr>
          <w:rStyle w:val="normaltextrun"/>
          <w:rFonts w:ascii="Calibri" w:hAnsi="Calibri" w:cs="Calibri"/>
          <w:sz w:val="18"/>
          <w:szCs w:val="22"/>
        </w:rPr>
        <w:t>Societe</w:t>
      </w:r>
      <w:proofErr w:type="spellEnd"/>
      <w:r w:rsidRPr="00BF26FA">
        <w:rPr>
          <w:rStyle w:val="normaltextrun"/>
          <w:rFonts w:ascii="Calibri" w:hAnsi="Calibri" w:cs="Calibri"/>
          <w:sz w:val="18"/>
          <w:szCs w:val="22"/>
        </w:rPr>
        <w:t xml:space="preserve"> Anonyme of Business Consultants, a Greek company, registered in Greece with registered number 144724504000 and its registered office at Thessaloniki, Municipality of </w:t>
      </w:r>
      <w:proofErr w:type="spellStart"/>
      <w:r w:rsidRPr="00BF26FA">
        <w:rPr>
          <w:rStyle w:val="normaltextrun"/>
          <w:rFonts w:ascii="Calibri" w:hAnsi="Calibri" w:cs="Calibri"/>
          <w:sz w:val="18"/>
          <w:szCs w:val="22"/>
        </w:rPr>
        <w:t>Pylaia</w:t>
      </w:r>
      <w:proofErr w:type="spellEnd"/>
      <w:r w:rsidRPr="00BF26FA">
        <w:rPr>
          <w:rStyle w:val="normaltextrun"/>
          <w:rFonts w:ascii="Calibri" w:hAnsi="Calibri" w:cs="Calibri"/>
          <w:sz w:val="18"/>
          <w:szCs w:val="22"/>
        </w:rPr>
        <w:t xml:space="preserve"> - </w:t>
      </w:r>
      <w:proofErr w:type="spellStart"/>
      <w:r w:rsidRPr="00BF26FA">
        <w:rPr>
          <w:rStyle w:val="normaltextrun"/>
          <w:rFonts w:ascii="Calibri" w:hAnsi="Calibri" w:cs="Calibri"/>
          <w:sz w:val="18"/>
          <w:szCs w:val="22"/>
        </w:rPr>
        <w:t>Chortiatis</w:t>
      </w:r>
      <w:proofErr w:type="spellEnd"/>
      <w:r w:rsidRPr="00BF26FA">
        <w:rPr>
          <w:rStyle w:val="normaltextrun"/>
          <w:rFonts w:ascii="Calibri" w:hAnsi="Calibri" w:cs="Calibri"/>
          <w:sz w:val="18"/>
          <w:szCs w:val="22"/>
        </w:rPr>
        <w:t xml:space="preserve"> of Thessaloniki, </w:t>
      </w:r>
      <w:proofErr w:type="spellStart"/>
      <w:r w:rsidRPr="00BF26FA">
        <w:rPr>
          <w:rStyle w:val="normaltextrun"/>
          <w:rFonts w:ascii="Calibri" w:hAnsi="Calibri" w:cs="Calibri"/>
          <w:sz w:val="18"/>
          <w:szCs w:val="22"/>
        </w:rPr>
        <w:t>Vepe</w:t>
      </w:r>
      <w:proofErr w:type="spellEnd"/>
      <w:r w:rsidRPr="00BF26FA">
        <w:rPr>
          <w:rStyle w:val="normaltextrun"/>
          <w:rFonts w:ascii="Calibri" w:hAnsi="Calibri" w:cs="Calibri"/>
          <w:sz w:val="18"/>
          <w:szCs w:val="22"/>
        </w:rPr>
        <w:t xml:space="preserve"> Technopolis Thessaloniki (5th and 3rd street), are one of the Deloitte Central Mediterranean </w:t>
      </w:r>
      <w:proofErr w:type="spellStart"/>
      <w:r w:rsidRPr="00BF26FA">
        <w:rPr>
          <w:rStyle w:val="normaltextrun"/>
          <w:rFonts w:ascii="Calibri" w:hAnsi="Calibri" w:cs="Calibri"/>
          <w:sz w:val="18"/>
          <w:szCs w:val="22"/>
        </w:rPr>
        <w:t>S.r.l</w:t>
      </w:r>
      <w:proofErr w:type="spellEnd"/>
      <w:r w:rsidRPr="00BF26FA">
        <w:rPr>
          <w:rStyle w:val="normaltextrun"/>
          <w:rFonts w:ascii="Calibri" w:hAnsi="Calibri" w:cs="Calibri"/>
          <w:sz w:val="18"/>
          <w:szCs w:val="22"/>
        </w:rPr>
        <w:t xml:space="preserve">. (“DCM”) countries. DCM, a company limited by guarantee registered in Italy with registered number 09599600963 and its registered office at Via </w:t>
      </w:r>
      <w:proofErr w:type="spellStart"/>
      <w:r w:rsidRPr="00BF26FA">
        <w:rPr>
          <w:rStyle w:val="normaltextrun"/>
          <w:rFonts w:ascii="Calibri" w:hAnsi="Calibri" w:cs="Calibri"/>
          <w:sz w:val="18"/>
          <w:szCs w:val="22"/>
        </w:rPr>
        <w:t>Tortona</w:t>
      </w:r>
      <w:proofErr w:type="spellEnd"/>
      <w:r w:rsidRPr="00BF26FA">
        <w:rPr>
          <w:rStyle w:val="normaltextrun"/>
          <w:rFonts w:ascii="Calibri" w:hAnsi="Calibri" w:cs="Calibri"/>
          <w:sz w:val="18"/>
          <w:szCs w:val="22"/>
        </w:rPr>
        <w:t xml:space="preserve"> no. 25, 20144, Milan, Italy is one of the Deloitte NSE LLP geographies. Deloitte NSE LLP is a UK limited liability partnership and member firm of Deloitte </w:t>
      </w:r>
      <w:proofErr w:type="spellStart"/>
      <w:r w:rsidRPr="00BF26FA">
        <w:rPr>
          <w:rStyle w:val="normaltextrun"/>
          <w:rFonts w:ascii="Calibri" w:hAnsi="Calibri" w:cs="Calibri"/>
          <w:sz w:val="18"/>
          <w:szCs w:val="22"/>
        </w:rPr>
        <w:t>Touche</w:t>
      </w:r>
      <w:proofErr w:type="spellEnd"/>
      <w:r w:rsidRPr="00BF26FA">
        <w:rPr>
          <w:rStyle w:val="normaltextrun"/>
          <w:rFonts w:ascii="Calibri" w:hAnsi="Calibri" w:cs="Calibri"/>
          <w:sz w:val="18"/>
          <w:szCs w:val="22"/>
        </w:rPr>
        <w:t xml:space="preserve"> Tohmatsu Limited, a UK private company limited by guarantee. </w:t>
      </w:r>
    </w:p>
    <w:p w14:paraId="1FC214ED" w14:textId="77777777" w:rsidR="00111FE3" w:rsidRPr="00BF26FA" w:rsidRDefault="00111FE3" w:rsidP="00111FE3">
      <w:pPr>
        <w:pStyle w:val="paragraph"/>
        <w:spacing w:before="0" w:beforeAutospacing="0" w:after="0" w:afterAutospacing="0"/>
        <w:textAlignment w:val="baseline"/>
        <w:rPr>
          <w:rStyle w:val="normaltextrun"/>
          <w:rFonts w:ascii="Calibri" w:hAnsi="Calibri" w:cs="Calibri"/>
          <w:sz w:val="18"/>
          <w:szCs w:val="22"/>
        </w:rPr>
      </w:pPr>
      <w:r w:rsidRPr="00BF26FA">
        <w:rPr>
          <w:rStyle w:val="normaltextrun"/>
          <w:rFonts w:ascii="Calibri" w:hAnsi="Calibri" w:cs="Calibri"/>
          <w:sz w:val="18"/>
          <w:szCs w:val="22"/>
        </w:rPr>
        <w:t xml:space="preserve">Deloitte refers to one or more of Deloitte </w:t>
      </w:r>
      <w:proofErr w:type="spellStart"/>
      <w:r w:rsidRPr="00BF26FA">
        <w:rPr>
          <w:rStyle w:val="normaltextrun"/>
          <w:rFonts w:ascii="Calibri" w:hAnsi="Calibri" w:cs="Calibri"/>
          <w:sz w:val="18"/>
          <w:szCs w:val="22"/>
        </w:rPr>
        <w:t>Touche</w:t>
      </w:r>
      <w:proofErr w:type="spellEnd"/>
      <w:r w:rsidRPr="00BF26FA">
        <w:rPr>
          <w:rStyle w:val="normaltextrun"/>
          <w:rFonts w:ascii="Calibri" w:hAnsi="Calibri" w:cs="Calibri"/>
          <w:sz w:val="18"/>
          <w:szCs w:val="22"/>
        </w:rPr>
        <w:t xml:space="preserve"> Tohmatsu Limited (“DTTL”), its global network of member firms and their related entities (collectively, the “Deloitte organization”). DTTL (also referred to as “Deloitte Global”) and each of its member firms and related entities are legally separate and independent entities, which cannot obligate or bind each other in respect of third parties. DTTL and each DTTL member firm and related entity is liable only for its own acts and omissions, and not those of any of each other. DTTL does not provide services to clients. Please see www.deloitte.com/ about to learn more. </w:t>
      </w:r>
    </w:p>
    <w:p w14:paraId="73A9884F" w14:textId="77777777" w:rsidR="00111FE3" w:rsidRPr="00BF26FA" w:rsidRDefault="00111FE3" w:rsidP="00111FE3">
      <w:pPr>
        <w:pStyle w:val="paragraph"/>
        <w:spacing w:before="0" w:beforeAutospacing="0" w:after="0" w:afterAutospacing="0"/>
        <w:textAlignment w:val="baseline"/>
        <w:rPr>
          <w:rStyle w:val="normaltextrun"/>
          <w:rFonts w:ascii="Calibri" w:hAnsi="Calibri" w:cs="Calibri"/>
          <w:sz w:val="18"/>
          <w:szCs w:val="22"/>
        </w:rPr>
      </w:pPr>
      <w:r w:rsidRPr="00BF26FA">
        <w:rPr>
          <w:rStyle w:val="normaltextrun"/>
          <w:rFonts w:ascii="Calibri" w:hAnsi="Calibri" w:cs="Calibri"/>
          <w:sz w:val="18"/>
          <w:szCs w:val="22"/>
        </w:rPr>
        <w:t xml:space="preserve">DTTL, Deloitte NSE LLP and Deloitte Central Mediterranean </w:t>
      </w:r>
      <w:proofErr w:type="spellStart"/>
      <w:r w:rsidRPr="00BF26FA">
        <w:rPr>
          <w:rStyle w:val="normaltextrun"/>
          <w:rFonts w:ascii="Calibri" w:hAnsi="Calibri" w:cs="Calibri"/>
          <w:sz w:val="18"/>
          <w:szCs w:val="22"/>
        </w:rPr>
        <w:t>S.r.l</w:t>
      </w:r>
      <w:proofErr w:type="spellEnd"/>
      <w:r w:rsidRPr="00BF26FA">
        <w:rPr>
          <w:rStyle w:val="normaltextrun"/>
          <w:rFonts w:ascii="Calibri" w:hAnsi="Calibri" w:cs="Calibri"/>
          <w:sz w:val="18"/>
          <w:szCs w:val="22"/>
        </w:rPr>
        <w:t xml:space="preserve">. do not provide services to clients. Please see www.deloitte.com/about to learn more about our global network of member firms. </w:t>
      </w:r>
    </w:p>
    <w:p w14:paraId="49DF3217" w14:textId="59C86B5C" w:rsidR="00111FE3" w:rsidRPr="00CA5FE5" w:rsidRDefault="00111FE3" w:rsidP="00111FE3">
      <w:pPr>
        <w:pStyle w:val="paragraph"/>
        <w:spacing w:before="0" w:beforeAutospacing="0" w:after="0" w:afterAutospacing="0"/>
        <w:textAlignment w:val="baseline"/>
        <w:rPr>
          <w:rFonts w:ascii="Calibri" w:hAnsi="Calibri" w:cs="Calibri"/>
          <w:sz w:val="18"/>
          <w:szCs w:val="22"/>
        </w:rPr>
      </w:pPr>
      <w:r w:rsidRPr="00BF26FA">
        <w:rPr>
          <w:rStyle w:val="normaltextrun"/>
          <w:rFonts w:ascii="Calibri" w:hAnsi="Calibri" w:cs="Calibri"/>
          <w:sz w:val="18"/>
          <w:szCs w:val="22"/>
        </w:rPr>
        <w:t xml:space="preserve"> Deloitte is a leading global provider of audit and assurance, consulting, financial advisory, risk advisory, </w:t>
      </w:r>
      <w:proofErr w:type="gramStart"/>
      <w:r w:rsidRPr="00BF26FA">
        <w:rPr>
          <w:rStyle w:val="normaltextrun"/>
          <w:rFonts w:ascii="Calibri" w:hAnsi="Calibri" w:cs="Calibri"/>
          <w:sz w:val="18"/>
          <w:szCs w:val="22"/>
        </w:rPr>
        <w:t>tax</w:t>
      </w:r>
      <w:proofErr w:type="gramEnd"/>
      <w:r w:rsidRPr="00BF26FA">
        <w:rPr>
          <w:rStyle w:val="normaltextrun"/>
          <w:rFonts w:ascii="Calibri" w:hAnsi="Calibri" w:cs="Calibri"/>
          <w:sz w:val="18"/>
          <w:szCs w:val="22"/>
        </w:rPr>
        <w:t xml:space="preserve"> and related services. Our global network of member firms and related entities in more than 150 countries and territories serves four out of five Fortune Global 500® companies. Learn how Deloitte’s approximately 312,000 people make an impact that matters at www.deloitte.com.</w:t>
      </w:r>
      <w:r w:rsidRPr="00CA5FE5">
        <w:rPr>
          <w:rStyle w:val="scxw41457210"/>
          <w:rFonts w:ascii="Calibri" w:hAnsi="Calibri" w:cs="Calibri"/>
          <w:sz w:val="18"/>
          <w:szCs w:val="22"/>
        </w:rPr>
        <w:t> </w:t>
      </w:r>
      <w:r w:rsidRPr="00CA5FE5">
        <w:rPr>
          <w:rFonts w:ascii="Calibri" w:hAnsi="Calibri" w:cs="Calibri"/>
          <w:sz w:val="18"/>
          <w:szCs w:val="22"/>
        </w:rPr>
        <w:br/>
      </w:r>
      <w:r w:rsidRPr="00CA5FE5">
        <w:rPr>
          <w:rStyle w:val="normaltextrun"/>
          <w:rFonts w:ascii="Calibri" w:hAnsi="Calibri" w:cs="Calibri"/>
          <w:sz w:val="18"/>
          <w:szCs w:val="22"/>
          <w:lang w:val="en-GB"/>
        </w:rPr>
        <w:t>© 202</w:t>
      </w:r>
      <w:r w:rsidRPr="00BF26FA">
        <w:rPr>
          <w:rStyle w:val="normaltextrun"/>
          <w:rFonts w:ascii="Calibri" w:hAnsi="Calibri" w:cs="Calibri"/>
          <w:sz w:val="18"/>
          <w:szCs w:val="22"/>
        </w:rPr>
        <w:t>1</w:t>
      </w:r>
      <w:r w:rsidRPr="00CA5FE5">
        <w:rPr>
          <w:rStyle w:val="normaltextrun"/>
          <w:rFonts w:ascii="Calibri" w:hAnsi="Calibri" w:cs="Calibri"/>
          <w:sz w:val="18"/>
          <w:szCs w:val="22"/>
          <w:lang w:val="en-GB"/>
        </w:rPr>
        <w:t xml:space="preserve"> For more information contact Deloitte Central Mediterranean. </w:t>
      </w:r>
    </w:p>
    <w:p w14:paraId="467268A2" w14:textId="77777777" w:rsidR="00111FE3" w:rsidRPr="005774F5" w:rsidRDefault="00111FE3" w:rsidP="00E65D4C">
      <w:pPr>
        <w:rPr>
          <w:sz w:val="24"/>
          <w:szCs w:val="24"/>
          <w:lang w:val="en-US"/>
        </w:rPr>
      </w:pPr>
    </w:p>
    <w:sectPr w:rsidR="00111FE3" w:rsidRPr="005774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433"/>
    <w:multiLevelType w:val="hybridMultilevel"/>
    <w:tmpl w:val="A3428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4BC51C"/>
    <w:multiLevelType w:val="hybridMultilevel"/>
    <w:tmpl w:val="FFFFFFFF"/>
    <w:lvl w:ilvl="0" w:tplc="EF7E4DA4">
      <w:start w:val="1"/>
      <w:numFmt w:val="bullet"/>
      <w:lvlText w:val="·"/>
      <w:lvlJc w:val="left"/>
      <w:pPr>
        <w:ind w:left="720" w:hanging="360"/>
      </w:pPr>
      <w:rPr>
        <w:rFonts w:ascii="Symbol" w:hAnsi="Symbol" w:hint="default"/>
      </w:rPr>
    </w:lvl>
    <w:lvl w:ilvl="1" w:tplc="EA7C4E66">
      <w:start w:val="1"/>
      <w:numFmt w:val="bullet"/>
      <w:lvlText w:val="o"/>
      <w:lvlJc w:val="left"/>
      <w:pPr>
        <w:ind w:left="1440" w:hanging="360"/>
      </w:pPr>
      <w:rPr>
        <w:rFonts w:ascii="Courier New" w:hAnsi="Courier New" w:hint="default"/>
      </w:rPr>
    </w:lvl>
    <w:lvl w:ilvl="2" w:tplc="35C07278">
      <w:start w:val="1"/>
      <w:numFmt w:val="bullet"/>
      <w:lvlText w:val=""/>
      <w:lvlJc w:val="left"/>
      <w:pPr>
        <w:ind w:left="2160" w:hanging="360"/>
      </w:pPr>
      <w:rPr>
        <w:rFonts w:ascii="Wingdings" w:hAnsi="Wingdings" w:hint="default"/>
      </w:rPr>
    </w:lvl>
    <w:lvl w:ilvl="3" w:tplc="F7CAB5D8">
      <w:start w:val="1"/>
      <w:numFmt w:val="bullet"/>
      <w:lvlText w:val=""/>
      <w:lvlJc w:val="left"/>
      <w:pPr>
        <w:ind w:left="2880" w:hanging="360"/>
      </w:pPr>
      <w:rPr>
        <w:rFonts w:ascii="Symbol" w:hAnsi="Symbol" w:hint="default"/>
      </w:rPr>
    </w:lvl>
    <w:lvl w:ilvl="4" w:tplc="C5F4BA3E">
      <w:start w:val="1"/>
      <w:numFmt w:val="bullet"/>
      <w:lvlText w:val="o"/>
      <w:lvlJc w:val="left"/>
      <w:pPr>
        <w:ind w:left="3600" w:hanging="360"/>
      </w:pPr>
      <w:rPr>
        <w:rFonts w:ascii="Courier New" w:hAnsi="Courier New" w:hint="default"/>
      </w:rPr>
    </w:lvl>
    <w:lvl w:ilvl="5" w:tplc="823231B4">
      <w:start w:val="1"/>
      <w:numFmt w:val="bullet"/>
      <w:lvlText w:val=""/>
      <w:lvlJc w:val="left"/>
      <w:pPr>
        <w:ind w:left="4320" w:hanging="360"/>
      </w:pPr>
      <w:rPr>
        <w:rFonts w:ascii="Wingdings" w:hAnsi="Wingdings" w:hint="default"/>
      </w:rPr>
    </w:lvl>
    <w:lvl w:ilvl="6" w:tplc="1BB0B154">
      <w:start w:val="1"/>
      <w:numFmt w:val="bullet"/>
      <w:lvlText w:val=""/>
      <w:lvlJc w:val="left"/>
      <w:pPr>
        <w:ind w:left="5040" w:hanging="360"/>
      </w:pPr>
      <w:rPr>
        <w:rFonts w:ascii="Symbol" w:hAnsi="Symbol" w:hint="default"/>
      </w:rPr>
    </w:lvl>
    <w:lvl w:ilvl="7" w:tplc="662069AC">
      <w:start w:val="1"/>
      <w:numFmt w:val="bullet"/>
      <w:lvlText w:val="o"/>
      <w:lvlJc w:val="left"/>
      <w:pPr>
        <w:ind w:left="5760" w:hanging="360"/>
      </w:pPr>
      <w:rPr>
        <w:rFonts w:ascii="Courier New" w:hAnsi="Courier New" w:hint="default"/>
      </w:rPr>
    </w:lvl>
    <w:lvl w:ilvl="8" w:tplc="54C8D570">
      <w:start w:val="1"/>
      <w:numFmt w:val="bullet"/>
      <w:lvlText w:val=""/>
      <w:lvlJc w:val="left"/>
      <w:pPr>
        <w:ind w:left="6480" w:hanging="360"/>
      </w:pPr>
      <w:rPr>
        <w:rFonts w:ascii="Wingdings" w:hAnsi="Wingdings" w:hint="default"/>
      </w:rPr>
    </w:lvl>
  </w:abstractNum>
  <w:abstractNum w:abstractNumId="2" w15:restartNumberingAfterBreak="0">
    <w:nsid w:val="607231BD"/>
    <w:multiLevelType w:val="hybridMultilevel"/>
    <w:tmpl w:val="DD407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5115600">
    <w:abstractNumId w:val="0"/>
  </w:num>
  <w:num w:numId="2" w16cid:durableId="1453326777">
    <w:abstractNumId w:val="1"/>
  </w:num>
  <w:num w:numId="3" w16cid:durableId="743068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177"/>
    <w:rsid w:val="00010942"/>
    <w:rsid w:val="000273F6"/>
    <w:rsid w:val="0004030B"/>
    <w:rsid w:val="00052DB3"/>
    <w:rsid w:val="00090F10"/>
    <w:rsid w:val="000A0840"/>
    <w:rsid w:val="000A1FDF"/>
    <w:rsid w:val="000B2147"/>
    <w:rsid w:val="000B6474"/>
    <w:rsid w:val="000C7D2F"/>
    <w:rsid w:val="0010452E"/>
    <w:rsid w:val="00111FE3"/>
    <w:rsid w:val="0011738A"/>
    <w:rsid w:val="00126A54"/>
    <w:rsid w:val="00140E53"/>
    <w:rsid w:val="00157FF7"/>
    <w:rsid w:val="00176EF0"/>
    <w:rsid w:val="001B4E81"/>
    <w:rsid w:val="001D2952"/>
    <w:rsid w:val="001D468C"/>
    <w:rsid w:val="001E2D60"/>
    <w:rsid w:val="00201D73"/>
    <w:rsid w:val="0022082C"/>
    <w:rsid w:val="002214C5"/>
    <w:rsid w:val="002273FF"/>
    <w:rsid w:val="0023229F"/>
    <w:rsid w:val="002516EC"/>
    <w:rsid w:val="0027563A"/>
    <w:rsid w:val="002905FC"/>
    <w:rsid w:val="00297835"/>
    <w:rsid w:val="002B1A70"/>
    <w:rsid w:val="002B79C4"/>
    <w:rsid w:val="002C17C4"/>
    <w:rsid w:val="002C3BA6"/>
    <w:rsid w:val="002D61BE"/>
    <w:rsid w:val="002E389F"/>
    <w:rsid w:val="002F486A"/>
    <w:rsid w:val="0032314D"/>
    <w:rsid w:val="00333456"/>
    <w:rsid w:val="003775C4"/>
    <w:rsid w:val="00382D54"/>
    <w:rsid w:val="00391E8C"/>
    <w:rsid w:val="00392CDB"/>
    <w:rsid w:val="003A120D"/>
    <w:rsid w:val="003B2E3C"/>
    <w:rsid w:val="003C1BD0"/>
    <w:rsid w:val="003C44D4"/>
    <w:rsid w:val="003C668D"/>
    <w:rsid w:val="003C6C79"/>
    <w:rsid w:val="003D0C2E"/>
    <w:rsid w:val="003D2E81"/>
    <w:rsid w:val="003E26EC"/>
    <w:rsid w:val="003F5D73"/>
    <w:rsid w:val="0042046D"/>
    <w:rsid w:val="004208EF"/>
    <w:rsid w:val="00446D7A"/>
    <w:rsid w:val="00455306"/>
    <w:rsid w:val="004661FE"/>
    <w:rsid w:val="004B49AE"/>
    <w:rsid w:val="004C6740"/>
    <w:rsid w:val="004D0936"/>
    <w:rsid w:val="004D2E84"/>
    <w:rsid w:val="004E6175"/>
    <w:rsid w:val="004F032B"/>
    <w:rsid w:val="004F55F7"/>
    <w:rsid w:val="00510F53"/>
    <w:rsid w:val="00525C44"/>
    <w:rsid w:val="005270D0"/>
    <w:rsid w:val="00544C82"/>
    <w:rsid w:val="00564134"/>
    <w:rsid w:val="00571FB0"/>
    <w:rsid w:val="00574BE9"/>
    <w:rsid w:val="0057565F"/>
    <w:rsid w:val="005774F5"/>
    <w:rsid w:val="005B27B9"/>
    <w:rsid w:val="005E7C2E"/>
    <w:rsid w:val="00602B3A"/>
    <w:rsid w:val="0061551D"/>
    <w:rsid w:val="00621140"/>
    <w:rsid w:val="0062183A"/>
    <w:rsid w:val="006456FE"/>
    <w:rsid w:val="00653BED"/>
    <w:rsid w:val="006563CA"/>
    <w:rsid w:val="00664502"/>
    <w:rsid w:val="00665FE8"/>
    <w:rsid w:val="00670461"/>
    <w:rsid w:val="00685AEC"/>
    <w:rsid w:val="00687954"/>
    <w:rsid w:val="00693A3E"/>
    <w:rsid w:val="006B4154"/>
    <w:rsid w:val="006C6607"/>
    <w:rsid w:val="006E249A"/>
    <w:rsid w:val="006E61B2"/>
    <w:rsid w:val="006F7CE4"/>
    <w:rsid w:val="0070370D"/>
    <w:rsid w:val="00721CC1"/>
    <w:rsid w:val="007433F3"/>
    <w:rsid w:val="007531C6"/>
    <w:rsid w:val="00754D94"/>
    <w:rsid w:val="007606D2"/>
    <w:rsid w:val="00767437"/>
    <w:rsid w:val="00770745"/>
    <w:rsid w:val="00772C69"/>
    <w:rsid w:val="00774A54"/>
    <w:rsid w:val="00782B5D"/>
    <w:rsid w:val="007874BB"/>
    <w:rsid w:val="0079206A"/>
    <w:rsid w:val="00795787"/>
    <w:rsid w:val="007B36E8"/>
    <w:rsid w:val="007C1345"/>
    <w:rsid w:val="007D297A"/>
    <w:rsid w:val="007D780D"/>
    <w:rsid w:val="007F4482"/>
    <w:rsid w:val="008220AF"/>
    <w:rsid w:val="008242EC"/>
    <w:rsid w:val="00846777"/>
    <w:rsid w:val="00852A45"/>
    <w:rsid w:val="00853932"/>
    <w:rsid w:val="00855EED"/>
    <w:rsid w:val="00867C0D"/>
    <w:rsid w:val="00867EF6"/>
    <w:rsid w:val="00874578"/>
    <w:rsid w:val="00890571"/>
    <w:rsid w:val="00897103"/>
    <w:rsid w:val="008C39C5"/>
    <w:rsid w:val="008C4597"/>
    <w:rsid w:val="008D2675"/>
    <w:rsid w:val="008D46B3"/>
    <w:rsid w:val="008D46FB"/>
    <w:rsid w:val="008D7B9B"/>
    <w:rsid w:val="008E1EFD"/>
    <w:rsid w:val="00930789"/>
    <w:rsid w:val="00931750"/>
    <w:rsid w:val="00941320"/>
    <w:rsid w:val="009426CE"/>
    <w:rsid w:val="00942A44"/>
    <w:rsid w:val="00955768"/>
    <w:rsid w:val="00960A03"/>
    <w:rsid w:val="0098256E"/>
    <w:rsid w:val="0098500A"/>
    <w:rsid w:val="009A5171"/>
    <w:rsid w:val="009A52A6"/>
    <w:rsid w:val="009A7EA9"/>
    <w:rsid w:val="009B5632"/>
    <w:rsid w:val="009C2E2D"/>
    <w:rsid w:val="009C2FE8"/>
    <w:rsid w:val="009C502A"/>
    <w:rsid w:val="009C7AFF"/>
    <w:rsid w:val="009D19E1"/>
    <w:rsid w:val="009D6B9D"/>
    <w:rsid w:val="009E3798"/>
    <w:rsid w:val="00A04030"/>
    <w:rsid w:val="00A259C3"/>
    <w:rsid w:val="00A30A4A"/>
    <w:rsid w:val="00A345ED"/>
    <w:rsid w:val="00A354AE"/>
    <w:rsid w:val="00A42177"/>
    <w:rsid w:val="00A46D85"/>
    <w:rsid w:val="00A67199"/>
    <w:rsid w:val="00A728EB"/>
    <w:rsid w:val="00A7668A"/>
    <w:rsid w:val="00A96270"/>
    <w:rsid w:val="00AC09ED"/>
    <w:rsid w:val="00AC3AEF"/>
    <w:rsid w:val="00AE635E"/>
    <w:rsid w:val="00B47FD5"/>
    <w:rsid w:val="00B50CAE"/>
    <w:rsid w:val="00B54518"/>
    <w:rsid w:val="00B63F45"/>
    <w:rsid w:val="00B90915"/>
    <w:rsid w:val="00B95E34"/>
    <w:rsid w:val="00BC0D1A"/>
    <w:rsid w:val="00BC535C"/>
    <w:rsid w:val="00BD2A05"/>
    <w:rsid w:val="00BD3A67"/>
    <w:rsid w:val="00BE5094"/>
    <w:rsid w:val="00BE563D"/>
    <w:rsid w:val="00BF35D6"/>
    <w:rsid w:val="00BF6850"/>
    <w:rsid w:val="00C2124A"/>
    <w:rsid w:val="00C374AD"/>
    <w:rsid w:val="00C4536F"/>
    <w:rsid w:val="00C735AA"/>
    <w:rsid w:val="00C7403F"/>
    <w:rsid w:val="00C81E29"/>
    <w:rsid w:val="00C82FC1"/>
    <w:rsid w:val="00C97794"/>
    <w:rsid w:val="00CB3AA0"/>
    <w:rsid w:val="00CB64C6"/>
    <w:rsid w:val="00CB6859"/>
    <w:rsid w:val="00CD657A"/>
    <w:rsid w:val="00CE0A7B"/>
    <w:rsid w:val="00CE22E4"/>
    <w:rsid w:val="00CE3217"/>
    <w:rsid w:val="00D374D3"/>
    <w:rsid w:val="00D42EAB"/>
    <w:rsid w:val="00D471C7"/>
    <w:rsid w:val="00D60B58"/>
    <w:rsid w:val="00D64992"/>
    <w:rsid w:val="00D77EF4"/>
    <w:rsid w:val="00D9405D"/>
    <w:rsid w:val="00D95E66"/>
    <w:rsid w:val="00DB17BA"/>
    <w:rsid w:val="00DC286A"/>
    <w:rsid w:val="00DC42AC"/>
    <w:rsid w:val="00DC4CE1"/>
    <w:rsid w:val="00DC7F2A"/>
    <w:rsid w:val="00DD658E"/>
    <w:rsid w:val="00DE3B22"/>
    <w:rsid w:val="00DE3B29"/>
    <w:rsid w:val="00DF1292"/>
    <w:rsid w:val="00DF2A6B"/>
    <w:rsid w:val="00E00843"/>
    <w:rsid w:val="00E1242D"/>
    <w:rsid w:val="00E14B3C"/>
    <w:rsid w:val="00E207B2"/>
    <w:rsid w:val="00E24152"/>
    <w:rsid w:val="00E40CE5"/>
    <w:rsid w:val="00E45FEA"/>
    <w:rsid w:val="00E6469A"/>
    <w:rsid w:val="00E65D4C"/>
    <w:rsid w:val="00E82A7B"/>
    <w:rsid w:val="00EA58F6"/>
    <w:rsid w:val="00ED4BAA"/>
    <w:rsid w:val="00EE09D0"/>
    <w:rsid w:val="00EE0DAD"/>
    <w:rsid w:val="00EE29B8"/>
    <w:rsid w:val="00F23A92"/>
    <w:rsid w:val="00F26BC4"/>
    <w:rsid w:val="00F61BE2"/>
    <w:rsid w:val="00F6486E"/>
    <w:rsid w:val="00F7029B"/>
    <w:rsid w:val="00F869F4"/>
    <w:rsid w:val="00F92130"/>
    <w:rsid w:val="00FA3C8B"/>
    <w:rsid w:val="00FB2D9A"/>
    <w:rsid w:val="00FB4E41"/>
    <w:rsid w:val="00FC1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CADB"/>
  <w15:chartTrackingRefBased/>
  <w15:docId w15:val="{CA4A712A-1133-4EF0-85E6-EF374B18E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 Accent 11,Dot pt,F5 List Paragraph,List Paragraph Char Char Char,Indicator Text,Numbered Para 1,Bullet 1,Bullet Points,List Paragraph2,MAIN CONTENT,Normal numbered,List Paragraph1,Issue Action POC,3,POCG Table Text"/>
    <w:basedOn w:val="Normal"/>
    <w:link w:val="ListParagraphChar"/>
    <w:uiPriority w:val="34"/>
    <w:qFormat/>
    <w:rsid w:val="00382D54"/>
    <w:pPr>
      <w:ind w:left="720"/>
      <w:contextualSpacing/>
    </w:pPr>
  </w:style>
  <w:style w:type="character" w:styleId="CommentReference">
    <w:name w:val="annotation reference"/>
    <w:basedOn w:val="DefaultParagraphFont"/>
    <w:uiPriority w:val="99"/>
    <w:semiHidden/>
    <w:unhideWhenUsed/>
    <w:rsid w:val="000B6474"/>
    <w:rPr>
      <w:sz w:val="16"/>
      <w:szCs w:val="16"/>
    </w:rPr>
  </w:style>
  <w:style w:type="paragraph" w:styleId="CommentText">
    <w:name w:val="annotation text"/>
    <w:basedOn w:val="Normal"/>
    <w:link w:val="CommentTextChar"/>
    <w:uiPriority w:val="99"/>
    <w:unhideWhenUsed/>
    <w:rsid w:val="000B6474"/>
    <w:pPr>
      <w:spacing w:line="240" w:lineRule="auto"/>
    </w:pPr>
    <w:rPr>
      <w:sz w:val="20"/>
      <w:szCs w:val="20"/>
    </w:rPr>
  </w:style>
  <w:style w:type="character" w:customStyle="1" w:styleId="CommentTextChar">
    <w:name w:val="Comment Text Char"/>
    <w:basedOn w:val="DefaultParagraphFont"/>
    <w:link w:val="CommentText"/>
    <w:uiPriority w:val="99"/>
    <w:rsid w:val="000B6474"/>
    <w:rPr>
      <w:sz w:val="20"/>
      <w:szCs w:val="20"/>
    </w:rPr>
  </w:style>
  <w:style w:type="paragraph" w:styleId="CommentSubject">
    <w:name w:val="annotation subject"/>
    <w:basedOn w:val="CommentText"/>
    <w:next w:val="CommentText"/>
    <w:link w:val="CommentSubjectChar"/>
    <w:uiPriority w:val="99"/>
    <w:semiHidden/>
    <w:unhideWhenUsed/>
    <w:rsid w:val="000B6474"/>
    <w:rPr>
      <w:b/>
      <w:bCs/>
    </w:rPr>
  </w:style>
  <w:style w:type="character" w:customStyle="1" w:styleId="CommentSubjectChar">
    <w:name w:val="Comment Subject Char"/>
    <w:basedOn w:val="CommentTextChar"/>
    <w:link w:val="CommentSubject"/>
    <w:uiPriority w:val="99"/>
    <w:semiHidden/>
    <w:rsid w:val="000B6474"/>
    <w:rPr>
      <w:b/>
      <w:bCs/>
      <w:sz w:val="20"/>
      <w:szCs w:val="20"/>
    </w:rPr>
  </w:style>
  <w:style w:type="paragraph" w:styleId="BalloonText">
    <w:name w:val="Balloon Text"/>
    <w:basedOn w:val="Normal"/>
    <w:link w:val="BalloonTextChar"/>
    <w:uiPriority w:val="99"/>
    <w:semiHidden/>
    <w:unhideWhenUsed/>
    <w:rsid w:val="00A0403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4030"/>
    <w:rPr>
      <w:rFonts w:ascii="Times New Roman" w:hAnsi="Times New Roman" w:cs="Times New Roman"/>
      <w:sz w:val="18"/>
      <w:szCs w:val="18"/>
    </w:rPr>
  </w:style>
  <w:style w:type="paragraph" w:styleId="NormalWeb">
    <w:name w:val="Normal (Web)"/>
    <w:basedOn w:val="Normal"/>
    <w:uiPriority w:val="99"/>
    <w:semiHidden/>
    <w:unhideWhenUsed/>
    <w:rsid w:val="00111F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rsid w:val="00111FE3"/>
    <w:rPr>
      <w:color w:val="0000FF"/>
      <w:u w:val="single"/>
    </w:rPr>
  </w:style>
  <w:style w:type="character" w:customStyle="1" w:styleId="ListParagraphChar">
    <w:name w:val="List Paragraph Char"/>
    <w:aliases w:val="Colorful List - Accent 11 Char,Dot pt Char,F5 List Paragraph Char,List Paragraph Char Char Char Char,Indicator Text Char,Numbered Para 1 Char,Bullet 1 Char,Bullet Points Char,List Paragraph2 Char,MAIN CONTENT Char,3 Char"/>
    <w:basedOn w:val="DefaultParagraphFont"/>
    <w:link w:val="ListParagraph"/>
    <w:uiPriority w:val="34"/>
    <w:locked/>
    <w:rsid w:val="00111FE3"/>
  </w:style>
  <w:style w:type="paragraph" w:customStyle="1" w:styleId="paragraph">
    <w:name w:val="paragraph"/>
    <w:basedOn w:val="Normal"/>
    <w:rsid w:val="00111F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111FE3"/>
  </w:style>
  <w:style w:type="character" w:customStyle="1" w:styleId="scxw41457210">
    <w:name w:val="scxw41457210"/>
    <w:basedOn w:val="DefaultParagraphFont"/>
    <w:rsid w:val="00111FE3"/>
  </w:style>
  <w:style w:type="character" w:styleId="UnresolvedMention">
    <w:name w:val="Unresolved Mention"/>
    <w:basedOn w:val="DefaultParagraphFont"/>
    <w:uiPriority w:val="99"/>
    <w:semiHidden/>
    <w:unhideWhenUsed/>
    <w:rsid w:val="00111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06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oufopoulou@deloitte.gr" TargetMode="External"/><Relationship Id="rId3" Type="http://schemas.openxmlformats.org/officeDocument/2006/relationships/settings" Target="settings.xml"/><Relationship Id="rId7" Type="http://schemas.openxmlformats.org/officeDocument/2006/relationships/hyperlink" Target="https://www2.deloitte.com/content/dam/Deloitte/uk/Documents/sports-business-group/deloitte-uk-annual-review-of-football-finance-20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2262</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Penelope Avdel</dc:creator>
  <cp:keywords/>
  <dc:description/>
  <cp:lastModifiedBy>Dinos Adrianopoulos</cp:lastModifiedBy>
  <cp:revision>2</cp:revision>
  <dcterms:created xsi:type="dcterms:W3CDTF">2022-08-26T07:21:00Z</dcterms:created>
  <dcterms:modified xsi:type="dcterms:W3CDTF">2022-08-26T07:21:00Z</dcterms:modified>
</cp:coreProperties>
</file>