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8FC2A" w14:textId="2FADAA01" w:rsidR="00E74B88" w:rsidRDefault="00E74B88">
      <w:pPr>
        <w:rPr>
          <w:rFonts w:asciiTheme="minorHAnsi" w:eastAsiaTheme="majorEastAsia" w:hAnsiTheme="minorHAnsi" w:cstheme="minorHAnsi"/>
          <w:b/>
          <w:bCs/>
          <w:color w:val="2E74B5" w:themeColor="accent5" w:themeShade="BF"/>
          <w:spacing w:val="-10"/>
          <w:kern w:val="28"/>
          <w:sz w:val="36"/>
          <w:szCs w:val="36"/>
          <w:lang w:eastAsia="en-US"/>
        </w:rPr>
      </w:pPr>
      <w:r w:rsidRPr="00E74B88">
        <w:rPr>
          <w:rFonts w:asciiTheme="minorHAnsi" w:eastAsiaTheme="minorHAnsi" w:hAnsiTheme="minorHAnsi" w:cstheme="minorHAnsi"/>
          <w:b/>
          <w:bCs/>
          <w:noProof/>
          <w:sz w:val="24"/>
          <w:lang w:eastAsia="en-US"/>
        </w:rPr>
        <w:drawing>
          <wp:anchor distT="0" distB="0" distL="114300" distR="114300" simplePos="0" relativeHeight="251667456" behindDoc="0" locked="0" layoutInCell="1" allowOverlap="1" wp14:anchorId="345FB2B1" wp14:editId="58DC7A04">
            <wp:simplePos x="0" y="0"/>
            <wp:positionH relativeFrom="margin">
              <wp:align>center</wp:align>
            </wp:positionH>
            <wp:positionV relativeFrom="paragraph">
              <wp:posOffset>-927966</wp:posOffset>
            </wp:positionV>
            <wp:extent cx="6899564" cy="10143666"/>
            <wp:effectExtent l="0" t="0" r="0" b="0"/>
            <wp:wrapNone/>
            <wp:docPr id="161295769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957698" name=""/>
                    <pic:cNvPicPr/>
                  </pic:nvPicPr>
                  <pic:blipFill>
                    <a:blip r:embed="rId8">
                      <a:extLst>
                        <a:ext uri="{28A0092B-C50C-407E-A947-70E740481C1C}">
                          <a14:useLocalDpi xmlns:a14="http://schemas.microsoft.com/office/drawing/2010/main" val="0"/>
                        </a:ext>
                      </a:extLst>
                    </a:blip>
                    <a:stretch>
                      <a:fillRect/>
                    </a:stretch>
                  </pic:blipFill>
                  <pic:spPr>
                    <a:xfrm>
                      <a:off x="0" y="0"/>
                      <a:ext cx="6899564" cy="10143666"/>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heme="majorEastAsia" w:hAnsiTheme="minorHAnsi" w:cstheme="minorHAnsi"/>
          <w:b/>
          <w:bCs/>
          <w:color w:val="2E74B5" w:themeColor="accent5" w:themeShade="BF"/>
          <w:spacing w:val="-10"/>
          <w:kern w:val="28"/>
          <w:sz w:val="36"/>
          <w:szCs w:val="36"/>
          <w:lang w:eastAsia="en-US"/>
        </w:rPr>
        <w:br w:type="page"/>
      </w:r>
    </w:p>
    <w:p w14:paraId="7CF3DE9B" w14:textId="7D338DEF" w:rsidR="00E74B88" w:rsidRPr="00290967" w:rsidRDefault="00E74B88" w:rsidP="00E74B88">
      <w:pPr>
        <w:jc w:val="center"/>
        <w:rPr>
          <w:rFonts w:asciiTheme="minorHAnsi" w:eastAsiaTheme="majorEastAsia" w:hAnsiTheme="minorHAnsi" w:cstheme="minorHAnsi"/>
          <w:b/>
          <w:bCs/>
          <w:color w:val="2E74B5" w:themeColor="accent5" w:themeShade="BF"/>
          <w:spacing w:val="-10"/>
          <w:kern w:val="28"/>
          <w:sz w:val="36"/>
          <w:szCs w:val="36"/>
          <w:lang w:eastAsia="en-US"/>
        </w:rPr>
      </w:pPr>
      <w:r w:rsidRPr="00290967">
        <w:rPr>
          <w:rFonts w:asciiTheme="minorHAnsi" w:eastAsiaTheme="majorEastAsia" w:hAnsiTheme="minorHAnsi" w:cstheme="minorHAnsi"/>
          <w:b/>
          <w:bCs/>
          <w:color w:val="2E74B5" w:themeColor="accent5" w:themeShade="BF"/>
          <w:spacing w:val="-10"/>
          <w:kern w:val="28"/>
          <w:sz w:val="36"/>
          <w:szCs w:val="36"/>
          <w:lang w:eastAsia="en-US"/>
        </w:rPr>
        <w:lastRenderedPageBreak/>
        <w:t xml:space="preserve">Οκτώ δέσμες προτάσεων για την «Περιφερειακή Ανάπτυξη» </w:t>
      </w:r>
      <w:r>
        <w:rPr>
          <w:rFonts w:asciiTheme="minorHAnsi" w:eastAsiaTheme="majorEastAsia" w:hAnsiTheme="minorHAnsi" w:cstheme="minorHAnsi"/>
          <w:b/>
          <w:bCs/>
          <w:color w:val="2E74B5" w:themeColor="accent5" w:themeShade="BF"/>
          <w:spacing w:val="-10"/>
          <w:kern w:val="28"/>
          <w:sz w:val="36"/>
          <w:szCs w:val="36"/>
          <w:lang w:eastAsia="en-US"/>
        </w:rPr>
        <w:br/>
      </w:r>
      <w:r w:rsidRPr="00290967">
        <w:rPr>
          <w:rFonts w:asciiTheme="minorHAnsi" w:eastAsiaTheme="majorEastAsia" w:hAnsiTheme="minorHAnsi" w:cstheme="minorHAnsi"/>
          <w:b/>
          <w:bCs/>
          <w:color w:val="2E74B5" w:themeColor="accent5" w:themeShade="BF"/>
          <w:spacing w:val="-10"/>
          <w:kern w:val="28"/>
          <w:sz w:val="36"/>
          <w:szCs w:val="36"/>
          <w:lang w:eastAsia="en-US"/>
        </w:rPr>
        <w:t>και την άμβλυνση των «Περιφερειακών Ανισοτήτων»</w:t>
      </w:r>
    </w:p>
    <w:p w14:paraId="798B0584" w14:textId="77777777" w:rsidR="005236C1" w:rsidRDefault="005236C1" w:rsidP="005236C1">
      <w:pPr>
        <w:ind w:left="-284"/>
        <w:jc w:val="both"/>
        <w:rPr>
          <w:rFonts w:asciiTheme="minorHAnsi" w:eastAsiaTheme="majorEastAsia" w:hAnsiTheme="minorHAnsi" w:cstheme="minorHAnsi"/>
          <w:b/>
          <w:bCs/>
          <w:color w:val="2E74B5" w:themeColor="accent5" w:themeShade="BF"/>
          <w:spacing w:val="-10"/>
          <w:kern w:val="28"/>
          <w:sz w:val="24"/>
          <w:lang w:eastAsia="en-US"/>
        </w:rPr>
      </w:pPr>
    </w:p>
    <w:p w14:paraId="134A52B5" w14:textId="77777777" w:rsidR="00E74B88" w:rsidRDefault="00E74B88" w:rsidP="00E74B88">
      <w:pPr>
        <w:pStyle w:val="a9"/>
        <w:numPr>
          <w:ilvl w:val="0"/>
          <w:numId w:val="30"/>
        </w:numPr>
        <w:spacing w:after="120"/>
        <w:ind w:left="2126" w:hanging="357"/>
        <w:contextualSpacing w:val="0"/>
        <w:rPr>
          <w:rFonts w:asciiTheme="minorHAnsi" w:eastAsiaTheme="minorHAnsi" w:hAnsiTheme="minorHAnsi" w:cstheme="minorHAnsi"/>
          <w:b/>
          <w:bCs/>
          <w:sz w:val="28"/>
          <w:szCs w:val="28"/>
          <w:lang w:eastAsia="en-US"/>
        </w:rPr>
      </w:pPr>
      <w:r w:rsidRPr="00E90B5A">
        <w:rPr>
          <w:rFonts w:asciiTheme="minorHAnsi" w:eastAsiaTheme="minorHAnsi" w:hAnsiTheme="minorHAnsi" w:cstheme="minorHAnsi"/>
          <w:b/>
          <w:bCs/>
          <w:sz w:val="28"/>
          <w:szCs w:val="28"/>
          <w:lang w:eastAsia="en-US"/>
        </w:rPr>
        <w:t>Ανάσχεση των συνεπειών των φυσικών καταστροφών στη Θράκη</w:t>
      </w:r>
    </w:p>
    <w:p w14:paraId="2553ACF7" w14:textId="77777777" w:rsidR="00E74B88" w:rsidRPr="00290967" w:rsidRDefault="00E74B88" w:rsidP="00E74B88">
      <w:pPr>
        <w:pStyle w:val="a9"/>
        <w:numPr>
          <w:ilvl w:val="0"/>
          <w:numId w:val="30"/>
        </w:numPr>
        <w:spacing w:after="120"/>
        <w:ind w:left="2126" w:hanging="357"/>
        <w:contextualSpacing w:val="0"/>
        <w:rPr>
          <w:rFonts w:asciiTheme="minorHAnsi" w:eastAsiaTheme="minorHAnsi" w:hAnsiTheme="minorHAnsi" w:cstheme="minorHAnsi"/>
          <w:b/>
          <w:bCs/>
          <w:sz w:val="28"/>
          <w:szCs w:val="28"/>
          <w:lang w:eastAsia="en-US"/>
        </w:rPr>
      </w:pPr>
      <w:r w:rsidRPr="00290967">
        <w:rPr>
          <w:rFonts w:asciiTheme="minorHAnsi" w:eastAsiaTheme="minorHAnsi" w:hAnsiTheme="minorHAnsi" w:cstheme="minorHAnsi"/>
          <w:b/>
          <w:bCs/>
          <w:sz w:val="28"/>
          <w:szCs w:val="28"/>
          <w:lang w:eastAsia="en-US"/>
        </w:rPr>
        <w:t>Αδυναμία εξεύρεσης προσωπικού</w:t>
      </w:r>
    </w:p>
    <w:p w14:paraId="161F56F3" w14:textId="77777777" w:rsidR="00E74B88" w:rsidRPr="00290967" w:rsidRDefault="00E74B88" w:rsidP="00E74B88">
      <w:pPr>
        <w:pStyle w:val="a9"/>
        <w:numPr>
          <w:ilvl w:val="0"/>
          <w:numId w:val="30"/>
        </w:numPr>
        <w:spacing w:after="120"/>
        <w:ind w:left="2126" w:hanging="357"/>
        <w:contextualSpacing w:val="0"/>
        <w:rPr>
          <w:rFonts w:asciiTheme="minorHAnsi" w:eastAsiaTheme="minorHAnsi" w:hAnsiTheme="minorHAnsi" w:cstheme="minorHAnsi"/>
          <w:b/>
          <w:bCs/>
          <w:sz w:val="28"/>
          <w:szCs w:val="28"/>
          <w:lang w:eastAsia="en-US"/>
        </w:rPr>
      </w:pPr>
      <w:r w:rsidRPr="00290967">
        <w:rPr>
          <w:rFonts w:asciiTheme="minorHAnsi" w:eastAsiaTheme="minorHAnsi" w:hAnsiTheme="minorHAnsi" w:cstheme="minorHAnsi"/>
          <w:b/>
          <w:bCs/>
          <w:sz w:val="28"/>
          <w:szCs w:val="28"/>
          <w:lang w:eastAsia="en-US"/>
        </w:rPr>
        <w:t>Υποδομές</w:t>
      </w:r>
    </w:p>
    <w:p w14:paraId="4B576C3D" w14:textId="77777777" w:rsidR="00E74B88" w:rsidRPr="00290967" w:rsidRDefault="00E74B88" w:rsidP="00E74B88">
      <w:pPr>
        <w:pStyle w:val="a9"/>
        <w:numPr>
          <w:ilvl w:val="0"/>
          <w:numId w:val="30"/>
        </w:numPr>
        <w:spacing w:after="120"/>
        <w:ind w:left="2126" w:hanging="357"/>
        <w:contextualSpacing w:val="0"/>
        <w:rPr>
          <w:rFonts w:asciiTheme="minorHAnsi" w:eastAsiaTheme="minorHAnsi" w:hAnsiTheme="minorHAnsi" w:cstheme="minorHAnsi"/>
          <w:b/>
          <w:bCs/>
          <w:sz w:val="28"/>
          <w:szCs w:val="28"/>
          <w:lang w:eastAsia="en-US"/>
        </w:rPr>
      </w:pPr>
      <w:r w:rsidRPr="00290967">
        <w:rPr>
          <w:rFonts w:asciiTheme="minorHAnsi" w:eastAsiaTheme="minorHAnsi" w:hAnsiTheme="minorHAnsi" w:cstheme="minorHAnsi"/>
          <w:b/>
          <w:bCs/>
          <w:sz w:val="28"/>
          <w:szCs w:val="28"/>
          <w:lang w:eastAsia="en-US"/>
        </w:rPr>
        <w:t>Διεύρυνση της παραγωγικής βάσης</w:t>
      </w:r>
    </w:p>
    <w:p w14:paraId="73E03055" w14:textId="77777777" w:rsidR="00E74B88" w:rsidRPr="00290967" w:rsidRDefault="00E74B88" w:rsidP="00E74B88">
      <w:pPr>
        <w:pStyle w:val="a9"/>
        <w:numPr>
          <w:ilvl w:val="0"/>
          <w:numId w:val="30"/>
        </w:numPr>
        <w:spacing w:after="120"/>
        <w:ind w:left="2126" w:hanging="357"/>
        <w:contextualSpacing w:val="0"/>
        <w:rPr>
          <w:rFonts w:asciiTheme="minorHAnsi" w:eastAsiaTheme="minorHAnsi" w:hAnsiTheme="minorHAnsi" w:cstheme="minorHAnsi"/>
          <w:b/>
          <w:bCs/>
          <w:sz w:val="28"/>
          <w:szCs w:val="28"/>
          <w:lang w:eastAsia="en-US"/>
        </w:rPr>
      </w:pPr>
      <w:r w:rsidRPr="00290967">
        <w:rPr>
          <w:rFonts w:asciiTheme="minorHAnsi" w:eastAsiaTheme="minorHAnsi" w:hAnsiTheme="minorHAnsi" w:cstheme="minorHAnsi"/>
          <w:b/>
          <w:bCs/>
          <w:sz w:val="28"/>
          <w:szCs w:val="28"/>
          <w:lang w:eastAsia="en-US"/>
        </w:rPr>
        <w:t>Μείωση του τεχνολογικού ελλείμματος</w:t>
      </w:r>
    </w:p>
    <w:p w14:paraId="7AAB145A" w14:textId="77777777" w:rsidR="00E74B88" w:rsidRPr="00290967" w:rsidRDefault="00E74B88" w:rsidP="00E74B88">
      <w:pPr>
        <w:pStyle w:val="a9"/>
        <w:numPr>
          <w:ilvl w:val="0"/>
          <w:numId w:val="30"/>
        </w:numPr>
        <w:spacing w:after="120"/>
        <w:ind w:left="2126" w:hanging="357"/>
        <w:contextualSpacing w:val="0"/>
        <w:rPr>
          <w:rFonts w:asciiTheme="minorHAnsi" w:eastAsiaTheme="minorHAnsi" w:hAnsiTheme="minorHAnsi" w:cstheme="minorHAnsi"/>
          <w:b/>
          <w:bCs/>
          <w:sz w:val="28"/>
          <w:szCs w:val="28"/>
          <w:lang w:eastAsia="en-US"/>
        </w:rPr>
      </w:pPr>
      <w:r w:rsidRPr="00290967">
        <w:rPr>
          <w:rFonts w:asciiTheme="minorHAnsi" w:eastAsiaTheme="minorHAnsi" w:hAnsiTheme="minorHAnsi" w:cstheme="minorHAnsi"/>
          <w:b/>
          <w:bCs/>
          <w:sz w:val="28"/>
          <w:szCs w:val="28"/>
          <w:lang w:eastAsia="en-US"/>
        </w:rPr>
        <w:t>Ρυθμιστικό περιβάλλον</w:t>
      </w:r>
    </w:p>
    <w:p w14:paraId="1038BB0E" w14:textId="77777777" w:rsidR="00E74B88" w:rsidRPr="00290967" w:rsidRDefault="00E74B88" w:rsidP="00E74B88">
      <w:pPr>
        <w:pStyle w:val="a9"/>
        <w:numPr>
          <w:ilvl w:val="0"/>
          <w:numId w:val="30"/>
        </w:numPr>
        <w:spacing w:after="120"/>
        <w:ind w:left="2126" w:hanging="357"/>
        <w:contextualSpacing w:val="0"/>
        <w:rPr>
          <w:rFonts w:asciiTheme="minorHAnsi" w:eastAsiaTheme="minorHAnsi" w:hAnsiTheme="minorHAnsi" w:cstheme="minorHAnsi"/>
          <w:b/>
          <w:bCs/>
          <w:sz w:val="28"/>
          <w:szCs w:val="28"/>
          <w:lang w:eastAsia="en-US"/>
        </w:rPr>
      </w:pPr>
      <w:r w:rsidRPr="00290967">
        <w:rPr>
          <w:rFonts w:asciiTheme="minorHAnsi" w:eastAsiaTheme="minorHAnsi" w:hAnsiTheme="minorHAnsi" w:cstheme="minorHAnsi"/>
          <w:b/>
          <w:bCs/>
          <w:sz w:val="28"/>
          <w:szCs w:val="28"/>
          <w:lang w:eastAsia="en-US"/>
        </w:rPr>
        <w:t>Βιώσιμη ανάπτυξη</w:t>
      </w:r>
    </w:p>
    <w:p w14:paraId="6B6CD363" w14:textId="77777777" w:rsidR="00E74B88" w:rsidRPr="00290967" w:rsidRDefault="00E74B88" w:rsidP="00E74B88">
      <w:pPr>
        <w:pStyle w:val="a9"/>
        <w:numPr>
          <w:ilvl w:val="0"/>
          <w:numId w:val="30"/>
        </w:numPr>
        <w:spacing w:after="120"/>
        <w:ind w:left="2126" w:hanging="357"/>
        <w:contextualSpacing w:val="0"/>
        <w:rPr>
          <w:rFonts w:asciiTheme="minorHAnsi" w:eastAsiaTheme="minorHAnsi" w:hAnsiTheme="minorHAnsi" w:cstheme="minorHAnsi"/>
          <w:b/>
          <w:bCs/>
          <w:sz w:val="28"/>
          <w:szCs w:val="28"/>
          <w:lang w:eastAsia="en-US"/>
        </w:rPr>
      </w:pPr>
      <w:r w:rsidRPr="00290967">
        <w:rPr>
          <w:rFonts w:asciiTheme="minorHAnsi" w:eastAsiaTheme="minorHAnsi" w:hAnsiTheme="minorHAnsi" w:cstheme="minorHAnsi"/>
          <w:b/>
          <w:bCs/>
          <w:sz w:val="28"/>
          <w:szCs w:val="28"/>
          <w:lang w:eastAsia="en-US"/>
        </w:rPr>
        <w:t>Ενέργεια</w:t>
      </w:r>
    </w:p>
    <w:p w14:paraId="48F66BDC" w14:textId="77777777" w:rsidR="00E74B88" w:rsidRDefault="00E74B88" w:rsidP="00E74B88">
      <w:pPr>
        <w:rPr>
          <w:rFonts w:asciiTheme="minorHAnsi" w:eastAsiaTheme="minorHAnsi" w:hAnsiTheme="minorHAnsi" w:cstheme="minorHAnsi"/>
          <w:b/>
          <w:bCs/>
          <w:sz w:val="24"/>
          <w:lang w:eastAsia="en-US"/>
        </w:rPr>
      </w:pPr>
    </w:p>
    <w:p w14:paraId="7F6EE339" w14:textId="77777777" w:rsidR="00B5575B" w:rsidRPr="00290967" w:rsidRDefault="00B5575B" w:rsidP="00E74B88">
      <w:pPr>
        <w:rPr>
          <w:rFonts w:asciiTheme="minorHAnsi" w:eastAsiaTheme="minorHAnsi" w:hAnsiTheme="minorHAnsi" w:cstheme="minorHAnsi"/>
          <w:b/>
          <w:bCs/>
          <w:sz w:val="24"/>
          <w:lang w:eastAsia="en-US"/>
        </w:rPr>
      </w:pPr>
    </w:p>
    <w:tbl>
      <w:tblPr>
        <w:tblStyle w:val="a7"/>
        <w:tblW w:w="10207" w:type="dxa"/>
        <w:tblInd w:w="-289" w:type="dxa"/>
        <w:tblLook w:val="04A0" w:firstRow="1" w:lastRow="0" w:firstColumn="1" w:lastColumn="0" w:noHBand="0" w:noVBand="1"/>
      </w:tblPr>
      <w:tblGrid>
        <w:gridCol w:w="2836"/>
        <w:gridCol w:w="3118"/>
        <w:gridCol w:w="4253"/>
      </w:tblGrid>
      <w:tr w:rsidR="00121AA7" w:rsidRPr="008E3678" w14:paraId="64BF7F12" w14:textId="77777777" w:rsidTr="00121AA7">
        <w:trPr>
          <w:trHeight w:val="119"/>
          <w:tblHeader/>
        </w:trPr>
        <w:tc>
          <w:tcPr>
            <w:tcW w:w="2836" w:type="dxa"/>
            <w:shd w:val="clear" w:color="auto" w:fill="D9D9D9" w:themeFill="background1" w:themeFillShade="D9"/>
          </w:tcPr>
          <w:p w14:paraId="68AD985D" w14:textId="77777777" w:rsidR="00121AA7" w:rsidRPr="004E4B8D" w:rsidRDefault="00121AA7" w:rsidP="00297EE1">
            <w:pPr>
              <w:jc w:val="center"/>
              <w:rPr>
                <w:rFonts w:asciiTheme="minorHAnsi" w:hAnsiTheme="minorHAnsi" w:cstheme="minorHAnsi"/>
                <w:b/>
                <w:sz w:val="20"/>
                <w:szCs w:val="20"/>
              </w:rPr>
            </w:pPr>
            <w:r w:rsidRPr="004E4B8D">
              <w:rPr>
                <w:rFonts w:asciiTheme="minorHAnsi" w:hAnsiTheme="minorHAnsi" w:cstheme="minorHAnsi"/>
                <w:b/>
                <w:sz w:val="20"/>
                <w:szCs w:val="20"/>
              </w:rPr>
              <w:t>Διαπίστωση</w:t>
            </w:r>
          </w:p>
        </w:tc>
        <w:tc>
          <w:tcPr>
            <w:tcW w:w="3118" w:type="dxa"/>
            <w:shd w:val="clear" w:color="auto" w:fill="D9D9D9" w:themeFill="background1" w:themeFillShade="D9"/>
          </w:tcPr>
          <w:p w14:paraId="66BB151A" w14:textId="52CCB3B6" w:rsidR="00121AA7" w:rsidRPr="004E4B8D" w:rsidRDefault="00121AA7" w:rsidP="005236C1">
            <w:pPr>
              <w:jc w:val="center"/>
              <w:rPr>
                <w:rFonts w:asciiTheme="minorHAnsi" w:hAnsiTheme="minorHAnsi" w:cstheme="minorHAnsi"/>
                <w:b/>
                <w:sz w:val="20"/>
                <w:szCs w:val="20"/>
              </w:rPr>
            </w:pPr>
            <w:r w:rsidRPr="004E4B8D">
              <w:rPr>
                <w:rFonts w:asciiTheme="minorHAnsi" w:hAnsiTheme="minorHAnsi" w:cstheme="minorHAnsi"/>
                <w:b/>
                <w:sz w:val="20"/>
                <w:szCs w:val="20"/>
              </w:rPr>
              <w:t>Προκλήσεις</w:t>
            </w:r>
          </w:p>
        </w:tc>
        <w:tc>
          <w:tcPr>
            <w:tcW w:w="4253" w:type="dxa"/>
            <w:shd w:val="clear" w:color="auto" w:fill="D9D9D9" w:themeFill="background1" w:themeFillShade="D9"/>
          </w:tcPr>
          <w:p w14:paraId="3225872C" w14:textId="77777777" w:rsidR="00121AA7" w:rsidRPr="004E4B8D" w:rsidRDefault="00121AA7" w:rsidP="00297EE1">
            <w:pPr>
              <w:jc w:val="center"/>
              <w:rPr>
                <w:rFonts w:asciiTheme="minorHAnsi" w:hAnsiTheme="minorHAnsi" w:cstheme="minorHAnsi"/>
                <w:b/>
                <w:sz w:val="20"/>
                <w:szCs w:val="20"/>
              </w:rPr>
            </w:pPr>
            <w:r w:rsidRPr="004E4B8D">
              <w:rPr>
                <w:rFonts w:asciiTheme="minorHAnsi" w:hAnsiTheme="minorHAnsi" w:cstheme="minorHAnsi"/>
                <w:b/>
                <w:sz w:val="20"/>
                <w:szCs w:val="20"/>
              </w:rPr>
              <w:t>Προτάσεις επίλυσης του προβλήματος</w:t>
            </w:r>
          </w:p>
        </w:tc>
      </w:tr>
      <w:tr w:rsidR="0032702D" w:rsidRPr="0032702D" w14:paraId="7D771548" w14:textId="77777777" w:rsidTr="00390DC9">
        <w:trPr>
          <w:trHeight w:val="397"/>
        </w:trPr>
        <w:tc>
          <w:tcPr>
            <w:tcW w:w="10207" w:type="dxa"/>
            <w:gridSpan w:val="3"/>
            <w:shd w:val="clear" w:color="auto" w:fill="auto"/>
            <w:vAlign w:val="center"/>
          </w:tcPr>
          <w:p w14:paraId="2F6CD6BE" w14:textId="7FEF48D7" w:rsidR="00255C7D" w:rsidRPr="0032702D" w:rsidRDefault="00255C7D" w:rsidP="0032702D">
            <w:pPr>
              <w:jc w:val="center"/>
              <w:rPr>
                <w:rFonts w:asciiTheme="minorHAnsi" w:hAnsiTheme="minorHAnsi" w:cstheme="minorHAnsi"/>
                <w:bCs/>
                <w:color w:val="FF0000"/>
                <w:sz w:val="24"/>
              </w:rPr>
            </w:pPr>
            <w:r w:rsidRPr="0032702D">
              <w:rPr>
                <w:rFonts w:asciiTheme="minorHAnsi" w:hAnsiTheme="minorHAnsi" w:cstheme="minorHAnsi"/>
                <w:b/>
                <w:color w:val="FF0000"/>
                <w:sz w:val="24"/>
              </w:rPr>
              <w:t xml:space="preserve">1. </w:t>
            </w:r>
            <w:r w:rsidR="00A632FE" w:rsidRPr="0032702D">
              <w:rPr>
                <w:rFonts w:asciiTheme="minorHAnsi" w:hAnsiTheme="minorHAnsi" w:cstheme="minorHAnsi"/>
                <w:b/>
                <w:color w:val="FF0000"/>
                <w:sz w:val="24"/>
              </w:rPr>
              <w:t xml:space="preserve">Ανάσχεση των συνεπειών των φυσικών καταστροφών στη </w:t>
            </w:r>
            <w:r w:rsidRPr="0032702D">
              <w:rPr>
                <w:rFonts w:asciiTheme="minorHAnsi" w:hAnsiTheme="minorHAnsi" w:cstheme="minorHAnsi"/>
                <w:b/>
                <w:color w:val="FF0000"/>
                <w:sz w:val="24"/>
              </w:rPr>
              <w:t>Θράκη</w:t>
            </w:r>
          </w:p>
        </w:tc>
      </w:tr>
      <w:tr w:rsidR="00255C7D" w:rsidRPr="008E3678" w14:paraId="2278E358" w14:textId="77777777" w:rsidTr="000A3ADB">
        <w:trPr>
          <w:trHeight w:val="118"/>
        </w:trPr>
        <w:tc>
          <w:tcPr>
            <w:tcW w:w="2836" w:type="dxa"/>
            <w:shd w:val="clear" w:color="auto" w:fill="auto"/>
          </w:tcPr>
          <w:p w14:paraId="5E0C2502" w14:textId="77777777" w:rsidR="004E14AC" w:rsidRDefault="00255C7D" w:rsidP="000A3ADB">
            <w:pPr>
              <w:jc w:val="both"/>
              <w:rPr>
                <w:rFonts w:asciiTheme="minorHAnsi" w:hAnsiTheme="minorHAnsi" w:cstheme="minorHAnsi"/>
                <w:bCs/>
                <w:sz w:val="20"/>
                <w:szCs w:val="20"/>
              </w:rPr>
            </w:pPr>
            <w:r>
              <w:rPr>
                <w:rFonts w:asciiTheme="minorHAnsi" w:hAnsiTheme="minorHAnsi" w:cstheme="minorHAnsi"/>
                <w:bCs/>
                <w:sz w:val="20"/>
                <w:szCs w:val="20"/>
              </w:rPr>
              <w:t xml:space="preserve">Οι πρόσφατες καταστροφικές πυρκαγιές στον Έβρο, εκτός από τις εμφανείς επιπτώσεις τους, θα αναδείξουν </w:t>
            </w:r>
            <w:proofErr w:type="spellStart"/>
            <w:r>
              <w:rPr>
                <w:rFonts w:asciiTheme="minorHAnsi" w:hAnsiTheme="minorHAnsi" w:cstheme="minorHAnsi"/>
                <w:bCs/>
                <w:sz w:val="20"/>
                <w:szCs w:val="20"/>
              </w:rPr>
              <w:t>μεσο</w:t>
            </w:r>
            <w:proofErr w:type="spellEnd"/>
            <w:r>
              <w:rPr>
                <w:rFonts w:asciiTheme="minorHAnsi" w:hAnsiTheme="minorHAnsi" w:cstheme="minorHAnsi"/>
                <w:bCs/>
                <w:sz w:val="20"/>
                <w:szCs w:val="20"/>
              </w:rPr>
              <w:t>- μακροπρόθεσμα σημαντικά προβλήματα σε</w:t>
            </w:r>
            <w:r w:rsidR="004E14AC">
              <w:rPr>
                <w:rFonts w:asciiTheme="minorHAnsi" w:hAnsiTheme="minorHAnsi" w:cstheme="minorHAnsi"/>
                <w:bCs/>
                <w:sz w:val="20"/>
                <w:szCs w:val="20"/>
              </w:rPr>
              <w:t>:</w:t>
            </w:r>
          </w:p>
          <w:p w14:paraId="5107B211" w14:textId="77777777" w:rsidR="004E14AC" w:rsidRDefault="004E14AC" w:rsidP="000A3ADB">
            <w:pPr>
              <w:jc w:val="both"/>
              <w:rPr>
                <w:rFonts w:asciiTheme="minorHAnsi" w:hAnsiTheme="minorHAnsi" w:cstheme="minorHAnsi"/>
                <w:bCs/>
                <w:sz w:val="20"/>
                <w:szCs w:val="20"/>
              </w:rPr>
            </w:pPr>
          </w:p>
          <w:p w14:paraId="70D84F5F" w14:textId="77777777" w:rsidR="004E14AC" w:rsidRDefault="00255C7D" w:rsidP="004E14AC">
            <w:pPr>
              <w:pStyle w:val="a9"/>
              <w:numPr>
                <w:ilvl w:val="0"/>
                <w:numId w:val="33"/>
              </w:numPr>
              <w:ind w:left="176" w:hanging="142"/>
              <w:contextualSpacing w:val="0"/>
              <w:jc w:val="both"/>
              <w:rPr>
                <w:rFonts w:asciiTheme="minorHAnsi" w:hAnsiTheme="minorHAnsi" w:cstheme="minorHAnsi"/>
                <w:bCs/>
                <w:sz w:val="20"/>
                <w:szCs w:val="20"/>
              </w:rPr>
            </w:pPr>
            <w:r>
              <w:rPr>
                <w:rFonts w:asciiTheme="minorHAnsi" w:hAnsiTheme="minorHAnsi" w:cstheme="minorHAnsi"/>
                <w:bCs/>
                <w:sz w:val="20"/>
                <w:szCs w:val="20"/>
              </w:rPr>
              <w:t xml:space="preserve">κοινωνικό, </w:t>
            </w:r>
          </w:p>
          <w:p w14:paraId="26EA78CC" w14:textId="77777777" w:rsidR="004E14AC" w:rsidRDefault="00255C7D" w:rsidP="004E14AC">
            <w:pPr>
              <w:pStyle w:val="a9"/>
              <w:numPr>
                <w:ilvl w:val="0"/>
                <w:numId w:val="33"/>
              </w:numPr>
              <w:ind w:left="176" w:hanging="142"/>
              <w:contextualSpacing w:val="0"/>
              <w:jc w:val="both"/>
              <w:rPr>
                <w:rFonts w:asciiTheme="minorHAnsi" w:hAnsiTheme="minorHAnsi" w:cstheme="minorHAnsi"/>
                <w:bCs/>
                <w:sz w:val="20"/>
                <w:szCs w:val="20"/>
              </w:rPr>
            </w:pPr>
            <w:r>
              <w:rPr>
                <w:rFonts w:asciiTheme="minorHAnsi" w:hAnsiTheme="minorHAnsi" w:cstheme="minorHAnsi"/>
                <w:bCs/>
                <w:sz w:val="20"/>
                <w:szCs w:val="20"/>
              </w:rPr>
              <w:t>επιχειρηματικό</w:t>
            </w:r>
            <w:r w:rsidR="004E14AC">
              <w:rPr>
                <w:rFonts w:asciiTheme="minorHAnsi" w:hAnsiTheme="minorHAnsi" w:cstheme="minorHAnsi"/>
                <w:bCs/>
                <w:sz w:val="20"/>
                <w:szCs w:val="20"/>
              </w:rPr>
              <w:t xml:space="preserve">, </w:t>
            </w:r>
            <w:r>
              <w:rPr>
                <w:rFonts w:asciiTheme="minorHAnsi" w:hAnsiTheme="minorHAnsi" w:cstheme="minorHAnsi"/>
                <w:bCs/>
                <w:sz w:val="20"/>
                <w:szCs w:val="20"/>
              </w:rPr>
              <w:t>και</w:t>
            </w:r>
            <w:r w:rsidR="004E14AC">
              <w:rPr>
                <w:rFonts w:asciiTheme="minorHAnsi" w:hAnsiTheme="minorHAnsi" w:cstheme="minorHAnsi"/>
                <w:bCs/>
                <w:sz w:val="20"/>
                <w:szCs w:val="20"/>
              </w:rPr>
              <w:t>,</w:t>
            </w:r>
          </w:p>
          <w:p w14:paraId="1AD4669C" w14:textId="77777777" w:rsidR="004E14AC" w:rsidRDefault="00255C7D" w:rsidP="004E14AC">
            <w:pPr>
              <w:pStyle w:val="a9"/>
              <w:numPr>
                <w:ilvl w:val="0"/>
                <w:numId w:val="33"/>
              </w:numPr>
              <w:ind w:left="176" w:hanging="142"/>
              <w:contextualSpacing w:val="0"/>
              <w:jc w:val="both"/>
              <w:rPr>
                <w:rFonts w:asciiTheme="minorHAnsi" w:hAnsiTheme="minorHAnsi" w:cstheme="minorHAnsi"/>
                <w:bCs/>
                <w:sz w:val="20"/>
                <w:szCs w:val="20"/>
              </w:rPr>
            </w:pPr>
            <w:r>
              <w:rPr>
                <w:rFonts w:asciiTheme="minorHAnsi" w:hAnsiTheme="minorHAnsi" w:cstheme="minorHAnsi"/>
                <w:bCs/>
                <w:sz w:val="20"/>
                <w:szCs w:val="20"/>
              </w:rPr>
              <w:t xml:space="preserve"> περιβαλλοντικό </w:t>
            </w:r>
          </w:p>
          <w:p w14:paraId="7F1940E3" w14:textId="77777777" w:rsidR="004E14AC" w:rsidRDefault="004E14AC" w:rsidP="004E14AC">
            <w:pPr>
              <w:jc w:val="both"/>
              <w:rPr>
                <w:rFonts w:asciiTheme="minorHAnsi" w:hAnsiTheme="minorHAnsi" w:cstheme="minorHAnsi"/>
                <w:bCs/>
                <w:sz w:val="20"/>
                <w:szCs w:val="20"/>
              </w:rPr>
            </w:pPr>
          </w:p>
          <w:p w14:paraId="1DAFD534" w14:textId="3734C93F" w:rsidR="00255C7D" w:rsidRDefault="00255C7D" w:rsidP="004E14AC">
            <w:pPr>
              <w:jc w:val="both"/>
              <w:rPr>
                <w:rFonts w:asciiTheme="minorHAnsi" w:hAnsiTheme="minorHAnsi" w:cstheme="minorHAnsi"/>
                <w:bCs/>
                <w:sz w:val="20"/>
                <w:szCs w:val="20"/>
              </w:rPr>
            </w:pPr>
            <w:r w:rsidRPr="004E14AC">
              <w:rPr>
                <w:rFonts w:asciiTheme="minorHAnsi" w:hAnsiTheme="minorHAnsi" w:cstheme="minorHAnsi"/>
                <w:bCs/>
                <w:sz w:val="20"/>
                <w:szCs w:val="20"/>
              </w:rPr>
              <w:t xml:space="preserve">επίπεδο, για το σύνολο της Θράκης. </w:t>
            </w:r>
          </w:p>
          <w:p w14:paraId="7D18D39D" w14:textId="77777777" w:rsidR="004E14AC" w:rsidRDefault="004E14AC" w:rsidP="004E14AC">
            <w:pPr>
              <w:jc w:val="both"/>
              <w:rPr>
                <w:rFonts w:asciiTheme="minorHAnsi" w:hAnsiTheme="minorHAnsi" w:cstheme="minorHAnsi"/>
                <w:bCs/>
                <w:sz w:val="20"/>
                <w:szCs w:val="20"/>
              </w:rPr>
            </w:pPr>
          </w:p>
          <w:p w14:paraId="5D396570" w14:textId="6FCD960D" w:rsidR="004E14AC" w:rsidRPr="004E14AC" w:rsidRDefault="004E14AC" w:rsidP="004E14AC">
            <w:pPr>
              <w:jc w:val="both"/>
              <w:rPr>
                <w:rFonts w:asciiTheme="minorHAnsi" w:hAnsiTheme="minorHAnsi" w:cstheme="minorHAnsi"/>
                <w:bCs/>
                <w:sz w:val="20"/>
                <w:szCs w:val="20"/>
              </w:rPr>
            </w:pPr>
            <w:r>
              <w:rPr>
                <w:rFonts w:asciiTheme="minorHAnsi" w:hAnsiTheme="minorHAnsi" w:cstheme="minorHAnsi"/>
                <w:bCs/>
                <w:sz w:val="20"/>
                <w:szCs w:val="20"/>
              </w:rPr>
              <w:t xml:space="preserve">Ειδικά η μείωση του </w:t>
            </w:r>
            <w:r w:rsidR="004E2585">
              <w:rPr>
                <w:rFonts w:asciiTheme="minorHAnsi" w:hAnsiTheme="minorHAnsi" w:cstheme="minorHAnsi"/>
                <w:bCs/>
                <w:sz w:val="20"/>
                <w:szCs w:val="20"/>
              </w:rPr>
              <w:t>πρωτο</w:t>
            </w:r>
            <w:r>
              <w:rPr>
                <w:rFonts w:asciiTheme="minorHAnsi" w:hAnsiTheme="minorHAnsi" w:cstheme="minorHAnsi"/>
                <w:bCs/>
                <w:sz w:val="20"/>
                <w:szCs w:val="20"/>
              </w:rPr>
              <w:t>γενούς τομέα, μπορεί να προκαλέσει παύση λειτουργίας σε πολλές επιχειρήσεις της περιοχής</w:t>
            </w:r>
            <w:r w:rsidR="004E2585">
              <w:rPr>
                <w:rFonts w:asciiTheme="minorHAnsi" w:hAnsiTheme="minorHAnsi" w:cstheme="minorHAnsi"/>
                <w:bCs/>
                <w:sz w:val="20"/>
                <w:szCs w:val="20"/>
              </w:rPr>
              <w:t xml:space="preserve"> άμεσα</w:t>
            </w:r>
            <w:r>
              <w:rPr>
                <w:rFonts w:asciiTheme="minorHAnsi" w:hAnsiTheme="minorHAnsi" w:cstheme="minorHAnsi"/>
                <w:bCs/>
                <w:sz w:val="20"/>
                <w:szCs w:val="20"/>
              </w:rPr>
              <w:t xml:space="preserve">. </w:t>
            </w:r>
          </w:p>
          <w:p w14:paraId="536D93C0" w14:textId="65E6163C" w:rsidR="00255C7D" w:rsidRPr="004E4B8D" w:rsidRDefault="00255C7D" w:rsidP="000A3ADB">
            <w:pPr>
              <w:jc w:val="both"/>
              <w:rPr>
                <w:rFonts w:asciiTheme="minorHAnsi" w:hAnsiTheme="minorHAnsi" w:cstheme="minorHAnsi"/>
                <w:bCs/>
                <w:sz w:val="20"/>
                <w:szCs w:val="20"/>
              </w:rPr>
            </w:pPr>
          </w:p>
        </w:tc>
        <w:tc>
          <w:tcPr>
            <w:tcW w:w="3118" w:type="dxa"/>
            <w:shd w:val="clear" w:color="auto" w:fill="auto"/>
          </w:tcPr>
          <w:p w14:paraId="52EF28C4" w14:textId="2E773EB6" w:rsidR="004E14AC" w:rsidRDefault="00255C7D" w:rsidP="004E14AC">
            <w:pPr>
              <w:jc w:val="both"/>
              <w:rPr>
                <w:rFonts w:asciiTheme="minorHAnsi" w:hAnsiTheme="minorHAnsi" w:cstheme="minorHAnsi"/>
                <w:bCs/>
                <w:sz w:val="20"/>
                <w:szCs w:val="20"/>
              </w:rPr>
            </w:pPr>
            <w:r>
              <w:rPr>
                <w:rFonts w:asciiTheme="minorHAnsi" w:hAnsiTheme="minorHAnsi" w:cstheme="minorHAnsi"/>
                <w:bCs/>
                <w:sz w:val="20"/>
                <w:szCs w:val="20"/>
              </w:rPr>
              <w:t xml:space="preserve">Η ορθή αντιμετώπιση της κρίσης, θα δημιουργήσει προϋποθέσεις </w:t>
            </w:r>
            <w:r w:rsidR="004E14AC">
              <w:rPr>
                <w:rFonts w:asciiTheme="minorHAnsi" w:hAnsiTheme="minorHAnsi" w:cstheme="minorHAnsi"/>
                <w:bCs/>
                <w:sz w:val="20"/>
                <w:szCs w:val="20"/>
              </w:rPr>
              <w:t xml:space="preserve">για: </w:t>
            </w:r>
          </w:p>
          <w:p w14:paraId="0744D434" w14:textId="77777777" w:rsidR="002E1807" w:rsidRPr="004E4B8D" w:rsidRDefault="002E1807" w:rsidP="004E14AC">
            <w:pPr>
              <w:jc w:val="both"/>
              <w:rPr>
                <w:rFonts w:asciiTheme="minorHAnsi" w:hAnsiTheme="minorHAnsi" w:cstheme="minorHAnsi"/>
                <w:bCs/>
                <w:sz w:val="20"/>
                <w:szCs w:val="20"/>
              </w:rPr>
            </w:pPr>
          </w:p>
          <w:p w14:paraId="527C8AEC" w14:textId="7ED4E1A8" w:rsidR="004E14AC" w:rsidRDefault="004E14AC" w:rsidP="004E14AC">
            <w:pPr>
              <w:pStyle w:val="a9"/>
              <w:numPr>
                <w:ilvl w:val="0"/>
                <w:numId w:val="33"/>
              </w:numPr>
              <w:ind w:left="176" w:hanging="142"/>
              <w:contextualSpacing w:val="0"/>
              <w:jc w:val="both"/>
              <w:rPr>
                <w:rFonts w:asciiTheme="minorHAnsi" w:hAnsiTheme="minorHAnsi" w:cstheme="minorHAnsi"/>
                <w:bCs/>
                <w:sz w:val="20"/>
                <w:szCs w:val="20"/>
              </w:rPr>
            </w:pPr>
            <w:r w:rsidRPr="00633DF3">
              <w:rPr>
                <w:rFonts w:asciiTheme="minorHAnsi" w:hAnsiTheme="minorHAnsi" w:cstheme="minorHAnsi"/>
                <w:b/>
                <w:sz w:val="20"/>
                <w:szCs w:val="20"/>
              </w:rPr>
              <w:t>Την ανάσχεση της ερήμωσης</w:t>
            </w:r>
            <w:r>
              <w:rPr>
                <w:rFonts w:asciiTheme="minorHAnsi" w:hAnsiTheme="minorHAnsi" w:cstheme="minorHAnsi"/>
                <w:bCs/>
                <w:sz w:val="20"/>
                <w:szCs w:val="20"/>
              </w:rPr>
              <w:t xml:space="preserve"> της περιοχής, λόγω της αύξησης του κύματος αστυφιλίας.</w:t>
            </w:r>
            <w:r w:rsidR="004E2585">
              <w:rPr>
                <w:rFonts w:asciiTheme="minorHAnsi" w:hAnsiTheme="minorHAnsi" w:cstheme="minorHAnsi"/>
                <w:bCs/>
                <w:sz w:val="20"/>
                <w:szCs w:val="20"/>
              </w:rPr>
              <w:t xml:space="preserve"> Η Θράκη αποτελεί την Περιφέρεια που διαχρονικά μειώνεται ο πληθυσμός της. </w:t>
            </w:r>
          </w:p>
          <w:p w14:paraId="4A4A2533" w14:textId="41B99AE8" w:rsidR="004E14AC" w:rsidRDefault="004E14AC" w:rsidP="004E14AC">
            <w:pPr>
              <w:pStyle w:val="a9"/>
              <w:numPr>
                <w:ilvl w:val="0"/>
                <w:numId w:val="33"/>
              </w:numPr>
              <w:ind w:left="176" w:hanging="142"/>
              <w:contextualSpacing w:val="0"/>
              <w:jc w:val="both"/>
              <w:rPr>
                <w:rFonts w:asciiTheme="minorHAnsi" w:hAnsiTheme="minorHAnsi" w:cstheme="minorHAnsi"/>
                <w:bCs/>
                <w:sz w:val="20"/>
                <w:szCs w:val="20"/>
              </w:rPr>
            </w:pPr>
            <w:r>
              <w:rPr>
                <w:rFonts w:asciiTheme="minorHAnsi" w:hAnsiTheme="minorHAnsi" w:cstheme="minorHAnsi"/>
                <w:bCs/>
                <w:sz w:val="20"/>
                <w:szCs w:val="20"/>
              </w:rPr>
              <w:t xml:space="preserve">Τη </w:t>
            </w:r>
            <w:r w:rsidRPr="00633DF3">
              <w:rPr>
                <w:rFonts w:asciiTheme="minorHAnsi" w:hAnsiTheme="minorHAnsi" w:cstheme="minorHAnsi"/>
                <w:b/>
                <w:sz w:val="20"/>
                <w:szCs w:val="20"/>
              </w:rPr>
              <w:t>συγκράτηση</w:t>
            </w:r>
            <w:r w:rsidRPr="00633DF3">
              <w:rPr>
                <w:rFonts w:asciiTheme="minorHAnsi" w:hAnsiTheme="minorHAnsi" w:cstheme="minorHAnsi"/>
                <w:bCs/>
                <w:sz w:val="20"/>
                <w:szCs w:val="20"/>
              </w:rPr>
              <w:t xml:space="preserve"> τ</w:t>
            </w:r>
            <w:r>
              <w:rPr>
                <w:rFonts w:asciiTheme="minorHAnsi" w:hAnsiTheme="minorHAnsi" w:cstheme="minorHAnsi"/>
                <w:bCs/>
                <w:sz w:val="20"/>
                <w:szCs w:val="20"/>
              </w:rPr>
              <w:t>ων κάθε είδους επιχειρήσεων με έδρα τη Θράκη.</w:t>
            </w:r>
          </w:p>
          <w:p w14:paraId="29BF847F" w14:textId="29BD4C90" w:rsidR="004E14AC" w:rsidRPr="004E4B8D" w:rsidRDefault="004E14AC" w:rsidP="004E14AC">
            <w:pPr>
              <w:pStyle w:val="a9"/>
              <w:numPr>
                <w:ilvl w:val="0"/>
                <w:numId w:val="33"/>
              </w:numPr>
              <w:ind w:left="176" w:hanging="142"/>
              <w:contextualSpacing w:val="0"/>
              <w:jc w:val="both"/>
              <w:rPr>
                <w:rFonts w:asciiTheme="minorHAnsi" w:hAnsiTheme="minorHAnsi" w:cstheme="minorHAnsi"/>
                <w:bCs/>
                <w:sz w:val="20"/>
                <w:szCs w:val="20"/>
              </w:rPr>
            </w:pPr>
            <w:r>
              <w:rPr>
                <w:rFonts w:asciiTheme="minorHAnsi" w:hAnsiTheme="minorHAnsi" w:cstheme="minorHAnsi"/>
                <w:bCs/>
                <w:sz w:val="20"/>
                <w:szCs w:val="20"/>
              </w:rPr>
              <w:t xml:space="preserve">Τη </w:t>
            </w:r>
            <w:r w:rsidRPr="00633DF3">
              <w:rPr>
                <w:rFonts w:asciiTheme="minorHAnsi" w:hAnsiTheme="minorHAnsi" w:cstheme="minorHAnsi"/>
                <w:b/>
                <w:sz w:val="20"/>
                <w:szCs w:val="20"/>
              </w:rPr>
              <w:t>διατήρηση</w:t>
            </w:r>
            <w:r w:rsidRPr="006966CD">
              <w:rPr>
                <w:rFonts w:asciiTheme="minorHAnsi" w:hAnsiTheme="minorHAnsi" w:cstheme="minorHAnsi"/>
                <w:b/>
                <w:sz w:val="20"/>
                <w:szCs w:val="20"/>
              </w:rPr>
              <w:t xml:space="preserve"> </w:t>
            </w:r>
            <w:r>
              <w:rPr>
                <w:rFonts w:asciiTheme="minorHAnsi" w:hAnsiTheme="minorHAnsi" w:cstheme="minorHAnsi"/>
                <w:bCs/>
                <w:sz w:val="20"/>
                <w:szCs w:val="20"/>
              </w:rPr>
              <w:t xml:space="preserve">του επενδυτικού ενδιαφέροντος για την περιοχή. </w:t>
            </w:r>
          </w:p>
          <w:p w14:paraId="3D7795C7" w14:textId="334AC6FE" w:rsidR="004E14AC" w:rsidRDefault="004E14AC" w:rsidP="00255C7D">
            <w:pPr>
              <w:jc w:val="both"/>
              <w:rPr>
                <w:rFonts w:asciiTheme="minorHAnsi" w:hAnsiTheme="minorHAnsi" w:cstheme="minorHAnsi"/>
                <w:bCs/>
                <w:sz w:val="20"/>
                <w:szCs w:val="20"/>
              </w:rPr>
            </w:pPr>
          </w:p>
          <w:p w14:paraId="06B19B02" w14:textId="511D5206" w:rsidR="004E14AC" w:rsidRPr="004E2585" w:rsidRDefault="004E14AC" w:rsidP="00255C7D">
            <w:pPr>
              <w:jc w:val="both"/>
              <w:rPr>
                <w:rFonts w:asciiTheme="minorHAnsi" w:hAnsiTheme="minorHAnsi" w:cstheme="minorHAnsi"/>
                <w:b/>
                <w:sz w:val="20"/>
                <w:szCs w:val="20"/>
              </w:rPr>
            </w:pPr>
            <w:r>
              <w:rPr>
                <w:rFonts w:asciiTheme="minorHAnsi" w:hAnsiTheme="minorHAnsi" w:cstheme="minorHAnsi"/>
                <w:bCs/>
                <w:sz w:val="20"/>
                <w:szCs w:val="20"/>
              </w:rPr>
              <w:t xml:space="preserve">Σε αντίθετη περίπτωση, η περιοχή ενδέχεται </w:t>
            </w:r>
            <w:r w:rsidRPr="00633DF3">
              <w:rPr>
                <w:rFonts w:asciiTheme="minorHAnsi" w:hAnsiTheme="minorHAnsi" w:cstheme="minorHAnsi"/>
                <w:b/>
                <w:sz w:val="20"/>
                <w:szCs w:val="20"/>
              </w:rPr>
              <w:t>να μην ανακάμψει τα επόμενα χρόνια, με προφανείς αρνητικές επιπτώσεις, τόσο για τη Θράκη, όσο και για ολόκληρη τη χώρα.</w:t>
            </w:r>
            <w:r w:rsidRPr="004E2585">
              <w:rPr>
                <w:rFonts w:asciiTheme="minorHAnsi" w:hAnsiTheme="minorHAnsi" w:cstheme="minorHAnsi"/>
                <w:b/>
                <w:sz w:val="20"/>
                <w:szCs w:val="20"/>
              </w:rPr>
              <w:t xml:space="preserve"> </w:t>
            </w:r>
          </w:p>
          <w:p w14:paraId="463B958F" w14:textId="183D1BAF" w:rsidR="00255C7D" w:rsidRPr="004E14AC" w:rsidRDefault="00255C7D" w:rsidP="004E14AC">
            <w:pPr>
              <w:jc w:val="both"/>
              <w:rPr>
                <w:rFonts w:asciiTheme="minorHAnsi" w:hAnsiTheme="minorHAnsi" w:cstheme="minorHAnsi"/>
                <w:bCs/>
                <w:sz w:val="20"/>
                <w:szCs w:val="20"/>
              </w:rPr>
            </w:pPr>
          </w:p>
        </w:tc>
        <w:tc>
          <w:tcPr>
            <w:tcW w:w="4253" w:type="dxa"/>
            <w:shd w:val="clear" w:color="auto" w:fill="auto"/>
          </w:tcPr>
          <w:p w14:paraId="4D5C8560" w14:textId="292DFB98" w:rsidR="004E14AC" w:rsidRDefault="004E14AC" w:rsidP="004E14AC">
            <w:pPr>
              <w:jc w:val="both"/>
              <w:rPr>
                <w:rFonts w:asciiTheme="minorHAnsi" w:hAnsiTheme="minorHAnsi" w:cstheme="minorHAnsi"/>
                <w:bCs/>
                <w:sz w:val="20"/>
                <w:szCs w:val="20"/>
              </w:rPr>
            </w:pPr>
            <w:r>
              <w:rPr>
                <w:rFonts w:asciiTheme="minorHAnsi" w:hAnsiTheme="minorHAnsi" w:cstheme="minorHAnsi"/>
                <w:bCs/>
                <w:sz w:val="20"/>
                <w:szCs w:val="20"/>
              </w:rPr>
              <w:t xml:space="preserve">Η πολιτική των αποζημιώσεων, </w:t>
            </w:r>
            <w:r w:rsidR="00C93A70">
              <w:rPr>
                <w:rFonts w:asciiTheme="minorHAnsi" w:hAnsiTheme="minorHAnsi" w:cstheme="minorHAnsi"/>
                <w:bCs/>
                <w:sz w:val="20"/>
                <w:szCs w:val="20"/>
              </w:rPr>
              <w:t xml:space="preserve">έχει αποδειχθεί ότι δεν αποτελεί </w:t>
            </w:r>
            <w:r>
              <w:rPr>
                <w:rFonts w:asciiTheme="minorHAnsi" w:hAnsiTheme="minorHAnsi" w:cstheme="minorHAnsi"/>
                <w:bCs/>
                <w:sz w:val="20"/>
                <w:szCs w:val="20"/>
              </w:rPr>
              <w:t>αποτελεσματικό μέτρο για την ανάταξη περιοχ</w:t>
            </w:r>
            <w:r w:rsidR="00C93A70">
              <w:rPr>
                <w:rFonts w:asciiTheme="minorHAnsi" w:hAnsiTheme="minorHAnsi" w:cstheme="minorHAnsi"/>
                <w:bCs/>
                <w:sz w:val="20"/>
                <w:szCs w:val="20"/>
              </w:rPr>
              <w:t>ών που έχουν βιώσει παρόμοιου τύπου κρίσεις όπως ο Έβρος</w:t>
            </w:r>
            <w:r w:rsidR="002E1807">
              <w:rPr>
                <w:rFonts w:asciiTheme="minorHAnsi" w:hAnsiTheme="minorHAnsi" w:cstheme="minorHAnsi"/>
                <w:bCs/>
                <w:sz w:val="20"/>
                <w:szCs w:val="20"/>
              </w:rPr>
              <w:t xml:space="preserve"> και κατ’ επέκταση η Θράκη.</w:t>
            </w:r>
          </w:p>
          <w:p w14:paraId="46D00B62" w14:textId="77777777" w:rsidR="004E14AC" w:rsidRDefault="004E14AC" w:rsidP="004E14AC">
            <w:pPr>
              <w:jc w:val="both"/>
              <w:rPr>
                <w:rFonts w:asciiTheme="minorHAnsi" w:hAnsiTheme="minorHAnsi" w:cstheme="minorHAnsi"/>
                <w:bCs/>
                <w:sz w:val="20"/>
                <w:szCs w:val="20"/>
              </w:rPr>
            </w:pPr>
          </w:p>
          <w:p w14:paraId="0933F515" w14:textId="301EA6D3" w:rsidR="00C93A70" w:rsidRDefault="00C93A70" w:rsidP="004E14AC">
            <w:pPr>
              <w:jc w:val="both"/>
              <w:rPr>
                <w:rFonts w:asciiTheme="minorHAnsi" w:hAnsiTheme="minorHAnsi" w:cstheme="minorHAnsi"/>
                <w:bCs/>
                <w:sz w:val="20"/>
                <w:szCs w:val="20"/>
              </w:rPr>
            </w:pPr>
            <w:r>
              <w:rPr>
                <w:rFonts w:asciiTheme="minorHAnsi" w:hAnsiTheme="minorHAnsi" w:cstheme="minorHAnsi"/>
                <w:bCs/>
                <w:sz w:val="20"/>
                <w:szCs w:val="20"/>
              </w:rPr>
              <w:t xml:space="preserve">Ο ΣΒΕ, για την ανάκαμψη και την ανάπτυξη συνολικά της Θράκης, προτείνει την εκπόνηση </w:t>
            </w:r>
            <w:r w:rsidRPr="00633DF3">
              <w:rPr>
                <w:rFonts w:asciiTheme="minorHAnsi" w:hAnsiTheme="minorHAnsi" w:cstheme="minorHAnsi"/>
                <w:b/>
                <w:sz w:val="20"/>
                <w:szCs w:val="20"/>
              </w:rPr>
              <w:t>σε χρονικό ορίζοντα δώδεκα (12) μηνών ρεαλιστικού «</w:t>
            </w:r>
            <w:r w:rsidRPr="00633DF3">
              <w:rPr>
                <w:rFonts w:asciiTheme="minorHAnsi" w:hAnsiTheme="minorHAnsi" w:cstheme="minorHAnsi"/>
                <w:b/>
                <w:sz w:val="20"/>
                <w:szCs w:val="20"/>
                <w:lang w:val="en-US"/>
              </w:rPr>
              <w:t>master</w:t>
            </w:r>
            <w:r w:rsidRPr="00633DF3">
              <w:rPr>
                <w:rFonts w:asciiTheme="minorHAnsi" w:hAnsiTheme="minorHAnsi" w:cstheme="minorHAnsi"/>
                <w:b/>
                <w:sz w:val="20"/>
                <w:szCs w:val="20"/>
              </w:rPr>
              <w:t xml:space="preserve"> </w:t>
            </w:r>
            <w:r w:rsidRPr="00633DF3">
              <w:rPr>
                <w:rFonts w:asciiTheme="minorHAnsi" w:hAnsiTheme="minorHAnsi" w:cstheme="minorHAnsi"/>
                <w:b/>
                <w:sz w:val="20"/>
                <w:szCs w:val="20"/>
                <w:lang w:val="en-US"/>
              </w:rPr>
              <w:t>plan</w:t>
            </w:r>
            <w:r w:rsidRPr="00633DF3">
              <w:rPr>
                <w:rFonts w:asciiTheme="minorHAnsi" w:hAnsiTheme="minorHAnsi" w:cstheme="minorHAnsi"/>
                <w:b/>
                <w:sz w:val="20"/>
                <w:szCs w:val="20"/>
              </w:rPr>
              <w:t>»</w:t>
            </w:r>
            <w:r w:rsidRPr="00633DF3">
              <w:rPr>
                <w:rFonts w:asciiTheme="minorHAnsi" w:hAnsiTheme="minorHAnsi" w:cstheme="minorHAnsi"/>
                <w:bCs/>
                <w:sz w:val="20"/>
                <w:szCs w:val="20"/>
              </w:rPr>
              <w:t>, στο οποίο:</w:t>
            </w:r>
          </w:p>
          <w:p w14:paraId="224DEB5E" w14:textId="77777777" w:rsidR="00C93A70" w:rsidRDefault="00C93A70" w:rsidP="004E14AC">
            <w:pPr>
              <w:jc w:val="both"/>
              <w:rPr>
                <w:rFonts w:asciiTheme="minorHAnsi" w:hAnsiTheme="minorHAnsi" w:cstheme="minorHAnsi"/>
                <w:bCs/>
                <w:sz w:val="20"/>
                <w:szCs w:val="20"/>
              </w:rPr>
            </w:pPr>
          </w:p>
          <w:p w14:paraId="51A804AF" w14:textId="77777777" w:rsidR="00C93A70" w:rsidRDefault="00C93A70" w:rsidP="00C93A70">
            <w:pPr>
              <w:pStyle w:val="a9"/>
              <w:numPr>
                <w:ilvl w:val="0"/>
                <w:numId w:val="34"/>
              </w:numPr>
              <w:ind w:left="317" w:hanging="283"/>
              <w:contextualSpacing w:val="0"/>
              <w:jc w:val="both"/>
              <w:rPr>
                <w:rFonts w:asciiTheme="minorHAnsi" w:hAnsiTheme="minorHAnsi" w:cstheme="minorHAnsi"/>
                <w:bCs/>
                <w:sz w:val="20"/>
                <w:szCs w:val="20"/>
              </w:rPr>
            </w:pPr>
            <w:r>
              <w:rPr>
                <w:rFonts w:asciiTheme="minorHAnsi" w:hAnsiTheme="minorHAnsi" w:cstheme="minorHAnsi"/>
                <w:bCs/>
                <w:sz w:val="20"/>
                <w:szCs w:val="20"/>
              </w:rPr>
              <w:t xml:space="preserve">Θα προδιαγραφούν </w:t>
            </w:r>
            <w:r w:rsidRPr="004E2585">
              <w:rPr>
                <w:rFonts w:asciiTheme="minorHAnsi" w:hAnsiTheme="minorHAnsi" w:cstheme="minorHAnsi"/>
                <w:b/>
                <w:sz w:val="20"/>
                <w:szCs w:val="20"/>
              </w:rPr>
              <w:t>συγκεκριμένες ενέργειες</w:t>
            </w:r>
            <w:r>
              <w:rPr>
                <w:rFonts w:asciiTheme="minorHAnsi" w:hAnsiTheme="minorHAnsi" w:cstheme="minorHAnsi"/>
                <w:bCs/>
                <w:sz w:val="20"/>
                <w:szCs w:val="20"/>
              </w:rPr>
              <w:t xml:space="preserve"> υποστήριξης για το σύνολο των τομέων της τοπικής οικονομίας. </w:t>
            </w:r>
          </w:p>
          <w:p w14:paraId="2D9BE60F" w14:textId="6504CB3F" w:rsidR="00C93A70" w:rsidRDefault="00C93A70" w:rsidP="00C93A70">
            <w:pPr>
              <w:pStyle w:val="a9"/>
              <w:numPr>
                <w:ilvl w:val="0"/>
                <w:numId w:val="34"/>
              </w:numPr>
              <w:ind w:left="317" w:hanging="283"/>
              <w:contextualSpacing w:val="0"/>
              <w:jc w:val="both"/>
              <w:rPr>
                <w:rFonts w:asciiTheme="minorHAnsi" w:hAnsiTheme="minorHAnsi" w:cstheme="minorHAnsi"/>
                <w:bCs/>
                <w:sz w:val="20"/>
                <w:szCs w:val="20"/>
              </w:rPr>
            </w:pPr>
            <w:r>
              <w:rPr>
                <w:rFonts w:asciiTheme="minorHAnsi" w:hAnsiTheme="minorHAnsi" w:cstheme="minorHAnsi"/>
                <w:bCs/>
                <w:sz w:val="20"/>
                <w:szCs w:val="20"/>
              </w:rPr>
              <w:t xml:space="preserve">Θα δημιουργηθούν τα </w:t>
            </w:r>
            <w:r w:rsidRPr="006966CD">
              <w:rPr>
                <w:rFonts w:asciiTheme="minorHAnsi" w:hAnsiTheme="minorHAnsi" w:cstheme="minorHAnsi"/>
                <w:b/>
                <w:sz w:val="20"/>
                <w:szCs w:val="20"/>
              </w:rPr>
              <w:t>κατάλληλα χρηματοδοτικά εργαλεία</w:t>
            </w:r>
            <w:r>
              <w:rPr>
                <w:rFonts w:asciiTheme="minorHAnsi" w:hAnsiTheme="minorHAnsi" w:cstheme="minorHAnsi"/>
                <w:bCs/>
                <w:sz w:val="20"/>
                <w:szCs w:val="20"/>
              </w:rPr>
              <w:t xml:space="preserve">. </w:t>
            </w:r>
          </w:p>
          <w:p w14:paraId="45499DD4" w14:textId="643E512F" w:rsidR="00C93A70" w:rsidRPr="004E2585" w:rsidRDefault="004E2585" w:rsidP="00687229">
            <w:pPr>
              <w:pStyle w:val="a9"/>
              <w:numPr>
                <w:ilvl w:val="0"/>
                <w:numId w:val="34"/>
              </w:numPr>
              <w:ind w:left="317" w:hanging="283"/>
              <w:contextualSpacing w:val="0"/>
              <w:jc w:val="both"/>
              <w:rPr>
                <w:rFonts w:asciiTheme="minorHAnsi" w:hAnsiTheme="minorHAnsi" w:cstheme="minorHAnsi"/>
                <w:bCs/>
                <w:sz w:val="20"/>
                <w:szCs w:val="20"/>
              </w:rPr>
            </w:pPr>
            <w:r w:rsidRPr="004E2585">
              <w:rPr>
                <w:rFonts w:asciiTheme="minorHAnsi" w:hAnsiTheme="minorHAnsi" w:cstheme="minorHAnsi"/>
                <w:bCs/>
                <w:sz w:val="20"/>
                <w:szCs w:val="20"/>
              </w:rPr>
              <w:t xml:space="preserve">Θα εξασφαλισθούν </w:t>
            </w:r>
            <w:r w:rsidRPr="004E2585">
              <w:rPr>
                <w:rFonts w:asciiTheme="minorHAnsi" w:hAnsiTheme="minorHAnsi" w:cstheme="minorHAnsi"/>
                <w:b/>
                <w:sz w:val="20"/>
                <w:szCs w:val="20"/>
              </w:rPr>
              <w:t>μηχανισμοί λειτουργικών ενισχύσεων,</w:t>
            </w:r>
            <w:r w:rsidRPr="004E2585">
              <w:rPr>
                <w:rFonts w:asciiTheme="minorHAnsi" w:hAnsiTheme="minorHAnsi" w:cstheme="minorHAnsi"/>
                <w:bCs/>
                <w:sz w:val="20"/>
                <w:szCs w:val="20"/>
              </w:rPr>
              <w:t xml:space="preserve"> όπως το μεταφορικό ισοδύναμο, η επιδότηση των εργοδοτικών εισφορών, κ.λπ..</w:t>
            </w:r>
          </w:p>
          <w:p w14:paraId="29B867F5" w14:textId="4B2FADC6" w:rsidR="00255C7D" w:rsidRPr="00C93A70" w:rsidRDefault="00C93A70" w:rsidP="00C93A70">
            <w:pPr>
              <w:pStyle w:val="a9"/>
              <w:numPr>
                <w:ilvl w:val="0"/>
                <w:numId w:val="34"/>
              </w:numPr>
              <w:ind w:left="317" w:hanging="283"/>
              <w:contextualSpacing w:val="0"/>
              <w:jc w:val="both"/>
              <w:rPr>
                <w:rFonts w:asciiTheme="minorHAnsi" w:hAnsiTheme="minorHAnsi" w:cstheme="minorHAnsi"/>
                <w:bCs/>
                <w:sz w:val="20"/>
                <w:szCs w:val="20"/>
              </w:rPr>
            </w:pPr>
            <w:r>
              <w:rPr>
                <w:rFonts w:asciiTheme="minorHAnsi" w:hAnsiTheme="minorHAnsi" w:cstheme="minorHAnsi"/>
                <w:bCs/>
                <w:sz w:val="20"/>
                <w:szCs w:val="20"/>
              </w:rPr>
              <w:t xml:space="preserve">Θα προβλεφθεί το </w:t>
            </w:r>
            <w:r w:rsidRPr="004E2585">
              <w:rPr>
                <w:rFonts w:asciiTheme="minorHAnsi" w:hAnsiTheme="minorHAnsi" w:cstheme="minorHAnsi"/>
                <w:b/>
                <w:sz w:val="20"/>
                <w:szCs w:val="20"/>
              </w:rPr>
              <w:t>κατάλληλο σχήμα διακυβέρνησης</w:t>
            </w:r>
            <w:r>
              <w:rPr>
                <w:rFonts w:asciiTheme="minorHAnsi" w:hAnsiTheme="minorHAnsi" w:cstheme="minorHAnsi"/>
                <w:bCs/>
                <w:sz w:val="20"/>
                <w:szCs w:val="20"/>
              </w:rPr>
              <w:t xml:space="preserve"> του «</w:t>
            </w:r>
            <w:r>
              <w:rPr>
                <w:rFonts w:asciiTheme="minorHAnsi" w:hAnsiTheme="minorHAnsi" w:cstheme="minorHAnsi"/>
                <w:bCs/>
                <w:sz w:val="20"/>
                <w:szCs w:val="20"/>
                <w:lang w:val="en-US"/>
              </w:rPr>
              <w:t>master</w:t>
            </w:r>
            <w:r w:rsidRPr="00C93A70">
              <w:rPr>
                <w:rFonts w:asciiTheme="minorHAnsi" w:hAnsiTheme="minorHAnsi" w:cstheme="minorHAnsi"/>
                <w:bCs/>
                <w:sz w:val="20"/>
                <w:szCs w:val="20"/>
              </w:rPr>
              <w:t xml:space="preserve"> </w:t>
            </w:r>
            <w:r>
              <w:rPr>
                <w:rFonts w:asciiTheme="minorHAnsi" w:hAnsiTheme="minorHAnsi" w:cstheme="minorHAnsi"/>
                <w:bCs/>
                <w:sz w:val="20"/>
                <w:szCs w:val="20"/>
                <w:lang w:val="en-US"/>
              </w:rPr>
              <w:t>plan</w:t>
            </w:r>
            <w:r>
              <w:rPr>
                <w:rFonts w:asciiTheme="minorHAnsi" w:hAnsiTheme="minorHAnsi" w:cstheme="minorHAnsi"/>
                <w:bCs/>
                <w:sz w:val="20"/>
                <w:szCs w:val="20"/>
              </w:rPr>
              <w:t xml:space="preserve">» για τη Θράκη. </w:t>
            </w:r>
          </w:p>
        </w:tc>
      </w:tr>
    </w:tbl>
    <w:p w14:paraId="3C21BB16" w14:textId="77777777" w:rsidR="00390DC9" w:rsidRDefault="00390DC9">
      <w:r>
        <w:br w:type="page"/>
      </w:r>
    </w:p>
    <w:tbl>
      <w:tblPr>
        <w:tblStyle w:val="a7"/>
        <w:tblW w:w="10207" w:type="dxa"/>
        <w:tblInd w:w="-289" w:type="dxa"/>
        <w:tblLook w:val="04A0" w:firstRow="1" w:lastRow="0" w:firstColumn="1" w:lastColumn="0" w:noHBand="0" w:noVBand="1"/>
      </w:tblPr>
      <w:tblGrid>
        <w:gridCol w:w="2836"/>
        <w:gridCol w:w="3118"/>
        <w:gridCol w:w="4253"/>
      </w:tblGrid>
      <w:tr w:rsidR="00390DC9" w:rsidRPr="008E3678" w14:paraId="171D5A77" w14:textId="77777777" w:rsidTr="00EC598C">
        <w:trPr>
          <w:trHeight w:val="119"/>
          <w:tblHeader/>
        </w:trPr>
        <w:tc>
          <w:tcPr>
            <w:tcW w:w="2836" w:type="dxa"/>
            <w:shd w:val="clear" w:color="auto" w:fill="D9D9D9" w:themeFill="background1" w:themeFillShade="D9"/>
          </w:tcPr>
          <w:p w14:paraId="5D92F358" w14:textId="77777777" w:rsidR="00390DC9" w:rsidRPr="004E4B8D" w:rsidRDefault="00390DC9" w:rsidP="00EC598C">
            <w:pPr>
              <w:jc w:val="center"/>
              <w:rPr>
                <w:rFonts w:asciiTheme="minorHAnsi" w:hAnsiTheme="minorHAnsi" w:cstheme="minorHAnsi"/>
                <w:b/>
                <w:sz w:val="20"/>
                <w:szCs w:val="20"/>
              </w:rPr>
            </w:pPr>
            <w:r w:rsidRPr="004E4B8D">
              <w:rPr>
                <w:rFonts w:asciiTheme="minorHAnsi" w:hAnsiTheme="minorHAnsi" w:cstheme="minorHAnsi"/>
                <w:b/>
                <w:sz w:val="20"/>
                <w:szCs w:val="20"/>
              </w:rPr>
              <w:lastRenderedPageBreak/>
              <w:t>Διαπίστωση</w:t>
            </w:r>
          </w:p>
        </w:tc>
        <w:tc>
          <w:tcPr>
            <w:tcW w:w="3118" w:type="dxa"/>
            <w:shd w:val="clear" w:color="auto" w:fill="D9D9D9" w:themeFill="background1" w:themeFillShade="D9"/>
          </w:tcPr>
          <w:p w14:paraId="698E6ACE" w14:textId="77777777" w:rsidR="00390DC9" w:rsidRPr="004E4B8D" w:rsidRDefault="00390DC9" w:rsidP="00EC598C">
            <w:pPr>
              <w:jc w:val="center"/>
              <w:rPr>
                <w:rFonts w:asciiTheme="minorHAnsi" w:hAnsiTheme="minorHAnsi" w:cstheme="minorHAnsi"/>
                <w:b/>
                <w:sz w:val="20"/>
                <w:szCs w:val="20"/>
              </w:rPr>
            </w:pPr>
            <w:r w:rsidRPr="004E4B8D">
              <w:rPr>
                <w:rFonts w:asciiTheme="minorHAnsi" w:hAnsiTheme="minorHAnsi" w:cstheme="minorHAnsi"/>
                <w:b/>
                <w:sz w:val="20"/>
                <w:szCs w:val="20"/>
              </w:rPr>
              <w:t>Προκλήσεις</w:t>
            </w:r>
          </w:p>
        </w:tc>
        <w:tc>
          <w:tcPr>
            <w:tcW w:w="4253" w:type="dxa"/>
            <w:shd w:val="clear" w:color="auto" w:fill="D9D9D9" w:themeFill="background1" w:themeFillShade="D9"/>
          </w:tcPr>
          <w:p w14:paraId="17A459FF" w14:textId="77777777" w:rsidR="00390DC9" w:rsidRPr="004E4B8D" w:rsidRDefault="00390DC9" w:rsidP="00EC598C">
            <w:pPr>
              <w:jc w:val="center"/>
              <w:rPr>
                <w:rFonts w:asciiTheme="minorHAnsi" w:hAnsiTheme="minorHAnsi" w:cstheme="minorHAnsi"/>
                <w:b/>
                <w:sz w:val="20"/>
                <w:szCs w:val="20"/>
              </w:rPr>
            </w:pPr>
            <w:r w:rsidRPr="004E4B8D">
              <w:rPr>
                <w:rFonts w:asciiTheme="minorHAnsi" w:hAnsiTheme="minorHAnsi" w:cstheme="minorHAnsi"/>
                <w:b/>
                <w:sz w:val="20"/>
                <w:szCs w:val="20"/>
              </w:rPr>
              <w:t>Προτάσεις επίλυσης του προβλήματος</w:t>
            </w:r>
          </w:p>
        </w:tc>
      </w:tr>
      <w:tr w:rsidR="0032702D" w:rsidRPr="0032702D" w14:paraId="7C02BE42" w14:textId="77777777" w:rsidTr="00390DC9">
        <w:trPr>
          <w:trHeight w:val="397"/>
        </w:trPr>
        <w:tc>
          <w:tcPr>
            <w:tcW w:w="10207" w:type="dxa"/>
            <w:gridSpan w:val="3"/>
            <w:shd w:val="clear" w:color="auto" w:fill="auto"/>
            <w:vAlign w:val="center"/>
          </w:tcPr>
          <w:p w14:paraId="217AB872" w14:textId="0B0AE5E2" w:rsidR="00121AA7" w:rsidRPr="0032702D" w:rsidRDefault="00C93A70" w:rsidP="0032702D">
            <w:pPr>
              <w:jc w:val="center"/>
              <w:rPr>
                <w:rFonts w:asciiTheme="minorHAnsi" w:hAnsiTheme="minorHAnsi" w:cstheme="minorHAnsi"/>
                <w:bCs/>
                <w:color w:val="FF0000"/>
                <w:sz w:val="24"/>
              </w:rPr>
            </w:pPr>
            <w:r w:rsidRPr="0032702D">
              <w:rPr>
                <w:rFonts w:asciiTheme="minorHAnsi" w:hAnsiTheme="minorHAnsi" w:cstheme="minorHAnsi"/>
                <w:b/>
                <w:color w:val="FF0000"/>
                <w:sz w:val="24"/>
              </w:rPr>
              <w:t>2</w:t>
            </w:r>
            <w:r w:rsidR="00121AA7" w:rsidRPr="0032702D">
              <w:rPr>
                <w:rFonts w:asciiTheme="minorHAnsi" w:hAnsiTheme="minorHAnsi" w:cstheme="minorHAnsi"/>
                <w:b/>
                <w:color w:val="FF0000"/>
                <w:sz w:val="24"/>
              </w:rPr>
              <w:t>. Αδυναμία Εξεύρεσης Προσωπικού</w:t>
            </w:r>
          </w:p>
        </w:tc>
      </w:tr>
      <w:tr w:rsidR="00121AA7" w:rsidRPr="008E3678" w14:paraId="3715DB84" w14:textId="77777777" w:rsidTr="00121AA7">
        <w:trPr>
          <w:trHeight w:val="118"/>
        </w:trPr>
        <w:tc>
          <w:tcPr>
            <w:tcW w:w="2836" w:type="dxa"/>
            <w:shd w:val="clear" w:color="auto" w:fill="auto"/>
          </w:tcPr>
          <w:p w14:paraId="1049E9CF" w14:textId="77777777" w:rsidR="00121AA7" w:rsidRPr="004E4B8D" w:rsidRDefault="00121AA7" w:rsidP="00297EE1">
            <w:pPr>
              <w:jc w:val="both"/>
              <w:rPr>
                <w:rFonts w:asciiTheme="minorHAnsi" w:hAnsiTheme="minorHAnsi" w:cstheme="minorHAnsi"/>
                <w:bCs/>
                <w:sz w:val="20"/>
                <w:szCs w:val="20"/>
              </w:rPr>
            </w:pPr>
            <w:r w:rsidRPr="004E4B8D">
              <w:rPr>
                <w:rFonts w:asciiTheme="minorHAnsi" w:hAnsiTheme="minorHAnsi" w:cstheme="minorHAnsi"/>
                <w:bCs/>
                <w:sz w:val="20"/>
                <w:szCs w:val="20"/>
              </w:rPr>
              <w:t xml:space="preserve">Κορυφαίο πρόβλημα για την απρόσκοπτη λειτουργία της βιομηχανίας, το οποίο μάλιστα επιδεινώθηκε μετά την υγειονομική κρίση, είναι η </w:t>
            </w:r>
            <w:r w:rsidRPr="00633DF3">
              <w:rPr>
                <w:rFonts w:asciiTheme="minorHAnsi" w:hAnsiTheme="minorHAnsi" w:cstheme="minorHAnsi"/>
                <w:b/>
                <w:sz w:val="20"/>
                <w:szCs w:val="20"/>
              </w:rPr>
              <w:t>αδυναμία εξεύρεσης προσωπικού.</w:t>
            </w:r>
          </w:p>
          <w:p w14:paraId="28B90F48" w14:textId="77777777" w:rsidR="00121AA7" w:rsidRPr="004E4B8D" w:rsidRDefault="00121AA7" w:rsidP="00297EE1">
            <w:pPr>
              <w:jc w:val="both"/>
              <w:rPr>
                <w:rFonts w:asciiTheme="minorHAnsi" w:hAnsiTheme="minorHAnsi" w:cstheme="minorHAnsi"/>
                <w:bCs/>
                <w:sz w:val="20"/>
                <w:szCs w:val="20"/>
              </w:rPr>
            </w:pPr>
            <w:r w:rsidRPr="004E4B8D">
              <w:rPr>
                <w:rFonts w:asciiTheme="minorHAnsi" w:hAnsiTheme="minorHAnsi" w:cstheme="minorHAnsi"/>
                <w:bCs/>
                <w:sz w:val="20"/>
                <w:szCs w:val="20"/>
              </w:rPr>
              <w:t>Το συγκεκριμένο φαινόμενο είναι ιδιαίτερα έντονο σε όλη τη χώρα και ειδικά στην Περιφέρεια</w:t>
            </w:r>
            <w:r>
              <w:rPr>
                <w:rFonts w:asciiTheme="minorHAnsi" w:hAnsiTheme="minorHAnsi" w:cstheme="minorHAnsi"/>
                <w:bCs/>
                <w:sz w:val="20"/>
                <w:szCs w:val="20"/>
              </w:rPr>
              <w:t xml:space="preserve">, που αντιμετωπίζει σοβαρό </w:t>
            </w:r>
            <w:r w:rsidRPr="00633DF3">
              <w:rPr>
                <w:rFonts w:asciiTheme="minorHAnsi" w:hAnsiTheme="minorHAnsi" w:cstheme="minorHAnsi"/>
                <w:bCs/>
                <w:sz w:val="20"/>
                <w:szCs w:val="20"/>
              </w:rPr>
              <w:t>δημογραφικό πρόβλημα.</w:t>
            </w:r>
          </w:p>
          <w:p w14:paraId="3C1F2B8E" w14:textId="77777777" w:rsidR="00121AA7" w:rsidRPr="004E4B8D" w:rsidRDefault="00121AA7" w:rsidP="00297EE1">
            <w:pPr>
              <w:jc w:val="both"/>
              <w:rPr>
                <w:rFonts w:asciiTheme="minorHAnsi" w:hAnsiTheme="minorHAnsi" w:cstheme="minorHAnsi"/>
                <w:bCs/>
                <w:sz w:val="20"/>
                <w:szCs w:val="20"/>
              </w:rPr>
            </w:pPr>
            <w:r w:rsidRPr="004E4B8D">
              <w:rPr>
                <w:rFonts w:asciiTheme="minorHAnsi" w:hAnsiTheme="minorHAnsi" w:cstheme="minorHAnsi"/>
                <w:bCs/>
                <w:sz w:val="20"/>
                <w:szCs w:val="20"/>
              </w:rPr>
              <w:t xml:space="preserve">Η επίλυση του προβλήματος θα συμβάλλει στην εκπλήρωση του </w:t>
            </w:r>
            <w:r w:rsidRPr="00633DF3">
              <w:rPr>
                <w:rFonts w:asciiTheme="minorHAnsi" w:hAnsiTheme="minorHAnsi" w:cstheme="minorHAnsi"/>
                <w:bCs/>
                <w:sz w:val="20"/>
                <w:szCs w:val="20"/>
              </w:rPr>
              <w:t>στόχου μείωσης της ανεργίας κάτω από το 10% έως το 2027.</w:t>
            </w:r>
          </w:p>
        </w:tc>
        <w:tc>
          <w:tcPr>
            <w:tcW w:w="3118" w:type="dxa"/>
            <w:shd w:val="clear" w:color="auto" w:fill="auto"/>
          </w:tcPr>
          <w:p w14:paraId="12D6BD95" w14:textId="77777777" w:rsidR="00121AA7" w:rsidRPr="004E4B8D" w:rsidRDefault="00121AA7" w:rsidP="00297EE1">
            <w:pPr>
              <w:jc w:val="both"/>
              <w:rPr>
                <w:rFonts w:asciiTheme="minorHAnsi" w:hAnsiTheme="minorHAnsi" w:cstheme="minorHAnsi"/>
                <w:bCs/>
                <w:sz w:val="20"/>
                <w:szCs w:val="20"/>
              </w:rPr>
            </w:pPr>
            <w:r w:rsidRPr="004E4B8D">
              <w:rPr>
                <w:rFonts w:asciiTheme="minorHAnsi" w:hAnsiTheme="minorHAnsi" w:cstheme="minorHAnsi"/>
                <w:bCs/>
                <w:sz w:val="20"/>
                <w:szCs w:val="20"/>
              </w:rPr>
              <w:t xml:space="preserve">Η μεγάλη πρόκληση για την κάλυψη του ελλείμματος της βιομηχανίας σε εργαζόμενους με «τεχνικές» δεξιότητες, είναι η ορθή διάρθρωση και η εύρυθμη λειτουργία της αγοράς εργασίας, λαμβάνοντας υπόψη: </w:t>
            </w:r>
          </w:p>
          <w:p w14:paraId="0061639D" w14:textId="77777777" w:rsidR="00121AA7" w:rsidRPr="004E4B8D" w:rsidRDefault="00121AA7" w:rsidP="00121AA7">
            <w:pPr>
              <w:pStyle w:val="a9"/>
              <w:numPr>
                <w:ilvl w:val="0"/>
                <w:numId w:val="33"/>
              </w:numPr>
              <w:ind w:left="176" w:hanging="142"/>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 xml:space="preserve">Την αλλαγή των προτύπων απασχόλησης. </w:t>
            </w:r>
          </w:p>
          <w:p w14:paraId="33373E06" w14:textId="77777777" w:rsidR="00121AA7" w:rsidRPr="004E4B8D" w:rsidRDefault="00121AA7" w:rsidP="00121AA7">
            <w:pPr>
              <w:pStyle w:val="a9"/>
              <w:numPr>
                <w:ilvl w:val="0"/>
                <w:numId w:val="33"/>
              </w:numPr>
              <w:ind w:left="176" w:hanging="142"/>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Το υψηλό ποσοστό ανεργίας.</w:t>
            </w:r>
          </w:p>
          <w:p w14:paraId="69534AAA" w14:textId="77777777" w:rsidR="00121AA7" w:rsidRPr="004E4B8D" w:rsidRDefault="00121AA7" w:rsidP="00121AA7">
            <w:pPr>
              <w:pStyle w:val="a9"/>
              <w:numPr>
                <w:ilvl w:val="0"/>
                <w:numId w:val="33"/>
              </w:numPr>
              <w:ind w:left="176" w:hanging="142"/>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Τη μόνιμη εργασιακή αβεβαιότητα.</w:t>
            </w:r>
          </w:p>
          <w:p w14:paraId="3B6445DB" w14:textId="77777777" w:rsidR="00121AA7" w:rsidRPr="004E4B8D" w:rsidRDefault="00121AA7" w:rsidP="00121AA7">
            <w:pPr>
              <w:pStyle w:val="a9"/>
              <w:numPr>
                <w:ilvl w:val="0"/>
                <w:numId w:val="33"/>
              </w:numPr>
              <w:ind w:left="176" w:hanging="142"/>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Τα κοινωνικά προβλήματα που συνδέονται από την ανεργία των νέων και από την ύπαρξη μακροχρόνια ανέργων, και,</w:t>
            </w:r>
          </w:p>
          <w:p w14:paraId="10D8C432" w14:textId="77777777" w:rsidR="00121AA7" w:rsidRPr="004E4B8D" w:rsidRDefault="00121AA7" w:rsidP="00121AA7">
            <w:pPr>
              <w:pStyle w:val="a9"/>
              <w:numPr>
                <w:ilvl w:val="0"/>
                <w:numId w:val="33"/>
              </w:numPr>
              <w:ind w:left="176" w:hanging="142"/>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Την πρόκληση της γήρανσης του πληθυσμού.</w:t>
            </w:r>
          </w:p>
        </w:tc>
        <w:tc>
          <w:tcPr>
            <w:tcW w:w="4253" w:type="dxa"/>
            <w:shd w:val="clear" w:color="auto" w:fill="auto"/>
          </w:tcPr>
          <w:p w14:paraId="66EB5946" w14:textId="77777777" w:rsidR="00121AA7" w:rsidRPr="004E4B8D"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Αξιολόγηση της αποτελεσματικότητας του «Εθνικού Συστήματος Επαγγελματικής Εκπαίδευσης και Κατάρτισης».</w:t>
            </w:r>
          </w:p>
          <w:p w14:paraId="6DCCCB96" w14:textId="77777777" w:rsidR="00121AA7" w:rsidRPr="004E4B8D"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Ορθή διασύνδεση της τεχνικής εκπαίδευσης με την αγορά εργασίας.</w:t>
            </w:r>
          </w:p>
          <w:p w14:paraId="64AB2EAE" w14:textId="77777777" w:rsidR="00121AA7" w:rsidRPr="004E4B8D"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Θέσπιση της υποχρεωτικότητας και της (τουλάχιστον) εξάμηνης «πρακτικής άσκησης» για τους συμμετέχοντες στην «τεχνική εκπαίδευση».</w:t>
            </w:r>
          </w:p>
          <w:p w14:paraId="162AA65A" w14:textId="77777777" w:rsidR="00121AA7" w:rsidRPr="004E4B8D"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Σχεδιασμός και υλοποίηση προγραμμάτων εκπαίδευσης για τους κλάδους «STEM».</w:t>
            </w:r>
          </w:p>
          <w:p w14:paraId="7D3C75B3" w14:textId="77777777" w:rsidR="00121AA7" w:rsidRPr="004E4B8D"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Χρηματοδότηση τεχνικής επαγγελματικής εκπαίδευσης και κατάρτισης από φορείς του ιδιωτικού τομέα.</w:t>
            </w:r>
          </w:p>
          <w:p w14:paraId="137C5E46" w14:textId="77777777" w:rsidR="00121AA7" w:rsidRPr="004E4B8D"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Ειδικά προγράμματα και θεσμοθέτηση κινήτρων για την ανάσχεση του κύματος αστυφιλίας των τελευταίων ετών.</w:t>
            </w:r>
          </w:p>
          <w:p w14:paraId="25395BDA" w14:textId="77777777" w:rsidR="00121AA7" w:rsidRPr="004E4B8D"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Νομοθετικές πρωτοβουλίες και δημιουργία σύγχρονου πλαισίου, ούτως ώστε:</w:t>
            </w:r>
          </w:p>
          <w:p w14:paraId="24858B6B" w14:textId="77777777" w:rsidR="00121AA7" w:rsidRPr="004E4B8D" w:rsidRDefault="00121AA7" w:rsidP="00121AA7">
            <w:pPr>
              <w:pStyle w:val="a9"/>
              <w:numPr>
                <w:ilvl w:val="0"/>
                <w:numId w:val="35"/>
              </w:numPr>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 xml:space="preserve">να δοθεί η δυνατότητα σε πρόσφυγες και μετανάστες να απασχοληθούν στη βιομηχανία, και, </w:t>
            </w:r>
          </w:p>
          <w:p w14:paraId="32425DD1" w14:textId="77777777" w:rsidR="00121AA7" w:rsidRPr="004E4B8D" w:rsidRDefault="00121AA7" w:rsidP="00121AA7">
            <w:pPr>
              <w:pStyle w:val="a9"/>
              <w:numPr>
                <w:ilvl w:val="0"/>
                <w:numId w:val="35"/>
              </w:numPr>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για την πρόσκληση για απασχόληση αλλοδαπών εργαζομένων στη βιομηχανία.</w:t>
            </w:r>
          </w:p>
        </w:tc>
      </w:tr>
      <w:tr w:rsidR="0032702D" w:rsidRPr="0032702D" w14:paraId="1351099D" w14:textId="77777777" w:rsidTr="00390DC9">
        <w:trPr>
          <w:trHeight w:val="397"/>
          <w:tblHeader/>
        </w:trPr>
        <w:tc>
          <w:tcPr>
            <w:tcW w:w="10207" w:type="dxa"/>
            <w:gridSpan w:val="3"/>
            <w:shd w:val="clear" w:color="auto" w:fill="FFFFFF" w:themeFill="background1"/>
            <w:vAlign w:val="center"/>
          </w:tcPr>
          <w:p w14:paraId="5C932075" w14:textId="5EA14668" w:rsidR="00121AA7" w:rsidRPr="0032702D" w:rsidRDefault="00C93A70" w:rsidP="0032702D">
            <w:pPr>
              <w:jc w:val="center"/>
              <w:rPr>
                <w:rFonts w:asciiTheme="minorHAnsi" w:hAnsiTheme="minorHAnsi" w:cstheme="minorHAnsi"/>
                <w:b/>
                <w:color w:val="FF0000"/>
                <w:sz w:val="24"/>
              </w:rPr>
            </w:pPr>
            <w:r w:rsidRPr="0032702D">
              <w:rPr>
                <w:rFonts w:asciiTheme="minorHAnsi" w:hAnsiTheme="minorHAnsi" w:cstheme="minorHAnsi"/>
                <w:b/>
                <w:color w:val="FF0000"/>
                <w:sz w:val="24"/>
              </w:rPr>
              <w:t>3</w:t>
            </w:r>
            <w:r w:rsidR="00121AA7" w:rsidRPr="0032702D">
              <w:rPr>
                <w:rFonts w:asciiTheme="minorHAnsi" w:hAnsiTheme="minorHAnsi" w:cstheme="minorHAnsi"/>
                <w:b/>
                <w:color w:val="FF0000"/>
                <w:sz w:val="24"/>
              </w:rPr>
              <w:t>. Υποδομές</w:t>
            </w:r>
          </w:p>
        </w:tc>
      </w:tr>
      <w:tr w:rsidR="00121AA7" w:rsidRPr="008E3678" w14:paraId="375B0E4F" w14:textId="77777777" w:rsidTr="00121AA7">
        <w:trPr>
          <w:trHeight w:val="118"/>
        </w:trPr>
        <w:tc>
          <w:tcPr>
            <w:tcW w:w="2836" w:type="dxa"/>
            <w:shd w:val="clear" w:color="auto" w:fill="auto"/>
          </w:tcPr>
          <w:p w14:paraId="26EA8F19" w14:textId="77777777" w:rsidR="00121AA7" w:rsidRPr="004E4B8D" w:rsidRDefault="00121AA7" w:rsidP="00297EE1">
            <w:pPr>
              <w:jc w:val="both"/>
              <w:rPr>
                <w:rFonts w:asciiTheme="minorHAnsi" w:hAnsiTheme="minorHAnsi" w:cstheme="minorHAnsi"/>
                <w:bCs/>
                <w:sz w:val="20"/>
                <w:szCs w:val="20"/>
              </w:rPr>
            </w:pPr>
            <w:r w:rsidRPr="004E4B8D">
              <w:rPr>
                <w:rFonts w:asciiTheme="minorHAnsi" w:hAnsiTheme="minorHAnsi" w:cstheme="minorHAnsi"/>
                <w:bCs/>
                <w:sz w:val="20"/>
                <w:szCs w:val="20"/>
              </w:rPr>
              <w:t xml:space="preserve">Οι </w:t>
            </w:r>
            <w:r w:rsidRPr="00633DF3">
              <w:rPr>
                <w:rFonts w:asciiTheme="minorHAnsi" w:hAnsiTheme="minorHAnsi" w:cstheme="minorHAnsi"/>
                <w:b/>
                <w:sz w:val="20"/>
                <w:szCs w:val="20"/>
              </w:rPr>
              <w:t>υποδομές</w:t>
            </w:r>
            <w:r w:rsidRPr="004E4B8D">
              <w:rPr>
                <w:rFonts w:asciiTheme="minorHAnsi" w:hAnsiTheme="minorHAnsi" w:cstheme="minorHAnsi"/>
                <w:bCs/>
                <w:sz w:val="20"/>
                <w:szCs w:val="20"/>
              </w:rPr>
              <w:t xml:space="preserve"> επηρεάζουν την οικονομική ανάπτυξη και τη διεθνή ανταγωνιστικότητα μιας χώρας, ενώ είναι ένας από τους πλέον σημαντικούς παράγοντες υλοποίησης και προσέλκυσης επενδύσεων.</w:t>
            </w:r>
          </w:p>
          <w:p w14:paraId="4F096AFD" w14:textId="77777777" w:rsidR="00121AA7" w:rsidRPr="004E4B8D" w:rsidRDefault="00121AA7" w:rsidP="00297EE1">
            <w:pPr>
              <w:jc w:val="both"/>
              <w:rPr>
                <w:rFonts w:asciiTheme="minorHAnsi" w:hAnsiTheme="minorHAnsi" w:cstheme="minorHAnsi"/>
                <w:bCs/>
                <w:sz w:val="20"/>
                <w:szCs w:val="20"/>
              </w:rPr>
            </w:pPr>
            <w:r w:rsidRPr="004E4B8D">
              <w:rPr>
                <w:rFonts w:asciiTheme="minorHAnsi" w:hAnsiTheme="minorHAnsi" w:cstheme="minorHAnsi"/>
                <w:bCs/>
                <w:sz w:val="20"/>
                <w:szCs w:val="20"/>
              </w:rPr>
              <w:t xml:space="preserve">Η βελτίωση των υποδομών στη χώρα θα εισφέρει θετικά στην επίτευξη του στόχου της Κυβέρνησης για μέση ετήσια ανάπτυξη 3% έως το 2027. </w:t>
            </w:r>
          </w:p>
        </w:tc>
        <w:tc>
          <w:tcPr>
            <w:tcW w:w="3118" w:type="dxa"/>
            <w:shd w:val="clear" w:color="auto" w:fill="auto"/>
          </w:tcPr>
          <w:p w14:paraId="375A3B56" w14:textId="77777777" w:rsidR="00121AA7" w:rsidRPr="004E4B8D" w:rsidRDefault="00121AA7" w:rsidP="00297EE1">
            <w:pPr>
              <w:jc w:val="both"/>
              <w:rPr>
                <w:rFonts w:asciiTheme="minorHAnsi" w:hAnsiTheme="minorHAnsi" w:cstheme="minorHAnsi"/>
                <w:bCs/>
                <w:sz w:val="20"/>
                <w:szCs w:val="20"/>
              </w:rPr>
            </w:pPr>
            <w:r w:rsidRPr="004E4B8D">
              <w:rPr>
                <w:rFonts w:asciiTheme="minorHAnsi" w:hAnsiTheme="minorHAnsi" w:cstheme="minorHAnsi"/>
                <w:bCs/>
                <w:sz w:val="20"/>
                <w:szCs w:val="20"/>
              </w:rPr>
              <w:t>Η ύπαρξη και ορθή λειτουργία δικτύων:</w:t>
            </w:r>
          </w:p>
          <w:p w14:paraId="5B3891D2" w14:textId="77777777" w:rsidR="00121AA7" w:rsidRPr="00633DF3" w:rsidRDefault="00121AA7" w:rsidP="00121AA7">
            <w:pPr>
              <w:pStyle w:val="a9"/>
              <w:numPr>
                <w:ilvl w:val="0"/>
                <w:numId w:val="33"/>
              </w:numPr>
              <w:ind w:left="318" w:hanging="284"/>
              <w:contextualSpacing w:val="0"/>
              <w:jc w:val="both"/>
              <w:rPr>
                <w:rFonts w:asciiTheme="minorHAnsi" w:hAnsiTheme="minorHAnsi" w:cstheme="minorHAnsi"/>
                <w:bCs/>
                <w:sz w:val="20"/>
                <w:szCs w:val="20"/>
              </w:rPr>
            </w:pPr>
            <w:r w:rsidRPr="00633DF3">
              <w:rPr>
                <w:rFonts w:asciiTheme="minorHAnsi" w:hAnsiTheme="minorHAnsi" w:cstheme="minorHAnsi"/>
                <w:bCs/>
                <w:sz w:val="20"/>
                <w:szCs w:val="20"/>
              </w:rPr>
              <w:t>Ενέργειας.</w:t>
            </w:r>
          </w:p>
          <w:p w14:paraId="243F0C2B" w14:textId="77777777" w:rsidR="00121AA7" w:rsidRPr="00633DF3" w:rsidRDefault="00121AA7" w:rsidP="00121AA7">
            <w:pPr>
              <w:pStyle w:val="a9"/>
              <w:numPr>
                <w:ilvl w:val="0"/>
                <w:numId w:val="33"/>
              </w:numPr>
              <w:ind w:left="318" w:hanging="284"/>
              <w:contextualSpacing w:val="0"/>
              <w:jc w:val="both"/>
              <w:rPr>
                <w:rFonts w:asciiTheme="minorHAnsi" w:hAnsiTheme="minorHAnsi" w:cstheme="minorHAnsi"/>
                <w:bCs/>
                <w:sz w:val="20"/>
                <w:szCs w:val="20"/>
              </w:rPr>
            </w:pPr>
            <w:r w:rsidRPr="00633DF3">
              <w:rPr>
                <w:rFonts w:asciiTheme="minorHAnsi" w:hAnsiTheme="minorHAnsi" w:cstheme="minorHAnsi"/>
                <w:bCs/>
                <w:sz w:val="20"/>
                <w:szCs w:val="20"/>
              </w:rPr>
              <w:t xml:space="preserve">Τηλεπικοινωνιών, και, </w:t>
            </w:r>
          </w:p>
          <w:p w14:paraId="21C29029" w14:textId="77777777" w:rsidR="00121AA7" w:rsidRPr="00633DF3" w:rsidRDefault="00121AA7" w:rsidP="00121AA7">
            <w:pPr>
              <w:pStyle w:val="a9"/>
              <w:numPr>
                <w:ilvl w:val="0"/>
                <w:numId w:val="33"/>
              </w:numPr>
              <w:ind w:left="318" w:hanging="284"/>
              <w:contextualSpacing w:val="0"/>
              <w:jc w:val="both"/>
              <w:rPr>
                <w:rFonts w:asciiTheme="minorHAnsi" w:hAnsiTheme="minorHAnsi" w:cstheme="minorHAnsi"/>
                <w:bCs/>
                <w:sz w:val="20"/>
                <w:szCs w:val="20"/>
              </w:rPr>
            </w:pPr>
            <w:r w:rsidRPr="00633DF3">
              <w:rPr>
                <w:rFonts w:asciiTheme="minorHAnsi" w:hAnsiTheme="minorHAnsi" w:cstheme="minorHAnsi"/>
                <w:bCs/>
                <w:sz w:val="20"/>
                <w:szCs w:val="20"/>
              </w:rPr>
              <w:t>Συνδυασμένων μεταφορών,</w:t>
            </w:r>
          </w:p>
          <w:p w14:paraId="402133C2" w14:textId="77777777" w:rsidR="00121AA7" w:rsidRPr="004E4B8D" w:rsidRDefault="00121AA7" w:rsidP="00297EE1">
            <w:pPr>
              <w:jc w:val="both"/>
              <w:rPr>
                <w:rFonts w:asciiTheme="minorHAnsi" w:hAnsiTheme="minorHAnsi" w:cstheme="minorHAnsi"/>
                <w:bCs/>
                <w:sz w:val="20"/>
                <w:szCs w:val="20"/>
              </w:rPr>
            </w:pPr>
          </w:p>
          <w:p w14:paraId="54CB8286" w14:textId="77777777" w:rsidR="00121AA7" w:rsidRPr="004E4B8D" w:rsidRDefault="00121AA7" w:rsidP="00297EE1">
            <w:pPr>
              <w:jc w:val="both"/>
              <w:rPr>
                <w:rFonts w:asciiTheme="minorHAnsi" w:hAnsiTheme="minorHAnsi" w:cstheme="minorHAnsi"/>
                <w:bCs/>
                <w:sz w:val="20"/>
                <w:szCs w:val="20"/>
              </w:rPr>
            </w:pPr>
            <w:r w:rsidRPr="004E4B8D">
              <w:rPr>
                <w:rFonts w:asciiTheme="minorHAnsi" w:hAnsiTheme="minorHAnsi" w:cstheme="minorHAnsi"/>
                <w:bCs/>
                <w:sz w:val="20"/>
                <w:szCs w:val="20"/>
              </w:rPr>
              <w:t>είναι παράγοντες καθοριστικής σημασίας για την απρόσκοπτη και εύρυθμη λειτουργία κάθε είδους επιχειρήσεων.</w:t>
            </w:r>
          </w:p>
          <w:p w14:paraId="1E5B41D9" w14:textId="77777777" w:rsidR="00121AA7" w:rsidRPr="004E4B8D" w:rsidRDefault="00121AA7" w:rsidP="00297EE1">
            <w:pPr>
              <w:jc w:val="both"/>
              <w:rPr>
                <w:rFonts w:asciiTheme="minorHAnsi" w:hAnsiTheme="minorHAnsi" w:cstheme="minorHAnsi"/>
                <w:bCs/>
                <w:sz w:val="20"/>
                <w:szCs w:val="20"/>
              </w:rPr>
            </w:pPr>
          </w:p>
          <w:p w14:paraId="2DF9DC47" w14:textId="0BB95DEA" w:rsidR="00121AA7" w:rsidRPr="004E4B8D" w:rsidRDefault="00121AA7" w:rsidP="00297EE1">
            <w:pPr>
              <w:jc w:val="both"/>
              <w:rPr>
                <w:rFonts w:asciiTheme="minorHAnsi" w:hAnsiTheme="minorHAnsi" w:cstheme="minorHAnsi"/>
                <w:bCs/>
                <w:sz w:val="20"/>
                <w:szCs w:val="20"/>
              </w:rPr>
            </w:pPr>
            <w:r>
              <w:rPr>
                <w:rFonts w:asciiTheme="minorHAnsi" w:hAnsiTheme="minorHAnsi" w:cstheme="minorHAnsi"/>
                <w:bCs/>
                <w:sz w:val="20"/>
                <w:szCs w:val="20"/>
              </w:rPr>
              <w:t xml:space="preserve">Ειδικά </w:t>
            </w:r>
            <w:r w:rsidRPr="004E4B8D">
              <w:rPr>
                <w:rFonts w:asciiTheme="minorHAnsi" w:hAnsiTheme="minorHAnsi" w:cstheme="minorHAnsi"/>
                <w:bCs/>
                <w:sz w:val="20"/>
                <w:szCs w:val="20"/>
              </w:rPr>
              <w:t xml:space="preserve">στην Ελληνική περιφέρεια, </w:t>
            </w:r>
            <w:r w:rsidR="006966CD">
              <w:rPr>
                <w:rFonts w:asciiTheme="minorHAnsi" w:hAnsiTheme="minorHAnsi" w:cstheme="minorHAnsi"/>
                <w:bCs/>
                <w:sz w:val="20"/>
                <w:szCs w:val="20"/>
              </w:rPr>
              <w:t xml:space="preserve">και ιδιαίτερα στην Ήπειρο και στη Θράκη, </w:t>
            </w:r>
            <w:r w:rsidRPr="004E4B8D">
              <w:rPr>
                <w:rFonts w:asciiTheme="minorHAnsi" w:hAnsiTheme="minorHAnsi" w:cstheme="minorHAnsi"/>
                <w:bCs/>
                <w:sz w:val="20"/>
                <w:szCs w:val="20"/>
              </w:rPr>
              <w:t>διαπιστώνεται τεράστια έλλειψη σε αναγκαίες υποδομές που να λειτουργούν υποστηρικτικά για την επιχειρηματικότητα.</w:t>
            </w:r>
            <w:r>
              <w:rPr>
                <w:rFonts w:asciiTheme="minorHAnsi" w:hAnsiTheme="minorHAnsi" w:cstheme="minorHAnsi"/>
                <w:bCs/>
                <w:sz w:val="20"/>
                <w:szCs w:val="20"/>
              </w:rPr>
              <w:t xml:space="preserve"> Επιπρόσθετα, η </w:t>
            </w:r>
            <w:r w:rsidRPr="00633DF3">
              <w:rPr>
                <w:rFonts w:asciiTheme="minorHAnsi" w:hAnsiTheme="minorHAnsi" w:cstheme="minorHAnsi"/>
                <w:bCs/>
                <w:sz w:val="20"/>
                <w:szCs w:val="20"/>
              </w:rPr>
              <w:t>κακή ποιότητα των δικτύων και του ηλεκτρικού ρεύματος (βυθίσεις</w:t>
            </w:r>
            <w:r>
              <w:rPr>
                <w:rFonts w:asciiTheme="minorHAnsi" w:hAnsiTheme="minorHAnsi" w:cstheme="minorHAnsi"/>
                <w:bCs/>
                <w:sz w:val="20"/>
                <w:szCs w:val="20"/>
              </w:rPr>
              <w:t xml:space="preserve">, </w:t>
            </w:r>
            <w:proofErr w:type="spellStart"/>
            <w:r>
              <w:rPr>
                <w:rFonts w:asciiTheme="minorHAnsi" w:hAnsiTheme="minorHAnsi" w:cstheme="minorHAnsi"/>
                <w:bCs/>
                <w:sz w:val="20"/>
                <w:szCs w:val="20"/>
              </w:rPr>
              <w:t>διακοψ</w:t>
            </w:r>
            <w:r w:rsidR="006966CD">
              <w:rPr>
                <w:rFonts w:asciiTheme="minorHAnsi" w:hAnsiTheme="minorHAnsi" w:cstheme="minorHAnsi"/>
                <w:bCs/>
                <w:sz w:val="20"/>
                <w:szCs w:val="20"/>
              </w:rPr>
              <w:t>ι</w:t>
            </w:r>
            <w:r>
              <w:rPr>
                <w:rFonts w:asciiTheme="minorHAnsi" w:hAnsiTheme="minorHAnsi" w:cstheme="minorHAnsi"/>
                <w:bCs/>
                <w:sz w:val="20"/>
                <w:szCs w:val="20"/>
              </w:rPr>
              <w:t>μότητα</w:t>
            </w:r>
            <w:proofErr w:type="spellEnd"/>
            <w:r>
              <w:rPr>
                <w:rFonts w:asciiTheme="minorHAnsi" w:hAnsiTheme="minorHAnsi" w:cstheme="minorHAnsi"/>
                <w:bCs/>
                <w:sz w:val="20"/>
                <w:szCs w:val="20"/>
              </w:rPr>
              <w:t>) αποτελούν μόνιμο πρόβλημα.</w:t>
            </w:r>
          </w:p>
        </w:tc>
        <w:tc>
          <w:tcPr>
            <w:tcW w:w="4253" w:type="dxa"/>
            <w:shd w:val="clear" w:color="auto" w:fill="auto"/>
          </w:tcPr>
          <w:p w14:paraId="65845D57" w14:textId="77777777" w:rsidR="00121AA7" w:rsidRPr="004E4B8D"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Ενίσχυση της «χωρητικότητας» του δικτύου μεταφοράς ηλεκτρικής ενέργειας.</w:t>
            </w:r>
          </w:p>
          <w:p w14:paraId="21FDD2BC" w14:textId="77777777" w:rsidR="00121AA7" w:rsidRPr="004E4B8D"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 xml:space="preserve">Αναβάθμιση υποδομών </w:t>
            </w:r>
            <w:r w:rsidRPr="004E4B8D">
              <w:rPr>
                <w:rFonts w:asciiTheme="minorHAnsi" w:hAnsiTheme="minorHAnsi" w:cstheme="minorHAnsi"/>
                <w:bCs/>
                <w:sz w:val="20"/>
                <w:szCs w:val="20"/>
                <w:lang w:val="en-US"/>
              </w:rPr>
              <w:t>internet</w:t>
            </w:r>
            <w:r w:rsidRPr="004E4B8D">
              <w:rPr>
                <w:rFonts w:asciiTheme="minorHAnsi" w:hAnsiTheme="minorHAnsi" w:cstheme="minorHAnsi"/>
                <w:bCs/>
                <w:sz w:val="20"/>
                <w:szCs w:val="20"/>
              </w:rPr>
              <w:t xml:space="preserve"> «υψηλών ταχυτήτων», ειδικά σε περιοχές βιομηχανικής συγκέντρωσης.</w:t>
            </w:r>
          </w:p>
          <w:p w14:paraId="0A647C30" w14:textId="4BFCEDC4" w:rsidR="006966CD" w:rsidRDefault="006966CD"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sz w:val="20"/>
                <w:szCs w:val="20"/>
              </w:rPr>
              <w:t xml:space="preserve">Αναβάθμιση των υποδομών και του εξοπλισμού λειτουργίας </w:t>
            </w:r>
            <w:r w:rsidRPr="00633DF3">
              <w:rPr>
                <w:rFonts w:asciiTheme="minorHAnsi" w:hAnsiTheme="minorHAnsi" w:cstheme="minorHAnsi"/>
                <w:sz w:val="20"/>
                <w:szCs w:val="20"/>
              </w:rPr>
              <w:t>των λιμανιών της Πρέβεζας και της Αλεξανδρούπολης,</w:t>
            </w:r>
            <w:r w:rsidRPr="004E4B8D">
              <w:rPr>
                <w:rFonts w:asciiTheme="minorHAnsi" w:hAnsiTheme="minorHAnsi" w:cstheme="minorHAnsi"/>
                <w:sz w:val="20"/>
                <w:szCs w:val="20"/>
              </w:rPr>
              <w:t xml:space="preserve"> για την ορθή εξυπηρέτηση των βιομηχανιών της Ηπείρου και της Θράκης και για τη διευκόλυνση των εμπορευματικών μεταφορών.</w:t>
            </w:r>
          </w:p>
          <w:p w14:paraId="4FEC7A83" w14:textId="77777777" w:rsidR="00121AA7" w:rsidRPr="004E4B8D"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Ειδικά για τη Θεσσαλονίκη:</w:t>
            </w:r>
          </w:p>
          <w:p w14:paraId="3E24C171" w14:textId="77777777" w:rsidR="00121AA7" w:rsidRPr="004E4B8D" w:rsidRDefault="00121AA7" w:rsidP="00121AA7">
            <w:pPr>
              <w:pStyle w:val="a9"/>
              <w:numPr>
                <w:ilvl w:val="0"/>
                <w:numId w:val="36"/>
              </w:numPr>
              <w:ind w:left="601" w:hanging="284"/>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 xml:space="preserve">επιτάχυνση των </w:t>
            </w:r>
            <w:r w:rsidRPr="00633DF3">
              <w:rPr>
                <w:rFonts w:asciiTheme="minorHAnsi" w:hAnsiTheme="minorHAnsi" w:cstheme="minorHAnsi"/>
                <w:bCs/>
                <w:sz w:val="20"/>
                <w:szCs w:val="20"/>
              </w:rPr>
              <w:t>διαδικασιών ανάπλασης του εκθεσιακού κέντρου της ΔΕΘ,</w:t>
            </w:r>
            <w:r w:rsidRPr="004E4B8D">
              <w:rPr>
                <w:rFonts w:asciiTheme="minorHAnsi" w:hAnsiTheme="minorHAnsi" w:cstheme="minorHAnsi"/>
                <w:bCs/>
                <w:sz w:val="20"/>
                <w:szCs w:val="20"/>
              </w:rPr>
              <w:t xml:space="preserve"> </w:t>
            </w:r>
          </w:p>
          <w:p w14:paraId="231DDB54" w14:textId="77777777" w:rsidR="00121AA7" w:rsidRPr="004E4B8D" w:rsidRDefault="00121AA7" w:rsidP="00121AA7">
            <w:pPr>
              <w:pStyle w:val="a9"/>
              <w:numPr>
                <w:ilvl w:val="0"/>
                <w:numId w:val="36"/>
              </w:numPr>
              <w:ind w:left="601" w:hanging="284"/>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 xml:space="preserve">έκδοση του Προεδρικού Διατάγματος για την έναρξη των έργων </w:t>
            </w:r>
            <w:r w:rsidRPr="00633DF3">
              <w:rPr>
                <w:rFonts w:asciiTheme="minorHAnsi" w:hAnsiTheme="minorHAnsi" w:cstheme="minorHAnsi"/>
                <w:bCs/>
                <w:sz w:val="20"/>
                <w:szCs w:val="20"/>
              </w:rPr>
              <w:t>επέκτασης του προβλήτα 6 του λιμένα της Θεσσαλονίκης</w:t>
            </w:r>
            <w:r w:rsidRPr="004E4B8D">
              <w:rPr>
                <w:rFonts w:asciiTheme="minorHAnsi" w:hAnsiTheme="minorHAnsi" w:cstheme="minorHAnsi"/>
                <w:bCs/>
                <w:sz w:val="20"/>
                <w:szCs w:val="20"/>
              </w:rPr>
              <w:t>, και,</w:t>
            </w:r>
          </w:p>
          <w:p w14:paraId="4B73DFBC" w14:textId="77777777" w:rsidR="00121AA7" w:rsidRPr="004E4B8D" w:rsidRDefault="00121AA7" w:rsidP="00121AA7">
            <w:pPr>
              <w:pStyle w:val="a9"/>
              <w:numPr>
                <w:ilvl w:val="0"/>
                <w:numId w:val="36"/>
              </w:numPr>
              <w:ind w:left="601" w:hanging="284"/>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 xml:space="preserve">ολοκλήρωση νομικών διαδικασιών για την υλοποίηση του </w:t>
            </w:r>
            <w:r w:rsidRPr="00633DF3">
              <w:rPr>
                <w:rFonts w:asciiTheme="minorHAnsi" w:hAnsiTheme="minorHAnsi" w:cstheme="minorHAnsi"/>
                <w:bCs/>
                <w:sz w:val="20"/>
                <w:szCs w:val="20"/>
              </w:rPr>
              <w:t xml:space="preserve">έργου </w:t>
            </w:r>
            <w:r w:rsidRPr="00633DF3">
              <w:rPr>
                <w:rFonts w:asciiTheme="minorHAnsi" w:hAnsiTheme="minorHAnsi" w:cstheme="minorHAnsi"/>
                <w:bCs/>
                <w:sz w:val="20"/>
                <w:szCs w:val="20"/>
                <w:lang w:val="en-US"/>
              </w:rPr>
              <w:t>Thess</w:t>
            </w:r>
            <w:r w:rsidRPr="00633DF3">
              <w:rPr>
                <w:rFonts w:asciiTheme="minorHAnsi" w:hAnsiTheme="minorHAnsi" w:cstheme="minorHAnsi"/>
                <w:bCs/>
                <w:sz w:val="20"/>
                <w:szCs w:val="20"/>
              </w:rPr>
              <w:t xml:space="preserve"> </w:t>
            </w:r>
            <w:r w:rsidRPr="00633DF3">
              <w:rPr>
                <w:rFonts w:asciiTheme="minorHAnsi" w:hAnsiTheme="minorHAnsi" w:cstheme="minorHAnsi"/>
                <w:bCs/>
                <w:sz w:val="20"/>
                <w:szCs w:val="20"/>
                <w:lang w:val="en-US"/>
              </w:rPr>
              <w:t>INTEC</w:t>
            </w:r>
            <w:r w:rsidRPr="00633DF3">
              <w:rPr>
                <w:rFonts w:asciiTheme="minorHAnsi" w:hAnsiTheme="minorHAnsi" w:cstheme="minorHAnsi"/>
                <w:bCs/>
                <w:sz w:val="20"/>
                <w:szCs w:val="20"/>
              </w:rPr>
              <w:t>.</w:t>
            </w:r>
          </w:p>
        </w:tc>
      </w:tr>
    </w:tbl>
    <w:p w14:paraId="756B7DBC" w14:textId="77777777" w:rsidR="00390DC9" w:rsidRDefault="00390DC9">
      <w:r>
        <w:br w:type="page"/>
      </w:r>
    </w:p>
    <w:tbl>
      <w:tblPr>
        <w:tblStyle w:val="a7"/>
        <w:tblW w:w="10207" w:type="dxa"/>
        <w:tblInd w:w="-289" w:type="dxa"/>
        <w:tblLook w:val="04A0" w:firstRow="1" w:lastRow="0" w:firstColumn="1" w:lastColumn="0" w:noHBand="0" w:noVBand="1"/>
      </w:tblPr>
      <w:tblGrid>
        <w:gridCol w:w="2836"/>
        <w:gridCol w:w="3118"/>
        <w:gridCol w:w="4253"/>
      </w:tblGrid>
      <w:tr w:rsidR="00390DC9" w:rsidRPr="008E3678" w14:paraId="01E32459" w14:textId="77777777" w:rsidTr="00EC598C">
        <w:trPr>
          <w:trHeight w:val="119"/>
          <w:tblHeader/>
        </w:trPr>
        <w:tc>
          <w:tcPr>
            <w:tcW w:w="2836" w:type="dxa"/>
            <w:shd w:val="clear" w:color="auto" w:fill="D9D9D9" w:themeFill="background1" w:themeFillShade="D9"/>
          </w:tcPr>
          <w:p w14:paraId="37C3792D" w14:textId="77777777" w:rsidR="00390DC9" w:rsidRPr="004E4B8D" w:rsidRDefault="00390DC9" w:rsidP="00EC598C">
            <w:pPr>
              <w:jc w:val="center"/>
              <w:rPr>
                <w:rFonts w:asciiTheme="minorHAnsi" w:hAnsiTheme="minorHAnsi" w:cstheme="minorHAnsi"/>
                <w:b/>
                <w:sz w:val="20"/>
                <w:szCs w:val="20"/>
              </w:rPr>
            </w:pPr>
            <w:r w:rsidRPr="004E4B8D">
              <w:rPr>
                <w:rFonts w:asciiTheme="minorHAnsi" w:hAnsiTheme="minorHAnsi" w:cstheme="minorHAnsi"/>
                <w:b/>
                <w:sz w:val="20"/>
                <w:szCs w:val="20"/>
              </w:rPr>
              <w:lastRenderedPageBreak/>
              <w:t>Διαπίστωση</w:t>
            </w:r>
          </w:p>
        </w:tc>
        <w:tc>
          <w:tcPr>
            <w:tcW w:w="3118" w:type="dxa"/>
            <w:shd w:val="clear" w:color="auto" w:fill="D9D9D9" w:themeFill="background1" w:themeFillShade="D9"/>
          </w:tcPr>
          <w:p w14:paraId="610C9221" w14:textId="77777777" w:rsidR="00390DC9" w:rsidRPr="004E4B8D" w:rsidRDefault="00390DC9" w:rsidP="00EC598C">
            <w:pPr>
              <w:jc w:val="center"/>
              <w:rPr>
                <w:rFonts w:asciiTheme="minorHAnsi" w:hAnsiTheme="minorHAnsi" w:cstheme="minorHAnsi"/>
                <w:b/>
                <w:sz w:val="20"/>
                <w:szCs w:val="20"/>
              </w:rPr>
            </w:pPr>
            <w:r w:rsidRPr="004E4B8D">
              <w:rPr>
                <w:rFonts w:asciiTheme="minorHAnsi" w:hAnsiTheme="minorHAnsi" w:cstheme="minorHAnsi"/>
                <w:b/>
                <w:sz w:val="20"/>
                <w:szCs w:val="20"/>
              </w:rPr>
              <w:t>Προκλήσεις</w:t>
            </w:r>
          </w:p>
        </w:tc>
        <w:tc>
          <w:tcPr>
            <w:tcW w:w="4253" w:type="dxa"/>
            <w:shd w:val="clear" w:color="auto" w:fill="D9D9D9" w:themeFill="background1" w:themeFillShade="D9"/>
          </w:tcPr>
          <w:p w14:paraId="3A4EF393" w14:textId="77777777" w:rsidR="00390DC9" w:rsidRPr="004E4B8D" w:rsidRDefault="00390DC9" w:rsidP="00EC598C">
            <w:pPr>
              <w:jc w:val="center"/>
              <w:rPr>
                <w:rFonts w:asciiTheme="minorHAnsi" w:hAnsiTheme="minorHAnsi" w:cstheme="minorHAnsi"/>
                <w:b/>
                <w:sz w:val="20"/>
                <w:szCs w:val="20"/>
              </w:rPr>
            </w:pPr>
            <w:r w:rsidRPr="004E4B8D">
              <w:rPr>
                <w:rFonts w:asciiTheme="minorHAnsi" w:hAnsiTheme="minorHAnsi" w:cstheme="minorHAnsi"/>
                <w:b/>
                <w:sz w:val="20"/>
                <w:szCs w:val="20"/>
              </w:rPr>
              <w:t>Προτάσεις επίλυσης του προβλήματος</w:t>
            </w:r>
          </w:p>
        </w:tc>
      </w:tr>
      <w:tr w:rsidR="0032702D" w:rsidRPr="0032702D" w14:paraId="3A0DCA51" w14:textId="77777777" w:rsidTr="00390DC9">
        <w:trPr>
          <w:trHeight w:val="397"/>
          <w:tblHeader/>
        </w:trPr>
        <w:tc>
          <w:tcPr>
            <w:tcW w:w="10207" w:type="dxa"/>
            <w:gridSpan w:val="3"/>
            <w:shd w:val="clear" w:color="auto" w:fill="FFFFFF" w:themeFill="background1"/>
            <w:vAlign w:val="center"/>
          </w:tcPr>
          <w:p w14:paraId="58290E13" w14:textId="5C243E00" w:rsidR="00121AA7" w:rsidRPr="0032702D" w:rsidRDefault="00C93A70" w:rsidP="0032702D">
            <w:pPr>
              <w:jc w:val="center"/>
              <w:rPr>
                <w:rFonts w:asciiTheme="minorHAnsi" w:hAnsiTheme="minorHAnsi" w:cstheme="minorHAnsi"/>
                <w:b/>
                <w:color w:val="FF0000"/>
                <w:sz w:val="24"/>
              </w:rPr>
            </w:pPr>
            <w:r w:rsidRPr="0032702D">
              <w:rPr>
                <w:rFonts w:asciiTheme="minorHAnsi" w:hAnsiTheme="minorHAnsi" w:cstheme="minorHAnsi"/>
                <w:b/>
                <w:color w:val="FF0000"/>
                <w:sz w:val="24"/>
              </w:rPr>
              <w:t>4</w:t>
            </w:r>
            <w:r w:rsidR="00121AA7" w:rsidRPr="0032702D">
              <w:rPr>
                <w:rFonts w:asciiTheme="minorHAnsi" w:hAnsiTheme="minorHAnsi" w:cstheme="minorHAnsi"/>
                <w:b/>
                <w:color w:val="FF0000"/>
                <w:sz w:val="24"/>
              </w:rPr>
              <w:t>. Διεύρυνση της Παραγωγικής Βάσης της Χώρας</w:t>
            </w:r>
          </w:p>
        </w:tc>
      </w:tr>
      <w:tr w:rsidR="00121AA7" w:rsidRPr="008E3678" w14:paraId="4C757A30" w14:textId="77777777" w:rsidTr="00121AA7">
        <w:trPr>
          <w:trHeight w:val="118"/>
        </w:trPr>
        <w:tc>
          <w:tcPr>
            <w:tcW w:w="2836" w:type="dxa"/>
            <w:shd w:val="clear" w:color="auto" w:fill="auto"/>
          </w:tcPr>
          <w:p w14:paraId="3E174FFB" w14:textId="77777777" w:rsidR="00121AA7" w:rsidRDefault="00121AA7" w:rsidP="00297EE1">
            <w:pPr>
              <w:jc w:val="both"/>
              <w:rPr>
                <w:rFonts w:asciiTheme="minorHAnsi" w:hAnsiTheme="minorHAnsi" w:cstheme="minorHAnsi"/>
                <w:bCs/>
                <w:sz w:val="20"/>
                <w:szCs w:val="20"/>
              </w:rPr>
            </w:pPr>
            <w:r w:rsidRPr="004E4B8D">
              <w:rPr>
                <w:rFonts w:asciiTheme="minorHAnsi" w:hAnsiTheme="minorHAnsi" w:cstheme="minorHAnsi"/>
                <w:bCs/>
                <w:sz w:val="20"/>
                <w:szCs w:val="20"/>
              </w:rPr>
              <w:t xml:space="preserve">Αποτελεί αδήριτη ανάγκη, η </w:t>
            </w:r>
            <w:r w:rsidRPr="00633DF3">
              <w:rPr>
                <w:rFonts w:asciiTheme="minorHAnsi" w:hAnsiTheme="minorHAnsi" w:cstheme="minorHAnsi"/>
                <w:b/>
                <w:sz w:val="20"/>
                <w:szCs w:val="20"/>
              </w:rPr>
              <w:t>διεύρυνση της παραγωγικής βάσης της χώρας,</w:t>
            </w:r>
            <w:r w:rsidRPr="004E4B8D">
              <w:rPr>
                <w:rFonts w:asciiTheme="minorHAnsi" w:hAnsiTheme="minorHAnsi" w:cstheme="minorHAnsi"/>
                <w:bCs/>
                <w:sz w:val="20"/>
                <w:szCs w:val="20"/>
              </w:rPr>
              <w:t xml:space="preserve"> ούτως ώστε να επιταχυνθεί η μετάβαση σε ένα νέο παραγωγικό μοντέλο. </w:t>
            </w:r>
          </w:p>
          <w:p w14:paraId="1F641FC2" w14:textId="77777777" w:rsidR="00121AA7" w:rsidRPr="004E4B8D" w:rsidRDefault="00121AA7" w:rsidP="00297EE1">
            <w:pPr>
              <w:jc w:val="both"/>
              <w:rPr>
                <w:rFonts w:asciiTheme="minorHAnsi" w:hAnsiTheme="minorHAnsi" w:cstheme="minorHAnsi"/>
                <w:bCs/>
                <w:sz w:val="20"/>
                <w:szCs w:val="20"/>
              </w:rPr>
            </w:pPr>
          </w:p>
          <w:p w14:paraId="5F232B91" w14:textId="77777777" w:rsidR="00121AA7" w:rsidRPr="004E4B8D" w:rsidRDefault="00121AA7" w:rsidP="00297EE1">
            <w:pPr>
              <w:jc w:val="both"/>
              <w:rPr>
                <w:rFonts w:asciiTheme="minorHAnsi" w:hAnsiTheme="minorHAnsi" w:cstheme="minorHAnsi"/>
                <w:bCs/>
                <w:sz w:val="20"/>
                <w:szCs w:val="20"/>
              </w:rPr>
            </w:pPr>
            <w:r w:rsidRPr="004E4B8D">
              <w:rPr>
                <w:rFonts w:asciiTheme="minorHAnsi" w:hAnsiTheme="minorHAnsi" w:cstheme="minorHAnsi"/>
                <w:bCs/>
                <w:sz w:val="20"/>
                <w:szCs w:val="20"/>
              </w:rPr>
              <w:t>Η διεύρυνση της παραγωγικής βάσης, είναι η ικανή και αναγκαία συνθήκη για την επίτευξη του στόχου της Κυβέρνησης για συμμετοχή της βιομηχανίας στο ΑΕΠ από το 10,7% σήμερα στο 15% μέχρι το 2030.</w:t>
            </w:r>
          </w:p>
          <w:p w14:paraId="634B4E90" w14:textId="77777777" w:rsidR="00121AA7" w:rsidRPr="004E4B8D" w:rsidRDefault="00121AA7" w:rsidP="00297EE1">
            <w:pPr>
              <w:jc w:val="both"/>
              <w:rPr>
                <w:rFonts w:asciiTheme="minorHAnsi" w:hAnsiTheme="minorHAnsi" w:cstheme="minorHAnsi"/>
                <w:bCs/>
                <w:sz w:val="20"/>
                <w:szCs w:val="20"/>
              </w:rPr>
            </w:pPr>
          </w:p>
          <w:p w14:paraId="5B11D1F0" w14:textId="3E16777B" w:rsidR="00121AA7" w:rsidRPr="004E4B8D" w:rsidRDefault="00951559" w:rsidP="00297EE1">
            <w:pPr>
              <w:jc w:val="both"/>
              <w:rPr>
                <w:rFonts w:asciiTheme="minorHAnsi" w:hAnsiTheme="minorHAnsi" w:cstheme="minorHAnsi"/>
                <w:bCs/>
                <w:sz w:val="20"/>
                <w:szCs w:val="20"/>
              </w:rPr>
            </w:pPr>
            <w:r w:rsidRPr="00E90D5B">
              <w:rPr>
                <w:rFonts w:asciiTheme="minorHAnsi" w:hAnsiTheme="minorHAnsi" w:cstheme="minorHAnsi"/>
                <w:bCs/>
                <w:sz w:val="20"/>
                <w:szCs w:val="20"/>
              </w:rPr>
              <w:t>Ο στόχος</w:t>
            </w:r>
            <w:r>
              <w:rPr>
                <w:rFonts w:asciiTheme="minorHAnsi" w:hAnsiTheme="minorHAnsi" w:cstheme="minorHAnsi"/>
                <w:bCs/>
                <w:sz w:val="20"/>
                <w:szCs w:val="20"/>
              </w:rPr>
              <w:t xml:space="preserve"> της </w:t>
            </w:r>
            <w:r w:rsidRPr="00257325">
              <w:rPr>
                <w:rFonts w:asciiTheme="minorHAnsi" w:hAnsiTheme="minorHAnsi" w:cstheme="minorHAnsi"/>
                <w:bCs/>
                <w:sz w:val="20"/>
                <w:szCs w:val="20"/>
              </w:rPr>
              <w:t>αύξηση</w:t>
            </w:r>
            <w:r>
              <w:rPr>
                <w:rFonts w:asciiTheme="minorHAnsi" w:hAnsiTheme="minorHAnsi" w:cstheme="minorHAnsi"/>
                <w:bCs/>
                <w:sz w:val="20"/>
                <w:szCs w:val="20"/>
              </w:rPr>
              <w:t>ς</w:t>
            </w:r>
            <w:r w:rsidRPr="00257325">
              <w:rPr>
                <w:rFonts w:asciiTheme="minorHAnsi" w:hAnsiTheme="minorHAnsi" w:cstheme="minorHAnsi"/>
                <w:bCs/>
                <w:sz w:val="20"/>
                <w:szCs w:val="20"/>
              </w:rPr>
              <w:t xml:space="preserve"> των εξαγωγών στο </w:t>
            </w:r>
            <w:r w:rsidRPr="00633DF3">
              <w:rPr>
                <w:rFonts w:asciiTheme="minorHAnsi" w:hAnsiTheme="minorHAnsi" w:cstheme="minorHAnsi"/>
                <w:bCs/>
                <w:sz w:val="20"/>
                <w:szCs w:val="20"/>
              </w:rPr>
              <w:t>60% του ΑΕΠ έως το 2030</w:t>
            </w:r>
            <w:r>
              <w:rPr>
                <w:rFonts w:asciiTheme="minorHAnsi" w:hAnsiTheme="minorHAnsi" w:cstheme="minorHAnsi"/>
                <w:bCs/>
                <w:sz w:val="20"/>
                <w:szCs w:val="20"/>
              </w:rPr>
              <w:t xml:space="preserve"> εξαρτάται απολύτως από την </w:t>
            </w:r>
            <w:r w:rsidR="00121AA7" w:rsidRPr="00633DF3">
              <w:rPr>
                <w:rFonts w:asciiTheme="minorHAnsi" w:hAnsiTheme="minorHAnsi" w:cstheme="minorHAnsi"/>
                <w:b/>
                <w:sz w:val="20"/>
                <w:szCs w:val="20"/>
              </w:rPr>
              <w:t>ενίσχυση της εξωστρέφειας</w:t>
            </w:r>
            <w:r w:rsidR="00121AA7" w:rsidRPr="00257325">
              <w:rPr>
                <w:rFonts w:asciiTheme="minorHAnsi" w:hAnsiTheme="minorHAnsi" w:cstheme="minorHAnsi"/>
                <w:bCs/>
                <w:sz w:val="20"/>
                <w:szCs w:val="20"/>
              </w:rPr>
              <w:t xml:space="preserve"> του παραγωγικού συστήματος της χώρας και </w:t>
            </w:r>
            <w:r>
              <w:rPr>
                <w:rFonts w:asciiTheme="minorHAnsi" w:hAnsiTheme="minorHAnsi" w:cstheme="minorHAnsi"/>
                <w:bCs/>
                <w:sz w:val="20"/>
                <w:szCs w:val="20"/>
              </w:rPr>
              <w:t xml:space="preserve">την </w:t>
            </w:r>
            <w:r w:rsidR="00121AA7" w:rsidRPr="00257325">
              <w:rPr>
                <w:rFonts w:asciiTheme="minorHAnsi" w:hAnsiTheme="minorHAnsi" w:cstheme="minorHAnsi"/>
                <w:bCs/>
                <w:sz w:val="20"/>
                <w:szCs w:val="20"/>
              </w:rPr>
              <w:t>παραγωγή διεθνώς εμπορεύσιμων προϊόντων</w:t>
            </w:r>
            <w:r>
              <w:rPr>
                <w:rFonts w:asciiTheme="minorHAnsi" w:hAnsiTheme="minorHAnsi" w:cstheme="minorHAnsi"/>
                <w:bCs/>
                <w:sz w:val="20"/>
                <w:szCs w:val="20"/>
              </w:rPr>
              <w:t xml:space="preserve">. </w:t>
            </w:r>
          </w:p>
        </w:tc>
        <w:tc>
          <w:tcPr>
            <w:tcW w:w="3118" w:type="dxa"/>
            <w:shd w:val="clear" w:color="auto" w:fill="auto"/>
          </w:tcPr>
          <w:p w14:paraId="55AFC60B" w14:textId="77777777" w:rsidR="00121AA7" w:rsidRPr="004E4B8D" w:rsidRDefault="00121AA7" w:rsidP="00297EE1">
            <w:pPr>
              <w:jc w:val="both"/>
              <w:rPr>
                <w:rFonts w:asciiTheme="minorHAnsi" w:hAnsiTheme="minorHAnsi" w:cstheme="minorHAnsi"/>
                <w:bCs/>
                <w:sz w:val="20"/>
                <w:szCs w:val="20"/>
              </w:rPr>
            </w:pPr>
            <w:r w:rsidRPr="004E4B8D">
              <w:rPr>
                <w:rFonts w:asciiTheme="minorHAnsi" w:hAnsiTheme="minorHAnsi" w:cstheme="minorHAnsi"/>
                <w:bCs/>
                <w:sz w:val="20"/>
                <w:szCs w:val="20"/>
              </w:rPr>
              <w:t>Η υλοποίηση παραγωγικών επενδύσεων αποτελεί μονόδρομο για την αλλαγή του παραγωγικού υποδείγματος της Ελληνικής οικονομίας.</w:t>
            </w:r>
          </w:p>
          <w:p w14:paraId="534D7660" w14:textId="77777777" w:rsidR="00121AA7" w:rsidRPr="006966CD" w:rsidRDefault="00121AA7" w:rsidP="00297EE1">
            <w:pPr>
              <w:jc w:val="both"/>
              <w:rPr>
                <w:rFonts w:asciiTheme="minorHAnsi" w:hAnsiTheme="minorHAnsi" w:cstheme="minorHAnsi"/>
                <w:bCs/>
                <w:sz w:val="20"/>
                <w:szCs w:val="20"/>
              </w:rPr>
            </w:pPr>
            <w:r w:rsidRPr="004E4B8D">
              <w:rPr>
                <w:rFonts w:asciiTheme="minorHAnsi" w:hAnsiTheme="minorHAnsi" w:cstheme="minorHAnsi"/>
                <w:bCs/>
                <w:sz w:val="20"/>
                <w:szCs w:val="20"/>
              </w:rPr>
              <w:t>Στο πλαίσιο αυτό, οι προκλήσεις είναι πολλές και σημαντικές, με κυριότερες από αυτές:</w:t>
            </w:r>
          </w:p>
          <w:p w14:paraId="32C10E66" w14:textId="1914EC9B" w:rsidR="004E2585" w:rsidRPr="00633DF3" w:rsidRDefault="004E2585" w:rsidP="00121AA7">
            <w:pPr>
              <w:pStyle w:val="a9"/>
              <w:numPr>
                <w:ilvl w:val="0"/>
                <w:numId w:val="33"/>
              </w:numPr>
              <w:ind w:left="176" w:hanging="142"/>
              <w:contextualSpacing w:val="0"/>
              <w:jc w:val="both"/>
              <w:rPr>
                <w:rFonts w:asciiTheme="minorHAnsi" w:hAnsiTheme="minorHAnsi" w:cstheme="minorHAnsi"/>
                <w:bCs/>
                <w:sz w:val="20"/>
                <w:szCs w:val="20"/>
              </w:rPr>
            </w:pPr>
            <w:r w:rsidRPr="006966CD">
              <w:rPr>
                <w:rFonts w:asciiTheme="minorHAnsi" w:hAnsiTheme="minorHAnsi" w:cstheme="minorHAnsi"/>
                <w:bCs/>
                <w:sz w:val="20"/>
                <w:szCs w:val="20"/>
              </w:rPr>
              <w:t xml:space="preserve">Τη </w:t>
            </w:r>
            <w:r w:rsidRPr="00633DF3">
              <w:rPr>
                <w:rFonts w:asciiTheme="minorHAnsi" w:hAnsiTheme="minorHAnsi" w:cstheme="minorHAnsi"/>
                <w:b/>
                <w:sz w:val="20"/>
                <w:szCs w:val="20"/>
              </w:rPr>
              <w:t>μείωση του κόστους του χρήματος</w:t>
            </w:r>
            <w:r w:rsidRPr="00633DF3">
              <w:rPr>
                <w:rFonts w:asciiTheme="minorHAnsi" w:hAnsiTheme="minorHAnsi" w:cstheme="minorHAnsi"/>
                <w:bCs/>
                <w:sz w:val="20"/>
                <w:szCs w:val="20"/>
              </w:rPr>
              <w:t xml:space="preserve"> για τις επιχειρήσεις.</w:t>
            </w:r>
          </w:p>
          <w:p w14:paraId="5DC32DAB" w14:textId="1E6F66A2" w:rsidR="00121AA7" w:rsidRPr="004E4B8D" w:rsidRDefault="00121AA7" w:rsidP="00121AA7">
            <w:pPr>
              <w:pStyle w:val="a9"/>
              <w:numPr>
                <w:ilvl w:val="0"/>
                <w:numId w:val="33"/>
              </w:numPr>
              <w:ind w:left="176" w:hanging="142"/>
              <w:contextualSpacing w:val="0"/>
              <w:jc w:val="both"/>
              <w:rPr>
                <w:rFonts w:asciiTheme="minorHAnsi" w:hAnsiTheme="minorHAnsi" w:cstheme="minorHAnsi"/>
                <w:bCs/>
                <w:sz w:val="20"/>
                <w:szCs w:val="20"/>
              </w:rPr>
            </w:pPr>
            <w:r w:rsidRPr="00633DF3">
              <w:rPr>
                <w:rFonts w:asciiTheme="minorHAnsi" w:hAnsiTheme="minorHAnsi" w:cstheme="minorHAnsi"/>
                <w:bCs/>
                <w:sz w:val="20"/>
                <w:szCs w:val="20"/>
              </w:rPr>
              <w:t xml:space="preserve">Τη </w:t>
            </w:r>
            <w:r w:rsidRPr="00633DF3">
              <w:rPr>
                <w:rFonts w:asciiTheme="minorHAnsi" w:hAnsiTheme="minorHAnsi" w:cstheme="minorHAnsi"/>
                <w:b/>
                <w:sz w:val="20"/>
                <w:szCs w:val="20"/>
              </w:rPr>
              <w:t>μείωση της φοροδιαφυγής</w:t>
            </w:r>
            <w:r w:rsidRPr="004E4B8D">
              <w:rPr>
                <w:rFonts w:asciiTheme="minorHAnsi" w:hAnsiTheme="minorHAnsi" w:cstheme="minorHAnsi"/>
                <w:bCs/>
                <w:sz w:val="20"/>
                <w:szCs w:val="20"/>
              </w:rPr>
              <w:t>, ούτως ώστε να δημιουργηθούν οι απαραίτητοι πόροι για την υλοποίηση επενδύσεων.</w:t>
            </w:r>
          </w:p>
          <w:p w14:paraId="23BBEF6F" w14:textId="77777777" w:rsidR="00121AA7" w:rsidRPr="00633DF3" w:rsidRDefault="00121AA7" w:rsidP="00121AA7">
            <w:pPr>
              <w:pStyle w:val="a9"/>
              <w:numPr>
                <w:ilvl w:val="0"/>
                <w:numId w:val="33"/>
              </w:numPr>
              <w:ind w:left="176" w:hanging="142"/>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 xml:space="preserve">Τη δημιουργία ακόμη πιο </w:t>
            </w:r>
            <w:r w:rsidRPr="00633DF3">
              <w:rPr>
                <w:rFonts w:asciiTheme="minorHAnsi" w:hAnsiTheme="minorHAnsi" w:cstheme="minorHAnsi"/>
                <w:b/>
                <w:sz w:val="20"/>
                <w:szCs w:val="20"/>
              </w:rPr>
              <w:t>φιλικού νομοθετικού πλαισίου για τις επενδύσεις.</w:t>
            </w:r>
            <w:r w:rsidRPr="00633DF3">
              <w:rPr>
                <w:rFonts w:asciiTheme="minorHAnsi" w:hAnsiTheme="minorHAnsi" w:cstheme="minorHAnsi"/>
                <w:bCs/>
                <w:sz w:val="20"/>
                <w:szCs w:val="20"/>
              </w:rPr>
              <w:t xml:space="preserve"> </w:t>
            </w:r>
          </w:p>
          <w:p w14:paraId="7BDD47E4" w14:textId="77777777" w:rsidR="00121AA7" w:rsidRPr="00633DF3" w:rsidRDefault="00121AA7" w:rsidP="00121AA7">
            <w:pPr>
              <w:pStyle w:val="a9"/>
              <w:numPr>
                <w:ilvl w:val="0"/>
                <w:numId w:val="33"/>
              </w:numPr>
              <w:ind w:left="176" w:hanging="142"/>
              <w:contextualSpacing w:val="0"/>
              <w:jc w:val="both"/>
              <w:rPr>
                <w:rFonts w:asciiTheme="minorHAnsi" w:hAnsiTheme="minorHAnsi" w:cstheme="minorHAnsi"/>
                <w:b/>
                <w:sz w:val="20"/>
                <w:szCs w:val="20"/>
              </w:rPr>
            </w:pPr>
            <w:r w:rsidRPr="00633DF3">
              <w:rPr>
                <w:rFonts w:asciiTheme="minorHAnsi" w:hAnsiTheme="minorHAnsi" w:cstheme="minorHAnsi"/>
                <w:bCs/>
                <w:sz w:val="20"/>
                <w:szCs w:val="20"/>
              </w:rPr>
              <w:t xml:space="preserve">Την </w:t>
            </w:r>
            <w:r w:rsidRPr="00633DF3">
              <w:rPr>
                <w:rFonts w:asciiTheme="minorHAnsi" w:hAnsiTheme="minorHAnsi" w:cstheme="minorHAnsi"/>
                <w:b/>
                <w:sz w:val="20"/>
                <w:szCs w:val="20"/>
              </w:rPr>
              <w:t>ταχύτερη απονομή της δικαιοσύνης.</w:t>
            </w:r>
          </w:p>
          <w:p w14:paraId="731BFC79" w14:textId="77777777" w:rsidR="00121AA7" w:rsidRPr="004E4B8D" w:rsidRDefault="00121AA7" w:rsidP="00121AA7">
            <w:pPr>
              <w:pStyle w:val="a9"/>
              <w:numPr>
                <w:ilvl w:val="0"/>
                <w:numId w:val="33"/>
              </w:numPr>
              <w:ind w:left="176" w:hanging="142"/>
              <w:contextualSpacing w:val="0"/>
              <w:jc w:val="both"/>
              <w:rPr>
                <w:rFonts w:asciiTheme="minorHAnsi" w:hAnsiTheme="minorHAnsi" w:cstheme="minorHAnsi"/>
                <w:bCs/>
                <w:sz w:val="20"/>
                <w:szCs w:val="20"/>
              </w:rPr>
            </w:pPr>
            <w:r w:rsidRPr="00633DF3">
              <w:rPr>
                <w:rFonts w:asciiTheme="minorHAnsi" w:hAnsiTheme="minorHAnsi" w:cstheme="minorHAnsi"/>
                <w:bCs/>
                <w:sz w:val="20"/>
                <w:szCs w:val="20"/>
              </w:rPr>
              <w:t xml:space="preserve">Την </w:t>
            </w:r>
            <w:r w:rsidRPr="00633DF3">
              <w:rPr>
                <w:rFonts w:asciiTheme="minorHAnsi" w:hAnsiTheme="minorHAnsi" w:cstheme="minorHAnsi"/>
                <w:b/>
                <w:sz w:val="20"/>
                <w:szCs w:val="20"/>
              </w:rPr>
              <w:t>κωδικοποίηση της νομοθεσίας</w:t>
            </w:r>
            <w:r w:rsidRPr="00633DF3">
              <w:rPr>
                <w:rFonts w:asciiTheme="minorHAnsi" w:hAnsiTheme="minorHAnsi" w:cstheme="minorHAnsi"/>
                <w:bCs/>
                <w:sz w:val="20"/>
                <w:szCs w:val="20"/>
              </w:rPr>
              <w:t xml:space="preserve"> που</w:t>
            </w:r>
            <w:r w:rsidRPr="004E4B8D">
              <w:rPr>
                <w:rFonts w:asciiTheme="minorHAnsi" w:hAnsiTheme="minorHAnsi" w:cstheme="minorHAnsi"/>
                <w:bCs/>
                <w:sz w:val="20"/>
                <w:szCs w:val="20"/>
              </w:rPr>
              <w:t xml:space="preserve"> αφορά τις επενδύσεις και την επιχειρηματικότητα.</w:t>
            </w:r>
          </w:p>
        </w:tc>
        <w:tc>
          <w:tcPr>
            <w:tcW w:w="4253" w:type="dxa"/>
            <w:shd w:val="clear" w:color="auto" w:fill="auto"/>
          </w:tcPr>
          <w:p w14:paraId="13B19789" w14:textId="77777777" w:rsidR="00121AA7" w:rsidRPr="004E4B8D" w:rsidRDefault="00121AA7" w:rsidP="00297EE1">
            <w:pPr>
              <w:ind w:left="34"/>
              <w:jc w:val="both"/>
              <w:rPr>
                <w:rFonts w:asciiTheme="minorHAnsi" w:hAnsiTheme="minorHAnsi" w:cstheme="minorHAnsi"/>
                <w:bCs/>
                <w:sz w:val="20"/>
                <w:szCs w:val="20"/>
              </w:rPr>
            </w:pPr>
            <w:r w:rsidRPr="004E4B8D">
              <w:rPr>
                <w:rFonts w:asciiTheme="minorHAnsi" w:hAnsiTheme="minorHAnsi" w:cstheme="minorHAnsi"/>
                <w:bCs/>
                <w:sz w:val="20"/>
                <w:szCs w:val="20"/>
              </w:rPr>
              <w:t>Προτείνουμε:</w:t>
            </w:r>
          </w:p>
          <w:p w14:paraId="1F0F13B3" w14:textId="77777777" w:rsidR="00121AA7" w:rsidRPr="00633DF3"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633DF3">
              <w:rPr>
                <w:rFonts w:asciiTheme="minorHAnsi" w:hAnsiTheme="minorHAnsi" w:cstheme="minorHAnsi"/>
                <w:bCs/>
                <w:sz w:val="20"/>
                <w:szCs w:val="20"/>
              </w:rPr>
              <w:t>Την ταχύτατη εξειδίκευση της «Εθνικής Στρατηγικής για τη Βιομηχανία» και τη συγκρότηση των σχετικών ομάδων εργασίας.</w:t>
            </w:r>
          </w:p>
          <w:p w14:paraId="207384F5" w14:textId="77777777" w:rsidR="00121AA7" w:rsidRPr="004E4B8D"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Την εξειδίκευση του στόχου της Κυβέρνησης για αύξηση των εξαγωγών βιομηχανικών προϊόντων ως ποσοστού στο ΑΕΠ από 10,7% σήμερα σε 30% το 2030.</w:t>
            </w:r>
          </w:p>
          <w:p w14:paraId="0AC0770F" w14:textId="77777777" w:rsidR="00121AA7"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Την ετήσια αξιολόγηση των επιπτώσεων της «Εθνικής Στρατηγικής για τη Βιομηχανία» στη ανάπτυξη της χώρας και ειδικά στη μείωση των περιφερειακών και ενδοπεριφερειακών ανισοτήτων.</w:t>
            </w:r>
          </w:p>
          <w:p w14:paraId="0698F878" w14:textId="67738AE6" w:rsidR="004E2585" w:rsidRPr="006966CD" w:rsidRDefault="004E2585" w:rsidP="00121AA7">
            <w:pPr>
              <w:pStyle w:val="a9"/>
              <w:numPr>
                <w:ilvl w:val="0"/>
                <w:numId w:val="34"/>
              </w:numPr>
              <w:ind w:left="317" w:hanging="283"/>
              <w:contextualSpacing w:val="0"/>
              <w:jc w:val="both"/>
              <w:rPr>
                <w:rFonts w:asciiTheme="minorHAnsi" w:hAnsiTheme="minorHAnsi" w:cstheme="minorHAnsi"/>
                <w:bCs/>
                <w:sz w:val="20"/>
                <w:szCs w:val="20"/>
              </w:rPr>
            </w:pPr>
            <w:r w:rsidRPr="006966CD">
              <w:rPr>
                <w:rFonts w:asciiTheme="minorHAnsi" w:hAnsiTheme="minorHAnsi" w:cstheme="minorHAnsi"/>
                <w:bCs/>
                <w:sz w:val="20"/>
                <w:szCs w:val="20"/>
              </w:rPr>
              <w:t xml:space="preserve">Την κατάργηση ειδικών τελών και επιβαρύνσεων, όπως η εισφορά ποσοστού 0,6% της ΑΝΕ 128 στα δάνεια, </w:t>
            </w:r>
          </w:p>
          <w:p w14:paraId="14A43BF1" w14:textId="77777777" w:rsidR="00121AA7" w:rsidRPr="004E4B8D" w:rsidRDefault="00121AA7" w:rsidP="00297EE1">
            <w:pPr>
              <w:ind w:left="34"/>
              <w:jc w:val="both"/>
              <w:rPr>
                <w:rFonts w:asciiTheme="minorHAnsi" w:hAnsiTheme="minorHAnsi" w:cstheme="minorHAnsi"/>
                <w:bCs/>
                <w:sz w:val="20"/>
                <w:szCs w:val="20"/>
              </w:rPr>
            </w:pPr>
          </w:p>
          <w:p w14:paraId="7B9C3695" w14:textId="77777777" w:rsidR="00121AA7" w:rsidRPr="004E4B8D" w:rsidRDefault="00121AA7" w:rsidP="00297EE1">
            <w:pPr>
              <w:ind w:left="34"/>
              <w:jc w:val="both"/>
              <w:rPr>
                <w:rFonts w:asciiTheme="minorHAnsi" w:hAnsiTheme="minorHAnsi" w:cstheme="minorHAnsi"/>
                <w:bCs/>
                <w:sz w:val="20"/>
                <w:szCs w:val="20"/>
              </w:rPr>
            </w:pPr>
            <w:r w:rsidRPr="004E4B8D">
              <w:rPr>
                <w:rFonts w:asciiTheme="minorHAnsi" w:hAnsiTheme="minorHAnsi" w:cstheme="minorHAnsi"/>
                <w:bCs/>
                <w:sz w:val="20"/>
                <w:szCs w:val="20"/>
              </w:rPr>
              <w:t>Για την προσέλκυση διεθνών κεφαλαίων και την υλοποίηση διεθνών συνεργασιών και κοινών επενδύσεων.</w:t>
            </w:r>
          </w:p>
          <w:p w14:paraId="32E6EE83" w14:textId="77777777" w:rsidR="00121AA7" w:rsidRPr="004E4B8D"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Πρόγραμμα επιχειρηματικών αποστολών υπό την αιγίδα και με την παρουσία του ίδιου του Πρωθυπουργού κ. Κυριάκου Μητσοτάκη.</w:t>
            </w:r>
          </w:p>
          <w:p w14:paraId="6058DF25" w14:textId="77777777" w:rsidR="00121AA7" w:rsidRPr="004E4B8D"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Έμφαση θα πρέπει να δοθεί στη δημιουργία κοινών επιχειρηματικών σχημάτων στη μεταποίηση, στον πρωτογενή τομέα της παραγωγής και στην έρευνα και τεχνολογία.</w:t>
            </w:r>
          </w:p>
        </w:tc>
      </w:tr>
      <w:tr w:rsidR="0032702D" w:rsidRPr="0032702D" w14:paraId="35757146" w14:textId="77777777" w:rsidTr="00390DC9">
        <w:trPr>
          <w:trHeight w:val="397"/>
          <w:tblHeader/>
        </w:trPr>
        <w:tc>
          <w:tcPr>
            <w:tcW w:w="10207" w:type="dxa"/>
            <w:gridSpan w:val="3"/>
            <w:shd w:val="clear" w:color="auto" w:fill="FFFFFF" w:themeFill="background1"/>
            <w:vAlign w:val="center"/>
          </w:tcPr>
          <w:p w14:paraId="51DD64EB" w14:textId="5B6FC66D" w:rsidR="00121AA7" w:rsidRPr="0032702D" w:rsidRDefault="00C93A70" w:rsidP="0032702D">
            <w:pPr>
              <w:jc w:val="center"/>
              <w:rPr>
                <w:rFonts w:asciiTheme="minorHAnsi" w:hAnsiTheme="minorHAnsi" w:cstheme="minorHAnsi"/>
                <w:b/>
                <w:color w:val="FF0000"/>
                <w:sz w:val="24"/>
              </w:rPr>
            </w:pPr>
            <w:r w:rsidRPr="0032702D">
              <w:rPr>
                <w:rFonts w:asciiTheme="minorHAnsi" w:hAnsiTheme="minorHAnsi" w:cstheme="minorHAnsi"/>
                <w:b/>
                <w:color w:val="FF0000"/>
                <w:sz w:val="24"/>
              </w:rPr>
              <w:t>5</w:t>
            </w:r>
            <w:r w:rsidR="00121AA7" w:rsidRPr="0032702D">
              <w:rPr>
                <w:rFonts w:asciiTheme="minorHAnsi" w:hAnsiTheme="minorHAnsi" w:cstheme="minorHAnsi"/>
                <w:b/>
                <w:color w:val="FF0000"/>
                <w:sz w:val="24"/>
              </w:rPr>
              <w:t>. Μείωση του Τεχνολογικού Χάσματος</w:t>
            </w:r>
          </w:p>
        </w:tc>
      </w:tr>
      <w:tr w:rsidR="00121AA7" w:rsidRPr="008E3678" w14:paraId="258D5069" w14:textId="77777777" w:rsidTr="00121AA7">
        <w:trPr>
          <w:trHeight w:val="118"/>
        </w:trPr>
        <w:tc>
          <w:tcPr>
            <w:tcW w:w="2836" w:type="dxa"/>
            <w:shd w:val="clear" w:color="auto" w:fill="auto"/>
          </w:tcPr>
          <w:p w14:paraId="75876577" w14:textId="77777777" w:rsidR="00121AA7" w:rsidRPr="004E4B8D" w:rsidRDefault="00121AA7" w:rsidP="00297EE1">
            <w:pPr>
              <w:jc w:val="both"/>
              <w:rPr>
                <w:rFonts w:asciiTheme="minorHAnsi" w:hAnsiTheme="minorHAnsi" w:cstheme="minorHAnsi"/>
                <w:bCs/>
                <w:sz w:val="20"/>
                <w:szCs w:val="20"/>
              </w:rPr>
            </w:pPr>
            <w:r w:rsidRPr="004E4B8D">
              <w:rPr>
                <w:rFonts w:asciiTheme="minorHAnsi" w:hAnsiTheme="minorHAnsi" w:cstheme="minorHAnsi"/>
                <w:bCs/>
                <w:sz w:val="20"/>
                <w:szCs w:val="20"/>
              </w:rPr>
              <w:t xml:space="preserve">Παρά τις γενναίες χρηματοδοτήσεις από την Ευρωπαϊκή Ένωση τα τελευταία σαράντα χρόνια με σκοπό τη </w:t>
            </w:r>
            <w:r w:rsidRPr="008E2284">
              <w:rPr>
                <w:rFonts w:asciiTheme="minorHAnsi" w:hAnsiTheme="minorHAnsi" w:cstheme="minorHAnsi"/>
                <w:b/>
                <w:sz w:val="20"/>
                <w:szCs w:val="20"/>
              </w:rPr>
              <w:t>μείωση του τεχνολογικού χάσματος</w:t>
            </w:r>
            <w:r w:rsidRPr="004E4B8D">
              <w:rPr>
                <w:rFonts w:asciiTheme="minorHAnsi" w:hAnsiTheme="minorHAnsi" w:cstheme="minorHAnsi"/>
                <w:b/>
                <w:sz w:val="20"/>
                <w:szCs w:val="20"/>
              </w:rPr>
              <w:t xml:space="preserve"> </w:t>
            </w:r>
            <w:r w:rsidRPr="004E4B8D">
              <w:rPr>
                <w:rFonts w:asciiTheme="minorHAnsi" w:hAnsiTheme="minorHAnsi" w:cstheme="minorHAnsi"/>
                <w:bCs/>
                <w:sz w:val="20"/>
                <w:szCs w:val="20"/>
              </w:rPr>
              <w:t xml:space="preserve">μεταξύ της Ευρωπαϊκής Ένωσης και της Βόρειας Αμερικής, αυτό εξακολουθεί να υφίσταται και σε κάποιες περιπτώσεις να διευρύνεται. </w:t>
            </w:r>
          </w:p>
        </w:tc>
        <w:tc>
          <w:tcPr>
            <w:tcW w:w="3118" w:type="dxa"/>
            <w:shd w:val="clear" w:color="auto" w:fill="auto"/>
          </w:tcPr>
          <w:p w14:paraId="664C7AAB" w14:textId="77777777" w:rsidR="00121AA7" w:rsidRPr="004E4B8D" w:rsidRDefault="00121AA7" w:rsidP="00297EE1">
            <w:pPr>
              <w:jc w:val="both"/>
              <w:rPr>
                <w:rFonts w:asciiTheme="minorHAnsi" w:hAnsiTheme="minorHAnsi" w:cstheme="minorHAnsi"/>
                <w:bCs/>
                <w:sz w:val="20"/>
                <w:szCs w:val="20"/>
              </w:rPr>
            </w:pPr>
            <w:r w:rsidRPr="004E4B8D">
              <w:rPr>
                <w:rFonts w:asciiTheme="minorHAnsi" w:hAnsiTheme="minorHAnsi" w:cstheme="minorHAnsi"/>
                <w:bCs/>
                <w:sz w:val="20"/>
                <w:szCs w:val="20"/>
              </w:rPr>
              <w:t>Η ένταξη στη στρατηγική των Ελληνικών επιχειρήσεων της κάλυψης του «τεχνολογικού ελλείμματος» είναι βέβαιο ότι θα αποτελέσει πηγή δημιουργίας ανταγωνιστικού πλεονεκτήματος, παραγωγής «διεθνώς εμπορεύσιμων προϊόντων» και επιτυχούς αντιμετώπισης των προκλήσεων από την 4</w:t>
            </w:r>
            <w:r w:rsidRPr="004E4B8D">
              <w:rPr>
                <w:rFonts w:asciiTheme="minorHAnsi" w:hAnsiTheme="minorHAnsi" w:cstheme="minorHAnsi"/>
                <w:bCs/>
                <w:sz w:val="20"/>
                <w:szCs w:val="20"/>
                <w:vertAlign w:val="superscript"/>
              </w:rPr>
              <w:t>η</w:t>
            </w:r>
            <w:r w:rsidRPr="004E4B8D">
              <w:rPr>
                <w:rFonts w:asciiTheme="minorHAnsi" w:hAnsiTheme="minorHAnsi" w:cstheme="minorHAnsi"/>
                <w:bCs/>
                <w:sz w:val="20"/>
                <w:szCs w:val="20"/>
              </w:rPr>
              <w:t xml:space="preserve"> βιομηχανική επανάσταση. </w:t>
            </w:r>
          </w:p>
        </w:tc>
        <w:tc>
          <w:tcPr>
            <w:tcW w:w="4253" w:type="dxa"/>
            <w:shd w:val="clear" w:color="auto" w:fill="auto"/>
          </w:tcPr>
          <w:p w14:paraId="1F0AD674" w14:textId="77777777" w:rsidR="00121AA7" w:rsidRPr="004E4B8D"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 xml:space="preserve">Αυξημένα ποσοστά χρηματοδότησης επενδύσεων σε έρευνα, τεχνολογική ανάπτυξη και μεταφορά τεχνολογίας. </w:t>
            </w:r>
          </w:p>
          <w:p w14:paraId="7DD1DBEE" w14:textId="77777777" w:rsidR="00121AA7" w:rsidRPr="004E4B8D"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Δημιουργία προγράμματος επιχορήγησης της δημιουργίας και οργάνωσης Τμημάτων Έρευνας και Ανάπτυξης σε μεταποιητικές επιχειρήσεις.</w:t>
            </w:r>
          </w:p>
          <w:p w14:paraId="76EF37B6" w14:textId="77777777" w:rsidR="00121AA7" w:rsidRPr="004E4B8D"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Παροχή ειδικών και αυξημένων κινήτρων για προσέλκυση ξένων επενδύσεων υψηλής τεχνολογίας.</w:t>
            </w:r>
          </w:p>
          <w:p w14:paraId="523943DE" w14:textId="77777777" w:rsidR="00121AA7" w:rsidRPr="004E4B8D"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 xml:space="preserve">Δημιουργία προγραμμάτων ανάσχεσης του </w:t>
            </w:r>
            <w:r w:rsidRPr="004E4B8D">
              <w:rPr>
                <w:rFonts w:asciiTheme="minorHAnsi" w:hAnsiTheme="minorHAnsi" w:cstheme="minorHAnsi"/>
                <w:bCs/>
                <w:sz w:val="20"/>
                <w:szCs w:val="20"/>
                <w:lang w:val="en-US"/>
              </w:rPr>
              <w:t>brain</w:t>
            </w:r>
            <w:r w:rsidRPr="004E4B8D">
              <w:rPr>
                <w:rFonts w:asciiTheme="minorHAnsi" w:hAnsiTheme="minorHAnsi" w:cstheme="minorHAnsi"/>
                <w:bCs/>
                <w:sz w:val="20"/>
                <w:szCs w:val="20"/>
              </w:rPr>
              <w:t xml:space="preserve"> </w:t>
            </w:r>
            <w:r w:rsidRPr="004E4B8D">
              <w:rPr>
                <w:rFonts w:asciiTheme="minorHAnsi" w:hAnsiTheme="minorHAnsi" w:cstheme="minorHAnsi"/>
                <w:bCs/>
                <w:sz w:val="20"/>
                <w:szCs w:val="20"/>
                <w:lang w:val="en-US"/>
              </w:rPr>
              <w:t>drain</w:t>
            </w:r>
            <w:r w:rsidRPr="004E4B8D">
              <w:rPr>
                <w:rFonts w:asciiTheme="minorHAnsi" w:hAnsiTheme="minorHAnsi" w:cstheme="minorHAnsi"/>
                <w:bCs/>
                <w:sz w:val="20"/>
                <w:szCs w:val="20"/>
              </w:rPr>
              <w:t xml:space="preserve"> και προσέλκυσης τόσο Ελλήνων του εξωτερικού, όσο και αλλοδαπών στελεχών υψηλής εξειδίκευσης. </w:t>
            </w:r>
          </w:p>
          <w:p w14:paraId="79ED7423" w14:textId="77777777" w:rsidR="00121AA7" w:rsidRPr="004E4B8D"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 xml:space="preserve">Ενίσχυση της λειτουργίας των «Γραφείων Μεταφοράς Τεχνολογίας» των ΑΕΙ και των ερευνητικών ιδρυμάτων της χώρας. </w:t>
            </w:r>
          </w:p>
        </w:tc>
      </w:tr>
    </w:tbl>
    <w:p w14:paraId="5BD9693D" w14:textId="77777777" w:rsidR="00390DC9" w:rsidRDefault="00390DC9">
      <w:r>
        <w:br w:type="page"/>
      </w:r>
    </w:p>
    <w:tbl>
      <w:tblPr>
        <w:tblStyle w:val="a7"/>
        <w:tblW w:w="10207" w:type="dxa"/>
        <w:tblInd w:w="-289" w:type="dxa"/>
        <w:tblLook w:val="04A0" w:firstRow="1" w:lastRow="0" w:firstColumn="1" w:lastColumn="0" w:noHBand="0" w:noVBand="1"/>
      </w:tblPr>
      <w:tblGrid>
        <w:gridCol w:w="2836"/>
        <w:gridCol w:w="3118"/>
        <w:gridCol w:w="4253"/>
      </w:tblGrid>
      <w:tr w:rsidR="00390DC9" w:rsidRPr="008E3678" w14:paraId="335583A7" w14:textId="77777777" w:rsidTr="00EC598C">
        <w:trPr>
          <w:trHeight w:val="119"/>
          <w:tblHeader/>
        </w:trPr>
        <w:tc>
          <w:tcPr>
            <w:tcW w:w="2836" w:type="dxa"/>
            <w:shd w:val="clear" w:color="auto" w:fill="D9D9D9" w:themeFill="background1" w:themeFillShade="D9"/>
          </w:tcPr>
          <w:p w14:paraId="3EA74144" w14:textId="77777777" w:rsidR="00390DC9" w:rsidRPr="004E4B8D" w:rsidRDefault="00390DC9" w:rsidP="00EC598C">
            <w:pPr>
              <w:jc w:val="center"/>
              <w:rPr>
                <w:rFonts w:asciiTheme="minorHAnsi" w:hAnsiTheme="minorHAnsi" w:cstheme="minorHAnsi"/>
                <w:b/>
                <w:sz w:val="20"/>
                <w:szCs w:val="20"/>
              </w:rPr>
            </w:pPr>
            <w:r w:rsidRPr="004E4B8D">
              <w:rPr>
                <w:rFonts w:asciiTheme="minorHAnsi" w:hAnsiTheme="minorHAnsi" w:cstheme="minorHAnsi"/>
                <w:b/>
                <w:sz w:val="20"/>
                <w:szCs w:val="20"/>
              </w:rPr>
              <w:lastRenderedPageBreak/>
              <w:t>Διαπίστωση</w:t>
            </w:r>
          </w:p>
        </w:tc>
        <w:tc>
          <w:tcPr>
            <w:tcW w:w="3118" w:type="dxa"/>
            <w:shd w:val="clear" w:color="auto" w:fill="D9D9D9" w:themeFill="background1" w:themeFillShade="D9"/>
          </w:tcPr>
          <w:p w14:paraId="317FA66B" w14:textId="77777777" w:rsidR="00390DC9" w:rsidRPr="004E4B8D" w:rsidRDefault="00390DC9" w:rsidP="00EC598C">
            <w:pPr>
              <w:jc w:val="center"/>
              <w:rPr>
                <w:rFonts w:asciiTheme="minorHAnsi" w:hAnsiTheme="minorHAnsi" w:cstheme="minorHAnsi"/>
                <w:b/>
                <w:sz w:val="20"/>
                <w:szCs w:val="20"/>
              </w:rPr>
            </w:pPr>
            <w:r w:rsidRPr="004E4B8D">
              <w:rPr>
                <w:rFonts w:asciiTheme="minorHAnsi" w:hAnsiTheme="minorHAnsi" w:cstheme="minorHAnsi"/>
                <w:b/>
                <w:sz w:val="20"/>
                <w:szCs w:val="20"/>
              </w:rPr>
              <w:t>Προκλήσεις</w:t>
            </w:r>
          </w:p>
        </w:tc>
        <w:tc>
          <w:tcPr>
            <w:tcW w:w="4253" w:type="dxa"/>
            <w:shd w:val="clear" w:color="auto" w:fill="D9D9D9" w:themeFill="background1" w:themeFillShade="D9"/>
          </w:tcPr>
          <w:p w14:paraId="0920331D" w14:textId="77777777" w:rsidR="00390DC9" w:rsidRPr="004E4B8D" w:rsidRDefault="00390DC9" w:rsidP="00EC598C">
            <w:pPr>
              <w:jc w:val="center"/>
              <w:rPr>
                <w:rFonts w:asciiTheme="minorHAnsi" w:hAnsiTheme="minorHAnsi" w:cstheme="minorHAnsi"/>
                <w:b/>
                <w:sz w:val="20"/>
                <w:szCs w:val="20"/>
              </w:rPr>
            </w:pPr>
            <w:r w:rsidRPr="004E4B8D">
              <w:rPr>
                <w:rFonts w:asciiTheme="minorHAnsi" w:hAnsiTheme="minorHAnsi" w:cstheme="minorHAnsi"/>
                <w:b/>
                <w:sz w:val="20"/>
                <w:szCs w:val="20"/>
              </w:rPr>
              <w:t>Προτάσεις επίλυσης του προβλήματος</w:t>
            </w:r>
          </w:p>
        </w:tc>
      </w:tr>
      <w:tr w:rsidR="0032702D" w:rsidRPr="0032702D" w14:paraId="2FBF6B21" w14:textId="77777777" w:rsidTr="00390DC9">
        <w:trPr>
          <w:trHeight w:val="397"/>
          <w:tblHeader/>
        </w:trPr>
        <w:tc>
          <w:tcPr>
            <w:tcW w:w="10207" w:type="dxa"/>
            <w:gridSpan w:val="3"/>
            <w:shd w:val="clear" w:color="auto" w:fill="FFFFFF" w:themeFill="background1"/>
            <w:vAlign w:val="center"/>
          </w:tcPr>
          <w:p w14:paraId="6743D140" w14:textId="01F62AED" w:rsidR="00121AA7" w:rsidRPr="0032702D" w:rsidRDefault="00C93A70" w:rsidP="0032702D">
            <w:pPr>
              <w:jc w:val="center"/>
              <w:rPr>
                <w:rFonts w:asciiTheme="minorHAnsi" w:hAnsiTheme="minorHAnsi" w:cstheme="minorHAnsi"/>
                <w:b/>
                <w:color w:val="FF0000"/>
                <w:sz w:val="24"/>
              </w:rPr>
            </w:pPr>
            <w:r w:rsidRPr="0032702D">
              <w:rPr>
                <w:rFonts w:asciiTheme="minorHAnsi" w:hAnsiTheme="minorHAnsi" w:cstheme="minorHAnsi"/>
                <w:b/>
                <w:color w:val="FF0000"/>
                <w:sz w:val="24"/>
              </w:rPr>
              <w:t>6</w:t>
            </w:r>
            <w:r w:rsidR="00121AA7" w:rsidRPr="0032702D">
              <w:rPr>
                <w:rFonts w:asciiTheme="minorHAnsi" w:hAnsiTheme="minorHAnsi" w:cstheme="minorHAnsi"/>
                <w:b/>
                <w:color w:val="FF0000"/>
                <w:sz w:val="24"/>
              </w:rPr>
              <w:t>. Φιλικό Ρυθμιστικό Περιβάλλον</w:t>
            </w:r>
          </w:p>
        </w:tc>
      </w:tr>
      <w:tr w:rsidR="00121AA7" w:rsidRPr="008E3678" w14:paraId="3650A9BD" w14:textId="77777777" w:rsidTr="00121AA7">
        <w:trPr>
          <w:trHeight w:val="118"/>
        </w:trPr>
        <w:tc>
          <w:tcPr>
            <w:tcW w:w="2836" w:type="dxa"/>
            <w:shd w:val="clear" w:color="auto" w:fill="auto"/>
          </w:tcPr>
          <w:p w14:paraId="5D7D9386" w14:textId="77777777" w:rsidR="00121AA7" w:rsidRPr="008E2284" w:rsidRDefault="00121AA7" w:rsidP="00297EE1">
            <w:pPr>
              <w:jc w:val="both"/>
              <w:rPr>
                <w:rFonts w:asciiTheme="minorHAnsi" w:hAnsiTheme="minorHAnsi" w:cstheme="minorHAnsi"/>
                <w:bCs/>
                <w:sz w:val="20"/>
                <w:szCs w:val="20"/>
              </w:rPr>
            </w:pPr>
            <w:r w:rsidRPr="004E4B8D">
              <w:rPr>
                <w:rFonts w:asciiTheme="minorHAnsi" w:hAnsiTheme="minorHAnsi" w:cstheme="minorHAnsi"/>
                <w:bCs/>
                <w:sz w:val="20"/>
                <w:szCs w:val="20"/>
              </w:rPr>
              <w:t xml:space="preserve">Το </w:t>
            </w:r>
            <w:r w:rsidRPr="008E2284">
              <w:rPr>
                <w:rFonts w:asciiTheme="minorHAnsi" w:hAnsiTheme="minorHAnsi" w:cstheme="minorHAnsi"/>
                <w:b/>
                <w:sz w:val="20"/>
                <w:szCs w:val="20"/>
              </w:rPr>
              <w:t>ρυθμιστικό περιβάλλον</w:t>
            </w:r>
            <w:r w:rsidRPr="008E2284">
              <w:rPr>
                <w:rFonts w:asciiTheme="minorHAnsi" w:hAnsiTheme="minorHAnsi" w:cstheme="minorHAnsi"/>
                <w:bCs/>
                <w:sz w:val="20"/>
                <w:szCs w:val="20"/>
              </w:rPr>
              <w:t xml:space="preserve"> εντός του οποίου καλείται να δραστηριοποιηθεί μια επιχείρηση, καθορίζει σε μεγάλο βαθμό τη δυνατότητα που της δίνεται για την επιβίωσή της και την επίτευξη υψηλών ρυθμών ανάπτυξης. </w:t>
            </w:r>
          </w:p>
          <w:p w14:paraId="359160E9" w14:textId="77777777" w:rsidR="00121AA7" w:rsidRPr="004E4B8D" w:rsidRDefault="00121AA7" w:rsidP="00297EE1">
            <w:pPr>
              <w:jc w:val="both"/>
              <w:rPr>
                <w:rFonts w:asciiTheme="minorHAnsi" w:hAnsiTheme="minorHAnsi" w:cstheme="minorHAnsi"/>
                <w:sz w:val="20"/>
                <w:szCs w:val="20"/>
              </w:rPr>
            </w:pPr>
            <w:r w:rsidRPr="008E2284">
              <w:rPr>
                <w:rFonts w:asciiTheme="minorHAnsi" w:hAnsiTheme="minorHAnsi" w:cstheme="minorHAnsi"/>
                <w:bCs/>
                <w:sz w:val="20"/>
                <w:szCs w:val="20"/>
              </w:rPr>
              <w:t>Η βελτίωση του ρυθμιστικού περιβάλλοντος, και ειδικά στο σκέλος που αφορά στην υλοποίηση επενδύσεων, θα συμβάλλει στην επίτευξη του εθνικού στόχου για αύξηση των επενδύσεων κατά 70%, με επενδύσεις 50 δις € ετησίως έως το 2027 και συμμετοχή των επενδύσεων άνω του 20% στο ΑΕΠ.</w:t>
            </w:r>
          </w:p>
        </w:tc>
        <w:tc>
          <w:tcPr>
            <w:tcW w:w="3118" w:type="dxa"/>
            <w:shd w:val="clear" w:color="auto" w:fill="auto"/>
          </w:tcPr>
          <w:p w14:paraId="253F8D55" w14:textId="77777777" w:rsidR="00121AA7" w:rsidRPr="004E4B8D" w:rsidRDefault="00121AA7" w:rsidP="00297EE1">
            <w:pPr>
              <w:jc w:val="both"/>
              <w:rPr>
                <w:rFonts w:asciiTheme="minorHAnsi" w:hAnsiTheme="minorHAnsi" w:cstheme="minorHAnsi"/>
                <w:bCs/>
                <w:sz w:val="20"/>
                <w:szCs w:val="20"/>
              </w:rPr>
            </w:pPr>
            <w:r w:rsidRPr="004E4B8D">
              <w:rPr>
                <w:rFonts w:asciiTheme="minorHAnsi" w:hAnsiTheme="minorHAnsi" w:cstheme="minorHAnsi"/>
                <w:bCs/>
                <w:sz w:val="20"/>
                <w:szCs w:val="20"/>
              </w:rPr>
              <w:t xml:space="preserve">Κατά τον ΣΒΕ, η έννοια του </w:t>
            </w:r>
            <w:r w:rsidRPr="008E2284">
              <w:rPr>
                <w:rFonts w:asciiTheme="minorHAnsi" w:hAnsiTheme="minorHAnsi" w:cstheme="minorHAnsi"/>
                <w:b/>
                <w:sz w:val="20"/>
                <w:szCs w:val="20"/>
              </w:rPr>
              <w:t>«φιλικού» περιβάλλοντος δραστηριοποίησης</w:t>
            </w:r>
            <w:r w:rsidRPr="004E4B8D">
              <w:rPr>
                <w:rFonts w:asciiTheme="minorHAnsi" w:hAnsiTheme="minorHAnsi" w:cstheme="minorHAnsi"/>
                <w:bCs/>
                <w:sz w:val="20"/>
                <w:szCs w:val="20"/>
              </w:rPr>
              <w:t xml:space="preserve"> των επιχειρήσεων, είναι η βασική προϋπόθεση για:</w:t>
            </w:r>
          </w:p>
          <w:p w14:paraId="1AC26E05" w14:textId="77777777" w:rsidR="00121AA7" w:rsidRPr="004E4B8D" w:rsidRDefault="00121AA7" w:rsidP="00121AA7">
            <w:pPr>
              <w:pStyle w:val="a9"/>
              <w:numPr>
                <w:ilvl w:val="0"/>
                <w:numId w:val="33"/>
              </w:numPr>
              <w:ind w:left="176" w:hanging="142"/>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 xml:space="preserve">τη μείωση του λειτουργικού κόστους των επιχειρήσεων, </w:t>
            </w:r>
          </w:p>
          <w:p w14:paraId="3003835E" w14:textId="77777777" w:rsidR="00121AA7" w:rsidRPr="004E4B8D" w:rsidRDefault="00121AA7" w:rsidP="00121AA7">
            <w:pPr>
              <w:pStyle w:val="a9"/>
              <w:numPr>
                <w:ilvl w:val="0"/>
                <w:numId w:val="33"/>
              </w:numPr>
              <w:ind w:left="176" w:hanging="142"/>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 xml:space="preserve">την αποφυγή αναίτιων διοικητικών και οικονομικών βαρών, </w:t>
            </w:r>
          </w:p>
          <w:p w14:paraId="11D386EA" w14:textId="77777777" w:rsidR="00121AA7" w:rsidRPr="004E4B8D" w:rsidRDefault="00121AA7" w:rsidP="00121AA7">
            <w:pPr>
              <w:pStyle w:val="a9"/>
              <w:numPr>
                <w:ilvl w:val="0"/>
                <w:numId w:val="33"/>
              </w:numPr>
              <w:ind w:left="176" w:hanging="142"/>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 xml:space="preserve">την εύρυθμη λειτουργία της αγοράς, </w:t>
            </w:r>
          </w:p>
          <w:p w14:paraId="7AEB89B5" w14:textId="77777777" w:rsidR="00121AA7" w:rsidRPr="004E4B8D" w:rsidRDefault="00121AA7" w:rsidP="00121AA7">
            <w:pPr>
              <w:pStyle w:val="a9"/>
              <w:numPr>
                <w:ilvl w:val="0"/>
                <w:numId w:val="33"/>
              </w:numPr>
              <w:ind w:left="176" w:hanging="142"/>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 xml:space="preserve">την εξασφάλιση ισότιμων όρων ανταγωνισμού, </w:t>
            </w:r>
          </w:p>
          <w:p w14:paraId="390EE8A1" w14:textId="77777777" w:rsidR="00121AA7" w:rsidRPr="004E4B8D" w:rsidRDefault="00121AA7" w:rsidP="00121AA7">
            <w:pPr>
              <w:pStyle w:val="a9"/>
              <w:numPr>
                <w:ilvl w:val="0"/>
                <w:numId w:val="33"/>
              </w:numPr>
              <w:ind w:left="176" w:hanging="142"/>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 xml:space="preserve">την ορθή και ταχεία απονομή της δικαιοσύνης, και, </w:t>
            </w:r>
          </w:p>
          <w:p w14:paraId="0BFF3658" w14:textId="77777777" w:rsidR="00121AA7" w:rsidRPr="004E4B8D" w:rsidRDefault="00121AA7" w:rsidP="00121AA7">
            <w:pPr>
              <w:pStyle w:val="a9"/>
              <w:numPr>
                <w:ilvl w:val="0"/>
                <w:numId w:val="33"/>
              </w:numPr>
              <w:ind w:left="176" w:hanging="142"/>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τη δυνατότητα προσέλκυσης και υλοποίησης επενδύσεων.</w:t>
            </w:r>
          </w:p>
        </w:tc>
        <w:tc>
          <w:tcPr>
            <w:tcW w:w="4253" w:type="dxa"/>
            <w:shd w:val="clear" w:color="auto" w:fill="auto"/>
          </w:tcPr>
          <w:p w14:paraId="58D476E1" w14:textId="77777777" w:rsidR="00121AA7" w:rsidRPr="008E2284" w:rsidRDefault="00121AA7" w:rsidP="00121AA7">
            <w:pPr>
              <w:pStyle w:val="a9"/>
              <w:numPr>
                <w:ilvl w:val="0"/>
                <w:numId w:val="34"/>
              </w:numPr>
              <w:ind w:left="316" w:hanging="282"/>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 xml:space="preserve">Άρση των εμποδίων για την </w:t>
            </w:r>
            <w:r w:rsidRPr="008E2284">
              <w:rPr>
                <w:rFonts w:asciiTheme="minorHAnsi" w:hAnsiTheme="minorHAnsi" w:cstheme="minorHAnsi"/>
                <w:bCs/>
                <w:sz w:val="20"/>
                <w:szCs w:val="20"/>
              </w:rPr>
              <w:t xml:space="preserve">ταχύτερη απονομή της δικαιοσύνης. </w:t>
            </w:r>
          </w:p>
          <w:p w14:paraId="69E17652" w14:textId="77777777" w:rsidR="00121AA7" w:rsidRPr="008E2284" w:rsidRDefault="00121AA7" w:rsidP="00121AA7">
            <w:pPr>
              <w:pStyle w:val="a9"/>
              <w:numPr>
                <w:ilvl w:val="0"/>
                <w:numId w:val="34"/>
              </w:numPr>
              <w:ind w:left="316" w:hanging="282"/>
              <w:contextualSpacing w:val="0"/>
              <w:jc w:val="both"/>
              <w:rPr>
                <w:rFonts w:asciiTheme="minorHAnsi" w:hAnsiTheme="minorHAnsi" w:cstheme="minorHAnsi"/>
                <w:bCs/>
                <w:sz w:val="20"/>
                <w:szCs w:val="20"/>
              </w:rPr>
            </w:pPr>
            <w:r w:rsidRPr="008E2284">
              <w:rPr>
                <w:rFonts w:asciiTheme="minorHAnsi" w:hAnsiTheme="minorHAnsi" w:cstheme="minorHAnsi"/>
                <w:bCs/>
                <w:sz w:val="20"/>
                <w:szCs w:val="20"/>
              </w:rPr>
              <w:t>Ένταξη στη λειτουργία του κράτους της στρατηγικής για την απλούστευση του ρυθμιστικού περιβάλλοντος που αφορά στην επιχειρηματικότητα και ειδικά στη βιομηχανία.</w:t>
            </w:r>
          </w:p>
          <w:p w14:paraId="098506CD" w14:textId="77777777" w:rsidR="00121AA7" w:rsidRPr="008E2284" w:rsidRDefault="00121AA7" w:rsidP="00121AA7">
            <w:pPr>
              <w:pStyle w:val="a9"/>
              <w:numPr>
                <w:ilvl w:val="0"/>
                <w:numId w:val="34"/>
              </w:numPr>
              <w:ind w:left="316" w:hanging="282"/>
              <w:contextualSpacing w:val="0"/>
              <w:jc w:val="both"/>
              <w:rPr>
                <w:rFonts w:asciiTheme="minorHAnsi" w:hAnsiTheme="minorHAnsi" w:cstheme="minorHAnsi"/>
                <w:bCs/>
                <w:sz w:val="20"/>
                <w:szCs w:val="20"/>
              </w:rPr>
            </w:pPr>
            <w:r w:rsidRPr="008E2284">
              <w:rPr>
                <w:rFonts w:asciiTheme="minorHAnsi" w:hAnsiTheme="minorHAnsi" w:cstheme="minorHAnsi"/>
                <w:bCs/>
                <w:sz w:val="20"/>
                <w:szCs w:val="20"/>
              </w:rPr>
              <w:t xml:space="preserve">Εκ των προτέρων αξιολόγηση των επιπτώσεων κάθε νέας νομοθετικής παρέμβασης στην ανταγωνιστικότητα των επιχειρήσεων, και ειδικά της βιομηχανίας. </w:t>
            </w:r>
          </w:p>
          <w:p w14:paraId="4F62A63C" w14:textId="77777777" w:rsidR="00121AA7" w:rsidRPr="008E2284" w:rsidRDefault="00121AA7" w:rsidP="00121AA7">
            <w:pPr>
              <w:pStyle w:val="a9"/>
              <w:numPr>
                <w:ilvl w:val="0"/>
                <w:numId w:val="34"/>
              </w:numPr>
              <w:ind w:left="316" w:hanging="282"/>
              <w:contextualSpacing w:val="0"/>
              <w:jc w:val="both"/>
              <w:rPr>
                <w:rFonts w:asciiTheme="minorHAnsi" w:hAnsiTheme="minorHAnsi" w:cstheme="minorHAnsi"/>
                <w:bCs/>
                <w:sz w:val="20"/>
                <w:szCs w:val="20"/>
              </w:rPr>
            </w:pPr>
            <w:r w:rsidRPr="008E2284">
              <w:rPr>
                <w:rFonts w:asciiTheme="minorHAnsi" w:hAnsiTheme="minorHAnsi" w:cstheme="minorHAnsi"/>
                <w:bCs/>
                <w:sz w:val="20"/>
                <w:szCs w:val="20"/>
              </w:rPr>
              <w:t>Ψηφιοποίηση των διαδικασιών αδειοδότησης, με ταυτόχρονη περαιτέρω απλούστευση του ισχύοντος πλαισίου.</w:t>
            </w:r>
          </w:p>
          <w:p w14:paraId="16903BBE" w14:textId="77777777" w:rsidR="00121AA7" w:rsidRPr="004E4B8D" w:rsidRDefault="00121AA7" w:rsidP="00121AA7">
            <w:pPr>
              <w:pStyle w:val="a9"/>
              <w:numPr>
                <w:ilvl w:val="0"/>
                <w:numId w:val="34"/>
              </w:numPr>
              <w:ind w:left="316" w:hanging="282"/>
              <w:contextualSpacing w:val="0"/>
              <w:jc w:val="both"/>
              <w:rPr>
                <w:rFonts w:asciiTheme="minorHAnsi" w:hAnsiTheme="minorHAnsi" w:cstheme="minorHAnsi"/>
                <w:bCs/>
                <w:sz w:val="20"/>
                <w:szCs w:val="20"/>
              </w:rPr>
            </w:pPr>
            <w:r w:rsidRPr="008E2284">
              <w:rPr>
                <w:rFonts w:asciiTheme="minorHAnsi" w:hAnsiTheme="minorHAnsi" w:cstheme="minorHAnsi"/>
                <w:bCs/>
                <w:sz w:val="20"/>
                <w:szCs w:val="20"/>
              </w:rPr>
              <w:t>Αποσαφήνιση των όρων περιβαλλοντικής αδειοδότησης, καθώς και των ζητημάτων χωροθέτησης βιομηχανικών επιχειρήσεων.</w:t>
            </w:r>
            <w:r w:rsidRPr="004E4B8D">
              <w:rPr>
                <w:rFonts w:asciiTheme="minorHAnsi" w:hAnsiTheme="minorHAnsi" w:cstheme="minorHAnsi"/>
                <w:bCs/>
                <w:sz w:val="20"/>
                <w:szCs w:val="20"/>
              </w:rPr>
              <w:t xml:space="preserve"> </w:t>
            </w:r>
          </w:p>
        </w:tc>
      </w:tr>
      <w:tr w:rsidR="0032702D" w:rsidRPr="0032702D" w14:paraId="5AAEBB99" w14:textId="77777777" w:rsidTr="00390DC9">
        <w:trPr>
          <w:trHeight w:val="397"/>
          <w:tblHeader/>
        </w:trPr>
        <w:tc>
          <w:tcPr>
            <w:tcW w:w="10207" w:type="dxa"/>
            <w:gridSpan w:val="3"/>
            <w:shd w:val="clear" w:color="auto" w:fill="FFFFFF" w:themeFill="background1"/>
            <w:vAlign w:val="center"/>
          </w:tcPr>
          <w:p w14:paraId="4F8C7699" w14:textId="43C0664C" w:rsidR="00121AA7" w:rsidRPr="0032702D" w:rsidRDefault="00C93A70" w:rsidP="0032702D">
            <w:pPr>
              <w:jc w:val="center"/>
              <w:rPr>
                <w:rFonts w:asciiTheme="minorHAnsi" w:hAnsiTheme="minorHAnsi" w:cstheme="minorHAnsi"/>
                <w:b/>
                <w:color w:val="FF0000"/>
                <w:sz w:val="24"/>
              </w:rPr>
            </w:pPr>
            <w:r w:rsidRPr="0032702D">
              <w:rPr>
                <w:rFonts w:asciiTheme="minorHAnsi" w:hAnsiTheme="minorHAnsi" w:cstheme="minorHAnsi"/>
                <w:b/>
                <w:color w:val="FF0000"/>
                <w:sz w:val="24"/>
              </w:rPr>
              <w:t>7</w:t>
            </w:r>
            <w:r w:rsidR="00121AA7" w:rsidRPr="0032702D">
              <w:rPr>
                <w:rFonts w:asciiTheme="minorHAnsi" w:hAnsiTheme="minorHAnsi" w:cstheme="minorHAnsi"/>
                <w:b/>
                <w:color w:val="FF0000"/>
                <w:sz w:val="24"/>
              </w:rPr>
              <w:t>. Βιώσιμη Ανάπτυξη</w:t>
            </w:r>
          </w:p>
        </w:tc>
      </w:tr>
      <w:tr w:rsidR="00121AA7" w:rsidRPr="008E3678" w14:paraId="330163CC" w14:textId="77777777" w:rsidTr="00121AA7">
        <w:trPr>
          <w:trHeight w:val="118"/>
        </w:trPr>
        <w:tc>
          <w:tcPr>
            <w:tcW w:w="2836" w:type="dxa"/>
            <w:shd w:val="clear" w:color="auto" w:fill="auto"/>
          </w:tcPr>
          <w:p w14:paraId="7C5FCB9F" w14:textId="77777777" w:rsidR="00121AA7" w:rsidRPr="008E2284" w:rsidRDefault="00121AA7" w:rsidP="00297EE1">
            <w:pPr>
              <w:jc w:val="both"/>
              <w:rPr>
                <w:rFonts w:asciiTheme="minorHAnsi" w:hAnsiTheme="minorHAnsi" w:cstheme="minorHAnsi"/>
                <w:bCs/>
                <w:sz w:val="20"/>
                <w:szCs w:val="20"/>
              </w:rPr>
            </w:pPr>
            <w:r w:rsidRPr="004E4B8D">
              <w:rPr>
                <w:rFonts w:asciiTheme="minorHAnsi" w:hAnsiTheme="minorHAnsi" w:cstheme="minorHAnsi"/>
                <w:bCs/>
                <w:sz w:val="20"/>
                <w:szCs w:val="20"/>
              </w:rPr>
              <w:t xml:space="preserve">Η </w:t>
            </w:r>
            <w:r w:rsidRPr="008E2284">
              <w:rPr>
                <w:rFonts w:asciiTheme="minorHAnsi" w:hAnsiTheme="minorHAnsi" w:cstheme="minorHAnsi"/>
                <w:b/>
                <w:sz w:val="20"/>
                <w:szCs w:val="20"/>
              </w:rPr>
              <w:t>«βιώσιμη ανάπτυξη»</w:t>
            </w:r>
            <w:r w:rsidRPr="008E2284">
              <w:rPr>
                <w:rFonts w:asciiTheme="minorHAnsi" w:hAnsiTheme="minorHAnsi" w:cstheme="minorHAnsi"/>
                <w:bCs/>
                <w:sz w:val="20"/>
                <w:szCs w:val="20"/>
              </w:rPr>
              <w:t xml:space="preserve"> συνδέεται πλέον άμεσα με την ουσιαστική και μακροχρόνια βιωσιμότητα όλων των επιχειρήσεων ανεξάρτητα από το μέγεθός τους. </w:t>
            </w:r>
          </w:p>
          <w:p w14:paraId="02139A50" w14:textId="77777777" w:rsidR="00121AA7" w:rsidRPr="008E2284" w:rsidRDefault="00121AA7" w:rsidP="00297EE1">
            <w:pPr>
              <w:jc w:val="both"/>
              <w:rPr>
                <w:rFonts w:asciiTheme="minorHAnsi" w:hAnsiTheme="minorHAnsi" w:cstheme="minorHAnsi"/>
                <w:bCs/>
                <w:sz w:val="20"/>
                <w:szCs w:val="20"/>
              </w:rPr>
            </w:pPr>
          </w:p>
          <w:p w14:paraId="451392CE" w14:textId="77777777" w:rsidR="00121AA7" w:rsidRPr="008E2284" w:rsidRDefault="00121AA7" w:rsidP="00297EE1">
            <w:pPr>
              <w:jc w:val="both"/>
              <w:rPr>
                <w:rFonts w:asciiTheme="minorHAnsi" w:hAnsiTheme="minorHAnsi" w:cstheme="minorHAnsi"/>
                <w:b/>
                <w:sz w:val="20"/>
                <w:szCs w:val="20"/>
              </w:rPr>
            </w:pPr>
            <w:r w:rsidRPr="008E2284">
              <w:rPr>
                <w:rFonts w:asciiTheme="minorHAnsi" w:hAnsiTheme="minorHAnsi" w:cstheme="minorHAnsi"/>
                <w:bCs/>
                <w:sz w:val="20"/>
                <w:szCs w:val="20"/>
              </w:rPr>
              <w:t xml:space="preserve">Το τρίπτυχο: </w:t>
            </w:r>
          </w:p>
          <w:p w14:paraId="1AF3B4F8" w14:textId="77777777" w:rsidR="00121AA7" w:rsidRPr="008E2284" w:rsidRDefault="00121AA7" w:rsidP="00121AA7">
            <w:pPr>
              <w:pStyle w:val="a9"/>
              <w:numPr>
                <w:ilvl w:val="0"/>
                <w:numId w:val="33"/>
              </w:numPr>
              <w:ind w:left="318" w:hanging="284"/>
              <w:contextualSpacing w:val="0"/>
              <w:jc w:val="both"/>
              <w:rPr>
                <w:rFonts w:asciiTheme="minorHAnsi" w:hAnsiTheme="minorHAnsi" w:cstheme="minorHAnsi"/>
                <w:b/>
                <w:sz w:val="20"/>
                <w:szCs w:val="20"/>
              </w:rPr>
            </w:pPr>
            <w:r w:rsidRPr="008E2284">
              <w:rPr>
                <w:rFonts w:asciiTheme="minorHAnsi" w:hAnsiTheme="minorHAnsi" w:cstheme="minorHAnsi"/>
                <w:b/>
                <w:sz w:val="20"/>
                <w:szCs w:val="20"/>
              </w:rPr>
              <w:t xml:space="preserve">«βιώσιμη ανάπτυξη», </w:t>
            </w:r>
          </w:p>
          <w:p w14:paraId="12724731" w14:textId="77777777" w:rsidR="00121AA7" w:rsidRPr="008E2284" w:rsidRDefault="00121AA7" w:rsidP="00121AA7">
            <w:pPr>
              <w:pStyle w:val="a9"/>
              <w:numPr>
                <w:ilvl w:val="0"/>
                <w:numId w:val="33"/>
              </w:numPr>
              <w:ind w:left="318" w:hanging="284"/>
              <w:contextualSpacing w:val="0"/>
              <w:jc w:val="both"/>
              <w:rPr>
                <w:rFonts w:asciiTheme="minorHAnsi" w:hAnsiTheme="minorHAnsi" w:cstheme="minorHAnsi"/>
                <w:b/>
                <w:sz w:val="20"/>
                <w:szCs w:val="20"/>
              </w:rPr>
            </w:pPr>
            <w:r w:rsidRPr="008E2284">
              <w:rPr>
                <w:rFonts w:asciiTheme="minorHAnsi" w:hAnsiTheme="minorHAnsi" w:cstheme="minorHAnsi"/>
                <w:b/>
                <w:sz w:val="20"/>
                <w:szCs w:val="20"/>
              </w:rPr>
              <w:t xml:space="preserve">«κλιματική κρίση», και, </w:t>
            </w:r>
          </w:p>
          <w:p w14:paraId="4521E603" w14:textId="77777777" w:rsidR="00121AA7" w:rsidRPr="008E2284" w:rsidRDefault="00121AA7" w:rsidP="00121AA7">
            <w:pPr>
              <w:pStyle w:val="a9"/>
              <w:numPr>
                <w:ilvl w:val="0"/>
                <w:numId w:val="33"/>
              </w:numPr>
              <w:ind w:left="318" w:hanging="284"/>
              <w:contextualSpacing w:val="0"/>
              <w:jc w:val="both"/>
              <w:rPr>
                <w:rFonts w:asciiTheme="minorHAnsi" w:hAnsiTheme="minorHAnsi" w:cstheme="minorHAnsi"/>
                <w:b/>
                <w:sz w:val="20"/>
                <w:szCs w:val="20"/>
              </w:rPr>
            </w:pPr>
            <w:r w:rsidRPr="008E2284">
              <w:rPr>
                <w:rFonts w:asciiTheme="minorHAnsi" w:hAnsiTheme="minorHAnsi" w:cstheme="minorHAnsi"/>
                <w:b/>
                <w:sz w:val="20"/>
                <w:szCs w:val="20"/>
              </w:rPr>
              <w:t xml:space="preserve">«πράσινη οικονομία», </w:t>
            </w:r>
          </w:p>
          <w:p w14:paraId="4081D84F" w14:textId="77777777" w:rsidR="00121AA7" w:rsidRPr="004E4B8D" w:rsidRDefault="00121AA7" w:rsidP="00297EE1">
            <w:pPr>
              <w:ind w:left="34"/>
              <w:jc w:val="both"/>
              <w:rPr>
                <w:rFonts w:asciiTheme="minorHAnsi" w:hAnsiTheme="minorHAnsi" w:cstheme="minorHAnsi"/>
                <w:bCs/>
                <w:sz w:val="20"/>
                <w:szCs w:val="20"/>
              </w:rPr>
            </w:pPr>
            <w:r w:rsidRPr="004E4B8D">
              <w:rPr>
                <w:rFonts w:asciiTheme="minorHAnsi" w:hAnsiTheme="minorHAnsi" w:cstheme="minorHAnsi"/>
                <w:bCs/>
                <w:sz w:val="20"/>
                <w:szCs w:val="20"/>
              </w:rPr>
              <w:t xml:space="preserve">διαμορφώνει ένα νέο επιχειρηματικό πρότυπο και αποτελεί πηγή δημιουργίας ανταγωνιστικού πλεονεκτήματος. </w:t>
            </w:r>
          </w:p>
        </w:tc>
        <w:tc>
          <w:tcPr>
            <w:tcW w:w="3118" w:type="dxa"/>
            <w:shd w:val="clear" w:color="auto" w:fill="auto"/>
          </w:tcPr>
          <w:p w14:paraId="505412A9" w14:textId="77777777" w:rsidR="00121AA7" w:rsidRPr="004E4B8D" w:rsidRDefault="00121AA7" w:rsidP="00297EE1">
            <w:pPr>
              <w:jc w:val="both"/>
              <w:rPr>
                <w:rFonts w:asciiTheme="minorHAnsi" w:hAnsiTheme="minorHAnsi" w:cstheme="minorHAnsi"/>
                <w:bCs/>
                <w:sz w:val="20"/>
                <w:szCs w:val="20"/>
              </w:rPr>
            </w:pPr>
            <w:r w:rsidRPr="004E4B8D">
              <w:rPr>
                <w:rFonts w:asciiTheme="minorHAnsi" w:hAnsiTheme="minorHAnsi" w:cstheme="minorHAnsi"/>
                <w:bCs/>
                <w:sz w:val="20"/>
                <w:szCs w:val="20"/>
              </w:rPr>
              <w:t>Σημαντικές προκλήσεις για τις επιχειρήσεις, είναι:</w:t>
            </w:r>
          </w:p>
          <w:p w14:paraId="327B7B27" w14:textId="77777777" w:rsidR="00121AA7" w:rsidRPr="004E4B8D" w:rsidRDefault="00121AA7" w:rsidP="00121AA7">
            <w:pPr>
              <w:pStyle w:val="a9"/>
              <w:numPr>
                <w:ilvl w:val="0"/>
                <w:numId w:val="33"/>
              </w:numPr>
              <w:ind w:left="176" w:hanging="142"/>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 xml:space="preserve">Η ένταξη στη στρατηγική τους δράσεων για την επίτευξη ρυθμών βιώσιμης ανάπτυξης. </w:t>
            </w:r>
          </w:p>
          <w:p w14:paraId="46305B16" w14:textId="77777777" w:rsidR="00121AA7" w:rsidRPr="004E4B8D" w:rsidRDefault="00121AA7" w:rsidP="00121AA7">
            <w:pPr>
              <w:pStyle w:val="a9"/>
              <w:numPr>
                <w:ilvl w:val="0"/>
                <w:numId w:val="33"/>
              </w:numPr>
              <w:ind w:left="176" w:hanging="142"/>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Η κανονιστική τους συμμόρφωση με τα κριτήρια «</w:t>
            </w:r>
            <w:r w:rsidRPr="004E4B8D">
              <w:rPr>
                <w:rFonts w:asciiTheme="minorHAnsi" w:hAnsiTheme="minorHAnsi" w:cstheme="minorHAnsi"/>
                <w:bCs/>
                <w:sz w:val="20"/>
                <w:szCs w:val="20"/>
                <w:lang w:val="en-US"/>
              </w:rPr>
              <w:t>ESG</w:t>
            </w:r>
            <w:r w:rsidRPr="004E4B8D">
              <w:rPr>
                <w:rFonts w:asciiTheme="minorHAnsi" w:hAnsiTheme="minorHAnsi" w:cstheme="minorHAnsi"/>
                <w:bCs/>
                <w:sz w:val="20"/>
                <w:szCs w:val="20"/>
              </w:rPr>
              <w:t>».</w:t>
            </w:r>
          </w:p>
          <w:p w14:paraId="4823459D" w14:textId="77777777" w:rsidR="00121AA7" w:rsidRPr="004E4B8D" w:rsidRDefault="00121AA7" w:rsidP="00121AA7">
            <w:pPr>
              <w:pStyle w:val="a9"/>
              <w:numPr>
                <w:ilvl w:val="0"/>
                <w:numId w:val="33"/>
              </w:numPr>
              <w:ind w:left="176" w:hanging="142"/>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Η κατανόηση από τα στελέχη, ότι η υιοθέτηση των αρχών της βιώσιμης ανάπτυξης επηρεάζει θετικά την επιχειρησιακή λειτουργία και τις επενδύσεις.</w:t>
            </w:r>
          </w:p>
          <w:p w14:paraId="0C328416" w14:textId="77777777" w:rsidR="00121AA7" w:rsidRPr="004E4B8D" w:rsidRDefault="00121AA7" w:rsidP="00121AA7">
            <w:pPr>
              <w:pStyle w:val="a9"/>
              <w:numPr>
                <w:ilvl w:val="0"/>
                <w:numId w:val="33"/>
              </w:numPr>
              <w:ind w:left="176" w:hanging="142"/>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Η έλλειψη δεξιοτήτων και στελεχών με  κατάλληλες γνώσεις για την εφαρμογή των κριτηρίων «</w:t>
            </w:r>
            <w:r w:rsidRPr="004E4B8D">
              <w:rPr>
                <w:rFonts w:asciiTheme="minorHAnsi" w:hAnsiTheme="minorHAnsi" w:cstheme="minorHAnsi"/>
                <w:bCs/>
                <w:sz w:val="20"/>
                <w:szCs w:val="20"/>
                <w:lang w:val="en-US"/>
              </w:rPr>
              <w:t>ESG</w:t>
            </w:r>
            <w:r w:rsidRPr="004E4B8D">
              <w:rPr>
                <w:rFonts w:asciiTheme="minorHAnsi" w:hAnsiTheme="minorHAnsi" w:cstheme="minorHAnsi"/>
                <w:bCs/>
                <w:sz w:val="20"/>
                <w:szCs w:val="20"/>
              </w:rPr>
              <w:t>» στις επιχειρήσεις.</w:t>
            </w:r>
          </w:p>
        </w:tc>
        <w:tc>
          <w:tcPr>
            <w:tcW w:w="4253" w:type="dxa"/>
            <w:shd w:val="clear" w:color="auto" w:fill="auto"/>
          </w:tcPr>
          <w:p w14:paraId="0901F0A0" w14:textId="77777777" w:rsidR="00121AA7" w:rsidRPr="004E4B8D"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Ανάληψη καμπάνιας ενημέρωσης βιομηχανικών επιχειρήσεων για τα οφέλη από την εφαρμογή των αρχών της «βιώσιμης ανάπτυξης» και της «κυκλικής οικονομίας».</w:t>
            </w:r>
          </w:p>
          <w:p w14:paraId="2A78D92E" w14:textId="77777777" w:rsidR="00121AA7" w:rsidRPr="004E4B8D"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Πρόγραμμα επιχορήγησης επιχειρήσεων για τη συμμόρφωσή τους με τις αρχές και τα κριτήρια «</w:t>
            </w:r>
            <w:r w:rsidRPr="004E4B8D">
              <w:rPr>
                <w:rFonts w:asciiTheme="minorHAnsi" w:hAnsiTheme="minorHAnsi" w:cstheme="minorHAnsi"/>
                <w:bCs/>
                <w:sz w:val="20"/>
                <w:szCs w:val="20"/>
                <w:lang w:val="en-US"/>
              </w:rPr>
              <w:t>ESG</w:t>
            </w:r>
            <w:r w:rsidRPr="004E4B8D">
              <w:rPr>
                <w:rFonts w:asciiTheme="minorHAnsi" w:hAnsiTheme="minorHAnsi" w:cstheme="minorHAnsi"/>
                <w:bCs/>
                <w:sz w:val="20"/>
                <w:szCs w:val="20"/>
              </w:rPr>
              <w:t>».</w:t>
            </w:r>
          </w:p>
          <w:p w14:paraId="7930963F" w14:textId="77777777" w:rsidR="00121AA7" w:rsidRPr="004E4B8D"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Σχεδιασμός και υλοποίηση προγραμμάτων εκπαίδευσης και κατάρτισης, για την αναβάθμιση δεξιοτήτων στελεχών για την εφαρμογή των κριτηρίων «</w:t>
            </w:r>
            <w:r w:rsidRPr="004E4B8D">
              <w:rPr>
                <w:rFonts w:asciiTheme="minorHAnsi" w:hAnsiTheme="minorHAnsi" w:cstheme="minorHAnsi"/>
                <w:bCs/>
                <w:sz w:val="20"/>
                <w:szCs w:val="20"/>
                <w:lang w:val="en-US"/>
              </w:rPr>
              <w:t>ESG</w:t>
            </w:r>
            <w:r w:rsidRPr="004E4B8D">
              <w:rPr>
                <w:rFonts w:asciiTheme="minorHAnsi" w:hAnsiTheme="minorHAnsi" w:cstheme="minorHAnsi"/>
                <w:bCs/>
                <w:sz w:val="20"/>
                <w:szCs w:val="20"/>
              </w:rPr>
              <w:t>».</w:t>
            </w:r>
          </w:p>
          <w:p w14:paraId="5800D53D" w14:textId="77777777" w:rsidR="00121AA7" w:rsidRPr="004E4B8D" w:rsidRDefault="00121AA7" w:rsidP="00121AA7">
            <w:pPr>
              <w:pStyle w:val="a9"/>
              <w:numPr>
                <w:ilvl w:val="0"/>
                <w:numId w:val="34"/>
              </w:numPr>
              <w:ind w:left="317" w:hanging="283"/>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Αυξημένη χρηματοδότηση επενδύσεων και προγραμμάτων, για επιχειρήσεις που εφαρμόζουν τις αρχές της «κυκλικής οικονομίας» και παράγουν προϊόντα «κυκλικότητας».</w:t>
            </w:r>
          </w:p>
        </w:tc>
      </w:tr>
    </w:tbl>
    <w:p w14:paraId="416865A5" w14:textId="77777777" w:rsidR="00390DC9" w:rsidRDefault="00390DC9">
      <w:r>
        <w:br w:type="page"/>
      </w:r>
    </w:p>
    <w:tbl>
      <w:tblPr>
        <w:tblStyle w:val="a7"/>
        <w:tblW w:w="10207" w:type="dxa"/>
        <w:tblInd w:w="-289" w:type="dxa"/>
        <w:tblLook w:val="04A0" w:firstRow="1" w:lastRow="0" w:firstColumn="1" w:lastColumn="0" w:noHBand="0" w:noVBand="1"/>
      </w:tblPr>
      <w:tblGrid>
        <w:gridCol w:w="2836"/>
        <w:gridCol w:w="3118"/>
        <w:gridCol w:w="4253"/>
      </w:tblGrid>
      <w:tr w:rsidR="00390DC9" w:rsidRPr="008E3678" w14:paraId="1E3893B3" w14:textId="77777777" w:rsidTr="00EC598C">
        <w:trPr>
          <w:trHeight w:val="119"/>
          <w:tblHeader/>
        </w:trPr>
        <w:tc>
          <w:tcPr>
            <w:tcW w:w="2836" w:type="dxa"/>
            <w:shd w:val="clear" w:color="auto" w:fill="D9D9D9" w:themeFill="background1" w:themeFillShade="D9"/>
          </w:tcPr>
          <w:p w14:paraId="5945B06A" w14:textId="77777777" w:rsidR="00390DC9" w:rsidRPr="004E4B8D" w:rsidRDefault="00390DC9" w:rsidP="00EC598C">
            <w:pPr>
              <w:jc w:val="center"/>
              <w:rPr>
                <w:rFonts w:asciiTheme="minorHAnsi" w:hAnsiTheme="minorHAnsi" w:cstheme="minorHAnsi"/>
                <w:b/>
                <w:sz w:val="20"/>
                <w:szCs w:val="20"/>
              </w:rPr>
            </w:pPr>
            <w:r w:rsidRPr="004E4B8D">
              <w:rPr>
                <w:rFonts w:asciiTheme="minorHAnsi" w:hAnsiTheme="minorHAnsi" w:cstheme="minorHAnsi"/>
                <w:b/>
                <w:sz w:val="20"/>
                <w:szCs w:val="20"/>
              </w:rPr>
              <w:lastRenderedPageBreak/>
              <w:t>Διαπίστωση</w:t>
            </w:r>
          </w:p>
        </w:tc>
        <w:tc>
          <w:tcPr>
            <w:tcW w:w="3118" w:type="dxa"/>
            <w:shd w:val="clear" w:color="auto" w:fill="D9D9D9" w:themeFill="background1" w:themeFillShade="D9"/>
          </w:tcPr>
          <w:p w14:paraId="618DBCD4" w14:textId="77777777" w:rsidR="00390DC9" w:rsidRPr="004E4B8D" w:rsidRDefault="00390DC9" w:rsidP="00EC598C">
            <w:pPr>
              <w:jc w:val="center"/>
              <w:rPr>
                <w:rFonts w:asciiTheme="minorHAnsi" w:hAnsiTheme="minorHAnsi" w:cstheme="minorHAnsi"/>
                <w:b/>
                <w:sz w:val="20"/>
                <w:szCs w:val="20"/>
              </w:rPr>
            </w:pPr>
            <w:r w:rsidRPr="004E4B8D">
              <w:rPr>
                <w:rFonts w:asciiTheme="minorHAnsi" w:hAnsiTheme="minorHAnsi" w:cstheme="minorHAnsi"/>
                <w:b/>
                <w:sz w:val="20"/>
                <w:szCs w:val="20"/>
              </w:rPr>
              <w:t>Προκλήσεις</w:t>
            </w:r>
          </w:p>
        </w:tc>
        <w:tc>
          <w:tcPr>
            <w:tcW w:w="4253" w:type="dxa"/>
            <w:shd w:val="clear" w:color="auto" w:fill="D9D9D9" w:themeFill="background1" w:themeFillShade="D9"/>
          </w:tcPr>
          <w:p w14:paraId="1592078E" w14:textId="77777777" w:rsidR="00390DC9" w:rsidRPr="004E4B8D" w:rsidRDefault="00390DC9" w:rsidP="00EC598C">
            <w:pPr>
              <w:jc w:val="center"/>
              <w:rPr>
                <w:rFonts w:asciiTheme="minorHAnsi" w:hAnsiTheme="minorHAnsi" w:cstheme="minorHAnsi"/>
                <w:b/>
                <w:sz w:val="20"/>
                <w:szCs w:val="20"/>
              </w:rPr>
            </w:pPr>
            <w:r w:rsidRPr="004E4B8D">
              <w:rPr>
                <w:rFonts w:asciiTheme="minorHAnsi" w:hAnsiTheme="minorHAnsi" w:cstheme="minorHAnsi"/>
                <w:b/>
                <w:sz w:val="20"/>
                <w:szCs w:val="20"/>
              </w:rPr>
              <w:t>Προτάσεις επίλυσης του προβλήματος</w:t>
            </w:r>
          </w:p>
        </w:tc>
      </w:tr>
      <w:tr w:rsidR="0032702D" w:rsidRPr="0032702D" w14:paraId="3CBDD94D" w14:textId="77777777" w:rsidTr="00390DC9">
        <w:trPr>
          <w:trHeight w:val="397"/>
          <w:tblHeader/>
        </w:trPr>
        <w:tc>
          <w:tcPr>
            <w:tcW w:w="10207" w:type="dxa"/>
            <w:gridSpan w:val="3"/>
            <w:shd w:val="clear" w:color="auto" w:fill="FFFFFF" w:themeFill="background1"/>
            <w:vAlign w:val="center"/>
          </w:tcPr>
          <w:p w14:paraId="69DF75FA" w14:textId="72A86645" w:rsidR="00121AA7" w:rsidRPr="0032702D" w:rsidRDefault="00C93A70" w:rsidP="0032702D">
            <w:pPr>
              <w:jc w:val="center"/>
              <w:rPr>
                <w:rFonts w:asciiTheme="minorHAnsi" w:hAnsiTheme="minorHAnsi" w:cstheme="minorHAnsi"/>
                <w:b/>
                <w:color w:val="FF0000"/>
                <w:sz w:val="24"/>
              </w:rPr>
            </w:pPr>
            <w:r w:rsidRPr="0032702D">
              <w:rPr>
                <w:rFonts w:asciiTheme="minorHAnsi" w:hAnsiTheme="minorHAnsi" w:cstheme="minorHAnsi"/>
                <w:b/>
                <w:color w:val="FF0000"/>
                <w:sz w:val="24"/>
              </w:rPr>
              <w:t>8</w:t>
            </w:r>
            <w:r w:rsidR="00121AA7" w:rsidRPr="0032702D">
              <w:rPr>
                <w:rFonts w:asciiTheme="minorHAnsi" w:hAnsiTheme="minorHAnsi" w:cstheme="minorHAnsi"/>
                <w:b/>
                <w:color w:val="FF0000"/>
                <w:sz w:val="24"/>
              </w:rPr>
              <w:t>. Κόστος Ενέργειας</w:t>
            </w:r>
          </w:p>
        </w:tc>
      </w:tr>
      <w:tr w:rsidR="00121AA7" w:rsidRPr="008E3678" w14:paraId="24C1A28C" w14:textId="77777777" w:rsidTr="00121AA7">
        <w:trPr>
          <w:trHeight w:val="118"/>
        </w:trPr>
        <w:tc>
          <w:tcPr>
            <w:tcW w:w="2836" w:type="dxa"/>
            <w:shd w:val="clear" w:color="auto" w:fill="auto"/>
          </w:tcPr>
          <w:p w14:paraId="5A4644E0" w14:textId="77777777" w:rsidR="00121AA7" w:rsidRPr="004E4B8D" w:rsidRDefault="00121AA7" w:rsidP="00297EE1">
            <w:pPr>
              <w:jc w:val="both"/>
              <w:rPr>
                <w:rFonts w:asciiTheme="minorHAnsi" w:hAnsiTheme="minorHAnsi" w:cstheme="minorHAnsi"/>
                <w:sz w:val="20"/>
                <w:szCs w:val="20"/>
              </w:rPr>
            </w:pPr>
            <w:r w:rsidRPr="004E4B8D">
              <w:rPr>
                <w:rFonts w:asciiTheme="minorHAnsi" w:hAnsiTheme="minorHAnsi" w:cstheme="minorHAnsi"/>
                <w:sz w:val="20"/>
                <w:szCs w:val="20"/>
              </w:rPr>
              <w:t xml:space="preserve">Οι υπέρογκες αυξήσεις στα </w:t>
            </w:r>
            <w:r w:rsidRPr="008E2284">
              <w:rPr>
                <w:rFonts w:asciiTheme="minorHAnsi" w:hAnsiTheme="minorHAnsi" w:cstheme="minorHAnsi"/>
                <w:b/>
                <w:bCs/>
                <w:sz w:val="20"/>
                <w:szCs w:val="20"/>
              </w:rPr>
              <w:t>τιμολόγια ενέργειας</w:t>
            </w:r>
            <w:r w:rsidRPr="004E4B8D">
              <w:rPr>
                <w:rFonts w:asciiTheme="minorHAnsi" w:hAnsiTheme="minorHAnsi" w:cstheme="minorHAnsi"/>
                <w:sz w:val="20"/>
                <w:szCs w:val="20"/>
              </w:rPr>
              <w:t xml:space="preserve"> τα προηγούμενα χρόνια, δημιούργησαν προβλήματα λειτουργίας σε πολλούς βιομηχανικούς κλάδους, ενώ διεθνείς προβλέψεις κάνουν λόγο για ενδεχόμενη αύξηση των τιμών της ενέργειας τον προσεχή χειμώνα. </w:t>
            </w:r>
          </w:p>
        </w:tc>
        <w:tc>
          <w:tcPr>
            <w:tcW w:w="3118" w:type="dxa"/>
            <w:shd w:val="clear" w:color="auto" w:fill="auto"/>
          </w:tcPr>
          <w:p w14:paraId="54CD2069" w14:textId="77777777" w:rsidR="00121AA7" w:rsidRPr="004E4B8D" w:rsidRDefault="00121AA7" w:rsidP="00297EE1">
            <w:pPr>
              <w:pStyle w:val="a9"/>
              <w:numPr>
                <w:ilvl w:val="0"/>
                <w:numId w:val="33"/>
              </w:numPr>
              <w:ind w:left="176" w:hanging="142"/>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 xml:space="preserve">Πιθανές εκ νέου υπέρογκες αυξήσεις των τιμολογίων ενέργειας μπορούν να οδηγήσουν σε κλείσιμο μεταποιητικών επιχειρήσεων που χρησιμοποιούν τόσο «Υψηλή» όσο και «Μέση» Τάση. </w:t>
            </w:r>
          </w:p>
          <w:p w14:paraId="5C615095" w14:textId="77777777" w:rsidR="00121AA7" w:rsidRPr="004E4B8D" w:rsidRDefault="00121AA7" w:rsidP="00297EE1">
            <w:pPr>
              <w:pStyle w:val="a9"/>
              <w:numPr>
                <w:ilvl w:val="0"/>
                <w:numId w:val="33"/>
              </w:numPr>
              <w:ind w:left="176" w:hanging="142"/>
              <w:contextualSpacing w:val="0"/>
              <w:jc w:val="both"/>
              <w:rPr>
                <w:rFonts w:asciiTheme="minorHAnsi" w:hAnsiTheme="minorHAnsi" w:cstheme="minorHAnsi"/>
                <w:sz w:val="20"/>
                <w:szCs w:val="20"/>
              </w:rPr>
            </w:pPr>
            <w:r w:rsidRPr="004E4B8D">
              <w:rPr>
                <w:rFonts w:asciiTheme="minorHAnsi" w:hAnsiTheme="minorHAnsi" w:cstheme="minorHAnsi"/>
                <w:bCs/>
                <w:sz w:val="20"/>
                <w:szCs w:val="20"/>
              </w:rPr>
              <w:t>Οι αρνητικές επιπτώσεις στην εθνική οικονομία και στις τοπικές κοινωνίες, τόσο από ανεπάρκεια εφοδιασμού σε ενέργεια, όσο και σε αυξημένα τιμολόγια ενέργειας, θα διευρύνουν περαιτέρω τις σημερινές περιφερειακές ανισότητες και τη λαϊκή δυσαρέσκεια.</w:t>
            </w:r>
          </w:p>
        </w:tc>
        <w:tc>
          <w:tcPr>
            <w:tcW w:w="4253" w:type="dxa"/>
            <w:shd w:val="clear" w:color="auto" w:fill="auto"/>
          </w:tcPr>
          <w:p w14:paraId="1C5D484F" w14:textId="77777777" w:rsidR="00121AA7" w:rsidRPr="004E4B8D" w:rsidRDefault="00121AA7" w:rsidP="00297EE1">
            <w:pPr>
              <w:pStyle w:val="a9"/>
              <w:numPr>
                <w:ilvl w:val="0"/>
                <w:numId w:val="34"/>
              </w:numPr>
              <w:ind w:left="316" w:hanging="282"/>
              <w:contextualSpacing w:val="0"/>
              <w:jc w:val="both"/>
              <w:rPr>
                <w:rFonts w:asciiTheme="minorHAnsi" w:hAnsiTheme="minorHAnsi" w:cstheme="minorHAnsi"/>
                <w:bCs/>
                <w:sz w:val="20"/>
                <w:szCs w:val="20"/>
              </w:rPr>
            </w:pPr>
            <w:r w:rsidRPr="008E2284">
              <w:rPr>
                <w:rFonts w:asciiTheme="minorHAnsi" w:hAnsiTheme="minorHAnsi" w:cstheme="minorHAnsi"/>
                <w:bCs/>
                <w:sz w:val="20"/>
                <w:szCs w:val="20"/>
              </w:rPr>
              <w:t>Εκσυγχρονισμός του θεσμικού πλαισίου για την εγκατάσταση συστημάτων ΑΠΕ</w:t>
            </w:r>
            <w:r w:rsidRPr="004E4B8D">
              <w:rPr>
                <w:rFonts w:asciiTheme="minorHAnsi" w:hAnsiTheme="minorHAnsi" w:cstheme="minorHAnsi"/>
                <w:bCs/>
                <w:sz w:val="20"/>
                <w:szCs w:val="20"/>
              </w:rPr>
              <w:t xml:space="preserve"> από επιχειρήσεις.</w:t>
            </w:r>
          </w:p>
          <w:p w14:paraId="41ABD2EB" w14:textId="77777777" w:rsidR="00121AA7" w:rsidRPr="004E4B8D" w:rsidRDefault="00121AA7" w:rsidP="00297EE1">
            <w:pPr>
              <w:pStyle w:val="a9"/>
              <w:numPr>
                <w:ilvl w:val="0"/>
                <w:numId w:val="34"/>
              </w:numPr>
              <w:ind w:left="316" w:hanging="282"/>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Κατάργηση του πλαφόν στα διμερή συμβόλαια των βιομηχανιών με παραγωγούς.</w:t>
            </w:r>
          </w:p>
          <w:p w14:paraId="77C76180" w14:textId="77777777" w:rsidR="00121AA7" w:rsidRPr="004E4B8D" w:rsidRDefault="00121AA7" w:rsidP="00297EE1">
            <w:pPr>
              <w:pStyle w:val="a9"/>
              <w:numPr>
                <w:ilvl w:val="0"/>
                <w:numId w:val="34"/>
              </w:numPr>
              <w:ind w:left="316" w:hanging="282"/>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Η συμμετοχή μονάδων στους επόμενους διαγωνισμούς ΑΠΕ να λαμβάνει χώρα με έως 50% της ισχύος τους.</w:t>
            </w:r>
          </w:p>
          <w:p w14:paraId="36F46D6D" w14:textId="77777777" w:rsidR="00121AA7" w:rsidRPr="004E4B8D" w:rsidRDefault="00121AA7" w:rsidP="00297EE1">
            <w:pPr>
              <w:pStyle w:val="a9"/>
              <w:numPr>
                <w:ilvl w:val="0"/>
                <w:numId w:val="34"/>
              </w:numPr>
              <w:ind w:left="316" w:hanging="282"/>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 xml:space="preserve">Επιτάχυνση της έγκρισης του μηχανισμού κρατικής ενίσχυσης των βιομηχανικών </w:t>
            </w:r>
            <w:proofErr w:type="spellStart"/>
            <w:r w:rsidRPr="004E4B8D">
              <w:rPr>
                <w:rFonts w:asciiTheme="minorHAnsi" w:hAnsiTheme="minorHAnsi" w:cstheme="minorHAnsi"/>
                <w:bCs/>
                <w:sz w:val="20"/>
                <w:szCs w:val="20"/>
              </w:rPr>
              <w:t>PPAs</w:t>
            </w:r>
            <w:proofErr w:type="spellEnd"/>
            <w:r w:rsidRPr="004E4B8D">
              <w:rPr>
                <w:rFonts w:asciiTheme="minorHAnsi" w:hAnsiTheme="minorHAnsi" w:cstheme="minorHAnsi"/>
                <w:bCs/>
                <w:sz w:val="20"/>
                <w:szCs w:val="20"/>
              </w:rPr>
              <w:t xml:space="preserve"> .</w:t>
            </w:r>
          </w:p>
          <w:p w14:paraId="5A16C73D" w14:textId="77777777" w:rsidR="00121AA7" w:rsidRPr="004E4B8D" w:rsidRDefault="00121AA7" w:rsidP="00297EE1">
            <w:pPr>
              <w:pStyle w:val="a9"/>
              <w:numPr>
                <w:ilvl w:val="0"/>
                <w:numId w:val="34"/>
              </w:numPr>
              <w:ind w:left="316" w:hanging="282"/>
              <w:contextualSpacing w:val="0"/>
              <w:jc w:val="both"/>
              <w:rPr>
                <w:rFonts w:asciiTheme="minorHAnsi" w:hAnsiTheme="minorHAnsi" w:cstheme="minorHAnsi"/>
                <w:bCs/>
                <w:sz w:val="20"/>
                <w:szCs w:val="20"/>
              </w:rPr>
            </w:pPr>
            <w:r w:rsidRPr="004E4B8D">
              <w:rPr>
                <w:rFonts w:asciiTheme="minorHAnsi" w:hAnsiTheme="minorHAnsi" w:cstheme="minorHAnsi"/>
                <w:bCs/>
                <w:sz w:val="20"/>
                <w:szCs w:val="20"/>
              </w:rPr>
              <w:t>Αντιστάθμιση του ενεργειακού κόστους για τις επιχειρήσεις, με την υιοθέτηση μιας τιμής στόχου μέσω της επικαιροποίησης της επιδότησης ανά τακτά χρονικά διαστήματα.</w:t>
            </w:r>
          </w:p>
          <w:p w14:paraId="36E6446E" w14:textId="77777777" w:rsidR="00121AA7" w:rsidRPr="00257325" w:rsidRDefault="00121AA7" w:rsidP="00297EE1">
            <w:pPr>
              <w:pStyle w:val="a9"/>
              <w:numPr>
                <w:ilvl w:val="0"/>
                <w:numId w:val="34"/>
              </w:numPr>
              <w:ind w:left="316" w:hanging="282"/>
              <w:contextualSpacing w:val="0"/>
              <w:jc w:val="both"/>
              <w:rPr>
                <w:rFonts w:asciiTheme="minorHAnsi" w:hAnsiTheme="minorHAnsi" w:cstheme="minorHAnsi"/>
                <w:sz w:val="20"/>
                <w:szCs w:val="20"/>
              </w:rPr>
            </w:pPr>
            <w:r w:rsidRPr="004E4B8D">
              <w:rPr>
                <w:rFonts w:asciiTheme="minorHAnsi" w:hAnsiTheme="minorHAnsi" w:cstheme="minorHAnsi"/>
                <w:bCs/>
                <w:sz w:val="20"/>
                <w:szCs w:val="20"/>
              </w:rPr>
              <w:t>Επαναφορά των χρεώσεων ΥΚΩ στα προ κρίσης επίπεδα.</w:t>
            </w:r>
          </w:p>
          <w:p w14:paraId="3ADBFE90" w14:textId="77777777" w:rsidR="00121AA7" w:rsidRPr="004E4B8D" w:rsidRDefault="00121AA7" w:rsidP="00297EE1">
            <w:pPr>
              <w:pStyle w:val="a9"/>
              <w:numPr>
                <w:ilvl w:val="0"/>
                <w:numId w:val="34"/>
              </w:numPr>
              <w:ind w:left="317" w:hanging="283"/>
              <w:contextualSpacing w:val="0"/>
              <w:jc w:val="both"/>
              <w:rPr>
                <w:rFonts w:asciiTheme="minorHAnsi" w:hAnsiTheme="minorHAnsi" w:cstheme="minorHAnsi"/>
                <w:sz w:val="20"/>
                <w:szCs w:val="20"/>
              </w:rPr>
            </w:pPr>
            <w:r w:rsidRPr="004E4B8D">
              <w:rPr>
                <w:rFonts w:asciiTheme="minorHAnsi" w:hAnsiTheme="minorHAnsi" w:cstheme="minorHAnsi"/>
                <w:bCs/>
                <w:sz w:val="20"/>
                <w:szCs w:val="20"/>
              </w:rPr>
              <w:t xml:space="preserve">Ειδική πρόβλεψη για προστασία των επιχειρήσεων από την πιθανή αύξηση των τιμών. </w:t>
            </w:r>
          </w:p>
        </w:tc>
      </w:tr>
    </w:tbl>
    <w:p w14:paraId="16D4035A" w14:textId="77777777" w:rsidR="00D172FA" w:rsidRDefault="00D172FA" w:rsidP="00290967">
      <w:pPr>
        <w:spacing w:after="60"/>
        <w:rPr>
          <w:rFonts w:asciiTheme="minorHAnsi" w:hAnsiTheme="minorHAnsi" w:cstheme="minorHAnsi"/>
          <w:sz w:val="24"/>
          <w:szCs w:val="28"/>
        </w:rPr>
      </w:pPr>
    </w:p>
    <w:p w14:paraId="5A202032" w14:textId="77777777" w:rsidR="00D172FA" w:rsidRDefault="00D172FA" w:rsidP="00290967">
      <w:pPr>
        <w:spacing w:after="60"/>
        <w:rPr>
          <w:rFonts w:asciiTheme="minorHAnsi" w:hAnsiTheme="minorHAnsi" w:cstheme="minorHAnsi"/>
          <w:sz w:val="24"/>
          <w:szCs w:val="28"/>
        </w:rPr>
      </w:pPr>
    </w:p>
    <w:p w14:paraId="5173EEDF" w14:textId="77777777" w:rsidR="00D172FA" w:rsidRDefault="00D172FA" w:rsidP="00290967">
      <w:pPr>
        <w:spacing w:after="60"/>
        <w:rPr>
          <w:rFonts w:asciiTheme="minorHAnsi" w:hAnsiTheme="minorHAnsi" w:cstheme="minorHAnsi"/>
          <w:sz w:val="24"/>
          <w:szCs w:val="28"/>
        </w:rPr>
      </w:pPr>
    </w:p>
    <w:p w14:paraId="75EFAD71" w14:textId="77777777" w:rsidR="00D172FA" w:rsidRDefault="00D172FA" w:rsidP="00290967">
      <w:pPr>
        <w:spacing w:after="60"/>
        <w:rPr>
          <w:rFonts w:asciiTheme="minorHAnsi" w:hAnsiTheme="minorHAnsi" w:cstheme="minorHAnsi"/>
          <w:sz w:val="24"/>
          <w:szCs w:val="28"/>
        </w:rPr>
      </w:pPr>
    </w:p>
    <w:p w14:paraId="043BA418" w14:textId="6DB71EE7" w:rsidR="007C2A67" w:rsidRDefault="007C2A67">
      <w:pPr>
        <w:rPr>
          <w:rFonts w:asciiTheme="minorHAnsi" w:hAnsiTheme="minorHAnsi" w:cstheme="minorHAnsi"/>
          <w:sz w:val="24"/>
          <w:szCs w:val="28"/>
        </w:rPr>
      </w:pPr>
      <w:r>
        <w:rPr>
          <w:rFonts w:asciiTheme="minorHAnsi" w:hAnsiTheme="minorHAnsi" w:cstheme="minorHAnsi"/>
          <w:sz w:val="24"/>
          <w:szCs w:val="28"/>
        </w:rPr>
        <w:br w:type="page"/>
      </w:r>
    </w:p>
    <w:p w14:paraId="3CFF1EC3" w14:textId="77777777" w:rsidR="007C2A67" w:rsidRPr="00B63630" w:rsidRDefault="007C2A67" w:rsidP="007C2A67">
      <w:pPr>
        <w:ind w:left="-142"/>
        <w:rPr>
          <w:rFonts w:asciiTheme="minorHAnsi" w:hAnsiTheme="minorHAnsi" w:cstheme="minorHAnsi"/>
          <w:sz w:val="24"/>
          <w:szCs w:val="28"/>
        </w:rPr>
      </w:pPr>
      <w:r w:rsidRPr="00B63630">
        <w:rPr>
          <w:rFonts w:asciiTheme="minorHAnsi" w:hAnsiTheme="minorHAnsi" w:cstheme="minorHAnsi"/>
          <w:b/>
          <w:bCs/>
          <w:sz w:val="28"/>
          <w:szCs w:val="32"/>
        </w:rPr>
        <w:lastRenderedPageBreak/>
        <w:t>Η ΔΙΕΥΡΥΝΣΗ ΤΩΝ ΠΕΡΙΦΕΡΕΙΑΚΩΝ ΑΝΙΣΟΤΗΤΩΝ ΤΗΝ ΟΚΤΑΕΤΙΑ 2015-2022</w:t>
      </w:r>
    </w:p>
    <w:p w14:paraId="224C00A0" w14:textId="77777777" w:rsidR="007C2A67" w:rsidRDefault="007C2A67" w:rsidP="007C2A67">
      <w:pPr>
        <w:ind w:left="-142"/>
        <w:jc w:val="both"/>
        <w:rPr>
          <w:rFonts w:asciiTheme="minorHAnsi" w:hAnsiTheme="minorHAnsi" w:cstheme="minorHAnsi"/>
          <w:sz w:val="24"/>
          <w:szCs w:val="28"/>
        </w:rPr>
      </w:pPr>
    </w:p>
    <w:p w14:paraId="58C0AF2C" w14:textId="77777777" w:rsidR="007C2A67" w:rsidRPr="00B63630" w:rsidRDefault="007C2A67" w:rsidP="007C2A67">
      <w:pPr>
        <w:spacing w:after="60"/>
        <w:ind w:left="-142"/>
        <w:jc w:val="both"/>
        <w:rPr>
          <w:rFonts w:asciiTheme="minorHAnsi" w:hAnsiTheme="minorHAnsi" w:cstheme="minorHAnsi"/>
          <w:sz w:val="24"/>
          <w:szCs w:val="28"/>
        </w:rPr>
      </w:pPr>
      <w:r w:rsidRPr="002E1179">
        <w:rPr>
          <w:rFonts w:asciiTheme="minorHAnsi" w:hAnsiTheme="minorHAnsi" w:cstheme="minorHAnsi"/>
          <w:noProof/>
          <w:sz w:val="24"/>
          <w:szCs w:val="28"/>
        </w:rPr>
        <w:drawing>
          <wp:anchor distT="0" distB="0" distL="114300" distR="114300" simplePos="0" relativeHeight="251664384" behindDoc="1" locked="0" layoutInCell="1" allowOverlap="1" wp14:anchorId="62A741EB" wp14:editId="4598AF09">
            <wp:simplePos x="0" y="0"/>
            <wp:positionH relativeFrom="margin">
              <wp:posOffset>3256915</wp:posOffset>
            </wp:positionH>
            <wp:positionV relativeFrom="paragraph">
              <wp:posOffset>824980</wp:posOffset>
            </wp:positionV>
            <wp:extent cx="3126740" cy="4314190"/>
            <wp:effectExtent l="0" t="0" r="0" b="0"/>
            <wp:wrapThrough wrapText="bothSides">
              <wp:wrapPolygon edited="0">
                <wp:start x="0" y="0"/>
                <wp:lineTo x="0" y="21460"/>
                <wp:lineTo x="21451" y="21460"/>
                <wp:lineTo x="21451" y="0"/>
                <wp:lineTo x="0" y="0"/>
              </wp:wrapPolygon>
            </wp:wrapThrough>
            <wp:docPr id="4814624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46249" name=""/>
                    <pic:cNvPicPr/>
                  </pic:nvPicPr>
                  <pic:blipFill>
                    <a:blip r:embed="rId9">
                      <a:extLst>
                        <a:ext uri="{28A0092B-C50C-407E-A947-70E740481C1C}">
                          <a14:useLocalDpi xmlns:a14="http://schemas.microsoft.com/office/drawing/2010/main" val="0"/>
                        </a:ext>
                      </a:extLst>
                    </a:blip>
                    <a:stretch>
                      <a:fillRect/>
                    </a:stretch>
                  </pic:blipFill>
                  <pic:spPr>
                    <a:xfrm>
                      <a:off x="0" y="0"/>
                      <a:ext cx="3126740" cy="431419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4"/>
          <w:szCs w:val="28"/>
        </w:rPr>
        <w:t>Η διαχρονική ύπαρξη περιφερειακών ανισοτήτων μεταξύ των δεκατριών περιφερειών της χώρας αποδεικνύεται από σειρά οικονομικών και κοινωνικών δεικτών. Οι διαπιστώσεις από την ανάλυση αυτών των δεικτών, οδηγούν στην ανάγκη σχεδιασμού και εφαρμογής συγκεκριμένης και στοχευμένης πολιτικής περιφερειακής σύγκλισης για την έμπρακτη και βιώσιμη μείωση των περιφερειακών ανισοτήτων στη χώρα.</w:t>
      </w:r>
      <w:r w:rsidRPr="002E1179">
        <w:rPr>
          <w:noProof/>
        </w:rPr>
        <w:t xml:space="preserve"> </w:t>
      </w:r>
    </w:p>
    <w:p w14:paraId="730D1BE6" w14:textId="77777777" w:rsidR="007C2A67" w:rsidRDefault="007C2A67" w:rsidP="007C2A67">
      <w:pPr>
        <w:spacing w:after="60"/>
        <w:ind w:left="-142"/>
        <w:jc w:val="both"/>
        <w:rPr>
          <w:rFonts w:asciiTheme="minorHAnsi" w:hAnsiTheme="minorHAnsi" w:cstheme="minorHAnsi"/>
          <w:sz w:val="24"/>
          <w:szCs w:val="28"/>
        </w:rPr>
      </w:pPr>
      <w:r>
        <w:rPr>
          <w:rFonts w:asciiTheme="minorHAnsi" w:hAnsiTheme="minorHAnsi" w:cstheme="minorHAnsi"/>
          <w:sz w:val="24"/>
          <w:szCs w:val="28"/>
        </w:rPr>
        <w:t xml:space="preserve">Συγκεκριμένα: </w:t>
      </w:r>
    </w:p>
    <w:p w14:paraId="58F43C7E" w14:textId="77777777" w:rsidR="007C2A67" w:rsidRDefault="007C2A67" w:rsidP="007C2A67">
      <w:pPr>
        <w:pStyle w:val="a9"/>
        <w:numPr>
          <w:ilvl w:val="0"/>
          <w:numId w:val="32"/>
        </w:numPr>
        <w:spacing w:after="60"/>
        <w:ind w:left="142" w:hanging="284"/>
        <w:contextualSpacing w:val="0"/>
        <w:jc w:val="both"/>
        <w:rPr>
          <w:rFonts w:asciiTheme="minorHAnsi" w:hAnsiTheme="minorHAnsi" w:cstheme="minorHAnsi"/>
          <w:sz w:val="24"/>
          <w:szCs w:val="28"/>
        </w:rPr>
      </w:pPr>
      <w:r w:rsidRPr="008E2284">
        <w:rPr>
          <w:rFonts w:asciiTheme="minorHAnsi" w:hAnsiTheme="minorHAnsi" w:cstheme="minorHAnsi"/>
          <w:sz w:val="24"/>
          <w:szCs w:val="28"/>
        </w:rPr>
        <w:t xml:space="preserve">Το </w:t>
      </w:r>
      <w:r w:rsidRPr="008E2284">
        <w:rPr>
          <w:rFonts w:asciiTheme="minorHAnsi" w:hAnsiTheme="minorHAnsi" w:cstheme="minorHAnsi"/>
          <w:b/>
          <w:bCs/>
          <w:sz w:val="24"/>
          <w:szCs w:val="28"/>
        </w:rPr>
        <w:t>κατά κεφαλήν ΑΕΠ</w:t>
      </w:r>
      <w:r w:rsidRPr="008E2284">
        <w:rPr>
          <w:rFonts w:asciiTheme="minorHAnsi" w:hAnsiTheme="minorHAnsi" w:cstheme="minorHAnsi"/>
          <w:sz w:val="24"/>
          <w:szCs w:val="28"/>
        </w:rPr>
        <w:t xml:space="preserve"> αποδεικνύει</w:t>
      </w:r>
      <w:r>
        <w:rPr>
          <w:rFonts w:asciiTheme="minorHAnsi" w:hAnsiTheme="minorHAnsi" w:cstheme="minorHAnsi"/>
          <w:sz w:val="24"/>
          <w:szCs w:val="28"/>
        </w:rPr>
        <w:t xml:space="preserve"> αύξηση των περιφερειακών ανισοτήτων, αφού τέσσερεις περιφέρειες «διευρύνουν» την απόστασή τους από τη «μόνιμα πρωτοπορούσα» Αττική, με «αρνητική πρωταθλήτρια» τη Δυτική Μακεδονία με -16%. Έξι από αυτές παρουσιάζουν ισχνή αύξηση έως 2%, ενώ μόνον η Στερεά Ελλάδα μειώνει ουσιαστικά την απόστασή της από την Αττική, σε ποσοστό 10,2%.</w:t>
      </w:r>
    </w:p>
    <w:p w14:paraId="2CC18404" w14:textId="77777777" w:rsidR="007C2A67" w:rsidRDefault="007C2A67" w:rsidP="007C2A67">
      <w:pPr>
        <w:pStyle w:val="a9"/>
        <w:numPr>
          <w:ilvl w:val="0"/>
          <w:numId w:val="32"/>
        </w:numPr>
        <w:spacing w:after="60"/>
        <w:ind w:left="142" w:hanging="284"/>
        <w:contextualSpacing w:val="0"/>
        <w:jc w:val="both"/>
        <w:rPr>
          <w:rFonts w:asciiTheme="minorHAnsi" w:hAnsiTheme="minorHAnsi" w:cstheme="minorHAnsi"/>
          <w:sz w:val="24"/>
          <w:szCs w:val="28"/>
        </w:rPr>
      </w:pPr>
      <w:r w:rsidRPr="009915E8">
        <w:rPr>
          <w:rFonts w:asciiTheme="minorHAnsi" w:hAnsiTheme="minorHAnsi" w:cstheme="minorHAnsi"/>
          <w:sz w:val="24"/>
          <w:szCs w:val="28"/>
        </w:rPr>
        <w:t xml:space="preserve">Το </w:t>
      </w:r>
      <w:r w:rsidRPr="008E2284">
        <w:rPr>
          <w:rFonts w:asciiTheme="minorHAnsi" w:hAnsiTheme="minorHAnsi" w:cstheme="minorHAnsi"/>
          <w:b/>
          <w:bCs/>
          <w:sz w:val="24"/>
          <w:szCs w:val="28"/>
        </w:rPr>
        <w:t>ποσοστό ανεργίας</w:t>
      </w:r>
      <w:r w:rsidRPr="008E2284">
        <w:rPr>
          <w:rFonts w:asciiTheme="minorHAnsi" w:hAnsiTheme="minorHAnsi" w:cstheme="minorHAnsi"/>
          <w:sz w:val="24"/>
          <w:szCs w:val="28"/>
        </w:rPr>
        <w:t xml:space="preserve"> μειώνεται</w:t>
      </w:r>
      <w:r w:rsidRPr="009915E8">
        <w:rPr>
          <w:rFonts w:asciiTheme="minorHAnsi" w:hAnsiTheme="minorHAnsi" w:cstheme="minorHAnsi"/>
          <w:sz w:val="24"/>
          <w:szCs w:val="28"/>
        </w:rPr>
        <w:t xml:space="preserve"> κατά 8% στην Αττική και μόλις κατά 1% στη Δυτική Ελλάδα, την ίδια στιγμή που: α) Κρήτη, Πελοπόννησος, Δυτική Μακεδονία και Ήπειρος έχουν μηδενική μείωση του ποσοστού ανεργίας, β) Ανατολική Μακεδονία – Θράκη, Στερεά Ελλάδα, Νότιο Αιγαίο, Βόρειο Αιγαίο και Ιόνια Νησιά αυξάνουν κατά 1% το ποσοστό ανεργίας την περίοδο 2015 – 2021, ενώ Θεσσαλία και Κεντρική Μακεδονία</w:t>
      </w:r>
      <w:r>
        <w:rPr>
          <w:rFonts w:asciiTheme="minorHAnsi" w:hAnsiTheme="minorHAnsi" w:cstheme="minorHAnsi"/>
          <w:sz w:val="24"/>
          <w:szCs w:val="28"/>
        </w:rPr>
        <w:t>, αυξάνουν το συγκεκριμένο ποσοστό κατά 2%.</w:t>
      </w:r>
    </w:p>
    <w:p w14:paraId="16F269EB" w14:textId="77777777" w:rsidR="007C2A67" w:rsidRDefault="007C2A67" w:rsidP="007C2A67">
      <w:pPr>
        <w:pStyle w:val="a9"/>
        <w:numPr>
          <w:ilvl w:val="0"/>
          <w:numId w:val="32"/>
        </w:numPr>
        <w:spacing w:after="60"/>
        <w:ind w:left="142" w:hanging="284"/>
        <w:contextualSpacing w:val="0"/>
        <w:jc w:val="both"/>
        <w:rPr>
          <w:rFonts w:asciiTheme="minorHAnsi" w:hAnsiTheme="minorHAnsi" w:cstheme="minorHAnsi"/>
          <w:sz w:val="24"/>
          <w:szCs w:val="28"/>
        </w:rPr>
      </w:pPr>
      <w:r w:rsidRPr="008E2284">
        <w:rPr>
          <w:rFonts w:asciiTheme="minorHAnsi" w:hAnsiTheme="minorHAnsi" w:cstheme="minorHAnsi"/>
          <w:noProof/>
          <w:sz w:val="24"/>
          <w:szCs w:val="28"/>
        </w:rPr>
        <mc:AlternateContent>
          <mc:Choice Requires="wps">
            <w:drawing>
              <wp:anchor distT="0" distB="0" distL="114300" distR="114300" simplePos="0" relativeHeight="251665408" behindDoc="0" locked="0" layoutInCell="1" allowOverlap="1" wp14:anchorId="0D7FBDDF" wp14:editId="78A3C011">
                <wp:simplePos x="0" y="0"/>
                <wp:positionH relativeFrom="column">
                  <wp:posOffset>3294380</wp:posOffset>
                </wp:positionH>
                <wp:positionV relativeFrom="paragraph">
                  <wp:posOffset>329045</wp:posOffset>
                </wp:positionV>
                <wp:extent cx="3038475" cy="360000"/>
                <wp:effectExtent l="0" t="0" r="28575" b="21590"/>
                <wp:wrapSquare wrapText="bothSides"/>
                <wp:docPr id="413434976" name="Πλαίσιο κειμένου 1"/>
                <wp:cNvGraphicFramePr/>
                <a:graphic xmlns:a="http://schemas.openxmlformats.org/drawingml/2006/main">
                  <a:graphicData uri="http://schemas.microsoft.com/office/word/2010/wordprocessingShape">
                    <wps:wsp>
                      <wps:cNvSpPr txBox="1"/>
                      <wps:spPr>
                        <a:xfrm>
                          <a:off x="0" y="0"/>
                          <a:ext cx="3038475" cy="360000"/>
                        </a:xfrm>
                        <a:prstGeom prst="rect">
                          <a:avLst/>
                        </a:prstGeom>
                        <a:solidFill>
                          <a:schemeClr val="lt1"/>
                        </a:solidFill>
                        <a:ln w="6350">
                          <a:solidFill>
                            <a:prstClr val="black"/>
                          </a:solidFill>
                        </a:ln>
                      </wps:spPr>
                      <wps:txbx>
                        <w:txbxContent>
                          <w:p w14:paraId="42010A90" w14:textId="77777777" w:rsidR="007C2A67" w:rsidRPr="006E76FA" w:rsidRDefault="007C2A67" w:rsidP="007C2A67">
                            <w:pPr>
                              <w:jc w:val="center"/>
                              <w:rPr>
                                <w:sz w:val="18"/>
                                <w:szCs w:val="20"/>
                              </w:rPr>
                            </w:pPr>
                            <w:r w:rsidRPr="006E76FA">
                              <w:rPr>
                                <w:sz w:val="18"/>
                                <w:szCs w:val="20"/>
                                <w:u w:val="single"/>
                              </w:rPr>
                              <w:t>Πηγή:</w:t>
                            </w:r>
                            <w:r w:rsidRPr="006E76FA">
                              <w:rPr>
                                <w:sz w:val="18"/>
                                <w:szCs w:val="20"/>
                              </w:rPr>
                              <w:t xml:space="preserve"> Ευρωπαϊκή Επιτροπή: Όγδοη Έκθεση για την οικονομική, κοινωνική και εδαφική συνοχή,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FBDDF" id="_x0000_t202" coordsize="21600,21600" o:spt="202" path="m,l,21600r21600,l21600,xe">
                <v:stroke joinstyle="miter"/>
                <v:path gradientshapeok="t" o:connecttype="rect"/>
              </v:shapetype>
              <v:shape id="Πλαίσιο κειμένου 1" o:spid="_x0000_s1026" type="#_x0000_t202" style="position:absolute;left:0;text-align:left;margin-left:259.4pt;margin-top:25.9pt;width:239.2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" fillcolor="white [3201]" strokeweight=".5pt">
                <v:textbox>
                  <w:txbxContent>
                    <w:p w14:paraId="42010A90" w14:textId="77777777" w:rsidR="007C2A67" w:rsidRPr="006E76FA" w:rsidRDefault="007C2A67" w:rsidP="007C2A67">
                      <w:pPr>
                        <w:jc w:val="center"/>
                        <w:rPr>
                          <w:sz w:val="18"/>
                          <w:szCs w:val="20"/>
                        </w:rPr>
                      </w:pPr>
                      <w:r w:rsidRPr="006E76FA">
                        <w:rPr>
                          <w:sz w:val="18"/>
                          <w:szCs w:val="20"/>
                          <w:u w:val="single"/>
                        </w:rPr>
                        <w:t>Πηγή:</w:t>
                      </w:r>
                      <w:r w:rsidRPr="006E76FA">
                        <w:rPr>
                          <w:sz w:val="18"/>
                          <w:szCs w:val="20"/>
                        </w:rPr>
                        <w:t xml:space="preserve"> Ευρωπαϊκή Επιτροπή: Όγδοη Έκθεση για την οικονομική, κοινωνική και εδαφική συνοχή, 2022</w:t>
                      </w:r>
                    </w:p>
                  </w:txbxContent>
                </v:textbox>
                <w10:wrap type="square"/>
              </v:shape>
            </w:pict>
          </mc:Fallback>
        </mc:AlternateContent>
      </w:r>
      <w:r w:rsidRPr="008E2284">
        <w:rPr>
          <w:rFonts w:asciiTheme="minorHAnsi" w:hAnsiTheme="minorHAnsi" w:cstheme="minorHAnsi"/>
          <w:sz w:val="24"/>
          <w:szCs w:val="28"/>
        </w:rPr>
        <w:t xml:space="preserve">Ο </w:t>
      </w:r>
      <w:r w:rsidRPr="008E2284">
        <w:rPr>
          <w:rFonts w:asciiTheme="minorHAnsi" w:hAnsiTheme="minorHAnsi" w:cstheme="minorHAnsi"/>
          <w:b/>
          <w:bCs/>
          <w:sz w:val="24"/>
          <w:szCs w:val="28"/>
        </w:rPr>
        <w:t>δείκτης μέτρησης της ανταγωνιστικότητας</w:t>
      </w:r>
      <w:r w:rsidRPr="008E2284">
        <w:rPr>
          <w:rFonts w:asciiTheme="minorHAnsi" w:hAnsiTheme="minorHAnsi" w:cstheme="minorHAnsi"/>
          <w:sz w:val="24"/>
          <w:szCs w:val="28"/>
        </w:rPr>
        <w:t xml:space="preserve"> των</w:t>
      </w:r>
      <w:r>
        <w:rPr>
          <w:rFonts w:asciiTheme="minorHAnsi" w:hAnsiTheme="minorHAnsi" w:cstheme="minorHAnsi"/>
          <w:sz w:val="24"/>
          <w:szCs w:val="28"/>
        </w:rPr>
        <w:t xml:space="preserve"> 234 περιφερειών της Ευρώπης αποδεικνύει ότι η Αττική είναι μακράν η ανταγωνιστικότερη περιφέρεια της χώρας (θέση 134 για το 2022) με τις υπόλοιπες να βρίσκονται στις τελευταίες θέσεις της κατάταξης: από 199 – Κεντρική Μακεδονία έως 228 – Στερεά Ελλάδα. </w:t>
      </w:r>
    </w:p>
    <w:p w14:paraId="6CD61564" w14:textId="77777777" w:rsidR="007C2A67" w:rsidRDefault="007C2A67" w:rsidP="007C2A67">
      <w:pPr>
        <w:pStyle w:val="a9"/>
        <w:numPr>
          <w:ilvl w:val="0"/>
          <w:numId w:val="32"/>
        </w:numPr>
        <w:spacing w:after="60"/>
        <w:ind w:left="142" w:hanging="284"/>
        <w:contextualSpacing w:val="0"/>
        <w:jc w:val="both"/>
        <w:rPr>
          <w:rFonts w:asciiTheme="minorHAnsi" w:hAnsiTheme="minorHAnsi" w:cstheme="minorHAnsi"/>
          <w:sz w:val="24"/>
          <w:szCs w:val="28"/>
        </w:rPr>
      </w:pPr>
      <w:r>
        <w:rPr>
          <w:rFonts w:asciiTheme="minorHAnsi" w:hAnsiTheme="minorHAnsi" w:cstheme="minorHAnsi"/>
          <w:sz w:val="24"/>
          <w:szCs w:val="28"/>
        </w:rPr>
        <w:t xml:space="preserve">Η μελέτη του ίδιου δείκτη για τα έτη από το 2016 έως το 2022, αποδεικνύει ότι όλες οι περιφέρειες της χώρας αυξάνουν την «απόστασή» τους σε όρους περιφερειακής ανταγωνιστικότητας από την Αττική, εκτός από τη Θεσσαλία, η οποία τη μειώνει σε ποσοστό </w:t>
      </w:r>
      <w:r w:rsidRPr="00300A8C">
        <w:rPr>
          <w:rFonts w:asciiTheme="minorHAnsi" w:hAnsiTheme="minorHAnsi" w:cstheme="minorHAnsi"/>
          <w:sz w:val="24"/>
          <w:szCs w:val="28"/>
        </w:rPr>
        <w:t>6,7</w:t>
      </w:r>
      <w:r>
        <w:rPr>
          <w:rFonts w:asciiTheme="minorHAnsi" w:hAnsiTheme="minorHAnsi" w:cstheme="minorHAnsi"/>
          <w:sz w:val="24"/>
          <w:szCs w:val="28"/>
        </w:rPr>
        <w:t>%.</w:t>
      </w:r>
    </w:p>
    <w:p w14:paraId="252971D7" w14:textId="650A5112" w:rsidR="00D172FA" w:rsidRPr="007C2A67" w:rsidRDefault="007C2A67" w:rsidP="007C2A67">
      <w:pPr>
        <w:pStyle w:val="a9"/>
        <w:numPr>
          <w:ilvl w:val="0"/>
          <w:numId w:val="32"/>
        </w:numPr>
        <w:spacing w:after="60"/>
        <w:ind w:left="142" w:hanging="284"/>
        <w:contextualSpacing w:val="0"/>
        <w:jc w:val="both"/>
        <w:rPr>
          <w:rFonts w:asciiTheme="minorHAnsi" w:hAnsiTheme="minorHAnsi" w:cstheme="minorHAnsi"/>
          <w:sz w:val="24"/>
          <w:szCs w:val="28"/>
        </w:rPr>
      </w:pPr>
      <w:r w:rsidRPr="008E2284">
        <w:rPr>
          <w:rFonts w:asciiTheme="minorHAnsi" w:hAnsiTheme="minorHAnsi" w:cstheme="minorHAnsi"/>
          <w:sz w:val="24"/>
          <w:szCs w:val="28"/>
        </w:rPr>
        <w:t xml:space="preserve">Ο </w:t>
      </w:r>
      <w:r w:rsidRPr="008E2284">
        <w:rPr>
          <w:rFonts w:asciiTheme="minorHAnsi" w:hAnsiTheme="minorHAnsi" w:cstheme="minorHAnsi"/>
          <w:b/>
          <w:bCs/>
          <w:sz w:val="24"/>
          <w:szCs w:val="28"/>
        </w:rPr>
        <w:t xml:space="preserve">δείκτης «καινοτομίας» του </w:t>
      </w:r>
      <w:r w:rsidRPr="008E2284">
        <w:rPr>
          <w:rFonts w:asciiTheme="minorHAnsi" w:hAnsiTheme="minorHAnsi" w:cstheme="minorHAnsi"/>
          <w:b/>
          <w:bCs/>
          <w:sz w:val="24"/>
          <w:szCs w:val="28"/>
          <w:lang w:val="en-US"/>
        </w:rPr>
        <w:t>Regional</w:t>
      </w:r>
      <w:r w:rsidRPr="008E2284">
        <w:rPr>
          <w:rFonts w:asciiTheme="minorHAnsi" w:hAnsiTheme="minorHAnsi" w:cstheme="minorHAnsi"/>
          <w:b/>
          <w:bCs/>
          <w:sz w:val="24"/>
          <w:szCs w:val="28"/>
        </w:rPr>
        <w:t xml:space="preserve"> </w:t>
      </w:r>
      <w:r w:rsidRPr="008E2284">
        <w:rPr>
          <w:rFonts w:asciiTheme="minorHAnsi" w:hAnsiTheme="minorHAnsi" w:cstheme="minorHAnsi"/>
          <w:b/>
          <w:bCs/>
          <w:sz w:val="24"/>
          <w:szCs w:val="28"/>
          <w:lang w:val="en-US"/>
        </w:rPr>
        <w:t>Innovation</w:t>
      </w:r>
      <w:r w:rsidRPr="008E2284">
        <w:rPr>
          <w:rFonts w:asciiTheme="minorHAnsi" w:hAnsiTheme="minorHAnsi" w:cstheme="minorHAnsi"/>
          <w:b/>
          <w:bCs/>
          <w:sz w:val="24"/>
          <w:szCs w:val="28"/>
        </w:rPr>
        <w:t xml:space="preserve"> </w:t>
      </w:r>
      <w:r w:rsidRPr="008E2284">
        <w:rPr>
          <w:rFonts w:asciiTheme="minorHAnsi" w:hAnsiTheme="minorHAnsi" w:cstheme="minorHAnsi"/>
          <w:b/>
          <w:bCs/>
          <w:sz w:val="24"/>
          <w:szCs w:val="28"/>
          <w:lang w:val="en-US"/>
        </w:rPr>
        <w:t>Scoreboard</w:t>
      </w:r>
      <w:r w:rsidRPr="008E2284">
        <w:rPr>
          <w:rFonts w:asciiTheme="minorHAnsi" w:hAnsiTheme="minorHAnsi" w:cstheme="minorHAnsi"/>
          <w:b/>
          <w:bCs/>
          <w:sz w:val="24"/>
          <w:szCs w:val="28"/>
        </w:rPr>
        <w:t xml:space="preserve"> 2023</w:t>
      </w:r>
      <w:r w:rsidRPr="008E2284">
        <w:rPr>
          <w:rFonts w:asciiTheme="minorHAnsi" w:hAnsiTheme="minorHAnsi" w:cstheme="minorHAnsi"/>
          <w:sz w:val="24"/>
          <w:szCs w:val="28"/>
        </w:rPr>
        <w:t xml:space="preserve"> της</w:t>
      </w:r>
      <w:r w:rsidRPr="00290967">
        <w:rPr>
          <w:rFonts w:asciiTheme="minorHAnsi" w:hAnsiTheme="minorHAnsi" w:cstheme="minorHAnsi"/>
          <w:sz w:val="24"/>
          <w:szCs w:val="28"/>
        </w:rPr>
        <w:t xml:space="preserve"> Ευρωπαϊκής Ένωσης δείχνει σταθερά πρώτη την Αττική και σταθερά τελευταίο το Νότιο Αιγαίο, από το 2016 έως το 2023. Η «απόσταση» από τον μέσον όρο της Ευρωπαϊκής Ένωσης για το 2023 είναι για μεν την Αττική 11 μονάδες (97,6/108,5) για την Κεντρική Μακεδονία στο διπλάσιο ακριβώς (22 μονάδες) ενώ το Νότιο Αιγαίο και τα Ιόνια Νησιά υπολείπονται κατά 48 μονάδες και το Βόρειο Αιγαίο κατά 46 μονάδες από τον μέσο όρο της Ευρωπαϊκής Ένωσης. </w:t>
      </w:r>
    </w:p>
    <w:sectPr w:rsidR="00D172FA" w:rsidRPr="007C2A67" w:rsidSect="00121AA7">
      <w:headerReference w:type="default" r:id="rId10"/>
      <w:footerReference w:type="default" r:id="rId11"/>
      <w:headerReference w:type="first" r:id="rId12"/>
      <w:pgSz w:w="11906" w:h="16838" w:code="9"/>
      <w:pgMar w:top="1985" w:right="1134" w:bottom="1418" w:left="1134" w:header="567"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884B" w14:textId="77777777" w:rsidR="000F5460" w:rsidRDefault="000F5460">
      <w:r>
        <w:separator/>
      </w:r>
    </w:p>
  </w:endnote>
  <w:endnote w:type="continuationSeparator" w:id="0">
    <w:p w14:paraId="20809080" w14:textId="77777777" w:rsidR="000F5460" w:rsidRDefault="000F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1105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1058"/>
    </w:tblGrid>
    <w:tr w:rsidR="00E61FE9" w:rsidRPr="00E61FE9" w14:paraId="76AE28DD" w14:textId="77777777" w:rsidTr="00B7224F">
      <w:trPr>
        <w:trHeight w:val="567"/>
      </w:trPr>
      <w:tc>
        <w:tcPr>
          <w:tcW w:w="11058" w:type="dxa"/>
          <w:shd w:val="clear" w:color="auto" w:fill="D9E2F3" w:themeFill="accent1" w:themeFillTint="33"/>
          <w:vAlign w:val="center"/>
        </w:tcPr>
        <w:p w14:paraId="77258D64" w14:textId="2C613405" w:rsidR="00631537" w:rsidRPr="00E61FE9" w:rsidRDefault="00631537" w:rsidP="00E61FE9">
          <w:pPr>
            <w:ind w:left="318" w:right="601"/>
            <w:rPr>
              <w:rFonts w:asciiTheme="minorHAnsi" w:hAnsiTheme="minorHAnsi" w:cstheme="minorHAnsi"/>
              <w:b/>
              <w:bCs/>
              <w:color w:val="2E74B5" w:themeColor="accent5" w:themeShade="BF"/>
              <w:sz w:val="20"/>
              <w:szCs w:val="22"/>
            </w:rPr>
          </w:pPr>
          <w:r w:rsidRPr="00E61FE9">
            <w:rPr>
              <w:rFonts w:asciiTheme="minorHAnsi" w:hAnsiTheme="minorHAnsi" w:cstheme="minorHAnsi"/>
              <w:b/>
              <w:bCs/>
              <w:color w:val="2E74B5" w:themeColor="accent5" w:themeShade="BF"/>
              <w:sz w:val="20"/>
              <w:szCs w:val="22"/>
            </w:rPr>
            <w:t>Σύνταξη: ΣΒΕ</w:t>
          </w:r>
          <w:r w:rsidR="00EB408C">
            <w:rPr>
              <w:rFonts w:asciiTheme="minorHAnsi" w:hAnsiTheme="minorHAnsi" w:cstheme="minorHAnsi"/>
              <w:b/>
              <w:bCs/>
              <w:color w:val="2E74B5" w:themeColor="accent5" w:themeShade="BF"/>
              <w:sz w:val="20"/>
              <w:szCs w:val="22"/>
            </w:rPr>
            <w:t xml:space="preserve"> </w:t>
          </w:r>
          <w:r w:rsidRPr="00E61FE9">
            <w:rPr>
              <w:rFonts w:asciiTheme="minorHAnsi" w:hAnsiTheme="minorHAnsi" w:cstheme="minorHAnsi"/>
              <w:b/>
              <w:bCs/>
              <w:color w:val="2E74B5" w:themeColor="accent5" w:themeShade="BF"/>
              <w:sz w:val="20"/>
              <w:szCs w:val="22"/>
            </w:rPr>
            <w:t xml:space="preserve"> |  </w:t>
          </w:r>
          <w:r w:rsidR="00A813A2">
            <w:rPr>
              <w:rFonts w:asciiTheme="minorHAnsi" w:hAnsiTheme="minorHAnsi" w:cstheme="minorHAnsi"/>
              <w:b/>
              <w:bCs/>
              <w:color w:val="2E74B5" w:themeColor="accent5" w:themeShade="BF"/>
              <w:sz w:val="20"/>
              <w:szCs w:val="22"/>
              <w:lang w:val="en-US"/>
            </w:rPr>
            <w:t>30.08.2023</w:t>
          </w:r>
          <w:r w:rsidR="00EB408C">
            <w:rPr>
              <w:rFonts w:asciiTheme="minorHAnsi" w:hAnsiTheme="minorHAnsi" w:cstheme="minorHAnsi"/>
              <w:b/>
              <w:bCs/>
              <w:color w:val="2E74B5" w:themeColor="accent5" w:themeShade="BF"/>
              <w:sz w:val="20"/>
              <w:szCs w:val="22"/>
            </w:rPr>
            <w:tab/>
          </w:r>
          <w:r w:rsidR="00EB408C">
            <w:rPr>
              <w:rFonts w:asciiTheme="minorHAnsi" w:hAnsiTheme="minorHAnsi" w:cstheme="minorHAnsi"/>
              <w:b/>
              <w:bCs/>
              <w:color w:val="2E74B5" w:themeColor="accent5" w:themeShade="BF"/>
              <w:sz w:val="20"/>
              <w:szCs w:val="22"/>
            </w:rPr>
            <w:tab/>
          </w:r>
          <w:r w:rsidR="00EB408C">
            <w:rPr>
              <w:rFonts w:asciiTheme="minorHAnsi" w:hAnsiTheme="minorHAnsi" w:cstheme="minorHAnsi"/>
              <w:b/>
              <w:bCs/>
              <w:color w:val="2E74B5" w:themeColor="accent5" w:themeShade="BF"/>
              <w:sz w:val="20"/>
              <w:szCs w:val="22"/>
            </w:rPr>
            <w:tab/>
          </w:r>
          <w:r w:rsidR="00EB408C">
            <w:rPr>
              <w:rFonts w:asciiTheme="minorHAnsi" w:hAnsiTheme="minorHAnsi" w:cstheme="minorHAnsi"/>
              <w:b/>
              <w:bCs/>
              <w:color w:val="2E74B5" w:themeColor="accent5" w:themeShade="BF"/>
              <w:sz w:val="20"/>
              <w:szCs w:val="22"/>
            </w:rPr>
            <w:tab/>
          </w:r>
          <w:r w:rsidR="00EB408C">
            <w:rPr>
              <w:rFonts w:asciiTheme="minorHAnsi" w:hAnsiTheme="minorHAnsi" w:cstheme="minorHAnsi"/>
              <w:b/>
              <w:bCs/>
              <w:color w:val="2E74B5" w:themeColor="accent5" w:themeShade="BF"/>
              <w:sz w:val="20"/>
              <w:szCs w:val="22"/>
            </w:rPr>
            <w:tab/>
          </w:r>
          <w:r w:rsidR="00EB408C">
            <w:rPr>
              <w:rFonts w:asciiTheme="minorHAnsi" w:hAnsiTheme="minorHAnsi" w:cstheme="minorHAnsi"/>
              <w:b/>
              <w:bCs/>
              <w:color w:val="2E74B5" w:themeColor="accent5" w:themeShade="BF"/>
              <w:sz w:val="20"/>
              <w:szCs w:val="22"/>
            </w:rPr>
            <w:tab/>
          </w:r>
          <w:r w:rsidRPr="00E61FE9">
            <w:rPr>
              <w:rFonts w:asciiTheme="minorHAnsi" w:hAnsiTheme="minorHAnsi" w:cstheme="minorHAnsi"/>
              <w:b/>
              <w:bCs/>
              <w:color w:val="2E74B5" w:themeColor="accent5" w:themeShade="BF"/>
              <w:sz w:val="20"/>
              <w:szCs w:val="22"/>
            </w:rPr>
            <w:tab/>
          </w:r>
          <w:r w:rsidRPr="00E61FE9">
            <w:rPr>
              <w:rFonts w:asciiTheme="minorHAnsi" w:hAnsiTheme="minorHAnsi" w:cstheme="minorHAnsi"/>
              <w:b/>
              <w:bCs/>
              <w:color w:val="2E74B5" w:themeColor="accent5" w:themeShade="BF"/>
              <w:sz w:val="20"/>
              <w:szCs w:val="22"/>
            </w:rPr>
            <w:tab/>
          </w:r>
          <w:r w:rsidRPr="00E61FE9">
            <w:rPr>
              <w:rFonts w:asciiTheme="minorHAnsi" w:hAnsiTheme="minorHAnsi" w:cstheme="minorHAnsi"/>
              <w:b/>
              <w:bCs/>
              <w:color w:val="2E74B5" w:themeColor="accent5" w:themeShade="BF"/>
              <w:sz w:val="20"/>
              <w:szCs w:val="22"/>
            </w:rPr>
            <w:tab/>
          </w:r>
          <w:r w:rsidR="00E61FE9" w:rsidRPr="00E61FE9">
            <w:rPr>
              <w:rFonts w:asciiTheme="minorHAnsi" w:hAnsiTheme="minorHAnsi" w:cstheme="minorHAnsi"/>
              <w:b/>
              <w:bCs/>
              <w:color w:val="2E74B5" w:themeColor="accent5" w:themeShade="BF"/>
              <w:sz w:val="20"/>
              <w:szCs w:val="22"/>
            </w:rPr>
            <w:tab/>
          </w:r>
          <w:r w:rsidRPr="00E61FE9">
            <w:rPr>
              <w:rFonts w:asciiTheme="minorHAnsi" w:hAnsiTheme="minorHAnsi" w:cstheme="minorHAnsi"/>
              <w:b/>
              <w:bCs/>
              <w:color w:val="2E74B5" w:themeColor="accent5" w:themeShade="BF"/>
              <w:sz w:val="20"/>
              <w:szCs w:val="22"/>
            </w:rPr>
            <w:tab/>
          </w:r>
          <w:r w:rsidRPr="00E61FE9">
            <w:rPr>
              <w:rFonts w:asciiTheme="minorHAnsi" w:hAnsiTheme="minorHAnsi" w:cstheme="minorHAnsi"/>
              <w:b/>
              <w:bCs/>
              <w:color w:val="2E74B5" w:themeColor="accent5" w:themeShade="BF"/>
              <w:sz w:val="20"/>
              <w:szCs w:val="22"/>
            </w:rPr>
            <w:fldChar w:fldCharType="begin"/>
          </w:r>
          <w:r w:rsidRPr="00E61FE9">
            <w:rPr>
              <w:rFonts w:asciiTheme="minorHAnsi" w:hAnsiTheme="minorHAnsi" w:cstheme="minorHAnsi"/>
              <w:b/>
              <w:bCs/>
              <w:color w:val="2E74B5" w:themeColor="accent5" w:themeShade="BF"/>
              <w:sz w:val="20"/>
              <w:szCs w:val="22"/>
            </w:rPr>
            <w:instrText>PAGE   \* MERGEFORMAT</w:instrText>
          </w:r>
          <w:r w:rsidRPr="00E61FE9">
            <w:rPr>
              <w:rFonts w:asciiTheme="minorHAnsi" w:hAnsiTheme="minorHAnsi" w:cstheme="minorHAnsi"/>
              <w:b/>
              <w:bCs/>
              <w:color w:val="2E74B5" w:themeColor="accent5" w:themeShade="BF"/>
              <w:sz w:val="20"/>
              <w:szCs w:val="22"/>
            </w:rPr>
            <w:fldChar w:fldCharType="separate"/>
          </w:r>
          <w:r w:rsidRPr="00E61FE9">
            <w:rPr>
              <w:rFonts w:asciiTheme="minorHAnsi" w:hAnsiTheme="minorHAnsi" w:cstheme="minorHAnsi"/>
              <w:b/>
              <w:bCs/>
              <w:color w:val="2E74B5" w:themeColor="accent5" w:themeShade="BF"/>
              <w:sz w:val="20"/>
              <w:szCs w:val="22"/>
            </w:rPr>
            <w:t>1</w:t>
          </w:r>
          <w:r w:rsidRPr="00E61FE9">
            <w:rPr>
              <w:rFonts w:asciiTheme="minorHAnsi" w:hAnsiTheme="minorHAnsi" w:cstheme="minorHAnsi"/>
              <w:b/>
              <w:bCs/>
              <w:color w:val="2E74B5" w:themeColor="accent5" w:themeShade="BF"/>
              <w:sz w:val="20"/>
              <w:szCs w:val="22"/>
            </w:rPr>
            <w:fldChar w:fldCharType="end"/>
          </w:r>
        </w:p>
      </w:tc>
    </w:tr>
  </w:tbl>
  <w:p w14:paraId="4E124996" w14:textId="45B3ADF0" w:rsidR="00ED4895" w:rsidRPr="00631537" w:rsidRDefault="00ED4895" w:rsidP="0063153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12041" w14:textId="77777777" w:rsidR="000F5460" w:rsidRDefault="000F5460">
      <w:r>
        <w:separator/>
      </w:r>
    </w:p>
  </w:footnote>
  <w:footnote w:type="continuationSeparator" w:id="0">
    <w:p w14:paraId="279D32E5" w14:textId="77777777" w:rsidR="000F5460" w:rsidRDefault="000F5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47A6" w14:textId="69D338FA" w:rsidR="002601DE" w:rsidRDefault="00EB408C" w:rsidP="00E61FE9">
    <w:pPr>
      <w:pStyle w:val="a3"/>
      <w:ind w:left="-993"/>
    </w:pPr>
    <w:r w:rsidRPr="00EB408C">
      <w:rPr>
        <w:noProof/>
      </w:rPr>
      <w:drawing>
        <wp:anchor distT="0" distB="0" distL="114300" distR="114300" simplePos="0" relativeHeight="251658240" behindDoc="0" locked="0" layoutInCell="1" allowOverlap="1" wp14:anchorId="06F75F86" wp14:editId="6C26EE56">
          <wp:simplePos x="0" y="0"/>
          <wp:positionH relativeFrom="margin">
            <wp:align>center</wp:align>
          </wp:positionH>
          <wp:positionV relativeFrom="paragraph">
            <wp:posOffset>55418</wp:posOffset>
          </wp:positionV>
          <wp:extent cx="6968414" cy="756000"/>
          <wp:effectExtent l="0" t="0" r="4445" b="6350"/>
          <wp:wrapNone/>
          <wp:docPr id="1457799713" name="Εικόνα 1457799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943967" name=""/>
                  <pic:cNvPicPr/>
                </pic:nvPicPr>
                <pic:blipFill>
                  <a:blip r:embed="rId1">
                    <a:extLst>
                      <a:ext uri="{28A0092B-C50C-407E-A947-70E740481C1C}">
                        <a14:useLocalDpi xmlns:a14="http://schemas.microsoft.com/office/drawing/2010/main" val="0"/>
                      </a:ext>
                    </a:extLst>
                  </a:blip>
                  <a:stretch>
                    <a:fillRect/>
                  </a:stretch>
                </pic:blipFill>
                <pic:spPr>
                  <a:xfrm>
                    <a:off x="0" y="0"/>
                    <a:ext cx="6968414" cy="75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B46B" w14:textId="70987B2D" w:rsidR="00D81108" w:rsidRPr="00E810E2" w:rsidRDefault="00D81108" w:rsidP="00E810E2">
    <w:pPr>
      <w:pStyle w:val="a3"/>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D9C"/>
    <w:multiLevelType w:val="hybridMultilevel"/>
    <w:tmpl w:val="37C62B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D352EA"/>
    <w:multiLevelType w:val="hybridMultilevel"/>
    <w:tmpl w:val="82FA57A4"/>
    <w:lvl w:ilvl="0" w:tplc="7C6A8AA0">
      <w:numFmt w:val="bullet"/>
      <w:lvlText w:val="-"/>
      <w:lvlJc w:val="left"/>
      <w:pPr>
        <w:ind w:left="780" w:hanging="42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9E3AD6"/>
    <w:multiLevelType w:val="hybridMultilevel"/>
    <w:tmpl w:val="F5B824A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A0E767A"/>
    <w:multiLevelType w:val="hybridMultilevel"/>
    <w:tmpl w:val="1616B292"/>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4" w15:restartNumberingAfterBreak="0">
    <w:nsid w:val="14757E05"/>
    <w:multiLevelType w:val="hybridMultilevel"/>
    <w:tmpl w:val="66740ACE"/>
    <w:lvl w:ilvl="0" w:tplc="F9F4C2A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5137DA7"/>
    <w:multiLevelType w:val="hybridMultilevel"/>
    <w:tmpl w:val="9C7A88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51B437E"/>
    <w:multiLevelType w:val="hybridMultilevel"/>
    <w:tmpl w:val="DF428F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61124EA"/>
    <w:multiLevelType w:val="hybridMultilevel"/>
    <w:tmpl w:val="92FA0E6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744480"/>
    <w:multiLevelType w:val="hybridMultilevel"/>
    <w:tmpl w:val="33DE198A"/>
    <w:lvl w:ilvl="0" w:tplc="1B8293D8">
      <w:start w:val="27"/>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8684951"/>
    <w:multiLevelType w:val="hybridMultilevel"/>
    <w:tmpl w:val="DF2E9744"/>
    <w:lvl w:ilvl="0" w:tplc="DE669F54">
      <w:numFmt w:val="bullet"/>
      <w:lvlText w:val="-"/>
      <w:lvlJc w:val="left"/>
      <w:pPr>
        <w:ind w:left="780" w:hanging="42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B575F57"/>
    <w:multiLevelType w:val="hybridMultilevel"/>
    <w:tmpl w:val="CCF8FB54"/>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1" w15:restartNumberingAfterBreak="0">
    <w:nsid w:val="2EF6529F"/>
    <w:multiLevelType w:val="hybridMultilevel"/>
    <w:tmpl w:val="72FCA8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2AC2727"/>
    <w:multiLevelType w:val="hybridMultilevel"/>
    <w:tmpl w:val="5C00EA2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CB5878"/>
    <w:multiLevelType w:val="hybridMultilevel"/>
    <w:tmpl w:val="61C8BB4C"/>
    <w:lvl w:ilvl="0" w:tplc="04080001">
      <w:start w:val="1"/>
      <w:numFmt w:val="bullet"/>
      <w:lvlText w:val=""/>
      <w:lvlJc w:val="left"/>
      <w:pPr>
        <w:ind w:left="720" w:hanging="360"/>
      </w:pPr>
      <w:rPr>
        <w:rFonts w:ascii="Symbol" w:hAnsi="Symbol" w:hint="default"/>
      </w:rPr>
    </w:lvl>
    <w:lvl w:ilvl="1" w:tplc="A216D7DA">
      <w:numFmt w:val="bullet"/>
      <w:lvlText w:val="-"/>
      <w:lvlJc w:val="left"/>
      <w:pPr>
        <w:ind w:left="1440" w:hanging="360"/>
      </w:pPr>
      <w:rPr>
        <w:rFonts w:ascii="Arial" w:eastAsia="Times New Roman"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3CD741D"/>
    <w:multiLevelType w:val="hybridMultilevel"/>
    <w:tmpl w:val="E2E4C1DC"/>
    <w:lvl w:ilvl="0" w:tplc="9A3EDBA4">
      <w:numFmt w:val="bullet"/>
      <w:lvlText w:val="-"/>
      <w:lvlJc w:val="left"/>
      <w:pPr>
        <w:ind w:left="780" w:hanging="42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6720067"/>
    <w:multiLevelType w:val="hybridMultilevel"/>
    <w:tmpl w:val="953A449A"/>
    <w:lvl w:ilvl="0" w:tplc="82CEC2A4">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A3136AD"/>
    <w:multiLevelType w:val="hybridMultilevel"/>
    <w:tmpl w:val="7A880F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74D22B9"/>
    <w:multiLevelType w:val="hybridMultilevel"/>
    <w:tmpl w:val="75D60076"/>
    <w:lvl w:ilvl="0" w:tplc="95820E88">
      <w:numFmt w:val="bullet"/>
      <w:lvlText w:val="•"/>
      <w:lvlJc w:val="left"/>
      <w:pPr>
        <w:ind w:left="1080" w:hanging="72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CAB75DA"/>
    <w:multiLevelType w:val="hybridMultilevel"/>
    <w:tmpl w:val="C4F8E54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02D183F"/>
    <w:multiLevelType w:val="hybridMultilevel"/>
    <w:tmpl w:val="C8A60E7C"/>
    <w:lvl w:ilvl="0" w:tplc="0809000F">
      <w:start w:val="1"/>
      <w:numFmt w:val="decimal"/>
      <w:lvlText w:val="%1."/>
      <w:lvlJc w:val="left"/>
      <w:pPr>
        <w:ind w:left="1087" w:hanging="360"/>
      </w:pPr>
    </w:lvl>
    <w:lvl w:ilvl="1" w:tplc="08090019" w:tentative="1">
      <w:start w:val="1"/>
      <w:numFmt w:val="lowerLetter"/>
      <w:lvlText w:val="%2."/>
      <w:lvlJc w:val="left"/>
      <w:pPr>
        <w:ind w:left="1807" w:hanging="360"/>
      </w:pPr>
    </w:lvl>
    <w:lvl w:ilvl="2" w:tplc="0809001B" w:tentative="1">
      <w:start w:val="1"/>
      <w:numFmt w:val="lowerRoman"/>
      <w:lvlText w:val="%3."/>
      <w:lvlJc w:val="right"/>
      <w:pPr>
        <w:ind w:left="2527" w:hanging="180"/>
      </w:pPr>
    </w:lvl>
    <w:lvl w:ilvl="3" w:tplc="0809000F" w:tentative="1">
      <w:start w:val="1"/>
      <w:numFmt w:val="decimal"/>
      <w:lvlText w:val="%4."/>
      <w:lvlJc w:val="left"/>
      <w:pPr>
        <w:ind w:left="3247" w:hanging="360"/>
      </w:pPr>
    </w:lvl>
    <w:lvl w:ilvl="4" w:tplc="08090019" w:tentative="1">
      <w:start w:val="1"/>
      <w:numFmt w:val="lowerLetter"/>
      <w:lvlText w:val="%5."/>
      <w:lvlJc w:val="left"/>
      <w:pPr>
        <w:ind w:left="3967" w:hanging="360"/>
      </w:pPr>
    </w:lvl>
    <w:lvl w:ilvl="5" w:tplc="0809001B" w:tentative="1">
      <w:start w:val="1"/>
      <w:numFmt w:val="lowerRoman"/>
      <w:lvlText w:val="%6."/>
      <w:lvlJc w:val="right"/>
      <w:pPr>
        <w:ind w:left="4687" w:hanging="180"/>
      </w:pPr>
    </w:lvl>
    <w:lvl w:ilvl="6" w:tplc="0809000F" w:tentative="1">
      <w:start w:val="1"/>
      <w:numFmt w:val="decimal"/>
      <w:lvlText w:val="%7."/>
      <w:lvlJc w:val="left"/>
      <w:pPr>
        <w:ind w:left="5407" w:hanging="360"/>
      </w:pPr>
    </w:lvl>
    <w:lvl w:ilvl="7" w:tplc="08090019" w:tentative="1">
      <w:start w:val="1"/>
      <w:numFmt w:val="lowerLetter"/>
      <w:lvlText w:val="%8."/>
      <w:lvlJc w:val="left"/>
      <w:pPr>
        <w:ind w:left="6127" w:hanging="360"/>
      </w:pPr>
    </w:lvl>
    <w:lvl w:ilvl="8" w:tplc="0809001B" w:tentative="1">
      <w:start w:val="1"/>
      <w:numFmt w:val="lowerRoman"/>
      <w:lvlText w:val="%9."/>
      <w:lvlJc w:val="right"/>
      <w:pPr>
        <w:ind w:left="6847" w:hanging="180"/>
      </w:pPr>
    </w:lvl>
  </w:abstractNum>
  <w:abstractNum w:abstractNumId="20" w15:restartNumberingAfterBreak="0">
    <w:nsid w:val="519D2E8F"/>
    <w:multiLevelType w:val="hybridMultilevel"/>
    <w:tmpl w:val="AEC8C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C77864"/>
    <w:multiLevelType w:val="hybridMultilevel"/>
    <w:tmpl w:val="CA2CAEDA"/>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510A0D"/>
    <w:multiLevelType w:val="hybridMultilevel"/>
    <w:tmpl w:val="948C6B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76750A9"/>
    <w:multiLevelType w:val="hybridMultilevel"/>
    <w:tmpl w:val="780831EA"/>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4" w15:restartNumberingAfterBreak="0">
    <w:nsid w:val="58686302"/>
    <w:multiLevelType w:val="hybridMultilevel"/>
    <w:tmpl w:val="35D235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5A7459BA"/>
    <w:multiLevelType w:val="hybridMultilevel"/>
    <w:tmpl w:val="044E889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6" w15:restartNumberingAfterBreak="0">
    <w:nsid w:val="5A983A6D"/>
    <w:multiLevelType w:val="hybridMultilevel"/>
    <w:tmpl w:val="FE301F0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E2A43E8"/>
    <w:multiLevelType w:val="hybridMultilevel"/>
    <w:tmpl w:val="BBE24F1A"/>
    <w:lvl w:ilvl="0" w:tplc="AB009168">
      <w:start w:val="1"/>
      <w:numFmt w:val="decimal"/>
      <w:lvlText w:val="%1."/>
      <w:lvlJc w:val="left"/>
      <w:pPr>
        <w:ind w:left="720" w:hanging="360"/>
      </w:pPr>
      <w:rPr>
        <w:rFonts w:ascii="Arial" w:hAnsi="Arial" w:hint="default"/>
        <w:b w:val="0"/>
        <w:i w:val="0"/>
        <w:sz w:val="24"/>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131601F"/>
    <w:multiLevelType w:val="hybridMultilevel"/>
    <w:tmpl w:val="AE14A6EE"/>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9" w15:restartNumberingAfterBreak="0">
    <w:nsid w:val="621C252C"/>
    <w:multiLevelType w:val="hybridMultilevel"/>
    <w:tmpl w:val="746E3A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40E3692"/>
    <w:multiLevelType w:val="hybridMultilevel"/>
    <w:tmpl w:val="6C30EB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BDE6661"/>
    <w:multiLevelType w:val="hybridMultilevel"/>
    <w:tmpl w:val="A2B2FA8A"/>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32" w15:restartNumberingAfterBreak="0">
    <w:nsid w:val="6D744071"/>
    <w:multiLevelType w:val="hybridMultilevel"/>
    <w:tmpl w:val="CAE08C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89533B9"/>
    <w:multiLevelType w:val="hybridMultilevel"/>
    <w:tmpl w:val="1B46AE68"/>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4" w15:restartNumberingAfterBreak="0">
    <w:nsid w:val="78E41FB9"/>
    <w:multiLevelType w:val="hybridMultilevel"/>
    <w:tmpl w:val="76841192"/>
    <w:lvl w:ilvl="0" w:tplc="51FEF8B2">
      <w:numFmt w:val="bullet"/>
      <w:lvlText w:val="-"/>
      <w:lvlJc w:val="left"/>
      <w:pPr>
        <w:ind w:left="780" w:hanging="42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AF55594"/>
    <w:multiLevelType w:val="hybridMultilevel"/>
    <w:tmpl w:val="D0F83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EC3BCE"/>
    <w:multiLevelType w:val="hybridMultilevel"/>
    <w:tmpl w:val="29B456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43241459">
    <w:abstractNumId w:val="24"/>
  </w:num>
  <w:num w:numId="2" w16cid:durableId="1612740562">
    <w:abstractNumId w:val="15"/>
  </w:num>
  <w:num w:numId="3" w16cid:durableId="1305544066">
    <w:abstractNumId w:val="33"/>
  </w:num>
  <w:num w:numId="4" w16cid:durableId="1006593312">
    <w:abstractNumId w:val="30"/>
  </w:num>
  <w:num w:numId="5" w16cid:durableId="1394157502">
    <w:abstractNumId w:val="18"/>
  </w:num>
  <w:num w:numId="6" w16cid:durableId="352808913">
    <w:abstractNumId w:val="12"/>
  </w:num>
  <w:num w:numId="7" w16cid:durableId="355737162">
    <w:abstractNumId w:val="2"/>
  </w:num>
  <w:num w:numId="8" w16cid:durableId="2134056158">
    <w:abstractNumId w:val="28"/>
  </w:num>
  <w:num w:numId="9" w16cid:durableId="28842928">
    <w:abstractNumId w:val="5"/>
  </w:num>
  <w:num w:numId="10" w16cid:durableId="2098167104">
    <w:abstractNumId w:val="29"/>
  </w:num>
  <w:num w:numId="11" w16cid:durableId="206337485">
    <w:abstractNumId w:val="23"/>
  </w:num>
  <w:num w:numId="12" w16cid:durableId="29107997">
    <w:abstractNumId w:val="31"/>
  </w:num>
  <w:num w:numId="13" w16cid:durableId="1607495922">
    <w:abstractNumId w:val="10"/>
  </w:num>
  <w:num w:numId="14" w16cid:durableId="1273900903">
    <w:abstractNumId w:val="22"/>
  </w:num>
  <w:num w:numId="15" w16cid:durableId="590702060">
    <w:abstractNumId w:val="13"/>
  </w:num>
  <w:num w:numId="16" w16cid:durableId="719280163">
    <w:abstractNumId w:val="17"/>
  </w:num>
  <w:num w:numId="17" w16cid:durableId="1251113029">
    <w:abstractNumId w:val="6"/>
  </w:num>
  <w:num w:numId="18" w16cid:durableId="413479081">
    <w:abstractNumId w:val="11"/>
  </w:num>
  <w:num w:numId="19" w16cid:durableId="119149556">
    <w:abstractNumId w:val="0"/>
  </w:num>
  <w:num w:numId="20" w16cid:durableId="441073756">
    <w:abstractNumId w:val="36"/>
  </w:num>
  <w:num w:numId="21" w16cid:durableId="1685135566">
    <w:abstractNumId w:val="26"/>
  </w:num>
  <w:num w:numId="22" w16cid:durableId="1062750495">
    <w:abstractNumId w:val="8"/>
  </w:num>
  <w:num w:numId="23" w16cid:durableId="1076441166">
    <w:abstractNumId w:val="21"/>
  </w:num>
  <w:num w:numId="24" w16cid:durableId="2094937939">
    <w:abstractNumId w:val="34"/>
  </w:num>
  <w:num w:numId="25" w16cid:durableId="1447121372">
    <w:abstractNumId w:val="1"/>
  </w:num>
  <w:num w:numId="26" w16cid:durableId="755591330">
    <w:abstractNumId w:val="14"/>
  </w:num>
  <w:num w:numId="27" w16cid:durableId="54552528">
    <w:abstractNumId w:val="9"/>
  </w:num>
  <w:num w:numId="28" w16cid:durableId="1681353460">
    <w:abstractNumId w:val="16"/>
  </w:num>
  <w:num w:numId="29" w16cid:durableId="1826193181">
    <w:abstractNumId w:val="25"/>
  </w:num>
  <w:num w:numId="30" w16cid:durableId="714281847">
    <w:abstractNumId w:val="27"/>
  </w:num>
  <w:num w:numId="31" w16cid:durableId="718823686">
    <w:abstractNumId w:val="4"/>
  </w:num>
  <w:num w:numId="32" w16cid:durableId="1759327623">
    <w:abstractNumId w:val="20"/>
  </w:num>
  <w:num w:numId="33" w16cid:durableId="13043289">
    <w:abstractNumId w:val="35"/>
  </w:num>
  <w:num w:numId="34" w16cid:durableId="1048996381">
    <w:abstractNumId w:val="7"/>
  </w:num>
  <w:num w:numId="35" w16cid:durableId="817184140">
    <w:abstractNumId w:val="3"/>
  </w:num>
  <w:num w:numId="36" w16cid:durableId="1509442350">
    <w:abstractNumId w:val="19"/>
  </w:num>
  <w:num w:numId="37" w16cid:durableId="13516425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BF9"/>
    <w:rsid w:val="00002A97"/>
    <w:rsid w:val="00006A51"/>
    <w:rsid w:val="00006A68"/>
    <w:rsid w:val="00040816"/>
    <w:rsid w:val="00056F40"/>
    <w:rsid w:val="00061E97"/>
    <w:rsid w:val="00077249"/>
    <w:rsid w:val="00085789"/>
    <w:rsid w:val="0009200C"/>
    <w:rsid w:val="00092B78"/>
    <w:rsid w:val="000A0CA5"/>
    <w:rsid w:val="000B058A"/>
    <w:rsid w:val="000B07A4"/>
    <w:rsid w:val="000B1BE1"/>
    <w:rsid w:val="000B4AA1"/>
    <w:rsid w:val="000C6C1C"/>
    <w:rsid w:val="000D0F21"/>
    <w:rsid w:val="000D70D5"/>
    <w:rsid w:val="000D7194"/>
    <w:rsid w:val="000E1BB6"/>
    <w:rsid w:val="000E507B"/>
    <w:rsid w:val="000F5460"/>
    <w:rsid w:val="00102E0C"/>
    <w:rsid w:val="0011548A"/>
    <w:rsid w:val="00121AA7"/>
    <w:rsid w:val="00126815"/>
    <w:rsid w:val="00130756"/>
    <w:rsid w:val="001517BA"/>
    <w:rsid w:val="00160A65"/>
    <w:rsid w:val="001A11A9"/>
    <w:rsid w:val="001A440A"/>
    <w:rsid w:val="001B4CE5"/>
    <w:rsid w:val="001B5A60"/>
    <w:rsid w:val="001B6D85"/>
    <w:rsid w:val="001B7E51"/>
    <w:rsid w:val="001C7184"/>
    <w:rsid w:val="001D4717"/>
    <w:rsid w:val="001F4714"/>
    <w:rsid w:val="001F64C9"/>
    <w:rsid w:val="00250A3C"/>
    <w:rsid w:val="00255C7D"/>
    <w:rsid w:val="002601DE"/>
    <w:rsid w:val="002768DB"/>
    <w:rsid w:val="002837B1"/>
    <w:rsid w:val="00283A1A"/>
    <w:rsid w:val="00283CD2"/>
    <w:rsid w:val="00290967"/>
    <w:rsid w:val="0029181E"/>
    <w:rsid w:val="002924B7"/>
    <w:rsid w:val="002A617D"/>
    <w:rsid w:val="002B1B4F"/>
    <w:rsid w:val="002B5E46"/>
    <w:rsid w:val="002B733A"/>
    <w:rsid w:val="002C7AF3"/>
    <w:rsid w:val="002D467B"/>
    <w:rsid w:val="002E1807"/>
    <w:rsid w:val="002F3818"/>
    <w:rsid w:val="00302F6E"/>
    <w:rsid w:val="00305F58"/>
    <w:rsid w:val="00324C1C"/>
    <w:rsid w:val="0032702D"/>
    <w:rsid w:val="003336EC"/>
    <w:rsid w:val="00333E92"/>
    <w:rsid w:val="003371F0"/>
    <w:rsid w:val="003525E8"/>
    <w:rsid w:val="003637DE"/>
    <w:rsid w:val="00363958"/>
    <w:rsid w:val="00373510"/>
    <w:rsid w:val="00390DC9"/>
    <w:rsid w:val="003942E1"/>
    <w:rsid w:val="003B080E"/>
    <w:rsid w:val="003C554D"/>
    <w:rsid w:val="003F1200"/>
    <w:rsid w:val="003F428B"/>
    <w:rsid w:val="00404E30"/>
    <w:rsid w:val="00423658"/>
    <w:rsid w:val="004246D6"/>
    <w:rsid w:val="0043231B"/>
    <w:rsid w:val="00434F4B"/>
    <w:rsid w:val="00446F30"/>
    <w:rsid w:val="00464B16"/>
    <w:rsid w:val="00493DE9"/>
    <w:rsid w:val="004A49D0"/>
    <w:rsid w:val="004A5927"/>
    <w:rsid w:val="004B0612"/>
    <w:rsid w:val="004B0C05"/>
    <w:rsid w:val="004B50E7"/>
    <w:rsid w:val="004C2E42"/>
    <w:rsid w:val="004D18B2"/>
    <w:rsid w:val="004D33AD"/>
    <w:rsid w:val="004D36AB"/>
    <w:rsid w:val="004D4528"/>
    <w:rsid w:val="004E14AC"/>
    <w:rsid w:val="004E2585"/>
    <w:rsid w:val="004F5A8D"/>
    <w:rsid w:val="004F793A"/>
    <w:rsid w:val="00506250"/>
    <w:rsid w:val="00511B26"/>
    <w:rsid w:val="00512417"/>
    <w:rsid w:val="005131F2"/>
    <w:rsid w:val="005236C1"/>
    <w:rsid w:val="00524CAA"/>
    <w:rsid w:val="00533DBD"/>
    <w:rsid w:val="00537BBA"/>
    <w:rsid w:val="0055358E"/>
    <w:rsid w:val="005666BB"/>
    <w:rsid w:val="0056763C"/>
    <w:rsid w:val="005736C4"/>
    <w:rsid w:val="00573AED"/>
    <w:rsid w:val="0058524B"/>
    <w:rsid w:val="00594E5C"/>
    <w:rsid w:val="005A0DAC"/>
    <w:rsid w:val="005C227F"/>
    <w:rsid w:val="005F0E7A"/>
    <w:rsid w:val="00613D7F"/>
    <w:rsid w:val="00614F9E"/>
    <w:rsid w:val="00616498"/>
    <w:rsid w:val="00631537"/>
    <w:rsid w:val="00633DF3"/>
    <w:rsid w:val="00646CB1"/>
    <w:rsid w:val="006566FE"/>
    <w:rsid w:val="0066199F"/>
    <w:rsid w:val="006652F4"/>
    <w:rsid w:val="00676798"/>
    <w:rsid w:val="006806AE"/>
    <w:rsid w:val="00683FD3"/>
    <w:rsid w:val="0069400F"/>
    <w:rsid w:val="006966CD"/>
    <w:rsid w:val="006A28D5"/>
    <w:rsid w:val="006A2B91"/>
    <w:rsid w:val="006A5655"/>
    <w:rsid w:val="006D1B0C"/>
    <w:rsid w:val="006D46F9"/>
    <w:rsid w:val="006E218D"/>
    <w:rsid w:val="006F096F"/>
    <w:rsid w:val="006F0B0E"/>
    <w:rsid w:val="006F3FFD"/>
    <w:rsid w:val="006F67A7"/>
    <w:rsid w:val="00700CC1"/>
    <w:rsid w:val="00706718"/>
    <w:rsid w:val="00720294"/>
    <w:rsid w:val="0072206F"/>
    <w:rsid w:val="00722805"/>
    <w:rsid w:val="0074210E"/>
    <w:rsid w:val="0075364A"/>
    <w:rsid w:val="00766768"/>
    <w:rsid w:val="00767475"/>
    <w:rsid w:val="00776FF9"/>
    <w:rsid w:val="0078614F"/>
    <w:rsid w:val="00790188"/>
    <w:rsid w:val="00793737"/>
    <w:rsid w:val="007A76A4"/>
    <w:rsid w:val="007B4884"/>
    <w:rsid w:val="007B562E"/>
    <w:rsid w:val="007C2A67"/>
    <w:rsid w:val="007D4E0F"/>
    <w:rsid w:val="007E5782"/>
    <w:rsid w:val="00802C99"/>
    <w:rsid w:val="00803A2B"/>
    <w:rsid w:val="00813379"/>
    <w:rsid w:val="00815D0C"/>
    <w:rsid w:val="00815E3E"/>
    <w:rsid w:val="00820242"/>
    <w:rsid w:val="0083495F"/>
    <w:rsid w:val="00852E48"/>
    <w:rsid w:val="00852F7D"/>
    <w:rsid w:val="0085360F"/>
    <w:rsid w:val="00865411"/>
    <w:rsid w:val="00880F58"/>
    <w:rsid w:val="0088122F"/>
    <w:rsid w:val="00881ED8"/>
    <w:rsid w:val="008825CD"/>
    <w:rsid w:val="00887019"/>
    <w:rsid w:val="0089127F"/>
    <w:rsid w:val="008938A7"/>
    <w:rsid w:val="00897533"/>
    <w:rsid w:val="008A067F"/>
    <w:rsid w:val="008C7B62"/>
    <w:rsid w:val="008D3C05"/>
    <w:rsid w:val="008E2284"/>
    <w:rsid w:val="008F761B"/>
    <w:rsid w:val="008F7D6C"/>
    <w:rsid w:val="00934049"/>
    <w:rsid w:val="009432A1"/>
    <w:rsid w:val="00951559"/>
    <w:rsid w:val="00972351"/>
    <w:rsid w:val="00973552"/>
    <w:rsid w:val="009773A6"/>
    <w:rsid w:val="0098365B"/>
    <w:rsid w:val="009854D2"/>
    <w:rsid w:val="009920C1"/>
    <w:rsid w:val="00995781"/>
    <w:rsid w:val="009A6EF0"/>
    <w:rsid w:val="009C010B"/>
    <w:rsid w:val="009D2880"/>
    <w:rsid w:val="009D6DDF"/>
    <w:rsid w:val="009D70F7"/>
    <w:rsid w:val="009D77AF"/>
    <w:rsid w:val="009F0D99"/>
    <w:rsid w:val="00A011F5"/>
    <w:rsid w:val="00A26A1E"/>
    <w:rsid w:val="00A347E9"/>
    <w:rsid w:val="00A35798"/>
    <w:rsid w:val="00A40D15"/>
    <w:rsid w:val="00A4159A"/>
    <w:rsid w:val="00A632FE"/>
    <w:rsid w:val="00A70D0C"/>
    <w:rsid w:val="00A712F2"/>
    <w:rsid w:val="00A71426"/>
    <w:rsid w:val="00A74F45"/>
    <w:rsid w:val="00A77441"/>
    <w:rsid w:val="00A813A2"/>
    <w:rsid w:val="00A852DC"/>
    <w:rsid w:val="00AA0E93"/>
    <w:rsid w:val="00AC7AEE"/>
    <w:rsid w:val="00B16FC7"/>
    <w:rsid w:val="00B2113D"/>
    <w:rsid w:val="00B23A5D"/>
    <w:rsid w:val="00B26068"/>
    <w:rsid w:val="00B31837"/>
    <w:rsid w:val="00B378DD"/>
    <w:rsid w:val="00B442DB"/>
    <w:rsid w:val="00B5476E"/>
    <w:rsid w:val="00B5575B"/>
    <w:rsid w:val="00B5682D"/>
    <w:rsid w:val="00B573CE"/>
    <w:rsid w:val="00B7224F"/>
    <w:rsid w:val="00B7379D"/>
    <w:rsid w:val="00B74B7E"/>
    <w:rsid w:val="00BB7164"/>
    <w:rsid w:val="00BC1D83"/>
    <w:rsid w:val="00BC28EF"/>
    <w:rsid w:val="00BC5EC2"/>
    <w:rsid w:val="00BC7229"/>
    <w:rsid w:val="00BE186E"/>
    <w:rsid w:val="00BE4EDF"/>
    <w:rsid w:val="00BF72A2"/>
    <w:rsid w:val="00C0655A"/>
    <w:rsid w:val="00C06CAD"/>
    <w:rsid w:val="00C47AD2"/>
    <w:rsid w:val="00C70EB5"/>
    <w:rsid w:val="00C71EB4"/>
    <w:rsid w:val="00C811A3"/>
    <w:rsid w:val="00C93A70"/>
    <w:rsid w:val="00CA033F"/>
    <w:rsid w:val="00CD23B0"/>
    <w:rsid w:val="00CE5CD7"/>
    <w:rsid w:val="00CF0790"/>
    <w:rsid w:val="00CF0863"/>
    <w:rsid w:val="00CF2DB0"/>
    <w:rsid w:val="00D02068"/>
    <w:rsid w:val="00D06E0F"/>
    <w:rsid w:val="00D07C62"/>
    <w:rsid w:val="00D15111"/>
    <w:rsid w:val="00D172FA"/>
    <w:rsid w:val="00D26A5D"/>
    <w:rsid w:val="00D3262B"/>
    <w:rsid w:val="00D34E2C"/>
    <w:rsid w:val="00D40B12"/>
    <w:rsid w:val="00D64D96"/>
    <w:rsid w:val="00D735F3"/>
    <w:rsid w:val="00D81108"/>
    <w:rsid w:val="00DA2A6D"/>
    <w:rsid w:val="00DA3658"/>
    <w:rsid w:val="00DA5C65"/>
    <w:rsid w:val="00DA780B"/>
    <w:rsid w:val="00DB6C5D"/>
    <w:rsid w:val="00DB7AB7"/>
    <w:rsid w:val="00DC4947"/>
    <w:rsid w:val="00DC534E"/>
    <w:rsid w:val="00DD6E57"/>
    <w:rsid w:val="00DF3E4A"/>
    <w:rsid w:val="00E011D1"/>
    <w:rsid w:val="00E069D6"/>
    <w:rsid w:val="00E31CF2"/>
    <w:rsid w:val="00E55777"/>
    <w:rsid w:val="00E61FE9"/>
    <w:rsid w:val="00E74AB7"/>
    <w:rsid w:val="00E74B88"/>
    <w:rsid w:val="00E810E2"/>
    <w:rsid w:val="00E90486"/>
    <w:rsid w:val="00E90B5A"/>
    <w:rsid w:val="00E90D5B"/>
    <w:rsid w:val="00E92B6E"/>
    <w:rsid w:val="00E93DE9"/>
    <w:rsid w:val="00EA6BFF"/>
    <w:rsid w:val="00EB408C"/>
    <w:rsid w:val="00ED4895"/>
    <w:rsid w:val="00EE2C76"/>
    <w:rsid w:val="00F06C76"/>
    <w:rsid w:val="00F224E0"/>
    <w:rsid w:val="00F33BF9"/>
    <w:rsid w:val="00F40258"/>
    <w:rsid w:val="00F4130D"/>
    <w:rsid w:val="00F41BC8"/>
    <w:rsid w:val="00F439CC"/>
    <w:rsid w:val="00F43BFC"/>
    <w:rsid w:val="00F445DA"/>
    <w:rsid w:val="00F46F86"/>
    <w:rsid w:val="00F541A4"/>
    <w:rsid w:val="00F62087"/>
    <w:rsid w:val="00F635F4"/>
    <w:rsid w:val="00F64B56"/>
    <w:rsid w:val="00F769EB"/>
    <w:rsid w:val="00F81AAB"/>
    <w:rsid w:val="00F96955"/>
    <w:rsid w:val="00FA2B98"/>
    <w:rsid w:val="00FA3E25"/>
    <w:rsid w:val="00FB4BFA"/>
    <w:rsid w:val="00FC3406"/>
    <w:rsid w:val="00FD6FCB"/>
    <w:rsid w:val="00FD788C"/>
    <w:rsid w:val="00FF3764"/>
    <w:rsid w:val="00FF51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FE017"/>
  <w15:chartTrackingRefBased/>
  <w15:docId w15:val="{44F02B58-5D7C-4DDE-9DF7-249510A9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hAnsi="Arial"/>
      <w:sz w:val="22"/>
      <w:szCs w:val="24"/>
    </w:rPr>
  </w:style>
  <w:style w:type="paragraph" w:styleId="2">
    <w:name w:val="heading 2"/>
    <w:basedOn w:val="a"/>
    <w:next w:val="a"/>
    <w:qFormat/>
    <w:pPr>
      <w:keepNext/>
      <w:jc w:val="right"/>
      <w:outlineLvl w:val="1"/>
    </w:pPr>
    <w:rPr>
      <w:sz w:val="24"/>
      <w:szCs w:val="20"/>
    </w:rPr>
  </w:style>
  <w:style w:type="paragraph" w:styleId="3">
    <w:name w:val="heading 3"/>
    <w:basedOn w:val="a"/>
    <w:next w:val="a"/>
    <w:qFormat/>
    <w:pPr>
      <w:keepNext/>
      <w:outlineLvl w:val="2"/>
    </w:pPr>
    <w:rPr>
      <w:b/>
      <w:sz w:val="24"/>
      <w:szCs w:val="20"/>
    </w:rPr>
  </w:style>
  <w:style w:type="paragraph" w:styleId="4">
    <w:name w:val="heading 4"/>
    <w:basedOn w:val="a"/>
    <w:next w:val="a"/>
    <w:link w:val="4Char"/>
    <w:uiPriority w:val="9"/>
    <w:semiHidden/>
    <w:unhideWhenUsed/>
    <w:qFormat/>
    <w:rsid w:val="007E5782"/>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D3262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pPr>
      <w:tabs>
        <w:tab w:val="center" w:pos="4153"/>
        <w:tab w:val="right" w:pos="8306"/>
      </w:tabs>
    </w:pPr>
  </w:style>
  <w:style w:type="paragraph" w:styleId="a4">
    <w:name w:val="footer"/>
    <w:basedOn w:val="a"/>
    <w:link w:val="Char0"/>
    <w:uiPriority w:val="99"/>
    <w:pPr>
      <w:tabs>
        <w:tab w:val="center" w:pos="4153"/>
        <w:tab w:val="right" w:pos="8306"/>
      </w:tabs>
    </w:pPr>
  </w:style>
  <w:style w:type="character" w:styleId="-">
    <w:name w:val="Hyperlink"/>
    <w:rsid w:val="00F4130D"/>
    <w:rPr>
      <w:color w:val="0000FF"/>
      <w:u w:val="single"/>
    </w:rPr>
  </w:style>
  <w:style w:type="paragraph" w:styleId="a5">
    <w:name w:val="Balloon Text"/>
    <w:basedOn w:val="a"/>
    <w:semiHidden/>
    <w:rsid w:val="00B7379D"/>
    <w:rPr>
      <w:rFonts w:ascii="Tahoma" w:hAnsi="Tahoma" w:cs="Tahoma"/>
      <w:sz w:val="16"/>
      <w:szCs w:val="16"/>
    </w:rPr>
  </w:style>
  <w:style w:type="character" w:styleId="a6">
    <w:name w:val="Strong"/>
    <w:qFormat/>
    <w:rsid w:val="00972351"/>
    <w:rPr>
      <w:b/>
      <w:bCs/>
    </w:rPr>
  </w:style>
  <w:style w:type="character" w:customStyle="1" w:styleId="Char">
    <w:name w:val="Κεφαλίδα Char"/>
    <w:link w:val="a3"/>
    <w:rsid w:val="00BC7229"/>
    <w:rPr>
      <w:rFonts w:ascii="Arial" w:hAnsi="Arial"/>
      <w:sz w:val="22"/>
      <w:szCs w:val="24"/>
    </w:rPr>
  </w:style>
  <w:style w:type="character" w:customStyle="1" w:styleId="Char0">
    <w:name w:val="Υποσέλιδο Char"/>
    <w:link w:val="a4"/>
    <w:uiPriority w:val="99"/>
    <w:rsid w:val="00776FF9"/>
    <w:rPr>
      <w:rFonts w:ascii="Arial" w:hAnsi="Arial"/>
      <w:sz w:val="22"/>
      <w:szCs w:val="24"/>
      <w:lang w:val="el-GR" w:eastAsia="el-GR"/>
    </w:rPr>
  </w:style>
  <w:style w:type="character" w:customStyle="1" w:styleId="5Char">
    <w:name w:val="Επικεφαλίδα 5 Char"/>
    <w:link w:val="5"/>
    <w:uiPriority w:val="9"/>
    <w:semiHidden/>
    <w:rsid w:val="00D3262B"/>
    <w:rPr>
      <w:rFonts w:ascii="Calibri" w:eastAsia="Times New Roman" w:hAnsi="Calibri" w:cs="Times New Roman"/>
      <w:b/>
      <w:bCs/>
      <w:i/>
      <w:iCs/>
      <w:sz w:val="26"/>
      <w:szCs w:val="26"/>
    </w:rPr>
  </w:style>
  <w:style w:type="table" w:styleId="a7">
    <w:name w:val="Table Grid"/>
    <w:basedOn w:val="a1"/>
    <w:uiPriority w:val="39"/>
    <w:rsid w:val="006F3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8F7D6C"/>
    <w:rPr>
      <w:color w:val="605E5C"/>
      <w:shd w:val="clear" w:color="auto" w:fill="E1DFDD"/>
    </w:rPr>
  </w:style>
  <w:style w:type="paragraph" w:styleId="a9">
    <w:name w:val="List Paragraph"/>
    <w:basedOn w:val="a"/>
    <w:uiPriority w:val="34"/>
    <w:qFormat/>
    <w:rsid w:val="00AC7AEE"/>
    <w:pPr>
      <w:ind w:left="720"/>
      <w:contextualSpacing/>
    </w:pPr>
  </w:style>
  <w:style w:type="character" w:customStyle="1" w:styleId="4Char">
    <w:name w:val="Επικεφαλίδα 4 Char"/>
    <w:basedOn w:val="a0"/>
    <w:link w:val="4"/>
    <w:uiPriority w:val="9"/>
    <w:semiHidden/>
    <w:rsid w:val="007E5782"/>
    <w:rPr>
      <w:rFonts w:asciiTheme="majorHAnsi" w:eastAsiaTheme="majorEastAsia" w:hAnsiTheme="majorHAnsi" w:cstheme="majorBidi"/>
      <w:i/>
      <w:iCs/>
      <w:color w:val="2F5496" w:themeColor="accent1" w:themeShade="BF"/>
      <w:sz w:val="22"/>
      <w:szCs w:val="24"/>
    </w:rPr>
  </w:style>
  <w:style w:type="table" w:customStyle="1" w:styleId="1">
    <w:name w:val="Πλέγμα πίνακα1"/>
    <w:basedOn w:val="a1"/>
    <w:next w:val="a7"/>
    <w:uiPriority w:val="39"/>
    <w:rsid w:val="00683FD3"/>
    <w:pPr>
      <w:jc w:val="both"/>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1"/>
    <w:next w:val="a7"/>
    <w:uiPriority w:val="59"/>
    <w:rsid w:val="0063153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860209">
      <w:bodyDiv w:val="1"/>
      <w:marLeft w:val="0"/>
      <w:marRight w:val="0"/>
      <w:marTop w:val="0"/>
      <w:marBottom w:val="0"/>
      <w:divBdr>
        <w:top w:val="none" w:sz="0" w:space="0" w:color="auto"/>
        <w:left w:val="none" w:sz="0" w:space="0" w:color="auto"/>
        <w:bottom w:val="none" w:sz="0" w:space="0" w:color="auto"/>
        <w:right w:val="none" w:sz="0" w:space="0" w:color="auto"/>
      </w:divBdr>
    </w:div>
    <w:div w:id="1144349400">
      <w:bodyDiv w:val="1"/>
      <w:marLeft w:val="0"/>
      <w:marRight w:val="0"/>
      <w:marTop w:val="0"/>
      <w:marBottom w:val="0"/>
      <w:divBdr>
        <w:top w:val="none" w:sz="0" w:space="0" w:color="auto"/>
        <w:left w:val="none" w:sz="0" w:space="0" w:color="auto"/>
        <w:bottom w:val="none" w:sz="0" w:space="0" w:color="auto"/>
        <w:right w:val="none" w:sz="0" w:space="0" w:color="auto"/>
      </w:divBdr>
    </w:div>
    <w:div w:id="1204974993">
      <w:bodyDiv w:val="1"/>
      <w:marLeft w:val="0"/>
      <w:marRight w:val="0"/>
      <w:marTop w:val="0"/>
      <w:marBottom w:val="0"/>
      <w:divBdr>
        <w:top w:val="none" w:sz="0" w:space="0" w:color="auto"/>
        <w:left w:val="none" w:sz="0" w:space="0" w:color="auto"/>
        <w:bottom w:val="none" w:sz="0" w:space="0" w:color="auto"/>
        <w:right w:val="none" w:sz="0" w:space="0" w:color="auto"/>
      </w:divBdr>
    </w:div>
    <w:div w:id="203641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A619D-ADCA-453A-B13E-7FEC3C7D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2143</Words>
  <Characters>13118</Characters>
  <Application>Microsoft Office Word</Application>
  <DocSecurity>0</DocSecurity>
  <Lines>109</Lines>
  <Paragraphs>30</Paragraphs>
  <ScaleCrop>false</ScaleCrop>
  <HeadingPairs>
    <vt:vector size="2" baseType="variant">
      <vt:variant>
        <vt:lpstr>Τίτλος</vt:lpstr>
      </vt:variant>
      <vt:variant>
        <vt:i4>1</vt:i4>
      </vt:variant>
    </vt:vector>
  </HeadingPairs>
  <TitlesOfParts>
    <vt:vector size="1" baseType="lpstr">
      <vt:lpstr/>
    </vt:vector>
  </TitlesOfParts>
  <Company>sbbe</Company>
  <LinksUpToDate>false</LinksUpToDate>
  <CharactersWithSpaces>15231</CharactersWithSpaces>
  <SharedDoc>false</SharedDoc>
  <HLinks>
    <vt:vector size="6" baseType="variant">
      <vt:variant>
        <vt:i4>4325502</vt:i4>
      </vt:variant>
      <vt:variant>
        <vt:i4>0</vt:i4>
      </vt:variant>
      <vt:variant>
        <vt:i4>0</vt:i4>
      </vt:variant>
      <vt:variant>
        <vt:i4>5</vt:i4>
      </vt:variant>
      <vt:variant>
        <vt:lpwstr>mailto:georgiou@sbbe.gr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Sofianou</dc:creator>
  <cp:keywords/>
  <dc:description/>
  <cp:lastModifiedBy>Panou</cp:lastModifiedBy>
  <cp:revision>26</cp:revision>
  <cp:lastPrinted>2023-08-28T12:59:00Z</cp:lastPrinted>
  <dcterms:created xsi:type="dcterms:W3CDTF">2023-07-26T07:32:00Z</dcterms:created>
  <dcterms:modified xsi:type="dcterms:W3CDTF">2023-08-29T07:52:00Z</dcterms:modified>
</cp:coreProperties>
</file>