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721D" w14:textId="10AFDFAE" w:rsidR="00D452F2" w:rsidRDefault="00BD1140">
      <w:pPr>
        <w:spacing w:after="0" w:line="240" w:lineRule="auto"/>
        <w:rPr>
          <w:rFonts w:eastAsia="SimSun" w:cs="Calibri"/>
          <w:b/>
          <w:bCs/>
          <w:color w:val="4F6228"/>
          <w:sz w:val="24"/>
          <w:szCs w:val="20"/>
          <w:lang w:val="en-GB"/>
        </w:rPr>
      </w:pPr>
      <w:r>
        <w:rPr>
          <w:noProof/>
        </w:rPr>
        <w:drawing>
          <wp:anchor distT="0" distB="0" distL="114300" distR="114300" simplePos="0" relativeHeight="251656187" behindDoc="0" locked="0" layoutInCell="1" allowOverlap="1" wp14:anchorId="4624D8E6" wp14:editId="4327F8D1">
            <wp:simplePos x="0" y="0"/>
            <wp:positionH relativeFrom="page">
              <wp:posOffset>0</wp:posOffset>
            </wp:positionH>
            <wp:positionV relativeFrom="paragraph">
              <wp:posOffset>0</wp:posOffset>
            </wp:positionV>
            <wp:extent cx="7556500" cy="10680700"/>
            <wp:effectExtent l="0" t="0" r="6350" b="6350"/>
            <wp:wrapSquare wrapText="bothSides"/>
            <wp:docPr id="203173318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33188" name="Picture 3"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anchor>
        </w:drawing>
      </w:r>
      <w:r w:rsidR="00D21C91" w:rsidRPr="00D21C91">
        <w:rPr>
          <w:rFonts w:eastAsia="SimSun" w:cs="Calibri"/>
          <w:b/>
          <w:bCs/>
          <w:noProof/>
          <w:color w:val="4F6228"/>
          <w:sz w:val="24"/>
          <w:szCs w:val="20"/>
          <w:lang w:val="en-GB"/>
        </w:rPr>
        <mc:AlternateContent>
          <mc:Choice Requires="wps">
            <w:drawing>
              <wp:anchor distT="45720" distB="45720" distL="114300" distR="114300" simplePos="0" relativeHeight="251657212" behindDoc="0" locked="0" layoutInCell="1" allowOverlap="1" wp14:anchorId="5F17DF51" wp14:editId="1E4ECA10">
                <wp:simplePos x="0" y="0"/>
                <wp:positionH relativeFrom="margin">
                  <wp:posOffset>-228600</wp:posOffset>
                </wp:positionH>
                <wp:positionV relativeFrom="paragraph">
                  <wp:posOffset>2459355</wp:posOffset>
                </wp:positionV>
                <wp:extent cx="27622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chemeClr val="bg1"/>
                        </a:solidFill>
                        <a:ln w="9525">
                          <a:solidFill>
                            <a:schemeClr val="bg1"/>
                          </a:solidFill>
                          <a:miter lim="800000"/>
                          <a:headEnd/>
                          <a:tailEnd/>
                        </a:ln>
                      </wps:spPr>
                      <wps:txbx>
                        <w:txbxContent>
                          <w:p w14:paraId="70A7B573" w14:textId="521A8B1A" w:rsidR="00D21C91" w:rsidRPr="00D21C91" w:rsidRDefault="00D21C91">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7DF51" id="_x0000_t202" coordsize="21600,21600" o:spt="202" path="m,l,21600r21600,l21600,xe">
                <v:stroke joinstyle="miter"/>
                <v:path gradientshapeok="t" o:connecttype="rect"/>
              </v:shapetype>
              <v:shape id="Text Box 2" o:spid="_x0000_s1026" type="#_x0000_t202" style="position:absolute;margin-left:-18pt;margin-top:193.65pt;width:217.5pt;height:110.6pt;z-index:2516572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" fillcolor="white [3212]" strokecolor="white [3212]">
                <v:textbox style="mso-fit-shape-to-text:t">
                  <w:txbxContent>
                    <w:p w14:paraId="70A7B573" w14:textId="521A8B1A" w:rsidR="00D21C91" w:rsidRPr="00D21C91" w:rsidRDefault="00D21C91">
                      <w:pPr>
                        <w:rPr>
                          <w:lang w:val="en-US"/>
                        </w:rPr>
                      </w:pPr>
                    </w:p>
                  </w:txbxContent>
                </v:textbox>
                <w10:wrap type="square" anchorx="margin"/>
              </v:shape>
            </w:pict>
          </mc:Fallback>
        </mc:AlternateContent>
      </w:r>
      <w:r w:rsidR="00261928">
        <w:rPr>
          <w:noProof/>
        </w:rPr>
        <mc:AlternateContent>
          <mc:Choice Requires="wps">
            <w:drawing>
              <wp:anchor distT="0" distB="0" distL="114300" distR="114300" simplePos="0" relativeHeight="251659262" behindDoc="0" locked="0" layoutInCell="1" allowOverlap="1" wp14:anchorId="7FCBDB38" wp14:editId="635D22CF">
                <wp:simplePos x="0" y="0"/>
                <wp:positionH relativeFrom="page">
                  <wp:align>right</wp:align>
                </wp:positionH>
                <wp:positionV relativeFrom="paragraph">
                  <wp:posOffset>1240155</wp:posOffset>
                </wp:positionV>
                <wp:extent cx="7007225" cy="1552575"/>
                <wp:effectExtent l="0" t="0" r="0" b="0"/>
                <wp:wrapNone/>
                <wp:docPr id="28"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552575"/>
                        </a:xfrm>
                        <a:prstGeom prst="rect">
                          <a:avLst/>
                        </a:prstGeom>
                        <a:noFill/>
                        <a:ln w="6350">
                          <a:noFill/>
                        </a:ln>
                        <a:effectLst/>
                      </wps:spPr>
                      <wps:txbx>
                        <w:txbxContent>
                          <w:p w14:paraId="1F55AB45" w14:textId="6D1C2470" w:rsidR="00D452F2" w:rsidRPr="00842C5E" w:rsidRDefault="00261928" w:rsidP="00D452F2">
                            <w:pPr>
                              <w:spacing w:after="0"/>
                              <w:rPr>
                                <w:rFonts w:ascii="Corbel" w:hAnsi="Corbel"/>
                                <w:b/>
                                <w:bCs/>
                                <w:color w:val="1F3864" w:themeColor="accent1" w:themeShade="80"/>
                                <w:sz w:val="56"/>
                                <w:szCs w:val="160"/>
                              </w:rPr>
                            </w:pPr>
                            <w:r>
                              <w:rPr>
                                <w:rFonts w:ascii="Corbel" w:hAnsi="Corbel"/>
                                <w:b/>
                                <w:bCs/>
                                <w:color w:val="1F3864" w:themeColor="accent1" w:themeShade="80"/>
                                <w:sz w:val="56"/>
                                <w:szCs w:val="160"/>
                              </w:rPr>
                              <w:t>Δελτίο Τύπου</w:t>
                            </w:r>
                          </w:p>
                          <w:p w14:paraId="16639AD5" w14:textId="77777777" w:rsidR="00261928" w:rsidRPr="00842C5E" w:rsidRDefault="00261928" w:rsidP="00261928">
                            <w:pPr>
                              <w:spacing w:after="0"/>
                              <w:rPr>
                                <w:rFonts w:ascii="Corbel" w:hAnsi="Corbel"/>
                                <w:color w:val="1F3864" w:themeColor="accent1" w:themeShade="80"/>
                                <w:sz w:val="56"/>
                                <w:szCs w:val="160"/>
                              </w:rPr>
                            </w:pPr>
                            <w:r w:rsidRPr="00842C5E">
                              <w:rPr>
                                <w:rFonts w:ascii="Corbel" w:hAnsi="Corbel"/>
                                <w:color w:val="1F3864" w:themeColor="accent1" w:themeShade="80"/>
                                <w:sz w:val="56"/>
                                <w:szCs w:val="160"/>
                              </w:rPr>
                              <w:t xml:space="preserve">ΟΙΚΟΝΟΜΙΚΑ ΑΠΟΤΕΛΕΣΜΑΤΑ </w:t>
                            </w:r>
                          </w:p>
                          <w:p w14:paraId="283387D6" w14:textId="5A4DCE8F" w:rsidR="00AF0901" w:rsidRPr="00261928" w:rsidRDefault="00261928" w:rsidP="00261928">
                            <w:pPr>
                              <w:spacing w:after="0"/>
                            </w:pPr>
                            <w:r w:rsidRPr="00842C5E">
                              <w:rPr>
                                <w:rFonts w:ascii="Corbel" w:hAnsi="Corbel"/>
                                <w:color w:val="1F3864" w:themeColor="accent1" w:themeShade="80"/>
                                <w:sz w:val="56"/>
                                <w:szCs w:val="160"/>
                              </w:rPr>
                              <w:t xml:space="preserve">ΠΡΩΤΟΥ ΕΞΑΜΗΝΟΥ </w:t>
                            </w:r>
                            <w:r w:rsidRPr="00842C5E">
                              <w:rPr>
                                <w:rFonts w:asciiTheme="minorHAnsi" w:hAnsiTheme="minorHAnsi" w:cstheme="minorHAnsi"/>
                                <w:color w:val="1F3864" w:themeColor="accent1" w:themeShade="80"/>
                                <w:sz w:val="56"/>
                                <w:szCs w:val="56"/>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DB38" id="Πλαίσιο κειμένου 4" o:spid="_x0000_s1027" type="#_x0000_t202" style="position:absolute;margin-left:500.55pt;margin-top:97.65pt;width:551.75pt;height:122.2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" filled="f" stroked="f" strokeweight=".5pt">
                <v:textbox>
                  <w:txbxContent>
                    <w:p w14:paraId="1F55AB45" w14:textId="6D1C2470" w:rsidR="00D452F2" w:rsidRPr="00842C5E" w:rsidRDefault="00261928" w:rsidP="00D452F2">
                      <w:pPr>
                        <w:spacing w:after="0"/>
                        <w:rPr>
                          <w:rFonts w:ascii="Corbel" w:hAnsi="Corbel"/>
                          <w:b/>
                          <w:bCs/>
                          <w:color w:val="1F3864" w:themeColor="accent1" w:themeShade="80"/>
                          <w:sz w:val="56"/>
                          <w:szCs w:val="160"/>
                        </w:rPr>
                      </w:pPr>
                      <w:r>
                        <w:rPr>
                          <w:rFonts w:ascii="Corbel" w:hAnsi="Corbel"/>
                          <w:b/>
                          <w:bCs/>
                          <w:color w:val="1F3864" w:themeColor="accent1" w:themeShade="80"/>
                          <w:sz w:val="56"/>
                          <w:szCs w:val="160"/>
                        </w:rPr>
                        <w:t>Δελτίο Τύπου</w:t>
                      </w:r>
                    </w:p>
                    <w:p w14:paraId="16639AD5" w14:textId="77777777" w:rsidR="00261928" w:rsidRPr="00842C5E" w:rsidRDefault="00261928" w:rsidP="00261928">
                      <w:pPr>
                        <w:spacing w:after="0"/>
                        <w:rPr>
                          <w:rFonts w:ascii="Corbel" w:hAnsi="Corbel"/>
                          <w:color w:val="1F3864" w:themeColor="accent1" w:themeShade="80"/>
                          <w:sz w:val="56"/>
                          <w:szCs w:val="160"/>
                        </w:rPr>
                      </w:pPr>
                      <w:r w:rsidRPr="00842C5E">
                        <w:rPr>
                          <w:rFonts w:ascii="Corbel" w:hAnsi="Corbel"/>
                          <w:color w:val="1F3864" w:themeColor="accent1" w:themeShade="80"/>
                          <w:sz w:val="56"/>
                          <w:szCs w:val="160"/>
                        </w:rPr>
                        <w:t xml:space="preserve">ΟΙΚΟΝΟΜΙΚΑ ΑΠΟΤΕΛΕΣΜΑΤΑ </w:t>
                      </w:r>
                    </w:p>
                    <w:p w14:paraId="283387D6" w14:textId="5A4DCE8F" w:rsidR="00AF0901" w:rsidRPr="00261928" w:rsidRDefault="00261928" w:rsidP="00261928">
                      <w:pPr>
                        <w:spacing w:after="0"/>
                      </w:pPr>
                      <w:r w:rsidRPr="00842C5E">
                        <w:rPr>
                          <w:rFonts w:ascii="Corbel" w:hAnsi="Corbel"/>
                          <w:color w:val="1F3864" w:themeColor="accent1" w:themeShade="80"/>
                          <w:sz w:val="56"/>
                          <w:szCs w:val="160"/>
                        </w:rPr>
                        <w:t xml:space="preserve">ΠΡΩΤΟΥ ΕΞΑΜΗΝΟΥ </w:t>
                      </w:r>
                      <w:r w:rsidRPr="00842C5E">
                        <w:rPr>
                          <w:rFonts w:asciiTheme="minorHAnsi" w:hAnsiTheme="minorHAnsi" w:cstheme="minorHAnsi"/>
                          <w:color w:val="1F3864" w:themeColor="accent1" w:themeShade="80"/>
                          <w:sz w:val="56"/>
                          <w:szCs w:val="56"/>
                        </w:rPr>
                        <w:t>2023</w:t>
                      </w:r>
                    </w:p>
                  </w:txbxContent>
                </v:textbox>
                <w10:wrap anchorx="page"/>
              </v:shape>
            </w:pict>
          </mc:Fallback>
        </mc:AlternateContent>
      </w:r>
      <w:r w:rsidR="00D452F2">
        <w:rPr>
          <w:noProof/>
        </w:rPr>
        <mc:AlternateContent>
          <mc:Choice Requires="wps">
            <w:drawing>
              <wp:anchor distT="45720" distB="45720" distL="114300" distR="114300" simplePos="0" relativeHeight="251663360" behindDoc="0" locked="0" layoutInCell="1" allowOverlap="1" wp14:anchorId="675C2C5F" wp14:editId="21D00D53">
                <wp:simplePos x="0" y="0"/>
                <wp:positionH relativeFrom="margin">
                  <wp:posOffset>-257175</wp:posOffset>
                </wp:positionH>
                <wp:positionV relativeFrom="paragraph">
                  <wp:posOffset>9472295</wp:posOffset>
                </wp:positionV>
                <wp:extent cx="2844800" cy="483870"/>
                <wp:effectExtent l="0" t="0" r="0" b="2540"/>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483870"/>
                        </a:xfrm>
                        <a:prstGeom prst="rect">
                          <a:avLst/>
                        </a:prstGeom>
                        <a:solidFill>
                          <a:srgbClr val="FFFFFF"/>
                        </a:solidFill>
                        <a:ln w="9525">
                          <a:noFill/>
                          <a:miter lim="800000"/>
                          <a:headEnd/>
                          <a:tailEnd/>
                        </a:ln>
                      </wps:spPr>
                      <wps:txbx>
                        <w:txbxContent>
                          <w:p w14:paraId="60566017" w14:textId="341B7280" w:rsidR="00D452F2" w:rsidRPr="00FC73FA" w:rsidRDefault="00FC73FA" w:rsidP="00D452F2">
                            <w:pPr>
                              <w:spacing w:after="0"/>
                              <w:rPr>
                                <w:rFonts w:ascii="Gotham" w:hAnsi="Gotham"/>
                                <w:b/>
                                <w:color w:val="808080" w:themeColor="background1" w:themeShade="80"/>
                              </w:rPr>
                            </w:pPr>
                            <w:r>
                              <w:rPr>
                                <w:rFonts w:ascii="Gotham" w:hAnsi="Gotham"/>
                                <w:b/>
                                <w:color w:val="808080" w:themeColor="background1" w:themeShade="80"/>
                              </w:rPr>
                              <w:t>ΡΥΘΜΙΖΟΜΕΝΗ ΠΛΗΡΟΦΟΡΙΑ</w:t>
                            </w:r>
                          </w:p>
                          <w:p w14:paraId="6CB12DB1" w14:textId="68EE92C7" w:rsidR="00D452F2" w:rsidRPr="00FC73FA" w:rsidRDefault="00FC73FA" w:rsidP="00D452F2">
                            <w:pPr>
                              <w:spacing w:after="0"/>
                              <w:rPr>
                                <w:rFonts w:ascii="Gotham" w:hAnsi="Gotham"/>
                                <w:b/>
                                <w:color w:val="808080" w:themeColor="background1" w:themeShade="80"/>
                              </w:rPr>
                            </w:pPr>
                            <w:r>
                              <w:rPr>
                                <w:rFonts w:ascii="Gotham" w:hAnsi="Gotham"/>
                                <w:b/>
                                <w:color w:val="808080" w:themeColor="background1" w:themeShade="80"/>
                              </w:rPr>
                              <w:t>ΕΜΠΙΣΤΕΥΤΙΚΗ ΠΛΗΡΟΦΟΡΙΑ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C2C5F" id="Πλαίσιο κειμένου 6" o:spid="_x0000_s1028" type="#_x0000_t202" style="position:absolute;margin-left:-20.25pt;margin-top:745.85pt;width:224pt;height:38.1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" stroked="f">
                <v:textbox style="mso-fit-shape-to-text:t">
                  <w:txbxContent>
                    <w:p w14:paraId="60566017" w14:textId="341B7280" w:rsidR="00D452F2" w:rsidRPr="00FC73FA" w:rsidRDefault="00FC73FA" w:rsidP="00D452F2">
                      <w:pPr>
                        <w:spacing w:after="0"/>
                        <w:rPr>
                          <w:rFonts w:ascii="Gotham" w:hAnsi="Gotham"/>
                          <w:b/>
                          <w:color w:val="808080" w:themeColor="background1" w:themeShade="80"/>
                        </w:rPr>
                      </w:pPr>
                      <w:r>
                        <w:rPr>
                          <w:rFonts w:ascii="Gotham" w:hAnsi="Gotham"/>
                          <w:b/>
                          <w:color w:val="808080" w:themeColor="background1" w:themeShade="80"/>
                        </w:rPr>
                        <w:t>ΡΥΘΜΙΖΟΜΕΝΗ ΠΛΗΡΟΦΟΡΙΑ</w:t>
                      </w:r>
                    </w:p>
                    <w:p w14:paraId="6CB12DB1" w14:textId="68EE92C7" w:rsidR="00D452F2" w:rsidRPr="00FC73FA" w:rsidRDefault="00FC73FA" w:rsidP="00D452F2">
                      <w:pPr>
                        <w:spacing w:after="0"/>
                        <w:rPr>
                          <w:rFonts w:ascii="Gotham" w:hAnsi="Gotham"/>
                          <w:b/>
                          <w:color w:val="808080" w:themeColor="background1" w:themeShade="80"/>
                        </w:rPr>
                      </w:pPr>
                      <w:r>
                        <w:rPr>
                          <w:rFonts w:ascii="Gotham" w:hAnsi="Gotham"/>
                          <w:b/>
                          <w:color w:val="808080" w:themeColor="background1" w:themeShade="80"/>
                        </w:rPr>
                        <w:t>ΕΜΠΙΣΤΕΥΤΙΚΗ ΠΛΗΡΟΦΟΡΙΑ</w:t>
                      </w:r>
                    </w:p>
                  </w:txbxContent>
                </v:textbox>
                <w10:wrap type="square" anchorx="margin"/>
              </v:shape>
            </w:pict>
          </mc:Fallback>
        </mc:AlternateContent>
      </w:r>
      <w:r w:rsidR="00D452F2">
        <w:rPr>
          <w:rFonts w:eastAsia="SimSun" w:cs="Calibri"/>
          <w:b/>
          <w:bCs/>
          <w:color w:val="4F6228"/>
          <w:sz w:val="24"/>
          <w:szCs w:val="20"/>
          <w:lang w:val="en-GB"/>
        </w:rPr>
        <w:br w:type="page"/>
      </w:r>
    </w:p>
    <w:p w14:paraId="1C49C401" w14:textId="77777777" w:rsidR="00D452F2" w:rsidRDefault="00D452F2" w:rsidP="006B321F">
      <w:pPr>
        <w:spacing w:after="120" w:line="240" w:lineRule="auto"/>
        <w:jc w:val="both"/>
        <w:rPr>
          <w:rFonts w:eastAsia="SimSun" w:cs="Calibri"/>
          <w:b/>
          <w:bCs/>
          <w:color w:val="4F6228"/>
          <w:sz w:val="24"/>
          <w:szCs w:val="20"/>
          <w:lang w:val="en-GB"/>
        </w:rPr>
        <w:sectPr w:rsidR="00D452F2" w:rsidSect="00D452F2">
          <w:headerReference w:type="default" r:id="rId9"/>
          <w:footerReference w:type="default" r:id="rId10"/>
          <w:footerReference w:type="first" r:id="rId11"/>
          <w:pgSz w:w="11906" w:h="16838" w:code="9"/>
          <w:pgMar w:top="27" w:right="850" w:bottom="0" w:left="1080" w:header="0" w:footer="572" w:gutter="0"/>
          <w:cols w:space="708"/>
          <w:titlePg/>
          <w:docGrid w:linePitch="360"/>
        </w:sectPr>
      </w:pPr>
    </w:p>
    <w:p w14:paraId="56697726" w14:textId="66202DD3" w:rsidR="00B4712C" w:rsidRPr="00885A48" w:rsidRDefault="00885A48" w:rsidP="006B321F">
      <w:pPr>
        <w:spacing w:after="120" w:line="240" w:lineRule="auto"/>
        <w:jc w:val="both"/>
        <w:rPr>
          <w:rFonts w:eastAsia="SimSun" w:cs="Calibri"/>
          <w:b/>
          <w:bCs/>
          <w:color w:val="4F6228"/>
          <w:sz w:val="24"/>
          <w:szCs w:val="20"/>
        </w:rPr>
      </w:pPr>
      <w:r w:rsidRPr="00885A48">
        <w:rPr>
          <w:rFonts w:eastAsia="SimSun" w:cs="Calibri"/>
          <w:b/>
          <w:bCs/>
          <w:color w:val="4F6228"/>
          <w:sz w:val="24"/>
          <w:szCs w:val="20"/>
        </w:rPr>
        <w:lastRenderedPageBreak/>
        <w:t>ΟΙΚΟΝΟΜΙΚΑ ΑΠΟΤΕΛΕΣΜΑΤΑ Α’ ΕΞΑΜΗΝΟΥ 202</w:t>
      </w:r>
      <w:r>
        <w:rPr>
          <w:rFonts w:eastAsia="SimSun" w:cs="Calibri"/>
          <w:b/>
          <w:bCs/>
          <w:color w:val="4F6228"/>
          <w:sz w:val="24"/>
          <w:szCs w:val="20"/>
        </w:rPr>
        <w:t>3</w:t>
      </w:r>
    </w:p>
    <w:p w14:paraId="2166EA1E" w14:textId="42F11A3E" w:rsidR="009D4940" w:rsidRPr="00885A48" w:rsidRDefault="00885A48" w:rsidP="006B321F">
      <w:pPr>
        <w:spacing w:after="120" w:line="240" w:lineRule="auto"/>
        <w:jc w:val="both"/>
        <w:rPr>
          <w:rFonts w:eastAsia="MS Mincho" w:cs="Calibri"/>
          <w:b/>
          <w:sz w:val="20"/>
          <w:szCs w:val="20"/>
        </w:rPr>
      </w:pPr>
      <w:r>
        <w:rPr>
          <w:rFonts w:eastAsia="MS Mincho" w:cs="Calibri"/>
          <w:b/>
          <w:sz w:val="20"/>
          <w:szCs w:val="20"/>
        </w:rPr>
        <w:t>Βρυξέλλες</w:t>
      </w:r>
      <w:r w:rsidR="009D4940" w:rsidRPr="00885A48">
        <w:rPr>
          <w:rFonts w:eastAsia="MS Mincho" w:cs="Calibri"/>
          <w:b/>
          <w:sz w:val="20"/>
          <w:szCs w:val="20"/>
        </w:rPr>
        <w:t xml:space="preserve">, </w:t>
      </w:r>
      <w:r w:rsidR="00635231" w:rsidRPr="00885A48">
        <w:rPr>
          <w:rFonts w:eastAsia="MS Mincho" w:cs="Calibri"/>
          <w:b/>
          <w:sz w:val="20"/>
          <w:szCs w:val="20"/>
        </w:rPr>
        <w:t>20</w:t>
      </w:r>
      <w:r w:rsidR="009D4940" w:rsidRPr="00885A48">
        <w:rPr>
          <w:rFonts w:eastAsia="MS Mincho" w:cs="Calibri"/>
          <w:b/>
          <w:sz w:val="20"/>
          <w:szCs w:val="20"/>
        </w:rPr>
        <w:t xml:space="preserve"> </w:t>
      </w:r>
      <w:r>
        <w:rPr>
          <w:rFonts w:eastAsia="MS Mincho" w:cs="Calibri"/>
          <w:b/>
          <w:sz w:val="20"/>
          <w:szCs w:val="20"/>
        </w:rPr>
        <w:t>Σεπτεμβρίου</w:t>
      </w:r>
      <w:r w:rsidR="006C3C9D" w:rsidRPr="00885A48">
        <w:rPr>
          <w:rFonts w:eastAsia="MS Mincho" w:cs="Calibri"/>
          <w:b/>
          <w:sz w:val="20"/>
          <w:szCs w:val="20"/>
        </w:rPr>
        <w:t xml:space="preserve"> 202</w:t>
      </w:r>
      <w:r w:rsidR="004D597A" w:rsidRPr="00885A48">
        <w:rPr>
          <w:rFonts w:eastAsia="MS Mincho" w:cs="Calibri"/>
          <w:b/>
          <w:sz w:val="20"/>
          <w:szCs w:val="20"/>
        </w:rPr>
        <w:t>3</w:t>
      </w:r>
    </w:p>
    <w:p w14:paraId="48AF6927" w14:textId="6B856A6B" w:rsidR="00635231" w:rsidRPr="00460F07" w:rsidRDefault="00460F07" w:rsidP="00E44573">
      <w:pPr>
        <w:spacing w:after="0" w:line="240" w:lineRule="auto"/>
      </w:pPr>
      <w:r w:rsidRPr="00460F07">
        <w:rPr>
          <w:lang w:val="en-GB"/>
        </w:rPr>
        <w:t xml:space="preserve">Η Cenergy Holdings S.A.  </w:t>
      </w:r>
      <w:r w:rsidRPr="00460F07">
        <w:t xml:space="preserve">(Χρηματιστήριο </w:t>
      </w:r>
      <w:r w:rsidRPr="00460F07">
        <w:rPr>
          <w:lang w:val="en-GB"/>
        </w:rPr>
        <w:t>Euronext</w:t>
      </w:r>
      <w:r w:rsidRPr="00460F07">
        <w:t xml:space="preserve"> Βρυξελλών, Χρηματιστήριο Αθηνών: </w:t>
      </w:r>
      <w:r w:rsidRPr="00460F07">
        <w:rPr>
          <w:lang w:val="en-GB"/>
        </w:rPr>
        <w:t>CENER</w:t>
      </w:r>
      <w:r w:rsidRPr="00460F07">
        <w:t>), στο εξής «</w:t>
      </w:r>
      <w:r w:rsidRPr="00460F07">
        <w:rPr>
          <w:lang w:val="en-GB"/>
        </w:rPr>
        <w:t>Cenergy</w:t>
      </w:r>
      <w:r w:rsidRPr="00460F07">
        <w:t xml:space="preserve"> </w:t>
      </w:r>
      <w:r w:rsidRPr="00460F07">
        <w:rPr>
          <w:lang w:val="en-GB"/>
        </w:rPr>
        <w:t>Holdings</w:t>
      </w:r>
      <w:r w:rsidRPr="00460F07">
        <w:t>» ή «ο Όμιλος», ανακοινώνει σήμερα τα οικονομικά της αποτελέσματα για το α’ εξάμηνο του 202</w:t>
      </w:r>
      <w:r w:rsidRPr="005D5BB7">
        <w:t>3</w:t>
      </w:r>
      <w:r w:rsidRPr="00460F07">
        <w:t xml:space="preserve"> μαζί με την έκδοση της Ενδιάμεσης Έκθεσης για την ίδια περίοδο.</w:t>
      </w:r>
    </w:p>
    <w:p w14:paraId="75917D26" w14:textId="77777777" w:rsidR="00635231" w:rsidRPr="00460F07" w:rsidRDefault="00635231" w:rsidP="00E44573">
      <w:pPr>
        <w:spacing w:after="0" w:line="240" w:lineRule="auto"/>
      </w:pPr>
    </w:p>
    <w:p w14:paraId="07D5B515" w14:textId="6E5D6EE4" w:rsidR="005D5BB7" w:rsidRPr="005D5BB7" w:rsidRDefault="00F54141" w:rsidP="00E44573">
      <w:pPr>
        <w:spacing w:after="0" w:line="240" w:lineRule="auto"/>
        <w:rPr>
          <w:b/>
          <w:bCs/>
          <w:sz w:val="24"/>
          <w:szCs w:val="24"/>
        </w:rPr>
      </w:pPr>
      <w:r>
        <w:rPr>
          <w:b/>
          <w:bCs/>
          <w:sz w:val="24"/>
          <w:szCs w:val="24"/>
        </w:rPr>
        <w:t>Ανάπτυξη</w:t>
      </w:r>
      <w:r w:rsidR="005D5BB7">
        <w:rPr>
          <w:b/>
          <w:bCs/>
          <w:sz w:val="24"/>
          <w:szCs w:val="24"/>
        </w:rPr>
        <w:t xml:space="preserve"> </w:t>
      </w:r>
      <w:r w:rsidR="00BE09F4">
        <w:rPr>
          <w:b/>
          <w:bCs/>
          <w:sz w:val="24"/>
          <w:szCs w:val="24"/>
        </w:rPr>
        <w:t>και στους δύο τομείς</w:t>
      </w:r>
      <w:r>
        <w:rPr>
          <w:b/>
          <w:bCs/>
          <w:sz w:val="24"/>
          <w:szCs w:val="24"/>
        </w:rPr>
        <w:t xml:space="preserve"> </w:t>
      </w:r>
      <w:r w:rsidR="00082910">
        <w:rPr>
          <w:b/>
          <w:bCs/>
          <w:sz w:val="24"/>
          <w:szCs w:val="24"/>
        </w:rPr>
        <w:t>και</w:t>
      </w:r>
      <w:r>
        <w:rPr>
          <w:b/>
          <w:bCs/>
          <w:sz w:val="24"/>
          <w:szCs w:val="24"/>
        </w:rPr>
        <w:t xml:space="preserve"> </w:t>
      </w:r>
      <w:r w:rsidR="005D5BB7" w:rsidRPr="005D5BB7">
        <w:rPr>
          <w:b/>
          <w:bCs/>
          <w:sz w:val="24"/>
          <w:szCs w:val="24"/>
        </w:rPr>
        <w:t>ισχυρές προοπτικές για το σύνολο του έτους</w:t>
      </w:r>
    </w:p>
    <w:p w14:paraId="51175C7A" w14:textId="260A4B0F" w:rsidR="005D5BB7" w:rsidRPr="005D5BB7" w:rsidRDefault="00BE09F4" w:rsidP="00E44573">
      <w:pPr>
        <w:spacing w:after="0" w:line="240" w:lineRule="auto"/>
        <w:rPr>
          <w:b/>
          <w:bCs/>
          <w:sz w:val="24"/>
          <w:szCs w:val="24"/>
        </w:rPr>
      </w:pPr>
      <w:r>
        <w:rPr>
          <w:b/>
          <w:bCs/>
          <w:sz w:val="24"/>
          <w:szCs w:val="24"/>
        </w:rPr>
        <w:t xml:space="preserve">Συνεχίζεται το επενδυτικό σχέδιο </w:t>
      </w:r>
      <w:r w:rsidR="00C53441">
        <w:rPr>
          <w:b/>
          <w:bCs/>
          <w:sz w:val="24"/>
          <w:szCs w:val="24"/>
        </w:rPr>
        <w:t>προκειμένου</w:t>
      </w:r>
      <w:r w:rsidR="005D5BB7" w:rsidRPr="005D5BB7">
        <w:rPr>
          <w:b/>
          <w:bCs/>
          <w:sz w:val="24"/>
          <w:szCs w:val="24"/>
        </w:rPr>
        <w:t xml:space="preserve"> </w:t>
      </w:r>
      <w:r>
        <w:rPr>
          <w:b/>
          <w:bCs/>
          <w:sz w:val="24"/>
          <w:szCs w:val="24"/>
        </w:rPr>
        <w:t xml:space="preserve">να εξυπηρετηθεί </w:t>
      </w:r>
      <w:r w:rsidR="005D5BB7" w:rsidRPr="005D5BB7">
        <w:rPr>
          <w:b/>
          <w:bCs/>
          <w:sz w:val="24"/>
          <w:szCs w:val="24"/>
        </w:rPr>
        <w:t xml:space="preserve">η αυξανόμενη ζήτηση </w:t>
      </w:r>
      <w:r w:rsidR="00E77AF5">
        <w:rPr>
          <w:b/>
          <w:bCs/>
          <w:sz w:val="24"/>
          <w:szCs w:val="24"/>
        </w:rPr>
        <w:t xml:space="preserve">λόγω </w:t>
      </w:r>
      <w:r w:rsidR="005D5BB7" w:rsidRPr="005D5BB7">
        <w:rPr>
          <w:b/>
          <w:bCs/>
          <w:sz w:val="24"/>
          <w:szCs w:val="24"/>
        </w:rPr>
        <w:t>ενεργειακή</w:t>
      </w:r>
      <w:r w:rsidR="00E77AF5">
        <w:rPr>
          <w:b/>
          <w:bCs/>
          <w:sz w:val="24"/>
          <w:szCs w:val="24"/>
        </w:rPr>
        <w:t>ς</w:t>
      </w:r>
      <w:r w:rsidR="005D5BB7" w:rsidRPr="005D5BB7">
        <w:rPr>
          <w:b/>
          <w:bCs/>
          <w:sz w:val="24"/>
          <w:szCs w:val="24"/>
        </w:rPr>
        <w:t xml:space="preserve"> μετάβαση</w:t>
      </w:r>
      <w:r w:rsidR="00E77AF5">
        <w:rPr>
          <w:b/>
          <w:bCs/>
          <w:sz w:val="24"/>
          <w:szCs w:val="24"/>
        </w:rPr>
        <w:t>ς</w:t>
      </w:r>
    </w:p>
    <w:p w14:paraId="338504BB" w14:textId="77777777" w:rsidR="00D92062" w:rsidRPr="005D5BB7" w:rsidRDefault="00D92062" w:rsidP="00A922D2">
      <w:pPr>
        <w:spacing w:after="0" w:line="240" w:lineRule="auto"/>
      </w:pPr>
    </w:p>
    <w:p w14:paraId="7EE86C7A" w14:textId="54C6DFE5" w:rsidR="00640AA9" w:rsidRPr="00EB77A4" w:rsidRDefault="00EB77A4" w:rsidP="00E44573">
      <w:pPr>
        <w:keepNext/>
        <w:keepLines/>
        <w:spacing w:after="120" w:line="240" w:lineRule="auto"/>
        <w:jc w:val="both"/>
        <w:outlineLvl w:val="1"/>
        <w:rPr>
          <w:rFonts w:eastAsia="SimSun" w:cs="Calibri"/>
          <w:b/>
          <w:bCs/>
          <w:color w:val="4F6228"/>
          <w:sz w:val="24"/>
          <w:szCs w:val="24"/>
        </w:rPr>
      </w:pPr>
      <w:bookmarkStart w:id="0" w:name="_Hlk3375847"/>
      <w:r>
        <w:rPr>
          <w:rFonts w:eastAsia="SimSun" w:cs="Calibri"/>
          <w:b/>
          <w:bCs/>
          <w:color w:val="4F6228"/>
          <w:sz w:val="24"/>
          <w:szCs w:val="24"/>
        </w:rPr>
        <w:t xml:space="preserve">Συνοπτικά </w:t>
      </w:r>
    </w:p>
    <w:p w14:paraId="3C4BF2B0" w14:textId="59F33C8B" w:rsidR="00EE2015" w:rsidRDefault="00EB77A4" w:rsidP="00EB77A4">
      <w:pPr>
        <w:numPr>
          <w:ilvl w:val="0"/>
          <w:numId w:val="1"/>
        </w:numPr>
        <w:spacing w:after="120" w:line="240" w:lineRule="auto"/>
        <w:ind w:left="567" w:hanging="425"/>
        <w:contextualSpacing/>
        <w:jc w:val="both"/>
        <w:rPr>
          <w:rFonts w:cs="Calibri"/>
          <w:bCs/>
        </w:rPr>
      </w:pPr>
      <w:r>
        <w:rPr>
          <w:rFonts w:cs="Calibri"/>
          <w:bCs/>
        </w:rPr>
        <w:t xml:space="preserve">Οι </w:t>
      </w:r>
      <w:r w:rsidRPr="00EB77A4">
        <w:rPr>
          <w:rFonts w:cs="Calibri"/>
          <w:b/>
        </w:rPr>
        <w:t>πωλήσεις</w:t>
      </w:r>
      <w:r>
        <w:rPr>
          <w:rFonts w:cs="Calibri"/>
          <w:bCs/>
        </w:rPr>
        <w:t xml:space="preserve"> ανήλθαν σε 798 εκατ. ευρώ, </w:t>
      </w:r>
      <w:r w:rsidRPr="00EB77A4">
        <w:rPr>
          <w:rFonts w:cs="Calibri"/>
          <w:b/>
        </w:rPr>
        <w:t>21% υψηλότερα</w:t>
      </w:r>
      <w:r>
        <w:rPr>
          <w:rFonts w:cs="Calibri"/>
          <w:bCs/>
        </w:rPr>
        <w:t xml:space="preserve"> σε σχέση με το αντίστοιχο εξάμηνο του προηγούμενου έτους (</w:t>
      </w:r>
      <w:r w:rsidR="00B22FB5">
        <w:rPr>
          <w:rFonts w:cs="Calibri"/>
          <w:bCs/>
        </w:rPr>
        <w:t>α΄</w:t>
      </w:r>
      <w:r>
        <w:rPr>
          <w:rFonts w:cs="Calibri"/>
          <w:bCs/>
        </w:rPr>
        <w:t xml:space="preserve"> εξάμηνο 2022: 659 εκατ. ευρώ).</w:t>
      </w:r>
    </w:p>
    <w:p w14:paraId="04141344" w14:textId="28A3E8AE" w:rsidR="00EB77A4" w:rsidRPr="00EE2015" w:rsidRDefault="00EB77A4" w:rsidP="00EE2015">
      <w:pPr>
        <w:numPr>
          <w:ilvl w:val="0"/>
          <w:numId w:val="1"/>
        </w:numPr>
        <w:spacing w:after="120" w:line="240" w:lineRule="auto"/>
        <w:ind w:left="567" w:hanging="425"/>
        <w:contextualSpacing/>
        <w:jc w:val="both"/>
        <w:rPr>
          <w:rFonts w:cs="Calibri"/>
          <w:bCs/>
        </w:rPr>
      </w:pPr>
      <w:r w:rsidRPr="00EE2015">
        <w:rPr>
          <w:rFonts w:cs="Calibri"/>
        </w:rPr>
        <w:t xml:space="preserve">Τα </w:t>
      </w:r>
      <w:r w:rsidRPr="00EE2015">
        <w:rPr>
          <w:rFonts w:cs="Calibri"/>
          <w:b/>
          <w:bCs/>
        </w:rPr>
        <w:t>βελτιωμένα περιθώρια κέρδους</w:t>
      </w:r>
      <w:r w:rsidRPr="00EE2015">
        <w:rPr>
          <w:rFonts w:cs="Calibri"/>
        </w:rPr>
        <w:t xml:space="preserve"> στον </w:t>
      </w:r>
      <w:r w:rsidR="00BE09F4">
        <w:rPr>
          <w:rFonts w:cs="Calibri"/>
        </w:rPr>
        <w:t>τομέα</w:t>
      </w:r>
      <w:r w:rsidRPr="00EE2015">
        <w:rPr>
          <w:rFonts w:cs="Calibri"/>
        </w:rPr>
        <w:t xml:space="preserve"> σωλήνων χάλυβα και </w:t>
      </w:r>
      <w:r w:rsidR="00772E7E">
        <w:rPr>
          <w:rFonts w:cs="Calibri"/>
        </w:rPr>
        <w:t>στ</w:t>
      </w:r>
      <w:r w:rsidR="00BE09F4">
        <w:rPr>
          <w:rFonts w:cs="Calibri"/>
        </w:rPr>
        <w:t xml:space="preserve">α </w:t>
      </w:r>
      <w:r w:rsidRPr="00EE2015">
        <w:rPr>
          <w:rFonts w:cs="Calibri"/>
        </w:rPr>
        <w:t>καλωδιακ</w:t>
      </w:r>
      <w:r w:rsidR="00BE09F4">
        <w:rPr>
          <w:rFonts w:cs="Calibri"/>
        </w:rPr>
        <w:t>ά</w:t>
      </w:r>
      <w:r w:rsidRPr="00EE2015">
        <w:rPr>
          <w:rFonts w:cs="Calibri"/>
        </w:rPr>
        <w:t xml:space="preserve"> προϊόντ</w:t>
      </w:r>
      <w:r w:rsidR="00BE09F4">
        <w:rPr>
          <w:rFonts w:cs="Calibri"/>
        </w:rPr>
        <w:t>α</w:t>
      </w:r>
      <w:r w:rsidRPr="00EE2015">
        <w:rPr>
          <w:rFonts w:cs="Calibri"/>
        </w:rPr>
        <w:t xml:space="preserve"> </w:t>
      </w:r>
      <w:r w:rsidR="00772E7E">
        <w:rPr>
          <w:rFonts w:cs="Calibri"/>
        </w:rPr>
        <w:t xml:space="preserve">σε συνδυασμό με </w:t>
      </w:r>
      <w:r w:rsidRPr="00EE2015">
        <w:rPr>
          <w:rFonts w:cs="Calibri"/>
          <w:b/>
          <w:bCs/>
        </w:rPr>
        <w:t xml:space="preserve">την </w:t>
      </w:r>
      <w:r w:rsidR="00F54141">
        <w:rPr>
          <w:rFonts w:cs="Calibri"/>
          <w:b/>
          <w:bCs/>
        </w:rPr>
        <w:t>αδιάκοπη</w:t>
      </w:r>
      <w:r w:rsidRPr="00EE2015">
        <w:rPr>
          <w:rFonts w:cs="Calibri"/>
          <w:b/>
          <w:bCs/>
        </w:rPr>
        <w:t xml:space="preserve"> εκτέλεση έργων</w:t>
      </w:r>
      <w:r w:rsidR="00772E7E">
        <w:rPr>
          <w:rFonts w:cs="Calibri"/>
        </w:rPr>
        <w:t xml:space="preserve">, </w:t>
      </w:r>
      <w:r w:rsidR="00F54141">
        <w:rPr>
          <w:rFonts w:cs="Calibri"/>
          <w:b/>
          <w:bCs/>
        </w:rPr>
        <w:t>αποτέλεσαν τους βασικούς παράγοντες που οδήγησαν</w:t>
      </w:r>
      <w:r w:rsidRPr="00EE2015">
        <w:rPr>
          <w:rFonts w:cs="Calibri"/>
          <w:b/>
          <w:bCs/>
        </w:rPr>
        <w:t xml:space="preserve"> </w:t>
      </w:r>
      <w:r w:rsidR="00EE2015" w:rsidRPr="00EE2015">
        <w:rPr>
          <w:rFonts w:cs="Calibri"/>
          <w:b/>
          <w:bCs/>
        </w:rPr>
        <w:t xml:space="preserve">τη </w:t>
      </w:r>
      <w:r w:rsidRPr="00EE2015">
        <w:rPr>
          <w:rFonts w:cs="Calibri"/>
          <w:b/>
          <w:bCs/>
        </w:rPr>
        <w:t>λειτουργική κερδοφορία</w:t>
      </w:r>
      <w:r w:rsidRPr="00EE2015">
        <w:rPr>
          <w:rFonts w:cs="Calibri"/>
        </w:rPr>
        <w:t xml:space="preserve"> (</w:t>
      </w:r>
      <w:r w:rsidR="00EE2015" w:rsidRPr="00EE2015">
        <w:rPr>
          <w:rFonts w:cs="Calibri"/>
        </w:rPr>
        <w:t xml:space="preserve">σε όρους </w:t>
      </w:r>
      <w:r w:rsidRPr="00EE2015">
        <w:rPr>
          <w:rFonts w:cs="Calibri"/>
        </w:rPr>
        <w:t>αναπροσαρμοσμένο</w:t>
      </w:r>
      <w:r w:rsidR="00EE2015" w:rsidRPr="00EE2015">
        <w:rPr>
          <w:rFonts w:cs="Calibri"/>
        </w:rPr>
        <w:t>υ</w:t>
      </w:r>
      <w:r w:rsidRPr="00EE2015">
        <w:rPr>
          <w:rFonts w:cs="Calibri"/>
        </w:rPr>
        <w:t xml:space="preserve"> EBITDA) </w:t>
      </w:r>
      <w:r w:rsidR="00EE2015" w:rsidRPr="00EE2015">
        <w:rPr>
          <w:rFonts w:cs="Calibri"/>
        </w:rPr>
        <w:t>σ</w:t>
      </w:r>
      <w:r w:rsidR="00772E7E">
        <w:rPr>
          <w:rFonts w:cs="Calibri"/>
        </w:rPr>
        <w:t>τα</w:t>
      </w:r>
      <w:r w:rsidR="00EE2015" w:rsidRPr="00EE2015">
        <w:rPr>
          <w:rFonts w:cs="Calibri"/>
        </w:rPr>
        <w:t xml:space="preserve"> </w:t>
      </w:r>
      <w:r w:rsidRPr="00EE2015">
        <w:rPr>
          <w:rFonts w:cs="Calibri"/>
          <w:b/>
          <w:bCs/>
        </w:rPr>
        <w:t>86 εκατ. ευρώ</w:t>
      </w:r>
      <w:r w:rsidRPr="00EE2015">
        <w:rPr>
          <w:rFonts w:cs="Calibri"/>
        </w:rPr>
        <w:t xml:space="preserve">. Τα ενοποιημένα </w:t>
      </w:r>
      <w:r w:rsidRPr="00EE2015">
        <w:rPr>
          <w:rFonts w:cs="Calibri"/>
          <w:b/>
          <w:bCs/>
        </w:rPr>
        <w:t>κέρδη προ φόρων</w:t>
      </w:r>
      <w:r w:rsidRPr="00EE2015">
        <w:rPr>
          <w:rFonts w:cs="Calibri"/>
        </w:rPr>
        <w:t xml:space="preserve"> και </w:t>
      </w:r>
      <w:r w:rsidRPr="00EE2015">
        <w:rPr>
          <w:rFonts w:cs="Calibri"/>
          <w:b/>
          <w:bCs/>
        </w:rPr>
        <w:t>τα καθαρά κέρδη μετά από φόρους</w:t>
      </w:r>
      <w:r w:rsidRPr="00EE2015">
        <w:rPr>
          <w:rFonts w:cs="Calibri"/>
        </w:rPr>
        <w:t xml:space="preserve"> </w:t>
      </w:r>
      <w:r w:rsidR="00EE2015" w:rsidRPr="00EE2015">
        <w:rPr>
          <w:rFonts w:cs="Calibri"/>
        </w:rPr>
        <w:t>ανήλθαν</w:t>
      </w:r>
      <w:r w:rsidRPr="00EE2015">
        <w:rPr>
          <w:rFonts w:cs="Calibri"/>
        </w:rPr>
        <w:t xml:space="preserve"> σε </w:t>
      </w:r>
      <w:r w:rsidRPr="00EE2015">
        <w:rPr>
          <w:rFonts w:cs="Calibri"/>
          <w:b/>
          <w:bCs/>
        </w:rPr>
        <w:t>3</w:t>
      </w:r>
      <w:r w:rsidR="00950179" w:rsidRPr="00950179">
        <w:rPr>
          <w:rFonts w:cs="Calibri"/>
          <w:b/>
          <w:bCs/>
        </w:rPr>
        <w:t>0,9</w:t>
      </w:r>
      <w:r w:rsidRPr="00EE2015">
        <w:rPr>
          <w:rFonts w:cs="Calibri"/>
          <w:b/>
          <w:bCs/>
        </w:rPr>
        <w:t xml:space="preserve"> εκατ. ευρώ</w:t>
      </w:r>
      <w:r w:rsidRPr="00EE2015">
        <w:rPr>
          <w:rFonts w:cs="Calibri"/>
        </w:rPr>
        <w:t xml:space="preserve"> και </w:t>
      </w:r>
      <w:r w:rsidRPr="00EE2015">
        <w:rPr>
          <w:rFonts w:cs="Calibri"/>
          <w:b/>
          <w:bCs/>
        </w:rPr>
        <w:t>23,</w:t>
      </w:r>
      <w:r w:rsidR="00950179" w:rsidRPr="00950179">
        <w:rPr>
          <w:rFonts w:cs="Calibri"/>
          <w:b/>
          <w:bCs/>
        </w:rPr>
        <w:t>6</w:t>
      </w:r>
      <w:r w:rsidRPr="00EE2015">
        <w:rPr>
          <w:rFonts w:cs="Calibri"/>
          <w:b/>
          <w:bCs/>
        </w:rPr>
        <w:t xml:space="preserve"> εκατ. ευρώ</w:t>
      </w:r>
      <w:r w:rsidRPr="00EE2015">
        <w:rPr>
          <w:rFonts w:cs="Calibri"/>
        </w:rPr>
        <w:t xml:space="preserve"> αντίστοιχα, σημαντικά υψηλότερα από το πρώτο εξάμηνο του 2022.</w:t>
      </w:r>
    </w:p>
    <w:p w14:paraId="3B782032" w14:textId="3572759E" w:rsidR="001D7BB6" w:rsidRDefault="009301EE" w:rsidP="001D7BB6">
      <w:pPr>
        <w:numPr>
          <w:ilvl w:val="0"/>
          <w:numId w:val="1"/>
        </w:numPr>
        <w:spacing w:after="120" w:line="240" w:lineRule="auto"/>
        <w:ind w:left="567" w:hanging="425"/>
        <w:contextualSpacing/>
        <w:jc w:val="both"/>
        <w:rPr>
          <w:rFonts w:eastAsia="SimSun" w:cs="Calibri"/>
        </w:rPr>
      </w:pPr>
      <w:r w:rsidRPr="009301EE">
        <w:rPr>
          <w:rFonts w:eastAsia="SimSun" w:cs="Calibri"/>
          <w:b/>
        </w:rPr>
        <w:t>Το ανεκτέλεστο υπόλοιπο παραγγελιών</w:t>
      </w:r>
      <w:r w:rsidR="008A25C7" w:rsidRPr="00CD066A">
        <w:rPr>
          <w:rStyle w:val="FootnoteReference"/>
          <w:rFonts w:eastAsia="SimSun" w:cs="Calibri"/>
          <w:b/>
          <w:lang w:val="en-GB"/>
        </w:rPr>
        <w:footnoteReference w:id="2"/>
      </w:r>
      <w:r w:rsidRPr="009301EE">
        <w:rPr>
          <w:rFonts w:eastAsia="SimSun" w:cs="Calibri"/>
          <w:b/>
        </w:rPr>
        <w:t xml:space="preserve"> </w:t>
      </w:r>
      <w:r w:rsidRPr="009301EE">
        <w:rPr>
          <w:rFonts w:eastAsia="SimSun" w:cs="Calibri"/>
          <w:bCs/>
        </w:rPr>
        <w:t xml:space="preserve">συνέχισε να αυξάνεται </w:t>
      </w:r>
      <w:r w:rsidR="00E77AF5">
        <w:rPr>
          <w:rFonts w:eastAsia="SimSun" w:cs="Calibri"/>
          <w:bCs/>
        </w:rPr>
        <w:t xml:space="preserve">λόγω των </w:t>
      </w:r>
      <w:r w:rsidR="00F54141">
        <w:rPr>
          <w:rFonts w:eastAsia="SimSun" w:cs="Calibri"/>
          <w:bCs/>
        </w:rPr>
        <w:t>νέων</w:t>
      </w:r>
      <w:r w:rsidRPr="009301EE">
        <w:rPr>
          <w:rFonts w:eastAsia="SimSun" w:cs="Calibri"/>
          <w:bCs/>
        </w:rPr>
        <w:t xml:space="preserve"> αναθέσε</w:t>
      </w:r>
      <w:r w:rsidR="00E77AF5">
        <w:rPr>
          <w:rFonts w:eastAsia="SimSun" w:cs="Calibri"/>
          <w:bCs/>
        </w:rPr>
        <w:t>ων</w:t>
      </w:r>
      <w:r w:rsidRPr="009301EE">
        <w:rPr>
          <w:rFonts w:eastAsia="SimSun" w:cs="Calibri"/>
          <w:bCs/>
        </w:rPr>
        <w:t xml:space="preserve"> </w:t>
      </w:r>
      <w:r w:rsidR="00E77AF5">
        <w:rPr>
          <w:rFonts w:eastAsia="SimSun" w:cs="Calibri"/>
          <w:bCs/>
        </w:rPr>
        <w:t xml:space="preserve">έργων </w:t>
      </w:r>
      <w:r w:rsidRPr="009301EE">
        <w:rPr>
          <w:rFonts w:eastAsia="SimSun" w:cs="Calibri"/>
          <w:bCs/>
        </w:rPr>
        <w:t xml:space="preserve">και </w:t>
      </w:r>
      <w:r w:rsidR="00A92F0E">
        <w:rPr>
          <w:rFonts w:eastAsia="SimSun" w:cs="Calibri"/>
          <w:bCs/>
        </w:rPr>
        <w:t>ανήλθε</w:t>
      </w:r>
      <w:r w:rsidRPr="009301EE">
        <w:rPr>
          <w:rFonts w:eastAsia="SimSun" w:cs="Calibri"/>
          <w:bCs/>
        </w:rPr>
        <w:t xml:space="preserve"> σε </w:t>
      </w:r>
      <w:r w:rsidRPr="009301EE">
        <w:rPr>
          <w:rFonts w:eastAsia="SimSun" w:cs="Calibri"/>
          <w:b/>
        </w:rPr>
        <w:t>2,5 δι</w:t>
      </w:r>
      <w:r>
        <w:rPr>
          <w:rFonts w:eastAsia="SimSun" w:cs="Calibri"/>
          <w:b/>
        </w:rPr>
        <w:t>σ</w:t>
      </w:r>
      <w:r w:rsidRPr="009301EE">
        <w:rPr>
          <w:rFonts w:eastAsia="SimSun" w:cs="Calibri"/>
          <w:b/>
        </w:rPr>
        <w:t xml:space="preserve">. </w:t>
      </w:r>
      <w:r>
        <w:rPr>
          <w:rFonts w:eastAsia="SimSun" w:cs="Calibri"/>
          <w:b/>
        </w:rPr>
        <w:t>ε</w:t>
      </w:r>
      <w:r w:rsidRPr="009301EE">
        <w:rPr>
          <w:rFonts w:eastAsia="SimSun" w:cs="Calibri"/>
          <w:b/>
        </w:rPr>
        <w:t>υρώ</w:t>
      </w:r>
      <w:r w:rsidRPr="009301EE">
        <w:rPr>
          <w:rFonts w:eastAsia="SimSun" w:cs="Calibri"/>
          <w:bCs/>
        </w:rPr>
        <w:t xml:space="preserve"> στις 30 Ιουνίου 2023 (από 2 δι</w:t>
      </w:r>
      <w:r>
        <w:rPr>
          <w:rFonts w:eastAsia="SimSun" w:cs="Calibri"/>
          <w:bCs/>
        </w:rPr>
        <w:t>σ</w:t>
      </w:r>
      <w:r w:rsidRPr="009301EE">
        <w:rPr>
          <w:rFonts w:eastAsia="SimSun" w:cs="Calibri"/>
          <w:bCs/>
        </w:rPr>
        <w:t>. Ευρώ</w:t>
      </w:r>
      <w:r w:rsidRPr="001D7BB6">
        <w:rPr>
          <w:rFonts w:eastAsia="SimSun" w:cs="Calibri"/>
          <w:bCs/>
        </w:rPr>
        <w:t xml:space="preserve"> </w:t>
      </w:r>
      <w:r w:rsidRPr="009301EE">
        <w:rPr>
          <w:rFonts w:eastAsia="SimSun" w:cs="Calibri"/>
          <w:bCs/>
        </w:rPr>
        <w:t>στις</w:t>
      </w:r>
      <w:r w:rsidRPr="001D7BB6">
        <w:rPr>
          <w:rFonts w:eastAsia="SimSun" w:cs="Calibri"/>
          <w:bCs/>
        </w:rPr>
        <w:t xml:space="preserve"> 31 </w:t>
      </w:r>
      <w:r w:rsidRPr="009301EE">
        <w:rPr>
          <w:rFonts w:eastAsia="SimSun" w:cs="Calibri"/>
          <w:bCs/>
        </w:rPr>
        <w:t>Δεκεμβρίου</w:t>
      </w:r>
      <w:r w:rsidRPr="001D7BB6">
        <w:rPr>
          <w:rFonts w:eastAsia="SimSun" w:cs="Calibri"/>
          <w:bCs/>
        </w:rPr>
        <w:t xml:space="preserve"> 2022)</w:t>
      </w:r>
    </w:p>
    <w:p w14:paraId="3EF5EC46" w14:textId="06062DD5" w:rsidR="008A25C7" w:rsidRPr="001D7BB6" w:rsidRDefault="00F54141" w:rsidP="001D7BB6">
      <w:pPr>
        <w:numPr>
          <w:ilvl w:val="0"/>
          <w:numId w:val="1"/>
        </w:numPr>
        <w:spacing w:after="120" w:line="240" w:lineRule="auto"/>
        <w:ind w:left="567" w:hanging="425"/>
        <w:contextualSpacing/>
        <w:jc w:val="both"/>
        <w:rPr>
          <w:rFonts w:eastAsia="SimSun" w:cs="Calibri"/>
        </w:rPr>
      </w:pPr>
      <w:r>
        <w:rPr>
          <w:rFonts w:eastAsia="SimSun" w:cs="Calibri"/>
        </w:rPr>
        <w:t>Τ</w:t>
      </w:r>
      <w:r w:rsidR="001D7BB6" w:rsidRPr="001D7BB6">
        <w:rPr>
          <w:rFonts w:eastAsia="SimSun" w:cs="Calibri"/>
        </w:rPr>
        <w:t>ο</w:t>
      </w:r>
      <w:r w:rsidR="00A92F0E" w:rsidRPr="001D7BB6">
        <w:rPr>
          <w:rFonts w:eastAsia="SimSun" w:cs="Calibri"/>
        </w:rPr>
        <w:t xml:space="preserve"> σχέδιο επέκτασης του εργοστασίου υποβρυχίων καλωδίων στην Κόρινθο</w:t>
      </w:r>
      <w:r w:rsidR="001D7BB6" w:rsidRPr="001D7BB6">
        <w:rPr>
          <w:rFonts w:eastAsia="SimSun" w:cs="Calibri"/>
        </w:rPr>
        <w:t xml:space="preserve"> </w:t>
      </w:r>
      <w:r w:rsidR="00501911">
        <w:rPr>
          <w:rFonts w:eastAsia="SimSun" w:cs="Calibri"/>
        </w:rPr>
        <w:t>σ</w:t>
      </w:r>
      <w:r w:rsidRPr="001D7BB6">
        <w:rPr>
          <w:rFonts w:eastAsia="SimSun" w:cs="Calibri"/>
        </w:rPr>
        <w:t>υνεχίζεται</w:t>
      </w:r>
      <w:r w:rsidR="002A49D8">
        <w:rPr>
          <w:rFonts w:eastAsia="SimSun" w:cs="Calibri"/>
        </w:rPr>
        <w:t>,</w:t>
      </w:r>
      <w:r w:rsidRPr="001D7BB6">
        <w:rPr>
          <w:rFonts w:eastAsia="SimSun" w:cs="Calibri"/>
        </w:rPr>
        <w:t xml:space="preserve"> </w:t>
      </w:r>
      <w:r w:rsidR="00501911">
        <w:rPr>
          <w:rFonts w:eastAsia="SimSun" w:cs="Calibri"/>
        </w:rPr>
        <w:t>αποτελώντας</w:t>
      </w:r>
      <w:r w:rsidR="00A92F0E" w:rsidRPr="001D7BB6">
        <w:rPr>
          <w:rFonts w:eastAsia="SimSun" w:cs="Calibri"/>
        </w:rPr>
        <w:t xml:space="preserve"> </w:t>
      </w:r>
      <w:r w:rsidR="00501911">
        <w:rPr>
          <w:rFonts w:eastAsia="SimSun" w:cs="Calibri"/>
        </w:rPr>
        <w:t xml:space="preserve">το κύριο κομμάτι </w:t>
      </w:r>
      <w:r w:rsidR="001D7BB6" w:rsidRPr="001D7BB6">
        <w:rPr>
          <w:rFonts w:eastAsia="SimSun" w:cs="Calibri"/>
        </w:rPr>
        <w:t>τ</w:t>
      </w:r>
      <w:r w:rsidR="00501911">
        <w:rPr>
          <w:rFonts w:eastAsia="SimSun" w:cs="Calibri"/>
        </w:rPr>
        <w:t>ων</w:t>
      </w:r>
      <w:r w:rsidR="001D7BB6" w:rsidRPr="001D7BB6">
        <w:rPr>
          <w:rFonts w:eastAsia="SimSun" w:cs="Calibri"/>
        </w:rPr>
        <w:t xml:space="preserve"> κεφαλαιουχικ</w:t>
      </w:r>
      <w:r w:rsidR="00501911">
        <w:rPr>
          <w:rFonts w:eastAsia="SimSun" w:cs="Calibri"/>
        </w:rPr>
        <w:t>ών</w:t>
      </w:r>
      <w:r w:rsidR="001D7BB6" w:rsidRPr="001D7BB6">
        <w:rPr>
          <w:rFonts w:eastAsia="SimSun" w:cs="Calibri"/>
        </w:rPr>
        <w:t xml:space="preserve"> δαπ</w:t>
      </w:r>
      <w:r w:rsidR="00501911">
        <w:rPr>
          <w:rFonts w:eastAsia="SimSun" w:cs="Calibri"/>
        </w:rPr>
        <w:t>ανών του Ομίλου</w:t>
      </w:r>
      <w:r w:rsidR="001D7BB6">
        <w:rPr>
          <w:rFonts w:eastAsia="SimSun" w:cs="Calibri"/>
        </w:rPr>
        <w:t>,</w:t>
      </w:r>
      <w:r w:rsidR="001D7BB6" w:rsidRPr="001D7BB6">
        <w:rPr>
          <w:rFonts w:eastAsia="SimSun" w:cs="Calibri"/>
        </w:rPr>
        <w:t xml:space="preserve"> </w:t>
      </w:r>
      <w:r w:rsidR="002A49D8">
        <w:rPr>
          <w:rFonts w:eastAsia="SimSun" w:cs="Calibri"/>
        </w:rPr>
        <w:t xml:space="preserve">που </w:t>
      </w:r>
      <w:r w:rsidR="002A49D8" w:rsidRPr="001D7BB6">
        <w:rPr>
          <w:rFonts w:eastAsia="SimSun" w:cs="Calibri"/>
        </w:rPr>
        <w:t xml:space="preserve">ανήλθαν σε </w:t>
      </w:r>
      <w:r w:rsidR="002A49D8" w:rsidRPr="001D7BB6">
        <w:rPr>
          <w:rFonts w:eastAsia="SimSun" w:cs="Calibri"/>
          <w:b/>
          <w:bCs/>
        </w:rPr>
        <w:t>58</w:t>
      </w:r>
      <w:r w:rsidR="002A49D8" w:rsidRPr="00950179">
        <w:rPr>
          <w:rFonts w:eastAsia="SimSun" w:cs="Calibri"/>
          <w:b/>
          <w:bCs/>
        </w:rPr>
        <w:t>,3</w:t>
      </w:r>
      <w:r w:rsidR="002A49D8" w:rsidRPr="001D7BB6">
        <w:rPr>
          <w:rFonts w:eastAsia="SimSun" w:cs="Calibri"/>
          <w:b/>
          <w:bCs/>
        </w:rPr>
        <w:t xml:space="preserve"> εκατ. ευρώ</w:t>
      </w:r>
      <w:r w:rsidR="002A49D8" w:rsidRPr="001D7BB6">
        <w:rPr>
          <w:rFonts w:eastAsia="SimSun" w:cs="Calibri"/>
        </w:rPr>
        <w:t xml:space="preserve"> </w:t>
      </w:r>
      <w:r w:rsidR="002A49D8">
        <w:rPr>
          <w:rFonts w:eastAsia="SimSun" w:cs="Calibri"/>
        </w:rPr>
        <w:t>σ</w:t>
      </w:r>
      <w:r w:rsidR="00A92F0E" w:rsidRPr="001D7BB6">
        <w:rPr>
          <w:rFonts w:eastAsia="SimSun" w:cs="Calibri"/>
        </w:rPr>
        <w:t>το πρώτο εξάμηνο του 2023</w:t>
      </w:r>
      <w:r w:rsidR="002A49D8">
        <w:rPr>
          <w:rFonts w:eastAsia="SimSun" w:cs="Calibri"/>
        </w:rPr>
        <w:t>.</w:t>
      </w:r>
    </w:p>
    <w:p w14:paraId="1AFE0802" w14:textId="7CC64FAF" w:rsidR="00635231" w:rsidRPr="00A92F0E" w:rsidRDefault="002A49D8" w:rsidP="008A25C7">
      <w:pPr>
        <w:numPr>
          <w:ilvl w:val="0"/>
          <w:numId w:val="1"/>
        </w:numPr>
        <w:spacing w:after="120" w:line="240" w:lineRule="auto"/>
        <w:ind w:left="567" w:hanging="425"/>
        <w:contextualSpacing/>
        <w:jc w:val="both"/>
        <w:rPr>
          <w:rFonts w:eastAsia="SimSun" w:cs="Calibri"/>
        </w:rPr>
      </w:pPr>
      <w:r w:rsidRPr="002A49D8">
        <w:rPr>
          <w:rFonts w:eastAsia="SimSun" w:cs="Calibri"/>
        </w:rPr>
        <w:t>Η</w:t>
      </w:r>
      <w:r w:rsidR="00A92F0E" w:rsidRPr="002A49D8">
        <w:rPr>
          <w:rFonts w:eastAsia="SimSun" w:cs="Calibri"/>
        </w:rPr>
        <w:t xml:space="preserve"> </w:t>
      </w:r>
      <w:r w:rsidR="001D7BB6" w:rsidRPr="002A49D8">
        <w:rPr>
          <w:rFonts w:eastAsia="SimSun" w:cs="Calibri"/>
        </w:rPr>
        <w:t>εκτίμηση αναπροσαρμοσμένο</w:t>
      </w:r>
      <w:r w:rsidRPr="002A49D8">
        <w:rPr>
          <w:rFonts w:eastAsia="SimSun" w:cs="Calibri"/>
        </w:rPr>
        <w:t>υ</w:t>
      </w:r>
      <w:r w:rsidR="001D7BB6" w:rsidRPr="002A49D8">
        <w:rPr>
          <w:rFonts w:eastAsia="SimSun" w:cs="Calibri"/>
        </w:rPr>
        <w:t xml:space="preserve"> </w:t>
      </w:r>
      <w:r w:rsidR="00A92F0E" w:rsidRPr="002A49D8">
        <w:rPr>
          <w:rFonts w:eastAsia="SimSun" w:cs="Calibri"/>
          <w:lang w:val="en-US"/>
        </w:rPr>
        <w:t>EBITDA</w:t>
      </w:r>
      <w:r w:rsidR="00B22FB5" w:rsidRPr="002A49D8">
        <w:rPr>
          <w:rFonts w:eastAsia="SimSun" w:cs="Calibri"/>
        </w:rPr>
        <w:t xml:space="preserve"> </w:t>
      </w:r>
      <w:r w:rsidR="00C53441">
        <w:rPr>
          <w:rFonts w:eastAsia="SimSun" w:cs="Calibri"/>
        </w:rPr>
        <w:t>(α</w:t>
      </w:r>
      <w:r w:rsidR="00C53441" w:rsidRPr="00C53441">
        <w:rPr>
          <w:rFonts w:eastAsia="SimSun" w:cs="Calibri"/>
        </w:rPr>
        <w:t>-</w:t>
      </w:r>
      <w:r w:rsidR="00C53441">
        <w:rPr>
          <w:rFonts w:eastAsia="SimSun" w:cs="Calibri"/>
          <w:lang w:val="en-US"/>
        </w:rPr>
        <w:t>EBITDA</w:t>
      </w:r>
      <w:r w:rsidR="00C53441" w:rsidRPr="00C53441">
        <w:rPr>
          <w:rFonts w:eastAsia="SimSun" w:cs="Calibri"/>
        </w:rPr>
        <w:t xml:space="preserve">) </w:t>
      </w:r>
      <w:r w:rsidR="00B22FB5" w:rsidRPr="002A49D8">
        <w:rPr>
          <w:rFonts w:eastAsia="SimSun" w:cs="Calibri"/>
        </w:rPr>
        <w:t>για το οικονομικό έτος 2023</w:t>
      </w:r>
      <w:r w:rsidR="001D7BB6">
        <w:rPr>
          <w:rFonts w:eastAsia="SimSun" w:cs="Calibri"/>
          <w:b/>
          <w:bCs/>
        </w:rPr>
        <w:t xml:space="preserve"> </w:t>
      </w:r>
      <w:r>
        <w:rPr>
          <w:rFonts w:eastAsia="SimSun" w:cs="Calibri"/>
          <w:b/>
          <w:bCs/>
        </w:rPr>
        <w:t>ε</w:t>
      </w:r>
      <w:r w:rsidRPr="00A92F0E">
        <w:rPr>
          <w:rFonts w:eastAsia="SimSun" w:cs="Calibri"/>
          <w:b/>
          <w:bCs/>
        </w:rPr>
        <w:t xml:space="preserve">πιβεβαιώνεται </w:t>
      </w:r>
      <w:r>
        <w:rPr>
          <w:rFonts w:eastAsia="SimSun" w:cs="Calibri"/>
        </w:rPr>
        <w:t>και</w:t>
      </w:r>
      <w:r w:rsidR="001D7BB6">
        <w:rPr>
          <w:rFonts w:eastAsia="SimSun" w:cs="Calibri"/>
        </w:rPr>
        <w:t xml:space="preserve"> αναμένεται να κυμανθεί μεταξύ 180 και 200 εκατ. ευρώ.</w:t>
      </w:r>
    </w:p>
    <w:p w14:paraId="1D59B8D6" w14:textId="77777777" w:rsidR="0054048E" w:rsidRPr="00A92F0E" w:rsidRDefault="0054048E" w:rsidP="006B321F">
      <w:pPr>
        <w:spacing w:after="120" w:line="240" w:lineRule="auto"/>
        <w:contextualSpacing/>
        <w:jc w:val="both"/>
        <w:rPr>
          <w:rFonts w:eastAsia="SimSun" w:cs="Calibri"/>
          <w:i/>
          <w:sz w:val="18"/>
        </w:rPr>
      </w:pPr>
    </w:p>
    <w:tbl>
      <w:tblPr>
        <w:tblW w:w="0" w:type="auto"/>
        <w:tblLook w:val="04A0" w:firstRow="1" w:lastRow="0" w:firstColumn="1" w:lastColumn="0" w:noHBand="0" w:noVBand="1"/>
      </w:tblPr>
      <w:tblGrid>
        <w:gridCol w:w="3544"/>
        <w:gridCol w:w="6432"/>
      </w:tblGrid>
      <w:tr w:rsidR="007D149D" w:rsidRPr="009259F9" w14:paraId="79DFF8B8" w14:textId="77777777" w:rsidTr="003D2E23">
        <w:tc>
          <w:tcPr>
            <w:tcW w:w="3544" w:type="dxa"/>
            <w:shd w:val="clear" w:color="auto" w:fill="auto"/>
          </w:tcPr>
          <w:bookmarkEnd w:id="0"/>
          <w:p w14:paraId="1614A636" w14:textId="5821CBCF" w:rsidR="003D46E1" w:rsidRPr="009259F9" w:rsidRDefault="009812C0" w:rsidP="006B321F">
            <w:pPr>
              <w:spacing w:after="120" w:line="240" w:lineRule="auto"/>
              <w:contextualSpacing/>
              <w:jc w:val="both"/>
              <w:rPr>
                <w:rFonts w:eastAsia="HGGothicM"/>
                <w:b/>
                <w:sz w:val="20"/>
                <w:szCs w:val="20"/>
                <w:u w:val="single"/>
                <w:lang w:val="en-GB"/>
              </w:rPr>
            </w:pPr>
            <w:r>
              <w:rPr>
                <w:rFonts w:eastAsia="HGGothicM"/>
                <w:b/>
                <w:sz w:val="20"/>
                <w:szCs w:val="20"/>
                <w:u w:val="single"/>
              </w:rPr>
              <w:t>Πωλήσεις</w:t>
            </w:r>
            <w:r w:rsidR="003D46E1" w:rsidRPr="009259F9">
              <w:rPr>
                <w:rFonts w:eastAsia="HGGothicM"/>
                <w:b/>
                <w:sz w:val="20"/>
                <w:szCs w:val="20"/>
                <w:u w:val="single"/>
                <w:lang w:val="en-GB"/>
              </w:rPr>
              <w:t xml:space="preserve"> (</w:t>
            </w:r>
            <w:r>
              <w:rPr>
                <w:rFonts w:eastAsia="HGGothicM"/>
                <w:b/>
                <w:sz w:val="20"/>
                <w:szCs w:val="20"/>
                <w:u w:val="single"/>
              </w:rPr>
              <w:t>σε εκατ. ευρώ</w:t>
            </w:r>
            <w:r w:rsidR="003D46E1" w:rsidRPr="009259F9">
              <w:rPr>
                <w:rFonts w:eastAsia="HGGothicM"/>
                <w:b/>
                <w:sz w:val="20"/>
                <w:szCs w:val="20"/>
                <w:u w:val="single"/>
                <w:lang w:val="en-GB"/>
              </w:rPr>
              <w:t>)</w:t>
            </w:r>
          </w:p>
        </w:tc>
        <w:tc>
          <w:tcPr>
            <w:tcW w:w="6432" w:type="dxa"/>
            <w:shd w:val="clear" w:color="auto" w:fill="auto"/>
          </w:tcPr>
          <w:p w14:paraId="31392F7F" w14:textId="7EB77B1A" w:rsidR="003D46E1" w:rsidRPr="009812C0" w:rsidRDefault="009812C0" w:rsidP="006B321F">
            <w:pPr>
              <w:spacing w:after="120" w:line="240" w:lineRule="auto"/>
              <w:contextualSpacing/>
              <w:jc w:val="both"/>
              <w:rPr>
                <w:rFonts w:eastAsia="HGGothicM"/>
                <w:i/>
                <w:sz w:val="20"/>
                <w:szCs w:val="20"/>
              </w:rPr>
            </w:pPr>
            <w:r>
              <w:rPr>
                <w:rFonts w:eastAsia="HGGothicM"/>
                <w:i/>
                <w:sz w:val="20"/>
                <w:szCs w:val="20"/>
              </w:rPr>
              <w:t xml:space="preserve">Ανά </w:t>
            </w:r>
            <w:r w:rsidR="002A49D8">
              <w:rPr>
                <w:rFonts w:eastAsia="HGGothicM"/>
                <w:i/>
                <w:sz w:val="20"/>
                <w:szCs w:val="20"/>
              </w:rPr>
              <w:t>τομέα</w:t>
            </w:r>
            <w:r>
              <w:rPr>
                <w:rFonts w:eastAsia="HGGothicM"/>
                <w:i/>
                <w:sz w:val="20"/>
                <w:szCs w:val="20"/>
              </w:rPr>
              <w:t>:</w:t>
            </w:r>
          </w:p>
        </w:tc>
      </w:tr>
      <w:tr w:rsidR="007D149D" w:rsidRPr="009259F9" w14:paraId="75E5FE9E" w14:textId="77777777" w:rsidTr="003D2E23">
        <w:tc>
          <w:tcPr>
            <w:tcW w:w="3544" w:type="dxa"/>
            <w:shd w:val="clear" w:color="auto" w:fill="auto"/>
          </w:tcPr>
          <w:p w14:paraId="2055A607" w14:textId="1F78AAD8" w:rsidR="003D46E1" w:rsidRPr="009259F9" w:rsidRDefault="00F467F6" w:rsidP="006B321F">
            <w:pPr>
              <w:spacing w:after="120" w:line="240" w:lineRule="auto"/>
              <w:contextualSpacing/>
              <w:jc w:val="both"/>
              <w:rPr>
                <w:rFonts w:eastAsia="HGGothicM"/>
                <w:b/>
                <w:sz w:val="20"/>
                <w:szCs w:val="20"/>
                <w:lang w:val="en-GB"/>
              </w:rPr>
            </w:pPr>
            <w:r>
              <w:rPr>
                <w:noProof/>
              </w:rPr>
              <w:drawing>
                <wp:inline distT="0" distB="0" distL="0" distR="0" wp14:anchorId="733EDC2F" wp14:editId="158C1292">
                  <wp:extent cx="1621790" cy="180823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661"/>
                          <a:stretch/>
                        </pic:blipFill>
                        <pic:spPr bwMode="auto">
                          <a:xfrm>
                            <a:off x="0" y="0"/>
                            <a:ext cx="1622051" cy="1808522"/>
                          </a:xfrm>
                          <a:prstGeom prst="rect">
                            <a:avLst/>
                          </a:prstGeom>
                          <a:ln>
                            <a:noFill/>
                          </a:ln>
                          <a:extLst>
                            <a:ext uri="{53640926-AAD7-44D8-BBD7-CCE9431645EC}">
                              <a14:shadowObscured xmlns:a14="http://schemas.microsoft.com/office/drawing/2010/main"/>
                            </a:ext>
                          </a:extLst>
                        </pic:spPr>
                      </pic:pic>
                    </a:graphicData>
                  </a:graphic>
                </wp:inline>
              </w:drawing>
            </w:r>
          </w:p>
        </w:tc>
        <w:tc>
          <w:tcPr>
            <w:tcW w:w="6432" w:type="dxa"/>
            <w:shd w:val="clear" w:color="auto" w:fill="auto"/>
            <w:vAlign w:val="bottom"/>
          </w:tcPr>
          <w:p w14:paraId="10CF25B3" w14:textId="78FE826D" w:rsidR="002F08E2" w:rsidRPr="009259F9" w:rsidRDefault="00F467F6" w:rsidP="003D2E23">
            <w:pPr>
              <w:spacing w:after="120" w:line="240" w:lineRule="auto"/>
              <w:contextualSpacing/>
              <w:rPr>
                <w:rFonts w:eastAsia="HGGothicM"/>
                <w:b/>
                <w:sz w:val="20"/>
                <w:szCs w:val="20"/>
                <w:u w:val="single"/>
                <w:lang w:val="en-GB"/>
              </w:rPr>
            </w:pPr>
            <w:r>
              <w:rPr>
                <w:noProof/>
              </w:rPr>
              <w:drawing>
                <wp:inline distT="0" distB="0" distL="0" distR="0" wp14:anchorId="56DE9904" wp14:editId="1CEF6E2B">
                  <wp:extent cx="2476500" cy="17738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97556" cy="1788979"/>
                          </a:xfrm>
                          <a:prstGeom prst="rect">
                            <a:avLst/>
                          </a:prstGeom>
                        </pic:spPr>
                      </pic:pic>
                    </a:graphicData>
                  </a:graphic>
                </wp:inline>
              </w:drawing>
            </w:r>
          </w:p>
        </w:tc>
      </w:tr>
      <w:tr w:rsidR="007D149D" w:rsidRPr="009259F9" w14:paraId="11AF7C42" w14:textId="77777777" w:rsidTr="003D2E23">
        <w:tc>
          <w:tcPr>
            <w:tcW w:w="3544" w:type="dxa"/>
            <w:shd w:val="clear" w:color="auto" w:fill="auto"/>
          </w:tcPr>
          <w:p w14:paraId="306DB15E" w14:textId="77777777" w:rsidR="003D2E23" w:rsidRDefault="003D2E23" w:rsidP="006B321F">
            <w:pPr>
              <w:spacing w:after="120" w:line="240" w:lineRule="auto"/>
              <w:contextualSpacing/>
              <w:jc w:val="both"/>
              <w:rPr>
                <w:b/>
                <w:sz w:val="20"/>
                <w:u w:val="single"/>
                <w:lang w:val="en-GB"/>
              </w:rPr>
            </w:pPr>
          </w:p>
          <w:p w14:paraId="155D734E" w14:textId="77777777" w:rsidR="00F467F6" w:rsidRDefault="00F467F6" w:rsidP="006B321F">
            <w:pPr>
              <w:spacing w:after="120" w:line="240" w:lineRule="auto"/>
              <w:contextualSpacing/>
              <w:jc w:val="both"/>
              <w:rPr>
                <w:b/>
                <w:sz w:val="20"/>
                <w:u w:val="single"/>
                <w:lang w:val="en-GB"/>
              </w:rPr>
            </w:pPr>
          </w:p>
          <w:p w14:paraId="26337A61" w14:textId="77777777" w:rsidR="00F467F6" w:rsidRDefault="00F467F6" w:rsidP="006B321F">
            <w:pPr>
              <w:spacing w:after="120" w:line="240" w:lineRule="auto"/>
              <w:contextualSpacing/>
              <w:jc w:val="both"/>
              <w:rPr>
                <w:b/>
                <w:sz w:val="20"/>
                <w:u w:val="single"/>
                <w:lang w:val="en-GB"/>
              </w:rPr>
            </w:pPr>
          </w:p>
          <w:p w14:paraId="0696DB74" w14:textId="77777777" w:rsidR="00F467F6" w:rsidRDefault="00F467F6" w:rsidP="006B321F">
            <w:pPr>
              <w:spacing w:after="120" w:line="240" w:lineRule="auto"/>
              <w:contextualSpacing/>
              <w:jc w:val="both"/>
              <w:rPr>
                <w:b/>
                <w:sz w:val="20"/>
                <w:u w:val="single"/>
                <w:lang w:val="en-GB"/>
              </w:rPr>
            </w:pPr>
          </w:p>
          <w:p w14:paraId="6005D3E7" w14:textId="77777777" w:rsidR="00F467F6" w:rsidRDefault="00F467F6" w:rsidP="006B321F">
            <w:pPr>
              <w:spacing w:after="120" w:line="240" w:lineRule="auto"/>
              <w:contextualSpacing/>
              <w:jc w:val="both"/>
              <w:rPr>
                <w:b/>
                <w:sz w:val="20"/>
                <w:u w:val="single"/>
                <w:lang w:val="en-GB"/>
              </w:rPr>
            </w:pPr>
          </w:p>
          <w:p w14:paraId="25FE638E" w14:textId="77777777" w:rsidR="00F467F6" w:rsidRDefault="00F467F6" w:rsidP="006B321F">
            <w:pPr>
              <w:spacing w:after="120" w:line="240" w:lineRule="auto"/>
              <w:contextualSpacing/>
              <w:jc w:val="both"/>
              <w:rPr>
                <w:b/>
                <w:sz w:val="20"/>
                <w:u w:val="single"/>
                <w:lang w:val="en-GB"/>
              </w:rPr>
            </w:pPr>
          </w:p>
          <w:p w14:paraId="056A5FBC" w14:textId="77777777" w:rsidR="00F467F6" w:rsidRDefault="00F467F6" w:rsidP="006B321F">
            <w:pPr>
              <w:spacing w:after="120" w:line="240" w:lineRule="auto"/>
              <w:contextualSpacing/>
              <w:jc w:val="both"/>
              <w:rPr>
                <w:b/>
                <w:sz w:val="20"/>
                <w:u w:val="single"/>
                <w:lang w:val="en-GB"/>
              </w:rPr>
            </w:pPr>
          </w:p>
          <w:p w14:paraId="337D3AD6" w14:textId="77777777" w:rsidR="00F467F6" w:rsidRDefault="00F467F6" w:rsidP="006B321F">
            <w:pPr>
              <w:spacing w:after="120" w:line="240" w:lineRule="auto"/>
              <w:contextualSpacing/>
              <w:jc w:val="both"/>
              <w:rPr>
                <w:b/>
                <w:sz w:val="20"/>
                <w:u w:val="single"/>
                <w:lang w:val="en-GB"/>
              </w:rPr>
            </w:pPr>
          </w:p>
          <w:p w14:paraId="4A9B0466" w14:textId="77777777" w:rsidR="00F467F6" w:rsidRDefault="00F467F6" w:rsidP="006B321F">
            <w:pPr>
              <w:spacing w:after="120" w:line="240" w:lineRule="auto"/>
              <w:contextualSpacing/>
              <w:jc w:val="both"/>
              <w:rPr>
                <w:b/>
                <w:sz w:val="20"/>
                <w:u w:val="single"/>
                <w:lang w:val="en-GB"/>
              </w:rPr>
            </w:pPr>
          </w:p>
          <w:p w14:paraId="1365F541" w14:textId="384089F4" w:rsidR="00990498" w:rsidRPr="00B22FB5" w:rsidRDefault="00F467F6" w:rsidP="006B321F">
            <w:pPr>
              <w:spacing w:after="120" w:line="240" w:lineRule="auto"/>
              <w:contextualSpacing/>
              <w:jc w:val="both"/>
            </w:pPr>
            <w:r>
              <w:rPr>
                <w:b/>
                <w:sz w:val="20"/>
                <w:u w:val="single"/>
              </w:rPr>
              <w:lastRenderedPageBreak/>
              <w:t>α</w:t>
            </w:r>
            <w:r w:rsidR="00990498" w:rsidRPr="00B22FB5">
              <w:rPr>
                <w:b/>
                <w:sz w:val="20"/>
                <w:u w:val="single"/>
              </w:rPr>
              <w:t>-</w:t>
            </w:r>
            <w:r w:rsidR="00990498" w:rsidRPr="009259F9">
              <w:rPr>
                <w:b/>
                <w:sz w:val="20"/>
                <w:u w:val="single"/>
                <w:lang w:val="en-GB"/>
              </w:rPr>
              <w:t>EBITDA</w:t>
            </w:r>
            <w:r w:rsidR="00990498" w:rsidRPr="00B22FB5">
              <w:rPr>
                <w:rFonts w:eastAsia="HGGothicM"/>
                <w:b/>
                <w:i/>
                <w:sz w:val="20"/>
                <w:szCs w:val="20"/>
                <w:u w:val="single"/>
              </w:rPr>
              <w:t xml:space="preserve"> </w:t>
            </w:r>
            <w:r w:rsidR="00990498" w:rsidRPr="00B22FB5">
              <w:rPr>
                <w:rFonts w:eastAsia="HGGothicM"/>
                <w:b/>
                <w:sz w:val="20"/>
                <w:szCs w:val="20"/>
                <w:u w:val="single"/>
              </w:rPr>
              <w:t>(</w:t>
            </w:r>
            <w:r w:rsidR="00B22FB5">
              <w:rPr>
                <w:rFonts w:eastAsia="HGGothicM"/>
                <w:b/>
                <w:sz w:val="20"/>
                <w:szCs w:val="20"/>
                <w:u w:val="single"/>
              </w:rPr>
              <w:t>σε εκατ. ευρώ</w:t>
            </w:r>
            <w:r w:rsidR="00990498" w:rsidRPr="00B22FB5">
              <w:rPr>
                <w:rFonts w:eastAsia="HGGothicM"/>
                <w:b/>
                <w:sz w:val="20"/>
                <w:szCs w:val="20"/>
                <w:u w:val="single"/>
              </w:rPr>
              <w:t>)</w:t>
            </w:r>
          </w:p>
        </w:tc>
        <w:tc>
          <w:tcPr>
            <w:tcW w:w="6432" w:type="dxa"/>
            <w:shd w:val="clear" w:color="auto" w:fill="auto"/>
          </w:tcPr>
          <w:p w14:paraId="01E402E0" w14:textId="77777777" w:rsidR="003D2E23" w:rsidRPr="00B22FB5" w:rsidRDefault="003D2E23" w:rsidP="006B321F">
            <w:pPr>
              <w:spacing w:after="120" w:line="240" w:lineRule="auto"/>
              <w:contextualSpacing/>
              <w:rPr>
                <w:rFonts w:eastAsia="HGGothicM"/>
                <w:i/>
                <w:sz w:val="20"/>
                <w:szCs w:val="20"/>
              </w:rPr>
            </w:pPr>
          </w:p>
          <w:p w14:paraId="22B345A7" w14:textId="77777777" w:rsidR="00F467F6" w:rsidRDefault="00F467F6" w:rsidP="006B321F">
            <w:pPr>
              <w:spacing w:after="120" w:line="240" w:lineRule="auto"/>
              <w:contextualSpacing/>
              <w:rPr>
                <w:rFonts w:eastAsia="HGGothicM"/>
                <w:i/>
                <w:sz w:val="20"/>
                <w:szCs w:val="20"/>
              </w:rPr>
            </w:pPr>
          </w:p>
          <w:p w14:paraId="24DE7E93" w14:textId="77777777" w:rsidR="00F467F6" w:rsidRDefault="00F467F6" w:rsidP="006B321F">
            <w:pPr>
              <w:spacing w:after="120" w:line="240" w:lineRule="auto"/>
              <w:contextualSpacing/>
              <w:rPr>
                <w:rFonts w:eastAsia="HGGothicM"/>
                <w:i/>
                <w:sz w:val="20"/>
                <w:szCs w:val="20"/>
              </w:rPr>
            </w:pPr>
          </w:p>
          <w:p w14:paraId="564A2778" w14:textId="77777777" w:rsidR="00F467F6" w:rsidRDefault="00F467F6" w:rsidP="006B321F">
            <w:pPr>
              <w:spacing w:after="120" w:line="240" w:lineRule="auto"/>
              <w:contextualSpacing/>
              <w:rPr>
                <w:rFonts w:eastAsia="HGGothicM"/>
                <w:i/>
                <w:sz w:val="20"/>
                <w:szCs w:val="20"/>
              </w:rPr>
            </w:pPr>
          </w:p>
          <w:p w14:paraId="231D3B0A" w14:textId="77777777" w:rsidR="00F467F6" w:rsidRDefault="00F467F6" w:rsidP="006B321F">
            <w:pPr>
              <w:spacing w:after="120" w:line="240" w:lineRule="auto"/>
              <w:contextualSpacing/>
              <w:rPr>
                <w:rFonts w:eastAsia="HGGothicM"/>
                <w:i/>
                <w:sz w:val="20"/>
                <w:szCs w:val="20"/>
              </w:rPr>
            </w:pPr>
          </w:p>
          <w:p w14:paraId="37C94CC6" w14:textId="77777777" w:rsidR="00F467F6" w:rsidRDefault="00F467F6" w:rsidP="006B321F">
            <w:pPr>
              <w:spacing w:after="120" w:line="240" w:lineRule="auto"/>
              <w:contextualSpacing/>
              <w:rPr>
                <w:rFonts w:eastAsia="HGGothicM"/>
                <w:i/>
                <w:sz w:val="20"/>
                <w:szCs w:val="20"/>
              </w:rPr>
            </w:pPr>
          </w:p>
          <w:p w14:paraId="6669A0E9" w14:textId="77777777" w:rsidR="00F467F6" w:rsidRDefault="00F467F6" w:rsidP="006B321F">
            <w:pPr>
              <w:spacing w:after="120" w:line="240" w:lineRule="auto"/>
              <w:contextualSpacing/>
              <w:rPr>
                <w:rFonts w:eastAsia="HGGothicM"/>
                <w:i/>
                <w:sz w:val="20"/>
                <w:szCs w:val="20"/>
              </w:rPr>
            </w:pPr>
          </w:p>
          <w:p w14:paraId="59971893" w14:textId="77777777" w:rsidR="00F467F6" w:rsidRDefault="00F467F6" w:rsidP="006B321F">
            <w:pPr>
              <w:spacing w:after="120" w:line="240" w:lineRule="auto"/>
              <w:contextualSpacing/>
              <w:rPr>
                <w:rFonts w:eastAsia="HGGothicM"/>
                <w:i/>
                <w:sz w:val="20"/>
                <w:szCs w:val="20"/>
              </w:rPr>
            </w:pPr>
          </w:p>
          <w:p w14:paraId="7425074A" w14:textId="77777777" w:rsidR="00F467F6" w:rsidRDefault="00F467F6" w:rsidP="006B321F">
            <w:pPr>
              <w:spacing w:after="120" w:line="240" w:lineRule="auto"/>
              <w:contextualSpacing/>
              <w:rPr>
                <w:rFonts w:eastAsia="HGGothicM"/>
                <w:i/>
                <w:sz w:val="20"/>
                <w:szCs w:val="20"/>
              </w:rPr>
            </w:pPr>
          </w:p>
          <w:p w14:paraId="497E69D9" w14:textId="6AB968FD" w:rsidR="00990498" w:rsidRPr="009259F9" w:rsidRDefault="00B22FB5" w:rsidP="006B321F">
            <w:pPr>
              <w:spacing w:after="120" w:line="240" w:lineRule="auto"/>
              <w:contextualSpacing/>
              <w:rPr>
                <w:b/>
                <w:sz w:val="20"/>
                <w:u w:val="single"/>
                <w:lang w:val="en-GB"/>
              </w:rPr>
            </w:pPr>
            <w:r>
              <w:rPr>
                <w:rFonts w:eastAsia="HGGothicM"/>
                <w:i/>
                <w:sz w:val="20"/>
                <w:szCs w:val="20"/>
              </w:rPr>
              <w:lastRenderedPageBreak/>
              <w:t xml:space="preserve">Ανά </w:t>
            </w:r>
            <w:r w:rsidR="002A49D8">
              <w:rPr>
                <w:rFonts w:eastAsia="HGGothicM"/>
                <w:i/>
                <w:sz w:val="20"/>
                <w:szCs w:val="20"/>
              </w:rPr>
              <w:t>τομέα</w:t>
            </w:r>
            <w:r>
              <w:rPr>
                <w:rFonts w:eastAsia="HGGothicM"/>
                <w:i/>
                <w:sz w:val="20"/>
                <w:szCs w:val="20"/>
              </w:rPr>
              <w:t>:</w:t>
            </w:r>
          </w:p>
        </w:tc>
      </w:tr>
      <w:tr w:rsidR="007D149D" w:rsidRPr="009259F9" w14:paraId="1DBA29E3" w14:textId="77777777" w:rsidTr="003D2E23">
        <w:tc>
          <w:tcPr>
            <w:tcW w:w="3544" w:type="dxa"/>
            <w:shd w:val="clear" w:color="auto" w:fill="auto"/>
          </w:tcPr>
          <w:p w14:paraId="143E9BF6" w14:textId="52F84054" w:rsidR="00990498" w:rsidRPr="009259F9" w:rsidRDefault="00F467F6" w:rsidP="006B321F">
            <w:pPr>
              <w:spacing w:after="120" w:line="240" w:lineRule="auto"/>
              <w:contextualSpacing/>
              <w:jc w:val="both"/>
              <w:rPr>
                <w:b/>
                <w:i/>
                <w:sz w:val="20"/>
                <w:u w:val="single"/>
                <w:lang w:val="en-GB"/>
              </w:rPr>
            </w:pPr>
            <w:r>
              <w:rPr>
                <w:noProof/>
              </w:rPr>
              <w:lastRenderedPageBreak/>
              <w:drawing>
                <wp:inline distT="0" distB="0" distL="0" distR="0" wp14:anchorId="18C8C32A" wp14:editId="494E88BD">
                  <wp:extent cx="1574373" cy="17145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77537" cy="1717946"/>
                          </a:xfrm>
                          <a:prstGeom prst="rect">
                            <a:avLst/>
                          </a:prstGeom>
                        </pic:spPr>
                      </pic:pic>
                    </a:graphicData>
                  </a:graphic>
                </wp:inline>
              </w:drawing>
            </w:r>
          </w:p>
        </w:tc>
        <w:tc>
          <w:tcPr>
            <w:tcW w:w="6432" w:type="dxa"/>
            <w:shd w:val="clear" w:color="auto" w:fill="auto"/>
            <w:vAlign w:val="bottom"/>
          </w:tcPr>
          <w:p w14:paraId="40F1F7BF" w14:textId="74A29167" w:rsidR="00990498" w:rsidRPr="009259F9" w:rsidRDefault="00F467F6" w:rsidP="003D2E23">
            <w:pPr>
              <w:spacing w:after="120" w:line="240" w:lineRule="auto"/>
              <w:contextualSpacing/>
              <w:rPr>
                <w:i/>
                <w:sz w:val="20"/>
                <w:lang w:val="en-GB"/>
              </w:rPr>
            </w:pPr>
            <w:r>
              <w:rPr>
                <w:noProof/>
              </w:rPr>
              <w:drawing>
                <wp:inline distT="0" distB="0" distL="0" distR="0" wp14:anchorId="1BB112BB" wp14:editId="03485598">
                  <wp:extent cx="2438400" cy="170825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10" b="6415"/>
                          <a:stretch/>
                        </pic:blipFill>
                        <pic:spPr bwMode="auto">
                          <a:xfrm>
                            <a:off x="0" y="0"/>
                            <a:ext cx="2458097" cy="17220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C505FAA" w14:textId="77777777" w:rsidR="005B0893" w:rsidRDefault="005B0893" w:rsidP="006B321F">
      <w:pPr>
        <w:spacing w:after="120" w:line="240" w:lineRule="auto"/>
        <w:jc w:val="both"/>
        <w:rPr>
          <w:rFonts w:cs="Calibri"/>
          <w:lang w:val="en-GB"/>
        </w:rPr>
      </w:pPr>
      <w:bookmarkStart w:id="1" w:name="_Hlk3375753"/>
    </w:p>
    <w:p w14:paraId="6DBB0335" w14:textId="65FD9231" w:rsidR="005B0893" w:rsidRPr="00842C5E" w:rsidRDefault="005B0893" w:rsidP="004273B1">
      <w:pPr>
        <w:spacing w:after="120" w:line="240" w:lineRule="auto"/>
        <w:jc w:val="both"/>
        <w:rPr>
          <w:rFonts w:cs="Calibri"/>
        </w:rPr>
      </w:pPr>
      <w:r w:rsidRPr="005B0893">
        <w:rPr>
          <w:rFonts w:cs="Calibri"/>
        </w:rPr>
        <w:t>Σχολιάζοντας</w:t>
      </w:r>
      <w:r w:rsidRPr="00842C5E">
        <w:rPr>
          <w:rFonts w:cs="Calibri"/>
        </w:rPr>
        <w:t xml:space="preserve"> </w:t>
      </w:r>
      <w:r w:rsidRPr="005B0893">
        <w:rPr>
          <w:rFonts w:cs="Calibri"/>
        </w:rPr>
        <w:t>τις</w:t>
      </w:r>
      <w:r w:rsidRPr="00842C5E">
        <w:rPr>
          <w:rFonts w:cs="Calibri"/>
        </w:rPr>
        <w:t xml:space="preserve"> </w:t>
      </w:r>
      <w:r w:rsidRPr="005B0893">
        <w:rPr>
          <w:rFonts w:cs="Calibri"/>
        </w:rPr>
        <w:t>επιδόσεις</w:t>
      </w:r>
      <w:r w:rsidRPr="00842C5E">
        <w:rPr>
          <w:rFonts w:cs="Calibri"/>
        </w:rPr>
        <w:t xml:space="preserve"> </w:t>
      </w:r>
      <w:r w:rsidRPr="005B0893">
        <w:rPr>
          <w:rFonts w:cs="Calibri"/>
        </w:rPr>
        <w:t>του</w:t>
      </w:r>
      <w:r w:rsidRPr="00842C5E">
        <w:rPr>
          <w:rFonts w:cs="Calibri"/>
        </w:rPr>
        <w:t xml:space="preserve"> </w:t>
      </w:r>
      <w:r w:rsidRPr="005B0893">
        <w:rPr>
          <w:rFonts w:cs="Calibri"/>
        </w:rPr>
        <w:t>Ομίλου</w:t>
      </w:r>
      <w:r w:rsidRPr="00842C5E">
        <w:rPr>
          <w:rFonts w:cs="Calibri"/>
        </w:rPr>
        <w:t xml:space="preserve">, </w:t>
      </w:r>
      <w:r w:rsidRPr="005B0893">
        <w:rPr>
          <w:rFonts w:cs="Calibri"/>
        </w:rPr>
        <w:t>ο</w:t>
      </w:r>
      <w:r w:rsidRPr="00842C5E">
        <w:rPr>
          <w:rFonts w:cs="Calibri"/>
        </w:rPr>
        <w:t xml:space="preserve"> </w:t>
      </w:r>
      <w:r w:rsidRPr="006B5B06">
        <w:rPr>
          <w:rFonts w:cs="Calibri"/>
        </w:rPr>
        <w:t>κ. Αλέξης</w:t>
      </w:r>
      <w:r w:rsidRPr="00842C5E">
        <w:rPr>
          <w:rFonts w:cs="Calibri"/>
        </w:rPr>
        <w:t xml:space="preserve"> </w:t>
      </w:r>
      <w:r w:rsidRPr="005B0893">
        <w:rPr>
          <w:rFonts w:cs="Calibri"/>
        </w:rPr>
        <w:t>Αλεξίου</w:t>
      </w:r>
      <w:r w:rsidRPr="00842C5E">
        <w:rPr>
          <w:rFonts w:cs="Calibri"/>
        </w:rPr>
        <w:t xml:space="preserve">, </w:t>
      </w:r>
      <w:r w:rsidRPr="005B0893">
        <w:rPr>
          <w:rFonts w:cs="Calibri"/>
        </w:rPr>
        <w:t>Διευθύνων</w:t>
      </w:r>
      <w:r w:rsidRPr="00842C5E">
        <w:rPr>
          <w:rFonts w:cs="Calibri"/>
        </w:rPr>
        <w:t xml:space="preserve"> </w:t>
      </w:r>
      <w:r w:rsidRPr="005B0893">
        <w:rPr>
          <w:rFonts w:cs="Calibri"/>
        </w:rPr>
        <w:t>Σύμβουλος</w:t>
      </w:r>
      <w:r w:rsidRPr="00842C5E">
        <w:rPr>
          <w:rFonts w:cs="Calibri"/>
        </w:rPr>
        <w:t xml:space="preserve"> </w:t>
      </w:r>
      <w:r w:rsidRPr="005B0893">
        <w:rPr>
          <w:rFonts w:cs="Calibri"/>
        </w:rPr>
        <w:t>της</w:t>
      </w:r>
      <w:r w:rsidRPr="00842C5E">
        <w:rPr>
          <w:rFonts w:cs="Calibri"/>
        </w:rPr>
        <w:t xml:space="preserve"> </w:t>
      </w:r>
      <w:r w:rsidRPr="005B0893">
        <w:rPr>
          <w:rFonts w:cs="Calibri"/>
          <w:lang w:val="en-US"/>
        </w:rPr>
        <w:t>Cenergy</w:t>
      </w:r>
      <w:r w:rsidRPr="00842C5E">
        <w:rPr>
          <w:rFonts w:cs="Calibri"/>
        </w:rPr>
        <w:t xml:space="preserve"> </w:t>
      </w:r>
      <w:r w:rsidRPr="005B0893">
        <w:rPr>
          <w:rFonts w:cs="Calibri"/>
          <w:lang w:val="en-US"/>
        </w:rPr>
        <w:t>Holdings</w:t>
      </w:r>
      <w:r w:rsidR="002A49D8">
        <w:rPr>
          <w:rFonts w:cs="Calibri"/>
        </w:rPr>
        <w:t>,</w:t>
      </w:r>
      <w:r w:rsidRPr="00842C5E">
        <w:rPr>
          <w:rFonts w:cs="Calibri"/>
        </w:rPr>
        <w:t xml:space="preserve"> </w:t>
      </w:r>
      <w:r w:rsidRPr="005B0893">
        <w:rPr>
          <w:rFonts w:cs="Calibri"/>
        </w:rPr>
        <w:t>δήλωσε</w:t>
      </w:r>
      <w:r w:rsidRPr="00842C5E">
        <w:rPr>
          <w:rFonts w:cs="Calibri"/>
        </w:rPr>
        <w:t xml:space="preserve">: </w:t>
      </w:r>
    </w:p>
    <w:p w14:paraId="1C65DD68" w14:textId="250E0931" w:rsidR="00547E66" w:rsidRPr="00547E66" w:rsidRDefault="001751CB" w:rsidP="00547E66">
      <w:pPr>
        <w:spacing w:after="120" w:line="240" w:lineRule="auto"/>
        <w:jc w:val="both"/>
        <w:rPr>
          <w:rFonts w:cs="Calibri"/>
          <w:i/>
        </w:rPr>
      </w:pPr>
      <w:r>
        <w:rPr>
          <w:rFonts w:cs="Calibri"/>
          <w:i/>
        </w:rPr>
        <w:t>«</w:t>
      </w:r>
      <w:r w:rsidR="00547E66" w:rsidRPr="00547E66">
        <w:rPr>
          <w:rFonts w:cs="Calibri"/>
          <w:i/>
        </w:rPr>
        <w:t xml:space="preserve">Το </w:t>
      </w:r>
      <w:r w:rsidR="00547E66">
        <w:rPr>
          <w:rFonts w:cs="Calibri"/>
          <w:i/>
        </w:rPr>
        <w:t>δεύτερο</w:t>
      </w:r>
      <w:r w:rsidR="00547E66" w:rsidRPr="00547E66">
        <w:rPr>
          <w:rFonts w:cs="Calibri"/>
          <w:i/>
        </w:rPr>
        <w:t xml:space="preserve"> τρίμηνο του 2023 ήταν </w:t>
      </w:r>
      <w:r w:rsidR="00F467F6">
        <w:rPr>
          <w:rFonts w:cs="Calibri"/>
          <w:i/>
        </w:rPr>
        <w:t>ακόμη</w:t>
      </w:r>
      <w:r w:rsidR="00547E66" w:rsidRPr="00547E66">
        <w:rPr>
          <w:rFonts w:cs="Calibri"/>
          <w:i/>
        </w:rPr>
        <w:t xml:space="preserve"> ένα σημαντικό τρίμηνο για τη </w:t>
      </w:r>
      <w:r w:rsidR="00547E66" w:rsidRPr="00547E66">
        <w:rPr>
          <w:rFonts w:cs="Calibri"/>
          <w:i/>
          <w:lang w:val="en-GB"/>
        </w:rPr>
        <w:t>Cenergy</w:t>
      </w:r>
      <w:r w:rsidR="00547E66" w:rsidRPr="00547E66">
        <w:rPr>
          <w:rFonts w:cs="Calibri"/>
          <w:i/>
        </w:rPr>
        <w:t xml:space="preserve"> </w:t>
      </w:r>
      <w:r w:rsidR="00547E66" w:rsidRPr="00547E66">
        <w:rPr>
          <w:rFonts w:cs="Calibri"/>
          <w:i/>
          <w:lang w:val="en-GB"/>
        </w:rPr>
        <w:t>Holdings</w:t>
      </w:r>
      <w:r w:rsidR="002A49D8">
        <w:rPr>
          <w:rFonts w:cs="Calibri"/>
          <w:i/>
        </w:rPr>
        <w:t xml:space="preserve"> και </w:t>
      </w:r>
      <w:r w:rsidR="00547E66" w:rsidRPr="00547E66">
        <w:rPr>
          <w:rFonts w:cs="Calibri"/>
          <w:i/>
        </w:rPr>
        <w:t>επιβεβα</w:t>
      </w:r>
      <w:r w:rsidR="002A49D8">
        <w:rPr>
          <w:rFonts w:cs="Calibri"/>
          <w:i/>
        </w:rPr>
        <w:t>ίωσε τον</w:t>
      </w:r>
      <w:r w:rsidR="00A12AE2">
        <w:rPr>
          <w:rFonts w:cs="Calibri"/>
          <w:i/>
        </w:rPr>
        <w:t xml:space="preserve"> καταλυτικό </w:t>
      </w:r>
      <w:r w:rsidR="00547E66" w:rsidRPr="00547E66">
        <w:rPr>
          <w:rFonts w:cs="Calibri"/>
          <w:i/>
        </w:rPr>
        <w:t>ρόλο τ</w:t>
      </w:r>
      <w:r w:rsidR="00547E66">
        <w:rPr>
          <w:rFonts w:cs="Calibri"/>
          <w:i/>
        </w:rPr>
        <w:t>ου Ομίλο</w:t>
      </w:r>
      <w:r w:rsidR="00A12AE2">
        <w:rPr>
          <w:rFonts w:cs="Calibri"/>
          <w:i/>
        </w:rPr>
        <w:t>υ</w:t>
      </w:r>
      <w:r w:rsidR="00547E66" w:rsidRPr="00547E66">
        <w:rPr>
          <w:rFonts w:cs="Calibri"/>
          <w:i/>
        </w:rPr>
        <w:t xml:space="preserve"> </w:t>
      </w:r>
      <w:r w:rsidR="00A12AE2">
        <w:rPr>
          <w:rFonts w:cs="Calibri"/>
          <w:i/>
        </w:rPr>
        <w:t>στ</w:t>
      </w:r>
      <w:r w:rsidR="002A49D8">
        <w:rPr>
          <w:rFonts w:cs="Calibri"/>
          <w:i/>
        </w:rPr>
        <w:t>ην</w:t>
      </w:r>
      <w:r w:rsidR="00547E66" w:rsidRPr="00547E66">
        <w:rPr>
          <w:rFonts w:cs="Calibri"/>
          <w:i/>
        </w:rPr>
        <w:t xml:space="preserve"> ενεργειακή μετάβαση.</w:t>
      </w:r>
      <w:r w:rsidR="002A49D8">
        <w:rPr>
          <w:rFonts w:cs="Calibri"/>
          <w:i/>
        </w:rPr>
        <w:t xml:space="preserve"> </w:t>
      </w:r>
      <w:r w:rsidR="00547E66" w:rsidRPr="00547E66">
        <w:rPr>
          <w:rFonts w:cs="Calibri"/>
          <w:i/>
        </w:rPr>
        <w:t xml:space="preserve"> Το ανεκτέλεστο υπόλοιπο παραγγελιών </w:t>
      </w:r>
      <w:r w:rsidR="00547E66">
        <w:rPr>
          <w:rFonts w:cs="Calibri"/>
          <w:i/>
        </w:rPr>
        <w:t>ανήλθ</w:t>
      </w:r>
      <w:r w:rsidR="00547E66" w:rsidRPr="00D83868">
        <w:rPr>
          <w:rFonts w:cs="Calibri"/>
          <w:i/>
        </w:rPr>
        <w:t>ε και πάλι σε</w:t>
      </w:r>
      <w:r w:rsidR="00DB7D87">
        <w:rPr>
          <w:rFonts w:cs="Calibri"/>
          <w:i/>
        </w:rPr>
        <w:t xml:space="preserve"> νέα</w:t>
      </w:r>
      <w:r w:rsidR="00547E66" w:rsidRPr="00D83868">
        <w:rPr>
          <w:rFonts w:cs="Calibri"/>
          <w:i/>
        </w:rPr>
        <w:t xml:space="preserve"> ιστορικά υψηλά επίπεδα, καθώς οι </w:t>
      </w:r>
      <w:r w:rsidR="00F467F6">
        <w:rPr>
          <w:rFonts w:cs="Calibri"/>
          <w:i/>
        </w:rPr>
        <w:t xml:space="preserve">νέες </w:t>
      </w:r>
      <w:r w:rsidR="00547E66" w:rsidRPr="00D83868">
        <w:rPr>
          <w:rFonts w:cs="Calibri"/>
          <w:i/>
        </w:rPr>
        <w:t xml:space="preserve">παραγγελίες ξεπέρασαν τα 900 εκατ. ευρώ στο εξάμηνο, ενώ το πλήρες πρόγραμμα παραγωγής σε όλα τα εργοστάσια </w:t>
      </w:r>
      <w:r w:rsidR="00F467F6">
        <w:rPr>
          <w:rFonts w:cs="Calibri"/>
          <w:i/>
        </w:rPr>
        <w:t>αποτέλεσε τον βασικό μοχλό για την επίτευξη</w:t>
      </w:r>
      <w:r w:rsidR="00547E66" w:rsidRPr="00D83868">
        <w:rPr>
          <w:rFonts w:cs="Calibri"/>
          <w:i/>
        </w:rPr>
        <w:t xml:space="preserve"> ισχυρή</w:t>
      </w:r>
      <w:r w:rsidR="00F467F6">
        <w:rPr>
          <w:rFonts w:cs="Calibri"/>
          <w:i/>
        </w:rPr>
        <w:t>ς</w:t>
      </w:r>
      <w:r w:rsidR="00547E66" w:rsidRPr="00D83868">
        <w:rPr>
          <w:rFonts w:cs="Calibri"/>
          <w:i/>
        </w:rPr>
        <w:t xml:space="preserve"> κερδοφορία</w:t>
      </w:r>
      <w:r w:rsidR="00F467F6">
        <w:rPr>
          <w:rFonts w:cs="Calibri"/>
          <w:i/>
        </w:rPr>
        <w:t>ς</w:t>
      </w:r>
      <w:r w:rsidR="00547E66" w:rsidRPr="00D83868">
        <w:rPr>
          <w:rFonts w:cs="Calibri"/>
          <w:i/>
        </w:rPr>
        <w:t>.</w:t>
      </w:r>
      <w:r w:rsidR="002A49D8">
        <w:rPr>
          <w:rFonts w:cs="Calibri"/>
          <w:i/>
        </w:rPr>
        <w:t xml:space="preserve"> </w:t>
      </w:r>
      <w:r w:rsidR="00547E66" w:rsidRPr="00D83868">
        <w:rPr>
          <w:rFonts w:cs="Calibri"/>
          <w:i/>
        </w:rPr>
        <w:t xml:space="preserve"> </w:t>
      </w:r>
      <w:r w:rsidR="002A49D8">
        <w:rPr>
          <w:rFonts w:cs="Calibri"/>
          <w:i/>
        </w:rPr>
        <w:t>Η</w:t>
      </w:r>
      <w:r w:rsidR="002A49D8" w:rsidRPr="00547E66">
        <w:rPr>
          <w:rFonts w:cs="Calibri"/>
          <w:i/>
        </w:rPr>
        <w:t xml:space="preserve"> ανάκαμψη </w:t>
      </w:r>
      <w:r w:rsidR="002A49D8">
        <w:rPr>
          <w:rFonts w:cs="Calibri"/>
          <w:i/>
        </w:rPr>
        <w:t>των σωλήνων χάλυβα επιβεβαιώθηκε σ</w:t>
      </w:r>
      <w:r>
        <w:rPr>
          <w:rFonts w:cs="Calibri"/>
          <w:i/>
        </w:rPr>
        <w:t>τ</w:t>
      </w:r>
      <w:r w:rsidR="00F525C5" w:rsidRPr="00D83868">
        <w:rPr>
          <w:rFonts w:cs="Calibri"/>
          <w:i/>
        </w:rPr>
        <w:t>ο</w:t>
      </w:r>
      <w:r w:rsidR="00F525C5" w:rsidRPr="00547E66">
        <w:rPr>
          <w:rFonts w:cs="Calibri"/>
          <w:i/>
        </w:rPr>
        <w:t xml:space="preserve"> πρώτο εξάμηνο του 2023</w:t>
      </w:r>
      <w:r w:rsidR="002A49D8">
        <w:rPr>
          <w:rFonts w:cs="Calibri"/>
          <w:i/>
        </w:rPr>
        <w:t>,</w:t>
      </w:r>
      <w:r w:rsidR="00547E66" w:rsidRPr="00547E66">
        <w:rPr>
          <w:rFonts w:cs="Calibri"/>
          <w:i/>
        </w:rPr>
        <w:t xml:space="preserve"> καθώς ο </w:t>
      </w:r>
      <w:r w:rsidR="002A49D8">
        <w:rPr>
          <w:rFonts w:cs="Calibri"/>
          <w:i/>
        </w:rPr>
        <w:t>τομέας</w:t>
      </w:r>
      <w:r w:rsidR="00547E66" w:rsidRPr="00547E66">
        <w:rPr>
          <w:rFonts w:cs="Calibri"/>
          <w:i/>
        </w:rPr>
        <w:t xml:space="preserve"> πολλαπλασίασε τα περιθώρια κέρδους του, ενώ</w:t>
      </w:r>
      <w:r w:rsidR="00D46F10">
        <w:rPr>
          <w:rFonts w:cs="Calibri"/>
          <w:i/>
        </w:rPr>
        <w:t xml:space="preserve"> ταυτόχρονα</w:t>
      </w:r>
      <w:r w:rsidR="00D46F10" w:rsidRPr="00D46F10">
        <w:rPr>
          <w:rFonts w:cs="Calibri"/>
          <w:i/>
        </w:rPr>
        <w:t xml:space="preserve"> </w:t>
      </w:r>
      <w:r w:rsidR="00D46F10" w:rsidRPr="00547E66">
        <w:rPr>
          <w:rFonts w:cs="Calibri"/>
          <w:i/>
        </w:rPr>
        <w:t>συνεχί</w:t>
      </w:r>
      <w:r w:rsidR="00D46F10">
        <w:rPr>
          <w:rFonts w:cs="Calibri"/>
          <w:i/>
        </w:rPr>
        <w:t>στηκε</w:t>
      </w:r>
      <w:r w:rsidR="00D46F10" w:rsidRPr="00547E66">
        <w:rPr>
          <w:rFonts w:cs="Calibri"/>
          <w:i/>
        </w:rPr>
        <w:t xml:space="preserve"> η σταθερή ανάπτυξη</w:t>
      </w:r>
      <w:r w:rsidR="00547E66" w:rsidRPr="00547E66">
        <w:rPr>
          <w:rFonts w:cs="Calibri"/>
          <w:i/>
        </w:rPr>
        <w:t xml:space="preserve"> </w:t>
      </w:r>
      <w:r w:rsidR="00D83868" w:rsidRPr="00547E66">
        <w:rPr>
          <w:rFonts w:cs="Calibri"/>
          <w:i/>
        </w:rPr>
        <w:t xml:space="preserve">στον </w:t>
      </w:r>
      <w:r w:rsidR="002A49D8">
        <w:rPr>
          <w:rFonts w:cs="Calibri"/>
          <w:i/>
        </w:rPr>
        <w:t>τομέα</w:t>
      </w:r>
      <w:r w:rsidR="00D83868" w:rsidRPr="00547E66">
        <w:rPr>
          <w:rFonts w:cs="Calibri"/>
          <w:i/>
        </w:rPr>
        <w:t xml:space="preserve"> των καλωδίων</w:t>
      </w:r>
      <w:r w:rsidR="00547E66" w:rsidRPr="00547E66">
        <w:rPr>
          <w:rFonts w:cs="Calibri"/>
          <w:i/>
        </w:rPr>
        <w:t>.</w:t>
      </w:r>
      <w:r w:rsidR="002A49D8">
        <w:rPr>
          <w:rFonts w:cs="Calibri"/>
          <w:i/>
        </w:rPr>
        <w:t xml:space="preserve"> </w:t>
      </w:r>
      <w:r w:rsidR="00547E66" w:rsidRPr="00547E66">
        <w:rPr>
          <w:rFonts w:cs="Calibri"/>
          <w:i/>
        </w:rPr>
        <w:t xml:space="preserve"> Παράλληλα</w:t>
      </w:r>
      <w:r w:rsidR="002A49D8">
        <w:rPr>
          <w:rFonts w:cs="Calibri"/>
          <w:i/>
        </w:rPr>
        <w:t>,</w:t>
      </w:r>
      <w:r w:rsidR="00D83868">
        <w:rPr>
          <w:rFonts w:cs="Calibri"/>
          <w:i/>
        </w:rPr>
        <w:t xml:space="preserve"> </w:t>
      </w:r>
      <w:r w:rsidRPr="00547E66">
        <w:rPr>
          <w:rFonts w:cs="Calibri"/>
          <w:i/>
        </w:rPr>
        <w:t>στις αρχές του έτους</w:t>
      </w:r>
      <w:r w:rsidR="002A49D8">
        <w:rPr>
          <w:rFonts w:cs="Calibri"/>
          <w:i/>
        </w:rPr>
        <w:t>,</w:t>
      </w:r>
      <w:r w:rsidRPr="00547E66">
        <w:rPr>
          <w:rFonts w:cs="Calibri"/>
          <w:i/>
        </w:rPr>
        <w:t xml:space="preserve"> </w:t>
      </w:r>
      <w:r w:rsidR="00D83868" w:rsidRPr="00547E66">
        <w:rPr>
          <w:rFonts w:cs="Calibri"/>
          <w:i/>
        </w:rPr>
        <w:t xml:space="preserve">ξεκίνησε </w:t>
      </w:r>
      <w:r w:rsidR="00547E66" w:rsidRPr="00547E66">
        <w:rPr>
          <w:rFonts w:cs="Calibri"/>
          <w:i/>
        </w:rPr>
        <w:t xml:space="preserve">η επέκταση της παραγωγικής δυναμικότητας </w:t>
      </w:r>
      <w:r w:rsidR="00F525C5">
        <w:rPr>
          <w:rFonts w:cs="Calibri"/>
          <w:i/>
        </w:rPr>
        <w:t>υποβρυχίων</w:t>
      </w:r>
      <w:r w:rsidR="00547E66" w:rsidRPr="00547E66">
        <w:rPr>
          <w:rFonts w:cs="Calibri"/>
          <w:i/>
        </w:rPr>
        <w:t xml:space="preserve"> καλωδίων, με πλήρη </w:t>
      </w:r>
      <w:r w:rsidR="002A49D8" w:rsidRPr="00547E66">
        <w:rPr>
          <w:rFonts w:cs="Calibri"/>
          <w:i/>
        </w:rPr>
        <w:t>χρηματοδοτικ</w:t>
      </w:r>
      <w:r w:rsidR="002A49D8">
        <w:rPr>
          <w:rFonts w:cs="Calibri"/>
          <w:i/>
        </w:rPr>
        <w:t>ή</w:t>
      </w:r>
      <w:r w:rsidR="002A49D8" w:rsidRPr="00547E66">
        <w:rPr>
          <w:rFonts w:cs="Calibri"/>
          <w:i/>
        </w:rPr>
        <w:t xml:space="preserve"> </w:t>
      </w:r>
      <w:r w:rsidR="00547E66" w:rsidRPr="00547E66">
        <w:rPr>
          <w:rFonts w:cs="Calibri"/>
          <w:i/>
        </w:rPr>
        <w:t xml:space="preserve">στήριξη </w:t>
      </w:r>
      <w:r w:rsidR="00D83868">
        <w:rPr>
          <w:rFonts w:cs="Calibri"/>
          <w:i/>
        </w:rPr>
        <w:t xml:space="preserve">από </w:t>
      </w:r>
      <w:r w:rsidR="00F467F6">
        <w:rPr>
          <w:rFonts w:cs="Calibri"/>
          <w:i/>
        </w:rPr>
        <w:t xml:space="preserve">έναν </w:t>
      </w:r>
      <w:r w:rsidR="00547E66" w:rsidRPr="00547E66">
        <w:rPr>
          <w:rFonts w:cs="Calibri"/>
          <w:i/>
        </w:rPr>
        <w:t>ισχυρ</w:t>
      </w:r>
      <w:r w:rsidR="00D83868">
        <w:rPr>
          <w:rFonts w:cs="Calibri"/>
          <w:i/>
        </w:rPr>
        <w:t>ό</w:t>
      </w:r>
      <w:r w:rsidR="00547E66" w:rsidRPr="00547E66">
        <w:rPr>
          <w:rFonts w:cs="Calibri"/>
          <w:i/>
        </w:rPr>
        <w:t xml:space="preserve"> εταίρο</w:t>
      </w:r>
      <w:r w:rsidR="00F467F6">
        <w:rPr>
          <w:rFonts w:cs="Calibri"/>
          <w:i/>
        </w:rPr>
        <w:t>,</w:t>
      </w:r>
      <w:r w:rsidR="00547E66" w:rsidRPr="00547E66">
        <w:rPr>
          <w:rFonts w:cs="Calibri"/>
          <w:i/>
        </w:rPr>
        <w:t xml:space="preserve"> όπως η </w:t>
      </w:r>
      <w:r w:rsidR="00547E66" w:rsidRPr="00547E66">
        <w:rPr>
          <w:rFonts w:cs="Calibri"/>
          <w:i/>
          <w:lang w:val="en-GB"/>
        </w:rPr>
        <w:t>EBRD</w:t>
      </w:r>
      <w:r w:rsidR="00547E66" w:rsidRPr="00547E66">
        <w:rPr>
          <w:rFonts w:cs="Calibri"/>
          <w:i/>
        </w:rPr>
        <w:t>.</w:t>
      </w:r>
    </w:p>
    <w:p w14:paraId="5224771B" w14:textId="5B4B7E17" w:rsidR="00547E66" w:rsidRPr="00547E66" w:rsidRDefault="00547E66" w:rsidP="00547E66">
      <w:pPr>
        <w:spacing w:after="120" w:line="240" w:lineRule="auto"/>
        <w:jc w:val="both"/>
        <w:rPr>
          <w:rFonts w:cs="Calibri"/>
          <w:i/>
        </w:rPr>
      </w:pPr>
      <w:r w:rsidRPr="00547E66">
        <w:rPr>
          <w:rFonts w:cs="Calibri"/>
          <w:i/>
        </w:rPr>
        <w:t>Είμαστε βέβαιοι ότι θα π</w:t>
      </w:r>
      <w:r w:rsidR="002A49D8">
        <w:rPr>
          <w:rFonts w:cs="Calibri"/>
          <w:i/>
        </w:rPr>
        <w:t>ε</w:t>
      </w:r>
      <w:r w:rsidRPr="00547E66">
        <w:rPr>
          <w:rFonts w:cs="Calibri"/>
          <w:i/>
        </w:rPr>
        <w:t xml:space="preserve">τύχουμε τους στόχους </w:t>
      </w:r>
      <w:r w:rsidR="00F467F6">
        <w:rPr>
          <w:rFonts w:cs="Calibri"/>
          <w:i/>
        </w:rPr>
        <w:t xml:space="preserve">που έχουν τεθεί για τη </w:t>
      </w:r>
      <w:r w:rsidRPr="00547E66">
        <w:rPr>
          <w:rFonts w:cs="Calibri"/>
          <w:i/>
        </w:rPr>
        <w:t>κερδοφορία το</w:t>
      </w:r>
      <w:r w:rsidR="00F467F6">
        <w:rPr>
          <w:rFonts w:cs="Calibri"/>
          <w:i/>
        </w:rPr>
        <w:t>υ</w:t>
      </w:r>
      <w:r w:rsidRPr="00547E66">
        <w:rPr>
          <w:rFonts w:cs="Calibri"/>
          <w:i/>
        </w:rPr>
        <w:t xml:space="preserve"> 2023, της τάξ</w:t>
      </w:r>
      <w:r w:rsidR="00D46F10">
        <w:rPr>
          <w:rFonts w:cs="Calibri"/>
          <w:i/>
        </w:rPr>
        <w:t>η</w:t>
      </w:r>
      <w:r w:rsidR="001751CB">
        <w:rPr>
          <w:rFonts w:cs="Calibri"/>
          <w:i/>
        </w:rPr>
        <w:t>ς</w:t>
      </w:r>
      <w:r w:rsidRPr="00547E66">
        <w:rPr>
          <w:rFonts w:cs="Calibri"/>
          <w:i/>
        </w:rPr>
        <w:t xml:space="preserve"> των 180 - 200 εκατ. ευρώ</w:t>
      </w:r>
      <w:r w:rsidR="00F525C5">
        <w:rPr>
          <w:rFonts w:cs="Calibri"/>
          <w:i/>
        </w:rPr>
        <w:t xml:space="preserve"> σε όρους αναπροσαρμοσμένου</w:t>
      </w:r>
      <w:r w:rsidRPr="00547E66">
        <w:rPr>
          <w:rFonts w:cs="Calibri"/>
          <w:i/>
        </w:rPr>
        <w:t xml:space="preserve"> </w:t>
      </w:r>
      <w:r w:rsidRPr="00547E66">
        <w:rPr>
          <w:rFonts w:cs="Calibri"/>
          <w:i/>
          <w:lang w:val="en-GB"/>
        </w:rPr>
        <w:t>EBITDA</w:t>
      </w:r>
      <w:r w:rsidRPr="00547E66">
        <w:rPr>
          <w:rFonts w:cs="Calibri"/>
          <w:i/>
        </w:rPr>
        <w:t xml:space="preserve">, χάρη στην αποδεδειγμένη δέσμευσή μας να υλοποιούμε με επιτυχία απαιτητικά ενεργειακά έργα και </w:t>
      </w:r>
      <w:r w:rsidR="00F467F6">
        <w:rPr>
          <w:rFonts w:cs="Calibri"/>
          <w:i/>
        </w:rPr>
        <w:t xml:space="preserve">να παραδίδουμε </w:t>
      </w:r>
      <w:r w:rsidRPr="00547E66">
        <w:rPr>
          <w:rFonts w:cs="Calibri"/>
          <w:i/>
        </w:rPr>
        <w:t xml:space="preserve">προϊόντα </w:t>
      </w:r>
      <w:r w:rsidR="00C53441">
        <w:rPr>
          <w:rFonts w:cs="Calibri"/>
          <w:i/>
        </w:rPr>
        <w:t xml:space="preserve">και λύσεις </w:t>
      </w:r>
      <w:r w:rsidRPr="00547E66">
        <w:rPr>
          <w:rFonts w:cs="Calibri"/>
          <w:i/>
        </w:rPr>
        <w:t>για τη μεταφορά ενέργειας σε όλο τον κόσμο</w:t>
      </w:r>
      <w:r w:rsidR="001751CB">
        <w:rPr>
          <w:rFonts w:cs="Calibri"/>
          <w:i/>
        </w:rPr>
        <w:t>»</w:t>
      </w:r>
    </w:p>
    <w:p w14:paraId="5E63AC98" w14:textId="400A897B" w:rsidR="00DB7A95" w:rsidRPr="001751CB" w:rsidRDefault="001751CB" w:rsidP="006B321F">
      <w:pPr>
        <w:keepNext/>
        <w:keepLines/>
        <w:spacing w:after="120" w:line="240" w:lineRule="auto"/>
        <w:jc w:val="both"/>
        <w:outlineLvl w:val="1"/>
        <w:rPr>
          <w:rFonts w:eastAsia="SimSun" w:cs="Calibri"/>
          <w:b/>
          <w:bCs/>
          <w:color w:val="4F6228"/>
          <w:sz w:val="24"/>
          <w:szCs w:val="24"/>
        </w:rPr>
      </w:pPr>
      <w:r>
        <w:rPr>
          <w:rFonts w:eastAsia="SimSun" w:cs="Calibri"/>
          <w:b/>
          <w:bCs/>
          <w:color w:val="4F6228"/>
          <w:sz w:val="24"/>
          <w:szCs w:val="24"/>
        </w:rPr>
        <w:t>Επισκόπηση</w:t>
      </w:r>
    </w:p>
    <w:p w14:paraId="545F70B1" w14:textId="1C1658B5" w:rsidR="00B26D63" w:rsidRPr="00B26D63" w:rsidRDefault="00B26D63" w:rsidP="00B451DF">
      <w:pPr>
        <w:spacing w:after="120" w:line="240" w:lineRule="auto"/>
        <w:jc w:val="both"/>
        <w:rPr>
          <w:rFonts w:cs="Calibri"/>
        </w:rPr>
      </w:pPr>
      <w:r>
        <w:rPr>
          <w:rFonts w:cs="Calibri"/>
        </w:rPr>
        <w:t xml:space="preserve">Κατά </w:t>
      </w:r>
      <w:r w:rsidRPr="00B26D63">
        <w:rPr>
          <w:rFonts w:cs="Calibri"/>
        </w:rPr>
        <w:t xml:space="preserve"> τη διάρκεια του πρώτου εξαμήνου του 2023, η Cenergy Holdings </w:t>
      </w:r>
      <w:r w:rsidR="00FF44C0">
        <w:rPr>
          <w:rFonts w:cs="Calibri"/>
        </w:rPr>
        <w:t>ωφελήθηκε από τη βελτίωση της ζήτησης στ</w:t>
      </w:r>
      <w:r w:rsidR="002A49D8">
        <w:rPr>
          <w:rFonts w:cs="Calibri"/>
        </w:rPr>
        <w:t>ην</w:t>
      </w:r>
      <w:r w:rsidR="00FF44C0">
        <w:rPr>
          <w:rFonts w:cs="Calibri"/>
        </w:rPr>
        <w:t xml:space="preserve"> ενέργεια: </w:t>
      </w:r>
      <w:r w:rsidRPr="00B26D63">
        <w:rPr>
          <w:rFonts w:cs="Calibri"/>
        </w:rPr>
        <w:t>αφενός</w:t>
      </w:r>
      <w:r w:rsidR="00FF44C0">
        <w:rPr>
          <w:rFonts w:cs="Calibri"/>
        </w:rPr>
        <w:t xml:space="preserve"> ενισχύθηκε</w:t>
      </w:r>
      <w:r w:rsidRPr="00B26D63">
        <w:rPr>
          <w:rFonts w:cs="Calibri"/>
        </w:rPr>
        <w:t xml:space="preserve"> η ζήτηση για προϊόντα καλωδίων, λόγω των επεκτάσεων των δικτύων</w:t>
      </w:r>
      <w:r w:rsidR="006F0491">
        <w:rPr>
          <w:rFonts w:cs="Calibri"/>
        </w:rPr>
        <w:t xml:space="preserve"> </w:t>
      </w:r>
      <w:r w:rsidRPr="00B26D63">
        <w:rPr>
          <w:rFonts w:cs="Calibri"/>
        </w:rPr>
        <w:t>και της αυξημένης κατασκευαστικής δραστηριότητας</w:t>
      </w:r>
      <w:r w:rsidR="006F0491">
        <w:rPr>
          <w:rFonts w:cs="Calibri"/>
        </w:rPr>
        <w:t xml:space="preserve"> και </w:t>
      </w:r>
      <w:r w:rsidRPr="00B26D63">
        <w:rPr>
          <w:rFonts w:cs="Calibri"/>
        </w:rPr>
        <w:t>αφετέρου τα ενεργειακά έργα</w:t>
      </w:r>
      <w:r w:rsidR="00FF44C0">
        <w:rPr>
          <w:rFonts w:cs="Calibri"/>
        </w:rPr>
        <w:t xml:space="preserve"> </w:t>
      </w:r>
      <w:r w:rsidRPr="00B26D63">
        <w:rPr>
          <w:rFonts w:cs="Calibri"/>
        </w:rPr>
        <w:t xml:space="preserve">εκτελέστηκαν ομαλά και </w:t>
      </w:r>
      <w:r w:rsidR="00F467F6">
        <w:rPr>
          <w:rFonts w:cs="Calibri"/>
        </w:rPr>
        <w:t>αποτέλεσαν βασικό μοχλό για</w:t>
      </w:r>
      <w:r w:rsidR="00FF44C0">
        <w:rPr>
          <w:rFonts w:cs="Calibri"/>
        </w:rPr>
        <w:t xml:space="preserve"> τη </w:t>
      </w:r>
      <w:r w:rsidRPr="00B26D63">
        <w:rPr>
          <w:rFonts w:cs="Calibri"/>
        </w:rPr>
        <w:t xml:space="preserve">λειτουργική κερδοφορία </w:t>
      </w:r>
      <w:r w:rsidR="00FF44C0">
        <w:rPr>
          <w:rFonts w:cs="Calibri"/>
        </w:rPr>
        <w:t>της</w:t>
      </w:r>
      <w:r w:rsidRPr="00B26D63">
        <w:rPr>
          <w:rFonts w:cs="Calibri"/>
        </w:rPr>
        <w:t xml:space="preserve"> περ</w:t>
      </w:r>
      <w:r w:rsidR="00FF44C0">
        <w:rPr>
          <w:rFonts w:cs="Calibri"/>
        </w:rPr>
        <w:t>ιόδου</w:t>
      </w:r>
      <w:r w:rsidR="00F467F6">
        <w:rPr>
          <w:rFonts w:cs="Calibri"/>
        </w:rPr>
        <w:t>,</w:t>
      </w:r>
      <w:r w:rsidR="00912F01" w:rsidRPr="00912F01">
        <w:rPr>
          <w:rFonts w:cs="Calibri"/>
        </w:rPr>
        <w:t xml:space="preserve"> </w:t>
      </w:r>
      <w:r w:rsidR="00912F01" w:rsidRPr="00B26D63">
        <w:rPr>
          <w:rFonts w:cs="Calibri"/>
        </w:rPr>
        <w:t xml:space="preserve">τόσο στον </w:t>
      </w:r>
      <w:r w:rsidR="002A49D8">
        <w:rPr>
          <w:rFonts w:cs="Calibri"/>
        </w:rPr>
        <w:t>τομέα</w:t>
      </w:r>
      <w:r w:rsidR="00912F01">
        <w:rPr>
          <w:rFonts w:cs="Calibri"/>
        </w:rPr>
        <w:t xml:space="preserve"> </w:t>
      </w:r>
      <w:r w:rsidR="00912F01" w:rsidRPr="00B26D63">
        <w:rPr>
          <w:rFonts w:cs="Calibri"/>
        </w:rPr>
        <w:t>καλωδίων όσο και σ</w:t>
      </w:r>
      <w:r w:rsidR="002A49D8">
        <w:rPr>
          <w:rFonts w:cs="Calibri"/>
        </w:rPr>
        <w:t>ε αυτόν των</w:t>
      </w:r>
      <w:r w:rsidR="00912F01" w:rsidRPr="00B26D63">
        <w:rPr>
          <w:rFonts w:cs="Calibri"/>
        </w:rPr>
        <w:t xml:space="preserve"> </w:t>
      </w:r>
      <w:r w:rsidR="00912F01">
        <w:rPr>
          <w:rFonts w:cs="Calibri"/>
        </w:rPr>
        <w:t>σωλήνων χάλυβα</w:t>
      </w:r>
      <w:r w:rsidRPr="00B26D63">
        <w:rPr>
          <w:rFonts w:cs="Calibri"/>
        </w:rPr>
        <w:t>.</w:t>
      </w:r>
    </w:p>
    <w:p w14:paraId="74C615B4" w14:textId="5E6CE22B" w:rsidR="00046361" w:rsidRPr="00046361" w:rsidRDefault="00FE537A" w:rsidP="00B451DF">
      <w:pPr>
        <w:spacing w:after="120" w:line="240" w:lineRule="auto"/>
        <w:jc w:val="both"/>
        <w:rPr>
          <w:rFonts w:cs="Calibri"/>
        </w:rPr>
      </w:pPr>
      <w:r w:rsidRPr="00FE537A">
        <w:rPr>
          <w:rFonts w:cs="Calibri"/>
        </w:rPr>
        <w:t xml:space="preserve">Τόσο η Ελληνικά Καλώδια όσο και η Σωληνουργεία Κορίνθου διατήρησαν την ισχυρή εμπορική τους δυναμική και συνέχισαν να </w:t>
      </w:r>
      <w:r w:rsidR="00026BDA">
        <w:rPr>
          <w:rFonts w:cs="Calibri"/>
        </w:rPr>
        <w:t>εξασφαλίζουν</w:t>
      </w:r>
      <w:r w:rsidRPr="00FE537A">
        <w:rPr>
          <w:rFonts w:cs="Calibri"/>
        </w:rPr>
        <w:t xml:space="preserve"> </w:t>
      </w:r>
      <w:r>
        <w:rPr>
          <w:rFonts w:cs="Calibri"/>
        </w:rPr>
        <w:t>νέες αναθέσεις</w:t>
      </w:r>
      <w:r w:rsidRPr="00FE537A">
        <w:rPr>
          <w:rFonts w:cs="Calibri"/>
        </w:rPr>
        <w:t xml:space="preserve"> έργων, οδηγώντας το συνολικό ανεκτέλεστο υπόλοιπο</w:t>
      </w:r>
      <w:r w:rsidR="009A2359">
        <w:rPr>
          <w:rFonts w:cs="Calibri"/>
        </w:rPr>
        <w:t xml:space="preserve"> παραγγελιών</w:t>
      </w:r>
      <w:r w:rsidRPr="00FE537A">
        <w:rPr>
          <w:rFonts w:cs="Calibri"/>
        </w:rPr>
        <w:t xml:space="preserve"> σε 2,5 δισ. ευρώ. </w:t>
      </w:r>
      <w:r w:rsidR="002A49D8">
        <w:rPr>
          <w:rFonts w:cs="Calibri"/>
        </w:rPr>
        <w:t xml:space="preserve"> </w:t>
      </w:r>
      <w:r w:rsidRPr="00FE537A">
        <w:rPr>
          <w:rFonts w:cs="Calibri"/>
        </w:rPr>
        <w:t xml:space="preserve">Οι πρόσφατες </w:t>
      </w:r>
      <w:r w:rsidR="002A49D8">
        <w:rPr>
          <w:rFonts w:cs="Calibri"/>
        </w:rPr>
        <w:t>επιτυχίες</w:t>
      </w:r>
      <w:r w:rsidRPr="00FE537A">
        <w:rPr>
          <w:rFonts w:cs="Calibri"/>
        </w:rPr>
        <w:t xml:space="preserve"> περιλαμβάνουν </w:t>
      </w:r>
      <w:r w:rsidR="000340EA">
        <w:rPr>
          <w:rFonts w:cs="Calibri"/>
        </w:rPr>
        <w:t xml:space="preserve">την ανάθεση από τη </w:t>
      </w:r>
      <w:r w:rsidR="000340EA">
        <w:rPr>
          <w:rFonts w:cs="Calibri"/>
          <w:lang w:val="en-US"/>
        </w:rPr>
        <w:t>Chevron</w:t>
      </w:r>
      <w:r w:rsidR="000340EA" w:rsidRPr="000340EA">
        <w:rPr>
          <w:rFonts w:cs="Calibri"/>
        </w:rPr>
        <w:t xml:space="preserve"> </w:t>
      </w:r>
      <w:r w:rsidR="00FC2E67">
        <w:rPr>
          <w:rFonts w:cs="Calibri"/>
        </w:rPr>
        <w:t xml:space="preserve">για </w:t>
      </w:r>
      <w:r w:rsidR="009A2359">
        <w:rPr>
          <w:rFonts w:cs="Calibri"/>
        </w:rPr>
        <w:t xml:space="preserve">τον </w:t>
      </w:r>
      <w:r w:rsidR="00FC2E67">
        <w:rPr>
          <w:rFonts w:cs="Calibri"/>
        </w:rPr>
        <w:t xml:space="preserve">υποθαλάσσιο αγωγό φυσικού αερίου </w:t>
      </w:r>
      <w:r w:rsidR="00FC2E67">
        <w:rPr>
          <w:rFonts w:cs="Calibri"/>
          <w:lang w:val="en-US"/>
        </w:rPr>
        <w:t>Leviathan</w:t>
      </w:r>
      <w:r w:rsidR="00FC2E67" w:rsidRPr="00FC2E67">
        <w:rPr>
          <w:rFonts w:cs="Calibri"/>
        </w:rPr>
        <w:t xml:space="preserve"> </w:t>
      </w:r>
      <w:r w:rsidR="00FC2E67">
        <w:rPr>
          <w:rFonts w:cs="Calibri"/>
        </w:rPr>
        <w:t>118 χιλιομέτρων στην ανατολική Μεσόγειο,</w:t>
      </w:r>
      <w:r w:rsidR="00FC2E67" w:rsidRPr="00FC2E67">
        <w:rPr>
          <w:rFonts w:cs="Calibri"/>
        </w:rPr>
        <w:t xml:space="preserve"> </w:t>
      </w:r>
      <w:r w:rsidR="00FC2E67">
        <w:rPr>
          <w:rFonts w:cs="Calibri"/>
        </w:rPr>
        <w:t xml:space="preserve">τη σύμβαση με τη </w:t>
      </w:r>
      <w:r w:rsidR="00FC2E67">
        <w:rPr>
          <w:rFonts w:cs="Calibri"/>
          <w:lang w:val="en-US"/>
        </w:rPr>
        <w:t>RWE</w:t>
      </w:r>
      <w:r w:rsidR="00FC2E67" w:rsidRPr="00FC2E67">
        <w:rPr>
          <w:rFonts w:cs="Calibri"/>
        </w:rPr>
        <w:t xml:space="preserve"> </w:t>
      </w:r>
      <w:r w:rsidR="00FC2E67">
        <w:rPr>
          <w:rFonts w:cs="Calibri"/>
        </w:rPr>
        <w:t xml:space="preserve">για </w:t>
      </w:r>
      <w:r w:rsidR="00FC2E67">
        <w:rPr>
          <w:rFonts w:cs="Calibri"/>
          <w:lang w:val="en-US"/>
        </w:rPr>
        <w:t>export</w:t>
      </w:r>
      <w:r w:rsidR="00FC2E67" w:rsidRPr="00FC2E67">
        <w:rPr>
          <w:rFonts w:cs="Calibri"/>
        </w:rPr>
        <w:t xml:space="preserve"> </w:t>
      </w:r>
      <w:r w:rsidR="00FC2E67">
        <w:rPr>
          <w:rFonts w:cs="Calibri"/>
        </w:rPr>
        <w:t xml:space="preserve">και </w:t>
      </w:r>
      <w:r w:rsidR="00FC2E67">
        <w:rPr>
          <w:rFonts w:cs="Calibri"/>
          <w:lang w:val="en-US"/>
        </w:rPr>
        <w:t>inter</w:t>
      </w:r>
      <w:r w:rsidR="00FC2E67" w:rsidRPr="00FC2E67">
        <w:rPr>
          <w:rFonts w:cs="Calibri"/>
        </w:rPr>
        <w:t>-</w:t>
      </w:r>
      <w:r w:rsidR="00FC2E67">
        <w:rPr>
          <w:rFonts w:cs="Calibri"/>
          <w:lang w:val="en-US"/>
        </w:rPr>
        <w:t>array</w:t>
      </w:r>
      <w:r w:rsidR="00FC2E67" w:rsidRPr="00FC2E67">
        <w:rPr>
          <w:rFonts w:cs="Calibri"/>
        </w:rPr>
        <w:t xml:space="preserve"> </w:t>
      </w:r>
      <w:r w:rsidR="00FC2E67">
        <w:rPr>
          <w:rFonts w:cs="Calibri"/>
        </w:rPr>
        <w:t>καλώδια για το</w:t>
      </w:r>
      <w:r w:rsidR="00046361" w:rsidRPr="00046361">
        <w:rPr>
          <w:rFonts w:cs="Calibri"/>
        </w:rPr>
        <w:t xml:space="preserve"> </w:t>
      </w:r>
      <w:r w:rsidR="00046361">
        <w:rPr>
          <w:rFonts w:cs="Calibri"/>
          <w:lang w:val="en-US"/>
        </w:rPr>
        <w:t>Thor</w:t>
      </w:r>
      <w:r w:rsidR="00046361" w:rsidRPr="00046361">
        <w:rPr>
          <w:rFonts w:cs="Calibri"/>
        </w:rPr>
        <w:t xml:space="preserve">, </w:t>
      </w:r>
      <w:r w:rsidR="00046361">
        <w:rPr>
          <w:rFonts w:cs="Calibri"/>
        </w:rPr>
        <w:t>το</w:t>
      </w:r>
      <w:r w:rsidR="00FC2E67">
        <w:rPr>
          <w:rFonts w:cs="Calibri"/>
        </w:rPr>
        <w:t xml:space="preserve"> μεγαλύτερο υπεράκτιο αιολικό πάρκο</w:t>
      </w:r>
      <w:r w:rsidR="00046361">
        <w:rPr>
          <w:rFonts w:cs="Calibri"/>
        </w:rPr>
        <w:t xml:space="preserve"> </w:t>
      </w:r>
      <w:r w:rsidR="00FC2E67">
        <w:rPr>
          <w:rFonts w:cs="Calibri"/>
        </w:rPr>
        <w:t>της Δανίας</w:t>
      </w:r>
      <w:r w:rsidR="00046361">
        <w:rPr>
          <w:rFonts w:cs="Calibri"/>
        </w:rPr>
        <w:t xml:space="preserve">, την προμήθεια 155 χιλιομέτρων </w:t>
      </w:r>
      <w:r w:rsidR="002A49D8">
        <w:rPr>
          <w:rFonts w:cs="Calibri"/>
        </w:rPr>
        <w:t xml:space="preserve">σωλήνων </w:t>
      </w:r>
      <w:r w:rsidR="00046361">
        <w:rPr>
          <w:rFonts w:cs="Calibri"/>
        </w:rPr>
        <w:t>χάλυβα 20 ιντσών ευθείας ραφής βυθισμένου τόξου (</w:t>
      </w:r>
      <w:r w:rsidR="00C53441">
        <w:rPr>
          <w:rFonts w:cs="Calibri"/>
          <w:lang w:val="en-US"/>
        </w:rPr>
        <w:t>L</w:t>
      </w:r>
      <w:r w:rsidR="00046361">
        <w:rPr>
          <w:rFonts w:cs="Calibri"/>
          <w:lang w:val="en-US"/>
        </w:rPr>
        <w:t>SAW</w:t>
      </w:r>
      <w:r w:rsidR="00046361" w:rsidRPr="00046361">
        <w:rPr>
          <w:rFonts w:cs="Calibri"/>
        </w:rPr>
        <w:t xml:space="preserve">) </w:t>
      </w:r>
      <w:r w:rsidR="00046361">
        <w:rPr>
          <w:rFonts w:cs="Calibri"/>
        </w:rPr>
        <w:t xml:space="preserve">για τον αγωγό φυσικού αερίου </w:t>
      </w:r>
      <w:r w:rsidR="00046361">
        <w:rPr>
          <w:rFonts w:cs="Calibri"/>
          <w:lang w:val="en-US"/>
        </w:rPr>
        <w:t>Tamar</w:t>
      </w:r>
      <w:r w:rsidR="00046361" w:rsidRPr="00046361">
        <w:rPr>
          <w:rFonts w:cs="Calibri"/>
        </w:rPr>
        <w:t xml:space="preserve"> </w:t>
      </w:r>
      <w:r w:rsidR="00046361">
        <w:rPr>
          <w:rFonts w:cs="Calibri"/>
        </w:rPr>
        <w:t xml:space="preserve">κοντά στις ισραηλινές ακτές, καθώς και αναθέσεις για </w:t>
      </w:r>
      <w:r w:rsidR="00046361">
        <w:rPr>
          <w:rFonts w:cs="Calibri"/>
          <w:lang w:val="en-US"/>
        </w:rPr>
        <w:t>inter</w:t>
      </w:r>
      <w:r w:rsidR="00046361" w:rsidRPr="00046361">
        <w:rPr>
          <w:rFonts w:cs="Calibri"/>
        </w:rPr>
        <w:t>-</w:t>
      </w:r>
      <w:r w:rsidR="00046361">
        <w:rPr>
          <w:rFonts w:cs="Calibri"/>
          <w:lang w:val="en-US"/>
        </w:rPr>
        <w:t>array</w:t>
      </w:r>
      <w:r w:rsidR="00046361" w:rsidRPr="00046361">
        <w:rPr>
          <w:rFonts w:cs="Calibri"/>
        </w:rPr>
        <w:t xml:space="preserve"> </w:t>
      </w:r>
      <w:r w:rsidR="00046361">
        <w:rPr>
          <w:rFonts w:cs="Calibri"/>
        </w:rPr>
        <w:t>καλώδια για αιολικά πάρκα στη Βόρεια Ευρώπη και τις ΗΠΑ.</w:t>
      </w:r>
    </w:p>
    <w:p w14:paraId="40F72C43" w14:textId="76E97F70" w:rsidR="009A2359" w:rsidRPr="004729F4" w:rsidRDefault="009A2359" w:rsidP="009A2359">
      <w:pPr>
        <w:spacing w:after="120" w:line="240" w:lineRule="auto"/>
        <w:jc w:val="both"/>
        <w:rPr>
          <w:rFonts w:cs="Calibri"/>
        </w:rPr>
      </w:pPr>
      <w:bookmarkStart w:id="2" w:name="_Hlk114156614"/>
      <w:r w:rsidRPr="009A2359">
        <w:rPr>
          <w:rFonts w:cs="Calibri"/>
        </w:rPr>
        <w:t xml:space="preserve">Στον </w:t>
      </w:r>
      <w:r w:rsidR="002A49D8">
        <w:rPr>
          <w:rFonts w:cs="Calibri"/>
        </w:rPr>
        <w:t>τομέα</w:t>
      </w:r>
      <w:r w:rsidRPr="009A2359">
        <w:rPr>
          <w:rFonts w:cs="Calibri"/>
        </w:rPr>
        <w:t xml:space="preserve"> καλωδίων, η αποτελεσματική εκτέλεση υποβρυχίων έργων </w:t>
      </w:r>
      <w:r>
        <w:rPr>
          <w:rFonts w:cs="Calibri"/>
        </w:rPr>
        <w:t xml:space="preserve">υψηλών προδιαγραφών </w:t>
      </w:r>
      <w:r w:rsidRPr="009A2359">
        <w:rPr>
          <w:rFonts w:cs="Calibri"/>
        </w:rPr>
        <w:t>σε συνδυασμό με τη</w:t>
      </w:r>
      <w:r w:rsidR="00C570E1">
        <w:rPr>
          <w:rFonts w:cs="Calibri"/>
        </w:rPr>
        <w:t xml:space="preserve">ν υψηλή </w:t>
      </w:r>
      <w:r w:rsidR="00C53441">
        <w:rPr>
          <w:rFonts w:cs="Calibri"/>
        </w:rPr>
        <w:t>αξιοπ</w:t>
      </w:r>
      <w:r w:rsidR="00C570E1">
        <w:rPr>
          <w:rFonts w:cs="Calibri"/>
        </w:rPr>
        <w:t>οίηση όλων των γραμμών παραγωγής</w:t>
      </w:r>
      <w:r w:rsidRPr="009A2359">
        <w:rPr>
          <w:rFonts w:cs="Calibri"/>
        </w:rPr>
        <w:t xml:space="preserve"> </w:t>
      </w:r>
      <w:r w:rsidR="00C570E1">
        <w:rPr>
          <w:rFonts w:cs="Calibri"/>
        </w:rPr>
        <w:t>ήταν οι κύριοι λόγοι της</w:t>
      </w:r>
      <w:r w:rsidRPr="009A2359">
        <w:rPr>
          <w:rFonts w:cs="Calibri"/>
        </w:rPr>
        <w:t xml:space="preserve"> ανάπτυξη</w:t>
      </w:r>
      <w:r w:rsidR="00B45003">
        <w:rPr>
          <w:rFonts w:cs="Calibri"/>
        </w:rPr>
        <w:t>ς</w:t>
      </w:r>
      <w:r w:rsidRPr="009A2359">
        <w:rPr>
          <w:rFonts w:cs="Calibri"/>
        </w:rPr>
        <w:t xml:space="preserve"> και τ</w:t>
      </w:r>
      <w:r w:rsidR="00C570E1">
        <w:rPr>
          <w:rFonts w:cs="Calibri"/>
        </w:rPr>
        <w:t>ων</w:t>
      </w:r>
      <w:r w:rsidRPr="009A2359">
        <w:rPr>
          <w:rFonts w:cs="Calibri"/>
        </w:rPr>
        <w:t xml:space="preserve"> </w:t>
      </w:r>
      <w:r w:rsidR="00C570E1">
        <w:rPr>
          <w:rFonts w:cs="Calibri"/>
        </w:rPr>
        <w:t xml:space="preserve">καλών </w:t>
      </w:r>
      <w:r w:rsidRPr="009A2359">
        <w:rPr>
          <w:rFonts w:cs="Calibri"/>
        </w:rPr>
        <w:t>επιδόσε</w:t>
      </w:r>
      <w:r w:rsidR="00C570E1">
        <w:rPr>
          <w:rFonts w:cs="Calibri"/>
        </w:rPr>
        <w:t>ων</w:t>
      </w:r>
      <w:r w:rsidRPr="009A2359">
        <w:rPr>
          <w:rFonts w:cs="Calibri"/>
        </w:rPr>
        <w:t>.</w:t>
      </w:r>
      <w:r w:rsidR="00B45003">
        <w:rPr>
          <w:rFonts w:cs="Calibri"/>
        </w:rPr>
        <w:t xml:space="preserve"> </w:t>
      </w:r>
      <w:r w:rsidRPr="009A2359">
        <w:rPr>
          <w:rFonts w:cs="Calibri"/>
        </w:rPr>
        <w:t xml:space="preserve"> Όπως προαναφέρθηκε, </w:t>
      </w:r>
      <w:r w:rsidR="00C570E1">
        <w:rPr>
          <w:rFonts w:cs="Calibri"/>
        </w:rPr>
        <w:t>η ζήτηση για</w:t>
      </w:r>
      <w:r w:rsidRPr="009A2359">
        <w:rPr>
          <w:rFonts w:cs="Calibri"/>
        </w:rPr>
        <w:t xml:space="preserve"> καλώδια χαμηλής και μέσης τάσης </w:t>
      </w:r>
      <w:r w:rsidR="00C570E1">
        <w:rPr>
          <w:rFonts w:cs="Calibri"/>
        </w:rPr>
        <w:t xml:space="preserve">ενισχύθηκε </w:t>
      </w:r>
      <w:r w:rsidRPr="009A2359">
        <w:rPr>
          <w:rFonts w:cs="Calibri"/>
        </w:rPr>
        <w:t>κατά το πρώτο εξάμηνο του 2023</w:t>
      </w:r>
      <w:r w:rsidR="00C570E1">
        <w:rPr>
          <w:rFonts w:cs="Calibri"/>
        </w:rPr>
        <w:t xml:space="preserve">, εξασφαλίζοντας </w:t>
      </w:r>
      <w:r w:rsidRPr="009A2359">
        <w:rPr>
          <w:rFonts w:cs="Calibri"/>
        </w:rPr>
        <w:t>καλύτερα περιθώρια κερδοφορίας</w:t>
      </w:r>
      <w:r w:rsidR="0030100B">
        <w:rPr>
          <w:rFonts w:cs="Calibri"/>
        </w:rPr>
        <w:t xml:space="preserve">, ενώ παράλληλα το βελτιωμένο μείγμα προϊόντων </w:t>
      </w:r>
      <w:r w:rsidRPr="009A2359">
        <w:rPr>
          <w:rFonts w:cs="Calibri"/>
        </w:rPr>
        <w:t xml:space="preserve">σε συνδυασμό με την έγκαιρη και αποτελεσματική εκτέλεση </w:t>
      </w:r>
      <w:r w:rsidR="00B45003">
        <w:rPr>
          <w:rFonts w:cs="Calibri"/>
        </w:rPr>
        <w:t xml:space="preserve">των </w:t>
      </w:r>
      <w:r w:rsidRPr="009A2359">
        <w:rPr>
          <w:rFonts w:cs="Calibri"/>
        </w:rPr>
        <w:t xml:space="preserve">έργων, </w:t>
      </w:r>
      <w:r w:rsidR="0030100B">
        <w:rPr>
          <w:rFonts w:cs="Calibri"/>
        </w:rPr>
        <w:t>αύξησαν το</w:t>
      </w:r>
      <w:r w:rsidRPr="009A2359">
        <w:rPr>
          <w:rFonts w:cs="Calibri"/>
        </w:rPr>
        <w:t xml:space="preserve"> </w:t>
      </w:r>
      <w:r w:rsidR="00FF055A">
        <w:rPr>
          <w:rFonts w:cs="Calibri"/>
        </w:rPr>
        <w:t>ανα</w:t>
      </w:r>
      <w:r w:rsidRPr="009A2359">
        <w:rPr>
          <w:rFonts w:cs="Calibri"/>
        </w:rPr>
        <w:t xml:space="preserve">προσαρμοσμένο EBITDA (+26% σε </w:t>
      </w:r>
      <w:r w:rsidR="0030100B">
        <w:rPr>
          <w:rFonts w:cs="Calibri"/>
        </w:rPr>
        <w:t>σχέση με α΄ εξάμηνο του 2022</w:t>
      </w:r>
      <w:r w:rsidRPr="009A2359">
        <w:rPr>
          <w:rFonts w:cs="Calibri"/>
        </w:rPr>
        <w:t>)</w:t>
      </w:r>
      <w:r w:rsidR="0030100B">
        <w:rPr>
          <w:rFonts w:cs="Calibri"/>
        </w:rPr>
        <w:t xml:space="preserve">, </w:t>
      </w:r>
      <w:r w:rsidR="00B45003">
        <w:rPr>
          <w:rFonts w:cs="Calibri"/>
        </w:rPr>
        <w:t>στα</w:t>
      </w:r>
      <w:r w:rsidR="0030100B">
        <w:rPr>
          <w:rFonts w:cs="Calibri"/>
        </w:rPr>
        <w:t xml:space="preserve"> </w:t>
      </w:r>
      <w:r w:rsidRPr="009A2359">
        <w:rPr>
          <w:rFonts w:cs="Calibri"/>
        </w:rPr>
        <w:t xml:space="preserve">59,4 εκατ. ευρώ. </w:t>
      </w:r>
      <w:r w:rsidR="00B45003">
        <w:rPr>
          <w:rFonts w:cs="Calibri"/>
        </w:rPr>
        <w:t xml:space="preserve"> </w:t>
      </w:r>
      <w:r w:rsidRPr="009A2359">
        <w:rPr>
          <w:rFonts w:cs="Calibri"/>
        </w:rPr>
        <w:t xml:space="preserve">Παράλληλα, </w:t>
      </w:r>
      <w:r w:rsidR="00B45003">
        <w:rPr>
          <w:rFonts w:cs="Calibri"/>
        </w:rPr>
        <w:t xml:space="preserve">οι </w:t>
      </w:r>
      <w:r w:rsidR="004729F4">
        <w:rPr>
          <w:rFonts w:cs="Calibri"/>
        </w:rPr>
        <w:t xml:space="preserve">νέες αναθέσεις ενίσχυσαν </w:t>
      </w:r>
      <w:r w:rsidR="004729F4" w:rsidRPr="009A2359">
        <w:rPr>
          <w:rFonts w:cs="Calibri"/>
        </w:rPr>
        <w:t>το ανεκτέλεστο υπόλοιπο</w:t>
      </w:r>
      <w:r w:rsidR="004729F4">
        <w:rPr>
          <w:rFonts w:cs="Calibri"/>
        </w:rPr>
        <w:t xml:space="preserve"> του </w:t>
      </w:r>
      <w:r w:rsidR="00B45003">
        <w:rPr>
          <w:rFonts w:cs="Calibri"/>
        </w:rPr>
        <w:t>τομέα,</w:t>
      </w:r>
      <w:r w:rsidR="004729F4">
        <w:rPr>
          <w:rFonts w:cs="Calibri"/>
        </w:rPr>
        <w:t xml:space="preserve"> το οποίο ανήλθε σε νέα </w:t>
      </w:r>
      <w:r w:rsidR="00A4352E">
        <w:rPr>
          <w:rFonts w:cs="Calibri"/>
        </w:rPr>
        <w:t xml:space="preserve">υψηλά </w:t>
      </w:r>
      <w:r w:rsidR="004729F4">
        <w:rPr>
          <w:rFonts w:cs="Calibri"/>
        </w:rPr>
        <w:t>ιστορικά επίπεδα ύψους των 1,85</w:t>
      </w:r>
      <w:r w:rsidR="00B45003">
        <w:rPr>
          <w:rFonts w:cs="Calibri"/>
        </w:rPr>
        <w:t> </w:t>
      </w:r>
      <w:r w:rsidR="004729F4">
        <w:rPr>
          <w:rFonts w:cs="Calibri"/>
        </w:rPr>
        <w:t>δισ.</w:t>
      </w:r>
      <w:r w:rsidR="00B45003">
        <w:rPr>
          <w:rFonts w:cs="Calibri"/>
        </w:rPr>
        <w:t> </w:t>
      </w:r>
      <w:r w:rsidR="004729F4">
        <w:rPr>
          <w:rFonts w:cs="Calibri"/>
        </w:rPr>
        <w:t>ευρώ</w:t>
      </w:r>
      <w:r w:rsidR="004729F4" w:rsidRPr="009B37C1">
        <w:rPr>
          <w:rFonts w:cs="Calibri"/>
        </w:rPr>
        <w:t xml:space="preserve">. </w:t>
      </w:r>
      <w:r w:rsidR="009B37C1" w:rsidRPr="009B37C1">
        <w:rPr>
          <w:rFonts w:cs="Calibri"/>
        </w:rPr>
        <w:t xml:space="preserve">Η σταθερή ροή </w:t>
      </w:r>
      <w:r w:rsidRPr="009B37C1">
        <w:rPr>
          <w:rFonts w:cs="Calibri"/>
        </w:rPr>
        <w:t xml:space="preserve">έργων τόσο στην αγορά των </w:t>
      </w:r>
      <w:r w:rsidR="006E2E68">
        <w:rPr>
          <w:rFonts w:cs="Calibri"/>
        </w:rPr>
        <w:t>δια</w:t>
      </w:r>
      <w:r w:rsidR="00877CF0">
        <w:rPr>
          <w:rFonts w:cs="Calibri"/>
        </w:rPr>
        <w:t>συνδέσεων δικτύων</w:t>
      </w:r>
      <w:r w:rsidRPr="009A2359">
        <w:rPr>
          <w:rFonts w:cs="Calibri"/>
        </w:rPr>
        <w:t xml:space="preserve"> όσο και στην αγορά των υπεράκτιων αιολικών πάρκων επιβεβαιώνει τον καθοριστικό ρόλο της Ελληνικά Καλώδια στην </w:t>
      </w:r>
      <w:r w:rsidRPr="009A2359">
        <w:rPr>
          <w:rFonts w:cs="Calibri"/>
        </w:rPr>
        <w:lastRenderedPageBreak/>
        <w:t xml:space="preserve">ταχέως αναπτυσσόμενη αγορά της ενεργειακής μετάβασης. </w:t>
      </w:r>
      <w:r w:rsidR="00B45003">
        <w:rPr>
          <w:rFonts w:cs="Calibri"/>
        </w:rPr>
        <w:t xml:space="preserve"> </w:t>
      </w:r>
      <w:r w:rsidRPr="009A2359">
        <w:rPr>
          <w:rFonts w:cs="Calibri"/>
        </w:rPr>
        <w:t>Δεδομένης της αυξανόμενης ζήτησης για υποβρύχια καλώδια</w:t>
      </w:r>
      <w:r w:rsidR="009B37C1">
        <w:rPr>
          <w:rFonts w:cs="Calibri"/>
        </w:rPr>
        <w:t xml:space="preserve">, όπως άλλωστε αυτή </w:t>
      </w:r>
      <w:r w:rsidRPr="009A2359">
        <w:rPr>
          <w:rFonts w:cs="Calibri"/>
        </w:rPr>
        <w:t xml:space="preserve">απεικονίζεται </w:t>
      </w:r>
      <w:r w:rsidR="009B37C1">
        <w:rPr>
          <w:rFonts w:cs="Calibri"/>
        </w:rPr>
        <w:t>σ</w:t>
      </w:r>
      <w:r w:rsidRPr="009A2359">
        <w:rPr>
          <w:rFonts w:cs="Calibri"/>
        </w:rPr>
        <w:t>το αυξανόμενο ανεκτέλεστο</w:t>
      </w:r>
      <w:r w:rsidR="009B37C1">
        <w:rPr>
          <w:rFonts w:cs="Calibri"/>
        </w:rPr>
        <w:t xml:space="preserve"> υπόλοιπο παραγγελιών</w:t>
      </w:r>
      <w:r w:rsidRPr="009A2359">
        <w:rPr>
          <w:rFonts w:cs="Calibri"/>
        </w:rPr>
        <w:t xml:space="preserve">, ο </w:t>
      </w:r>
      <w:r w:rsidR="00B80DE8">
        <w:rPr>
          <w:rFonts w:cs="Calibri"/>
        </w:rPr>
        <w:t>τομέα</w:t>
      </w:r>
      <w:r w:rsidRPr="009A2359">
        <w:rPr>
          <w:rFonts w:cs="Calibri"/>
        </w:rPr>
        <w:t>ς</w:t>
      </w:r>
      <w:r w:rsidR="004729F4">
        <w:rPr>
          <w:rFonts w:cs="Calibri"/>
        </w:rPr>
        <w:t xml:space="preserve"> </w:t>
      </w:r>
      <w:r w:rsidRPr="009A2359">
        <w:rPr>
          <w:rFonts w:cs="Calibri"/>
        </w:rPr>
        <w:t>προχώρησε σε συνολικές κεφαλαιουχικές δαπάνες ύψους 54,7 εκατ. ευρώ κατά το πρώτο εξάμηνο του 2023, οι οποίες</w:t>
      </w:r>
      <w:r w:rsidR="009B37C1">
        <w:rPr>
          <w:rFonts w:cs="Calibri"/>
        </w:rPr>
        <w:t xml:space="preserve"> κατά κύριο λόγο</w:t>
      </w:r>
      <w:r w:rsidRPr="009A2359">
        <w:rPr>
          <w:rFonts w:cs="Calibri"/>
        </w:rPr>
        <w:t xml:space="preserve"> </w:t>
      </w:r>
      <w:r w:rsidR="009B37C1">
        <w:rPr>
          <w:rFonts w:cs="Calibri"/>
        </w:rPr>
        <w:t>αφορούσαν</w:t>
      </w:r>
      <w:r w:rsidRPr="009A2359">
        <w:rPr>
          <w:rFonts w:cs="Calibri"/>
        </w:rPr>
        <w:t xml:space="preserve">  την επέκταση του εργοστασίου υπ</w:t>
      </w:r>
      <w:r w:rsidR="004D75BF">
        <w:rPr>
          <w:rFonts w:cs="Calibri"/>
        </w:rPr>
        <w:t>οβρυχίων</w:t>
      </w:r>
      <w:r w:rsidRPr="009A2359">
        <w:rPr>
          <w:rFonts w:cs="Calibri"/>
        </w:rPr>
        <w:t xml:space="preserve"> καλωδίων της Ελληνικά Καλώδια στην Κόρινθο.</w:t>
      </w:r>
    </w:p>
    <w:bookmarkEnd w:id="2"/>
    <w:p w14:paraId="7ADAE3AB" w14:textId="2841F95C" w:rsidR="00FF1F9D" w:rsidRPr="00FF1F9D" w:rsidRDefault="00FF1F9D" w:rsidP="006B321F">
      <w:pPr>
        <w:spacing w:after="120" w:line="240" w:lineRule="auto"/>
        <w:jc w:val="both"/>
        <w:rPr>
          <w:rFonts w:cs="Calibri"/>
        </w:rPr>
      </w:pPr>
      <w:r w:rsidRPr="00FF1F9D">
        <w:rPr>
          <w:rFonts w:cs="Calibri"/>
        </w:rPr>
        <w:t xml:space="preserve">Μετά από δύο χρόνια </w:t>
      </w:r>
      <w:r w:rsidR="00855176">
        <w:rPr>
          <w:rFonts w:cs="Calibri"/>
        </w:rPr>
        <w:t xml:space="preserve">πρωτοφανούς αβεβαιότητας </w:t>
      </w:r>
      <w:r w:rsidRPr="00FF1F9D">
        <w:rPr>
          <w:rFonts w:cs="Calibri"/>
        </w:rPr>
        <w:t>στ</w:t>
      </w:r>
      <w:r w:rsidR="00855176">
        <w:rPr>
          <w:rFonts w:cs="Calibri"/>
        </w:rPr>
        <w:t>ην</w:t>
      </w:r>
      <w:r w:rsidRPr="00FF1F9D">
        <w:rPr>
          <w:rFonts w:cs="Calibri"/>
        </w:rPr>
        <w:t xml:space="preserve"> αγορ</w:t>
      </w:r>
      <w:r w:rsidR="00855176">
        <w:rPr>
          <w:rFonts w:cs="Calibri"/>
        </w:rPr>
        <w:t>ά</w:t>
      </w:r>
      <w:r w:rsidRPr="00FF1F9D">
        <w:rPr>
          <w:rFonts w:cs="Calibri"/>
        </w:rPr>
        <w:t xml:space="preserve"> πετρελαίου και φυσικού αερίου, το 2022 </w:t>
      </w:r>
      <w:r w:rsidR="00A4352E">
        <w:rPr>
          <w:rFonts w:cs="Calibri"/>
        </w:rPr>
        <w:t>αποδείχθηκε</w:t>
      </w:r>
      <w:r w:rsidRPr="00FF1F9D">
        <w:rPr>
          <w:rFonts w:cs="Calibri"/>
        </w:rPr>
        <w:t xml:space="preserve"> έτος ανάκαμψης για τον </w:t>
      </w:r>
      <w:r w:rsidR="00B45003">
        <w:rPr>
          <w:rFonts w:cs="Calibri"/>
          <w:b/>
          <w:bCs/>
        </w:rPr>
        <w:t>τομέα των</w:t>
      </w:r>
      <w:r w:rsidRPr="004F3B21">
        <w:rPr>
          <w:rFonts w:cs="Calibri"/>
          <w:b/>
          <w:bCs/>
        </w:rPr>
        <w:t xml:space="preserve"> </w:t>
      </w:r>
      <w:r w:rsidR="004F3B21">
        <w:rPr>
          <w:rFonts w:cs="Calibri"/>
          <w:b/>
          <w:bCs/>
        </w:rPr>
        <w:t xml:space="preserve">σωλήνων </w:t>
      </w:r>
      <w:r w:rsidR="004F3B21" w:rsidRPr="00855176">
        <w:rPr>
          <w:rFonts w:cs="Calibri"/>
          <w:b/>
          <w:bCs/>
        </w:rPr>
        <w:t>χάλυβα</w:t>
      </w:r>
      <w:r w:rsidR="00505EFC" w:rsidRPr="00855176">
        <w:rPr>
          <w:rFonts w:cs="Calibri"/>
          <w:b/>
          <w:bCs/>
        </w:rPr>
        <w:t>,</w:t>
      </w:r>
      <w:r w:rsidR="00505EFC" w:rsidRPr="00505EFC">
        <w:rPr>
          <w:rFonts w:cs="Calibri"/>
        </w:rPr>
        <w:t xml:space="preserve"> </w:t>
      </w:r>
      <w:r w:rsidR="00B45003">
        <w:rPr>
          <w:rFonts w:cs="Calibri"/>
        </w:rPr>
        <w:t xml:space="preserve">κι έτσι </w:t>
      </w:r>
      <w:r w:rsidR="00505EFC">
        <w:rPr>
          <w:rFonts w:cs="Calibri"/>
        </w:rPr>
        <w:t>τ</w:t>
      </w:r>
      <w:r w:rsidRPr="00505EFC">
        <w:rPr>
          <w:rFonts w:cs="Calibri"/>
        </w:rPr>
        <w:t>ο</w:t>
      </w:r>
      <w:r w:rsidRPr="00FF1F9D">
        <w:rPr>
          <w:rFonts w:cs="Calibri"/>
        </w:rPr>
        <w:t xml:space="preserve"> 2023</w:t>
      </w:r>
      <w:r w:rsidR="0013252E">
        <w:rPr>
          <w:rFonts w:cs="Calibri"/>
        </w:rPr>
        <w:t xml:space="preserve"> </w:t>
      </w:r>
      <w:r w:rsidRPr="00FF1F9D">
        <w:rPr>
          <w:rFonts w:cs="Calibri"/>
        </w:rPr>
        <w:t>ξεκίνησε</w:t>
      </w:r>
      <w:r w:rsidR="00CB17CB" w:rsidRPr="00CB17CB">
        <w:rPr>
          <w:rFonts w:cs="Calibri"/>
        </w:rPr>
        <w:t xml:space="preserve"> </w:t>
      </w:r>
      <w:r w:rsidR="00CB17CB" w:rsidRPr="00FF1F9D">
        <w:rPr>
          <w:rFonts w:cs="Calibri"/>
        </w:rPr>
        <w:t>από νωρίς</w:t>
      </w:r>
      <w:r w:rsidRPr="00FF1F9D">
        <w:rPr>
          <w:rFonts w:cs="Calibri"/>
        </w:rPr>
        <w:t xml:space="preserve"> πολύ </w:t>
      </w:r>
      <w:r w:rsidR="00B45003">
        <w:rPr>
          <w:rFonts w:cs="Calibri"/>
        </w:rPr>
        <w:t>δραστήρια</w:t>
      </w:r>
      <w:r w:rsidRPr="00FF1F9D">
        <w:rPr>
          <w:rFonts w:cs="Calibri"/>
        </w:rPr>
        <w:t xml:space="preserve">. </w:t>
      </w:r>
      <w:r w:rsidR="00B45003">
        <w:rPr>
          <w:rFonts w:cs="Calibri"/>
        </w:rPr>
        <w:t xml:space="preserve"> </w:t>
      </w:r>
      <w:r w:rsidRPr="00FF1F9D">
        <w:rPr>
          <w:rFonts w:cs="Calibri"/>
        </w:rPr>
        <w:t xml:space="preserve">Το </w:t>
      </w:r>
      <w:r w:rsidR="00505EFC">
        <w:rPr>
          <w:rFonts w:cs="Calibri"/>
        </w:rPr>
        <w:t>ανα</w:t>
      </w:r>
      <w:r w:rsidRPr="00FF1F9D">
        <w:rPr>
          <w:rFonts w:cs="Calibri"/>
        </w:rPr>
        <w:t xml:space="preserve">προσαρμοσμένο EBITDA για το πρώτο εξάμηνο του έτους ξεπέρασε τα επίπεδα του 2019 και </w:t>
      </w:r>
      <w:r w:rsidR="00505EFC">
        <w:rPr>
          <w:rFonts w:cs="Calibri"/>
        </w:rPr>
        <w:t>ανήλθε σε</w:t>
      </w:r>
      <w:r w:rsidRPr="00FF1F9D">
        <w:rPr>
          <w:rFonts w:cs="Calibri"/>
        </w:rPr>
        <w:t xml:space="preserve"> 27</w:t>
      </w:r>
      <w:r w:rsidR="00B45003">
        <w:rPr>
          <w:rFonts w:cs="Calibri"/>
        </w:rPr>
        <w:t> </w:t>
      </w:r>
      <w:r w:rsidRPr="00FF1F9D">
        <w:rPr>
          <w:rFonts w:cs="Calibri"/>
        </w:rPr>
        <w:t>εκατ.</w:t>
      </w:r>
      <w:r w:rsidR="00B45003">
        <w:rPr>
          <w:rFonts w:cs="Calibri"/>
        </w:rPr>
        <w:t> </w:t>
      </w:r>
      <w:r w:rsidRPr="00FF1F9D">
        <w:rPr>
          <w:rFonts w:cs="Calibri"/>
        </w:rPr>
        <w:t xml:space="preserve">ευρώ, σχεδόν </w:t>
      </w:r>
      <w:r w:rsidR="00A4352E">
        <w:rPr>
          <w:rFonts w:cs="Calibri"/>
        </w:rPr>
        <w:t>στα ίδια επίπεδα με το συνολικό προηγούμενο έτος</w:t>
      </w:r>
      <w:r w:rsidRPr="00FF1F9D">
        <w:rPr>
          <w:rFonts w:cs="Calibri"/>
        </w:rPr>
        <w:t>.</w:t>
      </w:r>
      <w:r w:rsidR="00B45003">
        <w:rPr>
          <w:rFonts w:cs="Calibri"/>
        </w:rPr>
        <w:t xml:space="preserve"> </w:t>
      </w:r>
      <w:r w:rsidRPr="00FF1F9D">
        <w:rPr>
          <w:rFonts w:cs="Calibri"/>
        </w:rPr>
        <w:t xml:space="preserve"> </w:t>
      </w:r>
      <w:r w:rsidR="00595860">
        <w:rPr>
          <w:rFonts w:cs="Calibri"/>
        </w:rPr>
        <w:t xml:space="preserve">Η υψηλή αξιοποίηση της παραγωγικής </w:t>
      </w:r>
      <w:r w:rsidR="00B45003">
        <w:rPr>
          <w:rFonts w:cs="Calibri"/>
        </w:rPr>
        <w:t>δυνατότητας</w:t>
      </w:r>
      <w:r w:rsidR="00595860">
        <w:rPr>
          <w:rFonts w:cs="Calibri"/>
        </w:rPr>
        <w:t xml:space="preserve"> και </w:t>
      </w:r>
      <w:r w:rsidR="00B45003">
        <w:rPr>
          <w:rFonts w:cs="Calibri"/>
        </w:rPr>
        <w:t>τα</w:t>
      </w:r>
      <w:r w:rsidR="00595860">
        <w:rPr>
          <w:rFonts w:cs="Calibri"/>
        </w:rPr>
        <w:t xml:space="preserve"> σημαντικ</w:t>
      </w:r>
      <w:r w:rsidR="00B45003">
        <w:rPr>
          <w:rFonts w:cs="Calibri"/>
        </w:rPr>
        <w:t>ά</w:t>
      </w:r>
      <w:r w:rsidR="00595860">
        <w:rPr>
          <w:rFonts w:cs="Calibri"/>
        </w:rPr>
        <w:t xml:space="preserve"> νέ</w:t>
      </w:r>
      <w:r w:rsidR="00B45003">
        <w:rPr>
          <w:rFonts w:cs="Calibri"/>
        </w:rPr>
        <w:t>α</w:t>
      </w:r>
      <w:r w:rsidR="00595860">
        <w:rPr>
          <w:rFonts w:cs="Calibri"/>
        </w:rPr>
        <w:t xml:space="preserve"> έργ</w:t>
      </w:r>
      <w:r w:rsidR="00B45003">
        <w:rPr>
          <w:rFonts w:cs="Calibri"/>
        </w:rPr>
        <w:t>α</w:t>
      </w:r>
      <w:r w:rsidR="00595860">
        <w:rPr>
          <w:rFonts w:cs="Calibri"/>
        </w:rPr>
        <w:t xml:space="preserve"> ήταν οι κύριοι λόγοι.</w:t>
      </w:r>
      <w:r w:rsidR="00B45003">
        <w:rPr>
          <w:rFonts w:cs="Calibri"/>
        </w:rPr>
        <w:t xml:space="preserve"> </w:t>
      </w:r>
      <w:r w:rsidR="0013252E">
        <w:rPr>
          <w:rFonts w:cs="Calibri"/>
        </w:rPr>
        <w:t xml:space="preserve"> </w:t>
      </w:r>
      <w:r w:rsidR="00B45003">
        <w:rPr>
          <w:rFonts w:cs="Calibri"/>
        </w:rPr>
        <w:t xml:space="preserve">Οι </w:t>
      </w:r>
      <w:r w:rsidR="0013252E">
        <w:rPr>
          <w:rFonts w:cs="Calibri"/>
        </w:rPr>
        <w:t>πρωτοβουλ</w:t>
      </w:r>
      <w:r w:rsidR="00B45003">
        <w:rPr>
          <w:rFonts w:cs="Calibri"/>
        </w:rPr>
        <w:t>ίες</w:t>
      </w:r>
      <w:r w:rsidR="00595860">
        <w:rPr>
          <w:rFonts w:cs="Calibri"/>
        </w:rPr>
        <w:t xml:space="preserve"> που αναλήφθηκαν κατά τα προηγούμενα έτη</w:t>
      </w:r>
      <w:r w:rsidR="00595860" w:rsidRPr="00FF1F9D">
        <w:rPr>
          <w:rFonts w:cs="Calibri"/>
        </w:rPr>
        <w:t>, συμπεριλαμβανομέ</w:t>
      </w:r>
      <w:r w:rsidR="00B45003">
        <w:rPr>
          <w:rFonts w:cs="Calibri"/>
        </w:rPr>
        <w:t>νου</w:t>
      </w:r>
      <w:r w:rsidR="00A4352E">
        <w:rPr>
          <w:rFonts w:cs="Calibri"/>
        </w:rPr>
        <w:t xml:space="preserve"> </w:t>
      </w:r>
      <w:r w:rsidR="00595860">
        <w:rPr>
          <w:rFonts w:cs="Calibri"/>
        </w:rPr>
        <w:t>του</w:t>
      </w:r>
      <w:r w:rsidR="00595860" w:rsidRPr="00FF1F9D">
        <w:rPr>
          <w:rFonts w:cs="Calibri"/>
        </w:rPr>
        <w:t xml:space="preserve"> διεξοδικού σχεδίου βελτιστοποίησης κόστους και </w:t>
      </w:r>
      <w:r w:rsidR="00595860">
        <w:rPr>
          <w:rFonts w:cs="Calibri"/>
        </w:rPr>
        <w:t>του</w:t>
      </w:r>
      <w:r w:rsidR="00595860" w:rsidRPr="00FF1F9D">
        <w:rPr>
          <w:rFonts w:cs="Calibri"/>
        </w:rPr>
        <w:t xml:space="preserve"> προγράμματος </w:t>
      </w:r>
      <w:r w:rsidR="00A4352E">
        <w:rPr>
          <w:rFonts w:cs="Calibri"/>
        </w:rPr>
        <w:t>βιομηχανικής</w:t>
      </w:r>
      <w:r w:rsidR="00595860" w:rsidRPr="00FF1F9D">
        <w:rPr>
          <w:rFonts w:cs="Calibri"/>
        </w:rPr>
        <w:t xml:space="preserve"> αριστείας</w:t>
      </w:r>
      <w:r w:rsidR="00A4352E">
        <w:rPr>
          <w:rFonts w:cs="Calibri"/>
        </w:rPr>
        <w:t>, αλλά</w:t>
      </w:r>
      <w:r w:rsidR="00595860" w:rsidRPr="00FF1F9D">
        <w:rPr>
          <w:rFonts w:cs="Calibri"/>
        </w:rPr>
        <w:t xml:space="preserve"> και </w:t>
      </w:r>
      <w:r w:rsidR="00281CFA">
        <w:rPr>
          <w:rFonts w:cs="Calibri"/>
        </w:rPr>
        <w:t xml:space="preserve">της </w:t>
      </w:r>
      <w:r w:rsidR="00855176">
        <w:rPr>
          <w:rFonts w:cs="Calibri"/>
        </w:rPr>
        <w:t>επέκταση</w:t>
      </w:r>
      <w:r w:rsidR="00281CFA">
        <w:rPr>
          <w:rFonts w:cs="Calibri"/>
        </w:rPr>
        <w:t>ς</w:t>
      </w:r>
      <w:r w:rsidR="00855176">
        <w:rPr>
          <w:rFonts w:cs="Calibri"/>
        </w:rPr>
        <w:t xml:space="preserve"> του προγράμματος Έρευνας, Ανάπτυξης και Καινοτομίας («</w:t>
      </w:r>
      <w:r w:rsidR="00855176">
        <w:rPr>
          <w:rFonts w:cs="Calibri"/>
          <w:lang w:val="en-US"/>
        </w:rPr>
        <w:t>RDI</w:t>
      </w:r>
      <w:r w:rsidR="00855176" w:rsidRPr="00855176">
        <w:rPr>
          <w:rFonts w:cs="Calibri"/>
        </w:rPr>
        <w:t xml:space="preserve"> </w:t>
      </w:r>
      <w:r w:rsidR="00855176">
        <w:rPr>
          <w:rFonts w:cs="Calibri"/>
          <w:lang w:val="en-US"/>
        </w:rPr>
        <w:t>program</w:t>
      </w:r>
      <w:r w:rsidR="00855176">
        <w:rPr>
          <w:rFonts w:cs="Calibri"/>
        </w:rPr>
        <w:t>»),</w:t>
      </w:r>
      <w:r w:rsidR="00855176" w:rsidRPr="00855176">
        <w:t xml:space="preserve"> </w:t>
      </w:r>
      <w:r w:rsidR="00B45003">
        <w:t xml:space="preserve">οδήγησαν στην </w:t>
      </w:r>
      <w:r w:rsidR="00B45003">
        <w:rPr>
          <w:rFonts w:cs="Calibri"/>
        </w:rPr>
        <w:t xml:space="preserve">αύξηση του μεριδίου της </w:t>
      </w:r>
      <w:r w:rsidR="00855176" w:rsidRPr="00855176">
        <w:rPr>
          <w:rFonts w:cs="Calibri"/>
        </w:rPr>
        <w:t xml:space="preserve">Σωληνουργεία Κορίνθου </w:t>
      </w:r>
      <w:r w:rsidR="007F7096">
        <w:rPr>
          <w:rFonts w:cs="Calibri"/>
        </w:rPr>
        <w:t>σ</w:t>
      </w:r>
      <w:r w:rsidR="00B45003">
        <w:rPr>
          <w:rFonts w:cs="Calibri"/>
        </w:rPr>
        <w:t xml:space="preserve">την </w:t>
      </w:r>
      <w:r w:rsidR="006B5B06">
        <w:rPr>
          <w:rFonts w:cs="Calibri"/>
        </w:rPr>
        <w:t>παγκόσμια</w:t>
      </w:r>
      <w:r w:rsidR="007F7096">
        <w:rPr>
          <w:rFonts w:cs="Calibri"/>
        </w:rPr>
        <w:t xml:space="preserve"> αγορά, </w:t>
      </w:r>
      <w:r w:rsidR="00B45003">
        <w:rPr>
          <w:rFonts w:cs="Calibri"/>
        </w:rPr>
        <w:t xml:space="preserve">και στην επίτευξη </w:t>
      </w:r>
      <w:r w:rsidR="007F7096">
        <w:rPr>
          <w:rFonts w:cs="Calibri"/>
        </w:rPr>
        <w:t>πρωταγωνιστική</w:t>
      </w:r>
      <w:r w:rsidR="00B45003">
        <w:rPr>
          <w:rFonts w:cs="Calibri"/>
        </w:rPr>
        <w:t>ς</w:t>
      </w:r>
      <w:r w:rsidR="007F7096">
        <w:rPr>
          <w:rFonts w:cs="Calibri"/>
        </w:rPr>
        <w:t xml:space="preserve"> θέση</w:t>
      </w:r>
      <w:r w:rsidR="00B45003">
        <w:rPr>
          <w:rFonts w:cs="Calibri"/>
        </w:rPr>
        <w:t>ς</w:t>
      </w:r>
      <w:r w:rsidR="007F7096">
        <w:rPr>
          <w:rFonts w:cs="Calibri"/>
        </w:rPr>
        <w:t xml:space="preserve"> στις τεχνολογίες ενεργειακής μετάβασης, όπως είναι οι αγωγοί για μεταφορά υδρογόνου και </w:t>
      </w:r>
      <w:r w:rsidR="0013252E">
        <w:rPr>
          <w:rFonts w:cs="Calibri"/>
        </w:rPr>
        <w:t xml:space="preserve">οι αγωγοί για </w:t>
      </w:r>
      <w:r w:rsidR="007F7096">
        <w:rPr>
          <w:rFonts w:cs="Calibri"/>
        </w:rPr>
        <w:t>δέσμευση και αποθήκευση διοξειδίου του άνθρακα</w:t>
      </w:r>
      <w:r w:rsidR="007F7096" w:rsidRPr="007F7096">
        <w:rPr>
          <w:rFonts w:cs="Calibri"/>
        </w:rPr>
        <w:t xml:space="preserve"> </w:t>
      </w:r>
      <w:r w:rsidR="007F7096">
        <w:rPr>
          <w:rFonts w:cs="Calibri"/>
        </w:rPr>
        <w:t>(</w:t>
      </w:r>
      <w:r w:rsidR="007F7096">
        <w:rPr>
          <w:rFonts w:cs="Calibri"/>
          <w:lang w:val="en-US"/>
        </w:rPr>
        <w:t>CCS</w:t>
      </w:r>
      <w:r w:rsidR="007F7096" w:rsidRPr="007F7096">
        <w:rPr>
          <w:rFonts w:cs="Calibri"/>
        </w:rPr>
        <w:t xml:space="preserve">). </w:t>
      </w:r>
      <w:r w:rsidR="00B45003">
        <w:rPr>
          <w:rFonts w:cs="Calibri"/>
        </w:rPr>
        <w:t xml:space="preserve"> </w:t>
      </w:r>
      <w:r w:rsidRPr="00FF1F9D">
        <w:rPr>
          <w:rFonts w:cs="Calibri"/>
        </w:rPr>
        <w:t xml:space="preserve">Η σημαντική ανάκαμψη της αγοράς ενέργειας και μια σειρά σημαντικών έργων </w:t>
      </w:r>
      <w:r w:rsidR="007F7096">
        <w:rPr>
          <w:rFonts w:cs="Calibri"/>
        </w:rPr>
        <w:t>οδήγησαν το</w:t>
      </w:r>
      <w:r w:rsidRPr="00FF1F9D">
        <w:rPr>
          <w:rFonts w:cs="Calibri"/>
        </w:rPr>
        <w:t xml:space="preserve"> ανεκτέλεστο υπόλοιπο </w:t>
      </w:r>
      <w:r w:rsidR="007F7096">
        <w:rPr>
          <w:rFonts w:cs="Calibri"/>
        </w:rPr>
        <w:t>παραγγελιών στα</w:t>
      </w:r>
      <w:r w:rsidRPr="00FF1F9D">
        <w:rPr>
          <w:rFonts w:cs="Calibri"/>
        </w:rPr>
        <w:t xml:space="preserve"> </w:t>
      </w:r>
      <w:r w:rsidR="00B45003">
        <w:rPr>
          <w:rFonts w:cs="Calibri"/>
        </w:rPr>
        <w:t>630 εκατ. ευρώ</w:t>
      </w:r>
      <w:r w:rsidRPr="00FF1F9D">
        <w:rPr>
          <w:rFonts w:cs="Calibri"/>
        </w:rPr>
        <w:t>.</w:t>
      </w:r>
      <w:r w:rsidR="00B45003">
        <w:rPr>
          <w:rFonts w:cs="Calibri"/>
        </w:rPr>
        <w:t xml:space="preserve"> </w:t>
      </w:r>
      <w:r w:rsidRPr="00FF1F9D">
        <w:rPr>
          <w:rFonts w:cs="Calibri"/>
        </w:rPr>
        <w:t xml:space="preserve"> Ταυτόχρονα, η </w:t>
      </w:r>
      <w:r w:rsidR="00B45003">
        <w:rPr>
          <w:rFonts w:cs="Calibri"/>
        </w:rPr>
        <w:t xml:space="preserve">εταιρεία </w:t>
      </w:r>
      <w:r w:rsidRPr="00FF1F9D">
        <w:rPr>
          <w:rFonts w:cs="Calibri"/>
        </w:rPr>
        <w:t xml:space="preserve">δεσμεύτηκε </w:t>
      </w:r>
      <w:r w:rsidR="00B45003">
        <w:rPr>
          <w:rFonts w:cs="Calibri"/>
        </w:rPr>
        <w:t xml:space="preserve">να ακολουθεί </w:t>
      </w:r>
      <w:r w:rsidRPr="00FF1F9D">
        <w:rPr>
          <w:rFonts w:cs="Calibri"/>
        </w:rPr>
        <w:t>τις αρχές της βι</w:t>
      </w:r>
      <w:r w:rsidR="00C53441">
        <w:rPr>
          <w:rFonts w:cs="Calibri"/>
        </w:rPr>
        <w:t>ώσιμης ανάπτυξης</w:t>
      </w:r>
      <w:r w:rsidRPr="00FF1F9D">
        <w:rPr>
          <w:rFonts w:cs="Calibri"/>
        </w:rPr>
        <w:t xml:space="preserve">, </w:t>
      </w:r>
      <w:r w:rsidR="00B45003">
        <w:rPr>
          <w:rFonts w:cs="Calibri"/>
        </w:rPr>
        <w:t>θέτοντας</w:t>
      </w:r>
      <w:r w:rsidRPr="00FF1F9D">
        <w:rPr>
          <w:rFonts w:cs="Calibri"/>
        </w:rPr>
        <w:t xml:space="preserve"> φιλόδοξους μεσοπρόθεσμους και μακροπρόθεσμους στόχους για τις εκπομπές διοξειδίου του άνθρακα </w:t>
      </w:r>
      <w:r w:rsidR="007F7096">
        <w:rPr>
          <w:rFonts w:cs="Calibri"/>
        </w:rPr>
        <w:t xml:space="preserve">στο σύνολο της εφοδιαστικής </w:t>
      </w:r>
      <w:r w:rsidR="00D74AF4">
        <w:rPr>
          <w:rFonts w:cs="Calibri"/>
        </w:rPr>
        <w:t xml:space="preserve">της </w:t>
      </w:r>
      <w:r w:rsidR="007F7096">
        <w:rPr>
          <w:rFonts w:cs="Calibri"/>
        </w:rPr>
        <w:t>αλυσίδας</w:t>
      </w:r>
      <w:r w:rsidR="00B45003">
        <w:rPr>
          <w:rFonts w:cs="Calibri"/>
        </w:rPr>
        <w:t xml:space="preserve"> και</w:t>
      </w:r>
      <w:r w:rsidRPr="00FF1F9D">
        <w:rPr>
          <w:rFonts w:cs="Calibri"/>
        </w:rPr>
        <w:t xml:space="preserve"> </w:t>
      </w:r>
      <w:r w:rsidR="007F7096">
        <w:rPr>
          <w:rFonts w:cs="Calibri"/>
        </w:rPr>
        <w:t xml:space="preserve">εξασφαλίζοντας ταυτόχρονα την </w:t>
      </w:r>
      <w:r w:rsidR="007F7096" w:rsidRPr="00FF1F9D">
        <w:rPr>
          <w:rFonts w:cs="Calibri"/>
        </w:rPr>
        <w:t>πιστοποίησ</w:t>
      </w:r>
      <w:r w:rsidR="007F7096">
        <w:rPr>
          <w:rFonts w:cs="Calibri"/>
        </w:rPr>
        <w:t>η</w:t>
      </w:r>
      <w:r w:rsidR="004D0F2D">
        <w:rPr>
          <w:rFonts w:cs="Calibri"/>
        </w:rPr>
        <w:t xml:space="preserve"> </w:t>
      </w:r>
      <w:r w:rsidR="007F7096">
        <w:rPr>
          <w:rFonts w:cs="Calibri"/>
        </w:rPr>
        <w:t>«</w:t>
      </w:r>
      <w:r w:rsidRPr="00FF1F9D">
        <w:rPr>
          <w:rFonts w:cs="Calibri"/>
        </w:rPr>
        <w:t>Περιβαλλοντική Δήλωση Προϊόντος (</w:t>
      </w:r>
      <w:r w:rsidR="007F7096">
        <w:rPr>
          <w:rFonts w:cs="Calibri"/>
          <w:lang w:val="en-US"/>
        </w:rPr>
        <w:t>EPD</w:t>
      </w:r>
      <w:r w:rsidRPr="00FF1F9D">
        <w:rPr>
          <w:rFonts w:cs="Calibri"/>
        </w:rPr>
        <w:t>)</w:t>
      </w:r>
      <w:r w:rsidR="007F7096">
        <w:rPr>
          <w:rFonts w:cs="Calibri"/>
        </w:rPr>
        <w:t>»</w:t>
      </w:r>
      <w:r w:rsidRPr="00FF1F9D">
        <w:rPr>
          <w:rFonts w:cs="Calibri"/>
        </w:rPr>
        <w:t xml:space="preserve"> για τα προϊόντα χάλυβα.</w:t>
      </w:r>
    </w:p>
    <w:bookmarkEnd w:id="1"/>
    <w:p w14:paraId="1F71CB42" w14:textId="5011209F" w:rsidR="005E7E03" w:rsidRPr="00B258B5" w:rsidRDefault="00B258B5" w:rsidP="006B321F">
      <w:pPr>
        <w:keepNext/>
        <w:keepLines/>
        <w:spacing w:after="120" w:line="240" w:lineRule="auto"/>
        <w:jc w:val="both"/>
        <w:outlineLvl w:val="1"/>
        <w:rPr>
          <w:rFonts w:eastAsia="SimSun" w:cs="Calibri"/>
          <w:b/>
          <w:bCs/>
          <w:color w:val="4F6228"/>
          <w:sz w:val="24"/>
          <w:szCs w:val="24"/>
        </w:rPr>
      </w:pPr>
      <w:r w:rsidRPr="00B258B5">
        <w:rPr>
          <w:rFonts w:eastAsia="SimSun" w:cs="Calibri"/>
          <w:b/>
          <w:bCs/>
          <w:color w:val="4F6228"/>
          <w:sz w:val="24"/>
          <w:szCs w:val="24"/>
        </w:rPr>
        <w:t>Οικονομική Επισκόπηση Ομίλου</w:t>
      </w:r>
    </w:p>
    <w:tbl>
      <w:tblPr>
        <w:tblW w:w="9913" w:type="dxa"/>
        <w:tblLayout w:type="fixed"/>
        <w:tblLook w:val="04A0" w:firstRow="1" w:lastRow="0" w:firstColumn="1" w:lastColumn="0" w:noHBand="0" w:noVBand="1"/>
      </w:tblPr>
      <w:tblGrid>
        <w:gridCol w:w="2967"/>
        <w:gridCol w:w="1157"/>
        <w:gridCol w:w="1158"/>
        <w:gridCol w:w="1158"/>
        <w:gridCol w:w="1157"/>
        <w:gridCol w:w="1158"/>
        <w:gridCol w:w="1158"/>
      </w:tblGrid>
      <w:tr w:rsidR="00FC022D" w:rsidRPr="009F49E2" w14:paraId="7B13CBD0" w14:textId="77777777" w:rsidTr="00F467F6">
        <w:trPr>
          <w:trHeight w:val="252"/>
          <w:tblHeader/>
        </w:trPr>
        <w:tc>
          <w:tcPr>
            <w:tcW w:w="2967" w:type="dxa"/>
            <w:tcBorders>
              <w:top w:val="single" w:sz="8" w:space="0" w:color="A8D08D"/>
              <w:left w:val="single" w:sz="8" w:space="0" w:color="A8D08D"/>
              <w:bottom w:val="single" w:sz="8" w:space="0" w:color="A8D08D"/>
              <w:right w:val="single" w:sz="8" w:space="0" w:color="A8D08D"/>
            </w:tcBorders>
            <w:shd w:val="clear" w:color="000000" w:fill="476C2E"/>
            <w:vAlign w:val="bottom"/>
          </w:tcPr>
          <w:p w14:paraId="785A3837" w14:textId="668AB9F7" w:rsidR="00FC022D" w:rsidRPr="009F49E2" w:rsidRDefault="00FC022D" w:rsidP="00082910">
            <w:pPr>
              <w:spacing w:after="0" w:line="240" w:lineRule="auto"/>
              <w:rPr>
                <w:rFonts w:eastAsia="Times New Roman" w:cs="Calibri"/>
                <w:b/>
                <w:bCs/>
                <w:i/>
                <w:iCs/>
                <w:color w:val="FFFFFF"/>
                <w:sz w:val="20"/>
                <w:szCs w:val="20"/>
                <w:lang w:val="en-US"/>
              </w:rPr>
            </w:pPr>
            <w:r w:rsidRPr="006C0543">
              <w:rPr>
                <w:b/>
                <w:i/>
                <w:color w:val="FFFFFF"/>
                <w:sz w:val="20"/>
              </w:rPr>
              <w:t>Ποσά σε χιλιάδες ευρώ</w:t>
            </w:r>
          </w:p>
        </w:tc>
        <w:tc>
          <w:tcPr>
            <w:tcW w:w="1157" w:type="dxa"/>
            <w:tcBorders>
              <w:top w:val="single" w:sz="8" w:space="0" w:color="A8D08D"/>
              <w:left w:val="nil"/>
              <w:bottom w:val="single" w:sz="8" w:space="0" w:color="A8D08D"/>
              <w:right w:val="single" w:sz="8" w:space="0" w:color="A8D08D"/>
            </w:tcBorders>
            <w:shd w:val="clear" w:color="000000" w:fill="476C2E"/>
            <w:noWrap/>
            <w:vAlign w:val="center"/>
            <w:hideMark/>
          </w:tcPr>
          <w:p w14:paraId="1553F2FA" w14:textId="77777777" w:rsidR="00FC022D" w:rsidRDefault="00FC022D" w:rsidP="00082910">
            <w:pPr>
              <w:spacing w:after="0" w:line="240" w:lineRule="auto"/>
              <w:jc w:val="center"/>
              <w:rPr>
                <w:rFonts w:cs="Calibri"/>
                <w:b/>
                <w:bCs/>
                <w:color w:val="FFFFFF"/>
                <w:sz w:val="20"/>
                <w:szCs w:val="20"/>
              </w:rPr>
            </w:pPr>
            <w:r w:rsidRPr="006C0543">
              <w:rPr>
                <w:b/>
                <w:color w:val="FFFFFF"/>
                <w:sz w:val="20"/>
              </w:rPr>
              <w:t xml:space="preserve">1ο εξ. </w:t>
            </w:r>
            <w:r>
              <w:rPr>
                <w:rFonts w:cs="Calibri"/>
                <w:b/>
                <w:bCs/>
                <w:color w:val="FFFFFF"/>
                <w:sz w:val="20"/>
                <w:szCs w:val="20"/>
              </w:rPr>
              <w:t xml:space="preserve"> </w:t>
            </w:r>
          </w:p>
          <w:p w14:paraId="762DC3B7" w14:textId="509D2C0C" w:rsidR="00FC022D" w:rsidRPr="00635231" w:rsidRDefault="00FC022D" w:rsidP="00082910">
            <w:pPr>
              <w:spacing w:after="0" w:line="240" w:lineRule="auto"/>
              <w:jc w:val="center"/>
              <w:rPr>
                <w:rFonts w:cs="Calibri"/>
                <w:b/>
                <w:bCs/>
                <w:color w:val="FFFFFF"/>
                <w:sz w:val="20"/>
                <w:szCs w:val="20"/>
                <w:lang w:val="en-ZA"/>
              </w:rPr>
            </w:pPr>
            <w:r>
              <w:rPr>
                <w:rFonts w:cs="Calibri"/>
                <w:b/>
                <w:bCs/>
                <w:color w:val="FFFFFF"/>
                <w:sz w:val="20"/>
                <w:szCs w:val="20"/>
              </w:rPr>
              <w:t>202</w:t>
            </w:r>
            <w:r>
              <w:rPr>
                <w:rFonts w:cs="Calibri"/>
                <w:b/>
                <w:bCs/>
                <w:color w:val="FFFFFF"/>
                <w:sz w:val="20"/>
                <w:szCs w:val="20"/>
                <w:lang w:val="en-US"/>
              </w:rPr>
              <w:t>3</w:t>
            </w:r>
          </w:p>
        </w:tc>
        <w:tc>
          <w:tcPr>
            <w:tcW w:w="1158" w:type="dxa"/>
            <w:tcBorders>
              <w:top w:val="single" w:sz="8" w:space="0" w:color="A8D08D"/>
              <w:left w:val="nil"/>
              <w:bottom w:val="single" w:sz="8" w:space="0" w:color="A8D08D"/>
              <w:right w:val="single" w:sz="8" w:space="0" w:color="A8D08D"/>
            </w:tcBorders>
            <w:shd w:val="clear" w:color="000000" w:fill="476C2E"/>
            <w:noWrap/>
            <w:vAlign w:val="center"/>
            <w:hideMark/>
          </w:tcPr>
          <w:p w14:paraId="470AB7E3" w14:textId="77777777" w:rsidR="00FC022D" w:rsidRDefault="00FC022D" w:rsidP="00082910">
            <w:pPr>
              <w:spacing w:after="0" w:line="240" w:lineRule="auto"/>
              <w:jc w:val="center"/>
              <w:rPr>
                <w:rFonts w:cs="Calibri"/>
                <w:b/>
                <w:bCs/>
                <w:color w:val="FFFFFF"/>
                <w:sz w:val="20"/>
                <w:szCs w:val="20"/>
              </w:rPr>
            </w:pPr>
            <w:r w:rsidRPr="006C0543">
              <w:rPr>
                <w:b/>
                <w:color w:val="FFFFFF"/>
                <w:sz w:val="20"/>
              </w:rPr>
              <w:t xml:space="preserve">1ο εξ. </w:t>
            </w:r>
            <w:r>
              <w:rPr>
                <w:rFonts w:cs="Calibri"/>
                <w:b/>
                <w:bCs/>
                <w:color w:val="FFFFFF"/>
                <w:sz w:val="20"/>
                <w:szCs w:val="20"/>
              </w:rPr>
              <w:t xml:space="preserve"> </w:t>
            </w:r>
          </w:p>
          <w:p w14:paraId="54BA281C" w14:textId="013D515E" w:rsidR="00FC022D" w:rsidRPr="00635231" w:rsidRDefault="00FC022D" w:rsidP="00082910">
            <w:pPr>
              <w:spacing w:after="0" w:line="240" w:lineRule="auto"/>
              <w:jc w:val="center"/>
              <w:rPr>
                <w:rFonts w:cs="Calibri"/>
                <w:b/>
                <w:bCs/>
                <w:color w:val="FFFFFF"/>
                <w:sz w:val="20"/>
                <w:szCs w:val="20"/>
                <w:lang w:val="en-GB"/>
              </w:rPr>
            </w:pPr>
            <w:r>
              <w:rPr>
                <w:rFonts w:cs="Calibri"/>
                <w:b/>
                <w:bCs/>
                <w:color w:val="FFFFFF"/>
                <w:sz w:val="20"/>
                <w:szCs w:val="20"/>
              </w:rPr>
              <w:t>2022</w:t>
            </w:r>
          </w:p>
        </w:tc>
        <w:tc>
          <w:tcPr>
            <w:tcW w:w="1158" w:type="dxa"/>
            <w:tcBorders>
              <w:top w:val="single" w:sz="8" w:space="0" w:color="A8D08D"/>
              <w:left w:val="nil"/>
              <w:bottom w:val="single" w:sz="8" w:space="0" w:color="A8D08D"/>
              <w:right w:val="single" w:sz="8" w:space="0" w:color="A8D08D"/>
            </w:tcBorders>
            <w:shd w:val="clear" w:color="000000" w:fill="476C2E"/>
            <w:vAlign w:val="center"/>
          </w:tcPr>
          <w:p w14:paraId="04A191EB" w14:textId="17F868B6" w:rsidR="00FC022D" w:rsidRPr="009F49E2" w:rsidRDefault="00FC022D" w:rsidP="00082910">
            <w:pPr>
              <w:spacing w:after="0" w:line="240" w:lineRule="auto"/>
              <w:jc w:val="center"/>
              <w:rPr>
                <w:rFonts w:eastAsia="Times New Roman" w:cs="Calibri"/>
                <w:b/>
                <w:bCs/>
                <w:color w:val="FFFFFF"/>
                <w:sz w:val="20"/>
                <w:szCs w:val="20"/>
                <w:lang w:val="en-US"/>
              </w:rPr>
            </w:pPr>
            <w:r>
              <w:rPr>
                <w:rFonts w:cs="Calibri"/>
                <w:b/>
                <w:bCs/>
                <w:color w:val="FFFFFF"/>
                <w:sz w:val="20"/>
                <w:szCs w:val="20"/>
              </w:rPr>
              <w:t>Μεταβολή</w:t>
            </w:r>
            <w:r w:rsidRPr="00C62621">
              <w:rPr>
                <w:rFonts w:cs="Calibri"/>
                <w:b/>
                <w:bCs/>
                <w:color w:val="FFFFFF"/>
                <w:sz w:val="20"/>
                <w:szCs w:val="20"/>
                <w:lang w:val="en-GB"/>
              </w:rPr>
              <w:t xml:space="preserve"> (%)</w:t>
            </w:r>
          </w:p>
        </w:tc>
        <w:tc>
          <w:tcPr>
            <w:tcW w:w="1157" w:type="dxa"/>
            <w:tcBorders>
              <w:top w:val="single" w:sz="8" w:space="0" w:color="A8D08D"/>
              <w:left w:val="nil"/>
              <w:bottom w:val="single" w:sz="8" w:space="0" w:color="A8D08D"/>
              <w:right w:val="single" w:sz="8" w:space="0" w:color="A8D08D"/>
            </w:tcBorders>
            <w:shd w:val="clear" w:color="000000" w:fill="476C2E"/>
            <w:vAlign w:val="center"/>
          </w:tcPr>
          <w:p w14:paraId="3638A86A" w14:textId="77777777" w:rsidR="00FC022D" w:rsidRPr="00C62621" w:rsidRDefault="00FC022D" w:rsidP="00082910">
            <w:pPr>
              <w:spacing w:after="0" w:line="240" w:lineRule="auto"/>
              <w:jc w:val="center"/>
              <w:rPr>
                <w:rFonts w:cs="Calibri"/>
                <w:b/>
                <w:bCs/>
                <w:color w:val="FFFFFF"/>
                <w:sz w:val="20"/>
                <w:szCs w:val="20"/>
                <w:lang w:val="en-GB"/>
              </w:rPr>
            </w:pPr>
            <w:r>
              <w:rPr>
                <w:b/>
                <w:color w:val="FFFFFF"/>
                <w:sz w:val="20"/>
              </w:rPr>
              <w:t>2</w:t>
            </w:r>
            <w:r w:rsidRPr="006C0543">
              <w:rPr>
                <w:b/>
                <w:color w:val="FFFFFF"/>
                <w:sz w:val="20"/>
              </w:rPr>
              <w:t xml:space="preserve">ο </w:t>
            </w:r>
            <w:r>
              <w:rPr>
                <w:b/>
                <w:color w:val="FFFFFF"/>
                <w:sz w:val="20"/>
              </w:rPr>
              <w:t>τριμ</w:t>
            </w:r>
            <w:r w:rsidRPr="006C0543">
              <w:rPr>
                <w:b/>
                <w:color w:val="FFFFFF"/>
                <w:sz w:val="20"/>
              </w:rPr>
              <w:t xml:space="preserve">. </w:t>
            </w:r>
            <w:r w:rsidRPr="00C62621">
              <w:rPr>
                <w:rFonts w:cs="Calibri"/>
                <w:b/>
                <w:bCs/>
                <w:color w:val="FFFFFF"/>
                <w:sz w:val="20"/>
                <w:szCs w:val="20"/>
                <w:lang w:val="en-GB"/>
              </w:rPr>
              <w:t xml:space="preserve"> </w:t>
            </w:r>
          </w:p>
          <w:p w14:paraId="45678C62" w14:textId="36A1B45A" w:rsidR="00FC022D" w:rsidRPr="00635231" w:rsidRDefault="00FC022D" w:rsidP="00082910">
            <w:pPr>
              <w:spacing w:after="0" w:line="240" w:lineRule="auto"/>
              <w:jc w:val="center"/>
              <w:rPr>
                <w:rFonts w:cs="Calibri"/>
                <w:b/>
                <w:bCs/>
                <w:color w:val="FFFFFF"/>
                <w:sz w:val="20"/>
                <w:szCs w:val="20"/>
                <w:lang w:val="en-GB"/>
              </w:rPr>
            </w:pPr>
            <w:r w:rsidRPr="00C62621">
              <w:rPr>
                <w:rFonts w:cs="Calibri"/>
                <w:b/>
                <w:bCs/>
                <w:color w:val="FFFFFF"/>
                <w:sz w:val="20"/>
                <w:szCs w:val="20"/>
                <w:lang w:val="en-GB"/>
              </w:rPr>
              <w:t>202</w:t>
            </w:r>
            <w:r>
              <w:rPr>
                <w:rFonts w:cs="Calibri"/>
                <w:b/>
                <w:bCs/>
                <w:color w:val="FFFFFF"/>
                <w:sz w:val="20"/>
                <w:szCs w:val="20"/>
                <w:lang w:val="en-GB"/>
              </w:rPr>
              <w:t>3</w:t>
            </w:r>
          </w:p>
        </w:tc>
        <w:tc>
          <w:tcPr>
            <w:tcW w:w="1158" w:type="dxa"/>
            <w:tcBorders>
              <w:top w:val="single" w:sz="8" w:space="0" w:color="A8D08D"/>
              <w:left w:val="nil"/>
              <w:bottom w:val="single" w:sz="8" w:space="0" w:color="A8D08D"/>
              <w:right w:val="single" w:sz="8" w:space="0" w:color="A8D08D"/>
            </w:tcBorders>
            <w:shd w:val="clear" w:color="000000" w:fill="476C2E"/>
            <w:vAlign w:val="center"/>
          </w:tcPr>
          <w:p w14:paraId="6C79AC29" w14:textId="77777777" w:rsidR="00FC022D" w:rsidRPr="00C62621" w:rsidRDefault="00FC022D" w:rsidP="00082910">
            <w:pPr>
              <w:spacing w:after="0" w:line="240" w:lineRule="auto"/>
              <w:jc w:val="center"/>
              <w:rPr>
                <w:rFonts w:cs="Calibri"/>
                <w:b/>
                <w:bCs/>
                <w:color w:val="FFFFFF"/>
                <w:sz w:val="20"/>
                <w:szCs w:val="20"/>
                <w:lang w:val="en-GB"/>
              </w:rPr>
            </w:pPr>
            <w:r>
              <w:rPr>
                <w:b/>
                <w:color w:val="FFFFFF"/>
                <w:sz w:val="20"/>
                <w:lang w:val="en-US"/>
              </w:rPr>
              <w:t>2</w:t>
            </w:r>
            <w:r w:rsidRPr="006C0543">
              <w:rPr>
                <w:b/>
                <w:color w:val="FFFFFF"/>
                <w:sz w:val="20"/>
              </w:rPr>
              <w:t xml:space="preserve">ο </w:t>
            </w:r>
            <w:r>
              <w:rPr>
                <w:b/>
                <w:color w:val="FFFFFF"/>
                <w:sz w:val="20"/>
              </w:rPr>
              <w:t>τριμ</w:t>
            </w:r>
            <w:r w:rsidRPr="006C0543">
              <w:rPr>
                <w:b/>
                <w:color w:val="FFFFFF"/>
                <w:sz w:val="20"/>
              </w:rPr>
              <w:t xml:space="preserve">. </w:t>
            </w:r>
            <w:r w:rsidRPr="00C62621">
              <w:rPr>
                <w:rFonts w:cs="Calibri"/>
                <w:b/>
                <w:bCs/>
                <w:color w:val="FFFFFF"/>
                <w:sz w:val="20"/>
                <w:szCs w:val="20"/>
                <w:lang w:val="en-GB"/>
              </w:rPr>
              <w:t xml:space="preserve"> </w:t>
            </w:r>
          </w:p>
          <w:p w14:paraId="3081654B" w14:textId="12CE812E" w:rsidR="00FC022D" w:rsidRPr="005C5F24" w:rsidRDefault="00FC022D" w:rsidP="00082910">
            <w:pPr>
              <w:spacing w:after="0" w:line="240" w:lineRule="auto"/>
              <w:jc w:val="center"/>
              <w:rPr>
                <w:rFonts w:cs="Calibri"/>
                <w:b/>
                <w:bCs/>
                <w:color w:val="FFFFFF"/>
                <w:sz w:val="20"/>
                <w:szCs w:val="20"/>
                <w:lang w:val="en-ZA"/>
              </w:rPr>
            </w:pPr>
            <w:r w:rsidRPr="00C62621">
              <w:rPr>
                <w:rFonts w:cs="Calibri"/>
                <w:b/>
                <w:bCs/>
                <w:color w:val="FFFFFF"/>
                <w:sz w:val="20"/>
                <w:szCs w:val="20"/>
                <w:lang w:val="en-GB"/>
              </w:rPr>
              <w:t>2022</w:t>
            </w:r>
          </w:p>
        </w:tc>
        <w:tc>
          <w:tcPr>
            <w:tcW w:w="1158" w:type="dxa"/>
            <w:tcBorders>
              <w:top w:val="single" w:sz="8" w:space="0" w:color="A8D08D"/>
              <w:left w:val="nil"/>
              <w:bottom w:val="single" w:sz="8" w:space="0" w:color="A8D08D"/>
              <w:right w:val="single" w:sz="8" w:space="0" w:color="A8D08D"/>
            </w:tcBorders>
            <w:shd w:val="clear" w:color="000000" w:fill="476C2E"/>
            <w:vAlign w:val="center"/>
          </w:tcPr>
          <w:p w14:paraId="6F17B1FB" w14:textId="547E28F3" w:rsidR="00FC022D" w:rsidRPr="009F49E2" w:rsidRDefault="00FC022D" w:rsidP="00082910">
            <w:pPr>
              <w:spacing w:after="0" w:line="240" w:lineRule="auto"/>
              <w:jc w:val="center"/>
              <w:rPr>
                <w:rFonts w:cs="Calibri"/>
                <w:b/>
                <w:bCs/>
                <w:color w:val="FFFFFF"/>
                <w:sz w:val="20"/>
                <w:szCs w:val="20"/>
                <w:lang w:val="en-US"/>
              </w:rPr>
            </w:pPr>
            <w:r>
              <w:rPr>
                <w:rFonts w:cs="Calibri"/>
                <w:b/>
                <w:bCs/>
                <w:color w:val="FFFFFF"/>
                <w:sz w:val="20"/>
                <w:szCs w:val="20"/>
              </w:rPr>
              <w:t>Μεταβολή</w:t>
            </w:r>
            <w:r w:rsidRPr="00C62621">
              <w:rPr>
                <w:rFonts w:cs="Calibri"/>
                <w:b/>
                <w:bCs/>
                <w:color w:val="FFFFFF"/>
                <w:sz w:val="20"/>
                <w:szCs w:val="20"/>
                <w:lang w:val="en-GB"/>
              </w:rPr>
              <w:t xml:space="preserve"> (%)</w:t>
            </w:r>
          </w:p>
        </w:tc>
      </w:tr>
      <w:tr w:rsidR="00FC022D" w:rsidRPr="009F49E2" w14:paraId="0ED5E441"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78A3B80C" w14:textId="730D1F9B" w:rsidR="00FC022D" w:rsidRPr="009F49E2" w:rsidRDefault="00FC022D" w:rsidP="00082910">
            <w:pPr>
              <w:spacing w:after="0" w:line="240" w:lineRule="auto"/>
              <w:rPr>
                <w:rFonts w:eastAsia="Times New Roman" w:cs="Calibri"/>
                <w:b/>
                <w:bCs/>
                <w:color w:val="000000"/>
                <w:sz w:val="20"/>
                <w:szCs w:val="20"/>
                <w:lang w:val="en-US"/>
              </w:rPr>
            </w:pPr>
            <w:r w:rsidRPr="008567C6">
              <w:rPr>
                <w:rFonts w:asciiTheme="minorHAnsi" w:hAnsiTheme="minorHAnsi" w:cstheme="minorHAnsi"/>
                <w:b/>
                <w:bCs/>
                <w:sz w:val="20"/>
                <w:szCs w:val="20"/>
              </w:rPr>
              <w:t>Πωλήσεις</w:t>
            </w:r>
          </w:p>
        </w:tc>
        <w:tc>
          <w:tcPr>
            <w:tcW w:w="1157" w:type="dxa"/>
            <w:tcBorders>
              <w:top w:val="nil"/>
              <w:left w:val="nil"/>
              <w:bottom w:val="single" w:sz="8" w:space="0" w:color="A8D08D"/>
              <w:right w:val="single" w:sz="8" w:space="0" w:color="A8D08D"/>
            </w:tcBorders>
            <w:shd w:val="clear" w:color="000000" w:fill="E2EFD9"/>
            <w:noWrap/>
            <w:vAlign w:val="center"/>
          </w:tcPr>
          <w:p w14:paraId="3B29C829" w14:textId="7937042D"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798.272</w:t>
            </w:r>
          </w:p>
        </w:tc>
        <w:tc>
          <w:tcPr>
            <w:tcW w:w="1158" w:type="dxa"/>
            <w:tcBorders>
              <w:top w:val="nil"/>
              <w:left w:val="nil"/>
              <w:bottom w:val="single" w:sz="8" w:space="0" w:color="A8D08D"/>
              <w:right w:val="single" w:sz="8" w:space="0" w:color="A8D08D"/>
            </w:tcBorders>
            <w:shd w:val="clear" w:color="000000" w:fill="E2EFD9"/>
            <w:noWrap/>
            <w:vAlign w:val="center"/>
            <w:hideMark/>
          </w:tcPr>
          <w:p w14:paraId="4CF09E91" w14:textId="2235A49A"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658.651</w:t>
            </w:r>
          </w:p>
        </w:tc>
        <w:tc>
          <w:tcPr>
            <w:tcW w:w="1158" w:type="dxa"/>
            <w:tcBorders>
              <w:top w:val="nil"/>
              <w:left w:val="nil"/>
              <w:bottom w:val="single" w:sz="8" w:space="0" w:color="A8D08D"/>
              <w:right w:val="single" w:sz="8" w:space="0" w:color="A8D08D"/>
            </w:tcBorders>
            <w:shd w:val="clear" w:color="000000" w:fill="E2EFD9"/>
            <w:vAlign w:val="center"/>
          </w:tcPr>
          <w:p w14:paraId="45FFFA11" w14:textId="18A7321C"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21%</w:t>
            </w:r>
          </w:p>
        </w:tc>
        <w:tc>
          <w:tcPr>
            <w:tcW w:w="1157" w:type="dxa"/>
            <w:tcBorders>
              <w:top w:val="nil"/>
              <w:left w:val="nil"/>
              <w:bottom w:val="single" w:sz="8" w:space="0" w:color="A8D08D"/>
              <w:right w:val="single" w:sz="8" w:space="0" w:color="A8D08D"/>
            </w:tcBorders>
            <w:shd w:val="clear" w:color="000000" w:fill="E2EFD9"/>
            <w:vAlign w:val="center"/>
          </w:tcPr>
          <w:p w14:paraId="08292C68" w14:textId="0A68F123"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417.007</w:t>
            </w:r>
          </w:p>
        </w:tc>
        <w:tc>
          <w:tcPr>
            <w:tcW w:w="1158" w:type="dxa"/>
            <w:tcBorders>
              <w:top w:val="nil"/>
              <w:left w:val="nil"/>
              <w:bottom w:val="single" w:sz="8" w:space="0" w:color="A8D08D"/>
              <w:right w:val="single" w:sz="8" w:space="0" w:color="A8D08D"/>
            </w:tcBorders>
            <w:shd w:val="clear" w:color="000000" w:fill="E2EFD9"/>
            <w:vAlign w:val="center"/>
          </w:tcPr>
          <w:p w14:paraId="2E99372C" w14:textId="1055C6C9"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358.865</w:t>
            </w:r>
          </w:p>
        </w:tc>
        <w:tc>
          <w:tcPr>
            <w:tcW w:w="1158" w:type="dxa"/>
            <w:tcBorders>
              <w:top w:val="nil"/>
              <w:left w:val="nil"/>
              <w:bottom w:val="single" w:sz="8" w:space="0" w:color="A8D08D"/>
              <w:right w:val="single" w:sz="8" w:space="0" w:color="A8D08D"/>
            </w:tcBorders>
            <w:shd w:val="clear" w:color="000000" w:fill="E2EFD9"/>
            <w:vAlign w:val="center"/>
          </w:tcPr>
          <w:p w14:paraId="46E65EF6" w14:textId="36E78839"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16%</w:t>
            </w:r>
          </w:p>
        </w:tc>
      </w:tr>
      <w:tr w:rsidR="00FC022D" w:rsidRPr="009F49E2" w14:paraId="63877E45"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7E007E95" w14:textId="59826635" w:rsidR="00FC022D" w:rsidRPr="009F49E2" w:rsidRDefault="00FC022D" w:rsidP="00082910">
            <w:pPr>
              <w:spacing w:after="0" w:line="240" w:lineRule="auto"/>
              <w:rPr>
                <w:rFonts w:eastAsia="Times New Roman" w:cs="Calibri"/>
                <w:color w:val="000000"/>
                <w:sz w:val="20"/>
                <w:szCs w:val="20"/>
                <w:lang w:val="en-US"/>
              </w:rPr>
            </w:pPr>
            <w:r w:rsidRPr="008567C6">
              <w:rPr>
                <w:rFonts w:asciiTheme="minorHAnsi" w:hAnsiTheme="minorHAnsi" w:cstheme="minorHAnsi"/>
                <w:sz w:val="20"/>
                <w:szCs w:val="20"/>
              </w:rPr>
              <w:t>Μικτό κέρδος</w:t>
            </w:r>
          </w:p>
        </w:tc>
        <w:tc>
          <w:tcPr>
            <w:tcW w:w="1157" w:type="dxa"/>
            <w:tcBorders>
              <w:top w:val="nil"/>
              <w:left w:val="nil"/>
              <w:bottom w:val="single" w:sz="8" w:space="0" w:color="A8D08D"/>
              <w:right w:val="single" w:sz="8" w:space="0" w:color="A8D08D"/>
            </w:tcBorders>
            <w:shd w:val="clear" w:color="000000" w:fill="FFFFFF"/>
            <w:noWrap/>
            <w:vAlign w:val="center"/>
          </w:tcPr>
          <w:p w14:paraId="71753E35" w14:textId="1E5ED1A9"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91.681</w:t>
            </w:r>
          </w:p>
        </w:tc>
        <w:tc>
          <w:tcPr>
            <w:tcW w:w="1158" w:type="dxa"/>
            <w:tcBorders>
              <w:top w:val="nil"/>
              <w:left w:val="nil"/>
              <w:bottom w:val="single" w:sz="8" w:space="0" w:color="A8D08D"/>
              <w:right w:val="single" w:sz="8" w:space="0" w:color="A8D08D"/>
            </w:tcBorders>
            <w:shd w:val="clear" w:color="000000" w:fill="FFFFFF"/>
            <w:noWrap/>
            <w:vAlign w:val="center"/>
            <w:hideMark/>
          </w:tcPr>
          <w:p w14:paraId="39E068B2" w14:textId="657BF9DA"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54.940</w:t>
            </w:r>
          </w:p>
        </w:tc>
        <w:tc>
          <w:tcPr>
            <w:tcW w:w="1158" w:type="dxa"/>
            <w:tcBorders>
              <w:top w:val="nil"/>
              <w:left w:val="nil"/>
              <w:bottom w:val="single" w:sz="8" w:space="0" w:color="A8D08D"/>
              <w:right w:val="single" w:sz="8" w:space="0" w:color="A8D08D"/>
            </w:tcBorders>
            <w:shd w:val="clear" w:color="000000" w:fill="FFFFFF"/>
            <w:vAlign w:val="center"/>
          </w:tcPr>
          <w:p w14:paraId="711D4ECD" w14:textId="3D3E065E" w:rsidR="00FC022D" w:rsidRPr="009F49E2" w:rsidRDefault="00FC022D" w:rsidP="00082910">
            <w:pPr>
              <w:spacing w:after="0" w:line="240" w:lineRule="auto"/>
              <w:jc w:val="right"/>
              <w:rPr>
                <w:rFonts w:cs="Calibri"/>
                <w:color w:val="000000"/>
                <w:sz w:val="20"/>
                <w:szCs w:val="20"/>
              </w:rPr>
            </w:pPr>
            <w:r>
              <w:rPr>
                <w:rFonts w:cs="Calibri"/>
                <w:b/>
                <w:bCs/>
                <w:i/>
                <w:iCs/>
                <w:color w:val="000000"/>
                <w:sz w:val="20"/>
                <w:szCs w:val="20"/>
              </w:rPr>
              <w:t>67%</w:t>
            </w:r>
          </w:p>
        </w:tc>
        <w:tc>
          <w:tcPr>
            <w:tcW w:w="1157" w:type="dxa"/>
            <w:tcBorders>
              <w:top w:val="nil"/>
              <w:left w:val="nil"/>
              <w:bottom w:val="single" w:sz="8" w:space="0" w:color="A8D08D"/>
              <w:right w:val="single" w:sz="8" w:space="0" w:color="A8D08D"/>
            </w:tcBorders>
            <w:shd w:val="clear" w:color="000000" w:fill="FFFFFF"/>
            <w:vAlign w:val="center"/>
          </w:tcPr>
          <w:p w14:paraId="0C64FC05" w14:textId="4B9C5B58"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45.910</w:t>
            </w:r>
          </w:p>
        </w:tc>
        <w:tc>
          <w:tcPr>
            <w:tcW w:w="1158" w:type="dxa"/>
            <w:tcBorders>
              <w:top w:val="nil"/>
              <w:left w:val="nil"/>
              <w:bottom w:val="single" w:sz="8" w:space="0" w:color="A8D08D"/>
              <w:right w:val="single" w:sz="8" w:space="0" w:color="A8D08D"/>
            </w:tcBorders>
            <w:shd w:val="clear" w:color="000000" w:fill="FFFFFF"/>
            <w:vAlign w:val="center"/>
          </w:tcPr>
          <w:p w14:paraId="192514E0" w14:textId="024E55DC"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28.347</w:t>
            </w:r>
          </w:p>
        </w:tc>
        <w:tc>
          <w:tcPr>
            <w:tcW w:w="1158" w:type="dxa"/>
            <w:tcBorders>
              <w:top w:val="nil"/>
              <w:left w:val="nil"/>
              <w:bottom w:val="single" w:sz="8" w:space="0" w:color="A8D08D"/>
              <w:right w:val="single" w:sz="8" w:space="0" w:color="A8D08D"/>
            </w:tcBorders>
            <w:shd w:val="clear" w:color="000000" w:fill="FFFFFF"/>
            <w:vAlign w:val="center"/>
          </w:tcPr>
          <w:p w14:paraId="3E9E8CAC" w14:textId="502084B2"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62%</w:t>
            </w:r>
          </w:p>
        </w:tc>
      </w:tr>
      <w:tr w:rsidR="00FC022D" w:rsidRPr="009F49E2" w14:paraId="1673333E"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7F4C492D" w14:textId="7A97E47B"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Περιθώριο μικτού κέρδους (%)</w:t>
            </w:r>
          </w:p>
        </w:tc>
        <w:tc>
          <w:tcPr>
            <w:tcW w:w="1157" w:type="dxa"/>
            <w:tcBorders>
              <w:top w:val="nil"/>
              <w:left w:val="nil"/>
              <w:bottom w:val="single" w:sz="8" w:space="0" w:color="A8D08D"/>
              <w:right w:val="single" w:sz="8" w:space="0" w:color="A8D08D"/>
            </w:tcBorders>
            <w:shd w:val="clear" w:color="000000" w:fill="FFFFFF"/>
            <w:noWrap/>
            <w:vAlign w:val="center"/>
          </w:tcPr>
          <w:p w14:paraId="16123234" w14:textId="3E724BFE"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11</w:t>
            </w:r>
            <w:r>
              <w:rPr>
                <w:rFonts w:cs="Calibri"/>
                <w:i/>
                <w:iCs/>
                <w:color w:val="000000"/>
                <w:sz w:val="20"/>
                <w:szCs w:val="20"/>
                <w:lang w:val="en-US"/>
              </w:rPr>
              <w:t>,</w:t>
            </w:r>
            <w:r>
              <w:rPr>
                <w:rFonts w:cs="Calibri"/>
                <w:i/>
                <w:iCs/>
                <w:color w:val="000000"/>
                <w:sz w:val="20"/>
                <w:szCs w:val="20"/>
              </w:rPr>
              <w:t>5%</w:t>
            </w:r>
          </w:p>
        </w:tc>
        <w:tc>
          <w:tcPr>
            <w:tcW w:w="1158" w:type="dxa"/>
            <w:tcBorders>
              <w:top w:val="nil"/>
              <w:left w:val="nil"/>
              <w:bottom w:val="single" w:sz="8" w:space="0" w:color="A8D08D"/>
              <w:right w:val="single" w:sz="8" w:space="0" w:color="A8D08D"/>
            </w:tcBorders>
            <w:shd w:val="clear" w:color="000000" w:fill="FFFFFF"/>
            <w:noWrap/>
            <w:vAlign w:val="center"/>
            <w:hideMark/>
          </w:tcPr>
          <w:p w14:paraId="531CA67E" w14:textId="66ECCBC9"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8</w:t>
            </w:r>
            <w:r>
              <w:rPr>
                <w:rFonts w:cs="Calibri"/>
                <w:i/>
                <w:iCs/>
                <w:color w:val="000000"/>
                <w:sz w:val="20"/>
                <w:szCs w:val="20"/>
                <w:lang w:val="en-US"/>
              </w:rPr>
              <w:t>,</w:t>
            </w:r>
            <w:r>
              <w:rPr>
                <w:rFonts w:cs="Calibri"/>
                <w:i/>
                <w:iCs/>
                <w:color w:val="000000"/>
                <w:sz w:val="20"/>
                <w:szCs w:val="20"/>
              </w:rPr>
              <w:t>3%</w:t>
            </w:r>
          </w:p>
        </w:tc>
        <w:tc>
          <w:tcPr>
            <w:tcW w:w="1158" w:type="dxa"/>
            <w:tcBorders>
              <w:top w:val="nil"/>
              <w:left w:val="nil"/>
              <w:bottom w:val="single" w:sz="8" w:space="0" w:color="A8D08D"/>
              <w:right w:val="single" w:sz="8" w:space="0" w:color="A8D08D"/>
            </w:tcBorders>
            <w:shd w:val="clear" w:color="000000" w:fill="FFFFFF"/>
            <w:vAlign w:val="center"/>
          </w:tcPr>
          <w:p w14:paraId="0D2C130F" w14:textId="7594745A" w:rsidR="00FC022D" w:rsidRPr="009F49E2" w:rsidRDefault="00FC022D" w:rsidP="00082910">
            <w:pPr>
              <w:spacing w:after="0" w:line="240" w:lineRule="auto"/>
              <w:jc w:val="right"/>
              <w:rPr>
                <w:rFonts w:cs="Calibri"/>
                <w:i/>
                <w:iCs/>
                <w:color w:val="000000"/>
                <w:sz w:val="20"/>
                <w:szCs w:val="20"/>
              </w:rPr>
            </w:pPr>
            <w:r>
              <w:rPr>
                <w:rFonts w:cs="Calibri"/>
                <w:i/>
                <w:iCs/>
                <w:color w:val="000000"/>
                <w:sz w:val="20"/>
                <w:szCs w:val="20"/>
              </w:rPr>
              <w:t>314 bps</w:t>
            </w:r>
          </w:p>
        </w:tc>
        <w:tc>
          <w:tcPr>
            <w:tcW w:w="1157" w:type="dxa"/>
            <w:tcBorders>
              <w:top w:val="nil"/>
              <w:left w:val="nil"/>
              <w:bottom w:val="single" w:sz="8" w:space="0" w:color="A8D08D"/>
              <w:right w:val="single" w:sz="8" w:space="0" w:color="A8D08D"/>
            </w:tcBorders>
            <w:shd w:val="clear" w:color="000000" w:fill="FFFFFF"/>
            <w:vAlign w:val="center"/>
          </w:tcPr>
          <w:p w14:paraId="6EE3CD69" w14:textId="58F38EAD"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11</w:t>
            </w:r>
            <w:r>
              <w:rPr>
                <w:rFonts w:cs="Calibri"/>
                <w:i/>
                <w:iCs/>
                <w:color w:val="000000"/>
                <w:sz w:val="20"/>
                <w:szCs w:val="20"/>
                <w:lang w:val="en-US"/>
              </w:rPr>
              <w:t>,</w:t>
            </w:r>
            <w:r>
              <w:rPr>
                <w:rFonts w:cs="Calibri"/>
                <w:i/>
                <w:iCs/>
                <w:color w:val="000000"/>
                <w:sz w:val="20"/>
                <w:szCs w:val="20"/>
              </w:rPr>
              <w:t>0%</w:t>
            </w:r>
          </w:p>
        </w:tc>
        <w:tc>
          <w:tcPr>
            <w:tcW w:w="1158" w:type="dxa"/>
            <w:tcBorders>
              <w:top w:val="nil"/>
              <w:left w:val="nil"/>
              <w:bottom w:val="single" w:sz="8" w:space="0" w:color="A8D08D"/>
              <w:right w:val="single" w:sz="8" w:space="0" w:color="A8D08D"/>
            </w:tcBorders>
            <w:shd w:val="clear" w:color="000000" w:fill="FFFFFF"/>
            <w:vAlign w:val="center"/>
          </w:tcPr>
          <w:p w14:paraId="344C205E" w14:textId="570A0B8F"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7</w:t>
            </w:r>
            <w:r>
              <w:rPr>
                <w:rFonts w:cs="Calibri"/>
                <w:i/>
                <w:iCs/>
                <w:color w:val="000000"/>
                <w:sz w:val="20"/>
                <w:szCs w:val="20"/>
                <w:lang w:val="en-US"/>
              </w:rPr>
              <w:t>,</w:t>
            </w:r>
            <w:r>
              <w:rPr>
                <w:rFonts w:cs="Calibri"/>
                <w:i/>
                <w:iCs/>
                <w:color w:val="000000"/>
                <w:sz w:val="20"/>
                <w:szCs w:val="20"/>
              </w:rPr>
              <w:t>9%</w:t>
            </w:r>
          </w:p>
        </w:tc>
        <w:tc>
          <w:tcPr>
            <w:tcW w:w="1158" w:type="dxa"/>
            <w:tcBorders>
              <w:top w:val="nil"/>
              <w:left w:val="nil"/>
              <w:bottom w:val="single" w:sz="8" w:space="0" w:color="A8D08D"/>
              <w:right w:val="single" w:sz="8" w:space="0" w:color="A8D08D"/>
            </w:tcBorders>
            <w:shd w:val="clear" w:color="000000" w:fill="FFFFFF"/>
            <w:vAlign w:val="center"/>
          </w:tcPr>
          <w:p w14:paraId="67828D4A" w14:textId="058EC983"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311 bps</w:t>
            </w:r>
          </w:p>
        </w:tc>
      </w:tr>
      <w:tr w:rsidR="00FC022D" w:rsidRPr="009F49E2" w14:paraId="2E498B6E"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1B29CB86" w14:textId="209C0639" w:rsidR="00FC022D" w:rsidRPr="00FC022D" w:rsidRDefault="00FC022D" w:rsidP="00082910">
            <w:pPr>
              <w:spacing w:after="0" w:line="240" w:lineRule="auto"/>
              <w:rPr>
                <w:rFonts w:eastAsia="Times New Roman" w:cs="Calibri"/>
                <w:b/>
                <w:bCs/>
                <w:color w:val="000000"/>
                <w:sz w:val="20"/>
                <w:szCs w:val="20"/>
              </w:rPr>
            </w:pPr>
            <w:r w:rsidRPr="008567C6">
              <w:rPr>
                <w:rFonts w:asciiTheme="minorHAnsi" w:hAnsiTheme="minorHAnsi" w:cstheme="minorHAnsi"/>
                <w:b/>
                <w:bCs/>
                <w:sz w:val="20"/>
                <w:szCs w:val="20"/>
              </w:rPr>
              <w:t>Αναπροσαρμοσμένα κέρδη προ φόρων, χρηματοδοτικών, επενδυτικών αποτελεσμάτων και αποσβέσεων (</w:t>
            </w:r>
            <w:r w:rsidR="00A14DC3">
              <w:rPr>
                <w:rFonts w:asciiTheme="minorHAnsi" w:hAnsiTheme="minorHAnsi" w:cstheme="minorHAnsi"/>
                <w:b/>
                <w:bCs/>
                <w:sz w:val="20"/>
                <w:szCs w:val="20"/>
                <w:lang w:val="en-US"/>
              </w:rPr>
              <w:t>a</w:t>
            </w:r>
            <w:r w:rsidRPr="008567C6">
              <w:rPr>
                <w:rFonts w:asciiTheme="minorHAnsi" w:hAnsiTheme="minorHAnsi" w:cstheme="minorHAnsi"/>
                <w:b/>
                <w:bCs/>
                <w:sz w:val="20"/>
                <w:szCs w:val="20"/>
              </w:rPr>
              <w:t>-EBITDA)</w:t>
            </w:r>
          </w:p>
        </w:tc>
        <w:tc>
          <w:tcPr>
            <w:tcW w:w="1157" w:type="dxa"/>
            <w:tcBorders>
              <w:top w:val="nil"/>
              <w:left w:val="nil"/>
              <w:bottom w:val="single" w:sz="8" w:space="0" w:color="A8D08D"/>
              <w:right w:val="single" w:sz="8" w:space="0" w:color="A8D08D"/>
            </w:tcBorders>
            <w:shd w:val="clear" w:color="000000" w:fill="E2EFD9"/>
            <w:noWrap/>
            <w:vAlign w:val="center"/>
          </w:tcPr>
          <w:p w14:paraId="6F036C3D" w14:textId="018B28BD"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86.113</w:t>
            </w:r>
          </w:p>
        </w:tc>
        <w:tc>
          <w:tcPr>
            <w:tcW w:w="1158" w:type="dxa"/>
            <w:tcBorders>
              <w:top w:val="nil"/>
              <w:left w:val="nil"/>
              <w:bottom w:val="single" w:sz="8" w:space="0" w:color="A8D08D"/>
              <w:right w:val="single" w:sz="8" w:space="0" w:color="A8D08D"/>
            </w:tcBorders>
            <w:shd w:val="clear" w:color="000000" w:fill="E2EFD9"/>
            <w:noWrap/>
            <w:vAlign w:val="center"/>
            <w:hideMark/>
          </w:tcPr>
          <w:p w14:paraId="715C5DF6" w14:textId="5B1D8116"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51.626</w:t>
            </w:r>
          </w:p>
        </w:tc>
        <w:tc>
          <w:tcPr>
            <w:tcW w:w="1158" w:type="dxa"/>
            <w:tcBorders>
              <w:top w:val="nil"/>
              <w:left w:val="nil"/>
              <w:bottom w:val="single" w:sz="8" w:space="0" w:color="A8D08D"/>
              <w:right w:val="single" w:sz="8" w:space="0" w:color="A8D08D"/>
            </w:tcBorders>
            <w:shd w:val="clear" w:color="000000" w:fill="E2EFD9"/>
            <w:vAlign w:val="center"/>
          </w:tcPr>
          <w:p w14:paraId="7F8DA5AB" w14:textId="6642FECF"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67%</w:t>
            </w:r>
          </w:p>
        </w:tc>
        <w:tc>
          <w:tcPr>
            <w:tcW w:w="1157" w:type="dxa"/>
            <w:tcBorders>
              <w:top w:val="nil"/>
              <w:left w:val="nil"/>
              <w:bottom w:val="single" w:sz="8" w:space="0" w:color="A8D08D"/>
              <w:right w:val="single" w:sz="8" w:space="0" w:color="A8D08D"/>
            </w:tcBorders>
            <w:shd w:val="clear" w:color="000000" w:fill="E2EFD9"/>
            <w:vAlign w:val="center"/>
          </w:tcPr>
          <w:p w14:paraId="78198256" w14:textId="41B5E598"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42.149</w:t>
            </w:r>
          </w:p>
        </w:tc>
        <w:tc>
          <w:tcPr>
            <w:tcW w:w="1158" w:type="dxa"/>
            <w:tcBorders>
              <w:top w:val="nil"/>
              <w:left w:val="nil"/>
              <w:bottom w:val="single" w:sz="8" w:space="0" w:color="A8D08D"/>
              <w:right w:val="single" w:sz="8" w:space="0" w:color="A8D08D"/>
            </w:tcBorders>
            <w:shd w:val="clear" w:color="000000" w:fill="E2EFD9"/>
            <w:vAlign w:val="center"/>
          </w:tcPr>
          <w:p w14:paraId="05AA08C5" w14:textId="7E9751CE"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29.075</w:t>
            </w:r>
          </w:p>
        </w:tc>
        <w:tc>
          <w:tcPr>
            <w:tcW w:w="1158" w:type="dxa"/>
            <w:tcBorders>
              <w:top w:val="nil"/>
              <w:left w:val="nil"/>
              <w:bottom w:val="single" w:sz="8" w:space="0" w:color="A8D08D"/>
              <w:right w:val="single" w:sz="8" w:space="0" w:color="A8D08D"/>
            </w:tcBorders>
            <w:shd w:val="clear" w:color="000000" w:fill="E2EFD9"/>
            <w:vAlign w:val="center"/>
          </w:tcPr>
          <w:p w14:paraId="671F13DA" w14:textId="092F5C50"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45%</w:t>
            </w:r>
          </w:p>
        </w:tc>
      </w:tr>
      <w:tr w:rsidR="00FC022D" w:rsidRPr="009F49E2" w14:paraId="0A250BC9"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79FE5CCF" w14:textId="5CFFC2B1"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 xml:space="preserve">Περιθώριο </w:t>
            </w:r>
            <w:r w:rsidR="00A14DC3">
              <w:rPr>
                <w:rFonts w:asciiTheme="minorHAnsi" w:hAnsiTheme="minorHAnsi" w:cstheme="minorHAnsi"/>
                <w:i/>
                <w:iCs/>
                <w:sz w:val="20"/>
                <w:szCs w:val="20"/>
                <w:lang w:val="en-US"/>
              </w:rPr>
              <w:t>a</w:t>
            </w:r>
            <w:r w:rsidRPr="008567C6">
              <w:rPr>
                <w:rFonts w:asciiTheme="minorHAnsi" w:hAnsiTheme="minorHAnsi" w:cstheme="minorHAnsi"/>
                <w:i/>
                <w:iCs/>
                <w:sz w:val="20"/>
                <w:szCs w:val="20"/>
              </w:rPr>
              <w:t>-EBITDA (%)</w:t>
            </w:r>
          </w:p>
        </w:tc>
        <w:tc>
          <w:tcPr>
            <w:tcW w:w="1157" w:type="dxa"/>
            <w:tcBorders>
              <w:top w:val="nil"/>
              <w:left w:val="nil"/>
              <w:bottom w:val="single" w:sz="8" w:space="0" w:color="A8D08D"/>
              <w:right w:val="single" w:sz="8" w:space="0" w:color="A8D08D"/>
            </w:tcBorders>
            <w:shd w:val="clear" w:color="000000" w:fill="E2EFD9"/>
            <w:noWrap/>
            <w:vAlign w:val="center"/>
          </w:tcPr>
          <w:p w14:paraId="27335521" w14:textId="6E464C73"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10</w:t>
            </w:r>
            <w:r>
              <w:rPr>
                <w:rFonts w:cs="Calibri"/>
                <w:i/>
                <w:iCs/>
                <w:color w:val="000000"/>
                <w:sz w:val="20"/>
                <w:szCs w:val="20"/>
                <w:lang w:val="en-US"/>
              </w:rPr>
              <w:t>,</w:t>
            </w:r>
            <w:r>
              <w:rPr>
                <w:rFonts w:cs="Calibri"/>
                <w:i/>
                <w:iCs/>
                <w:color w:val="000000"/>
                <w:sz w:val="20"/>
                <w:szCs w:val="20"/>
              </w:rPr>
              <w:t>8%</w:t>
            </w:r>
          </w:p>
        </w:tc>
        <w:tc>
          <w:tcPr>
            <w:tcW w:w="1158" w:type="dxa"/>
            <w:tcBorders>
              <w:top w:val="nil"/>
              <w:left w:val="nil"/>
              <w:bottom w:val="single" w:sz="8" w:space="0" w:color="A8D08D"/>
              <w:right w:val="single" w:sz="8" w:space="0" w:color="A8D08D"/>
            </w:tcBorders>
            <w:shd w:val="clear" w:color="000000" w:fill="E2EFD9"/>
            <w:noWrap/>
            <w:vAlign w:val="center"/>
            <w:hideMark/>
          </w:tcPr>
          <w:p w14:paraId="7755A4BB" w14:textId="1E85E93B"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7</w:t>
            </w:r>
            <w:r>
              <w:rPr>
                <w:rFonts w:cs="Calibri"/>
                <w:i/>
                <w:iCs/>
                <w:color w:val="000000"/>
                <w:sz w:val="20"/>
                <w:szCs w:val="20"/>
                <w:lang w:val="en-US"/>
              </w:rPr>
              <w:t>,</w:t>
            </w:r>
            <w:r>
              <w:rPr>
                <w:rFonts w:cs="Calibri"/>
                <w:i/>
                <w:iCs/>
                <w:color w:val="000000"/>
                <w:sz w:val="20"/>
                <w:szCs w:val="20"/>
              </w:rPr>
              <w:t>8%</w:t>
            </w:r>
          </w:p>
        </w:tc>
        <w:tc>
          <w:tcPr>
            <w:tcW w:w="1158" w:type="dxa"/>
            <w:tcBorders>
              <w:top w:val="nil"/>
              <w:left w:val="nil"/>
              <w:bottom w:val="single" w:sz="8" w:space="0" w:color="A8D08D"/>
              <w:right w:val="single" w:sz="8" w:space="0" w:color="A8D08D"/>
            </w:tcBorders>
            <w:shd w:val="clear" w:color="000000" w:fill="E2EFD9"/>
            <w:vAlign w:val="center"/>
          </w:tcPr>
          <w:p w14:paraId="2B9DA0A8" w14:textId="509C2453" w:rsidR="00FC022D" w:rsidRPr="009F49E2" w:rsidRDefault="00FC022D" w:rsidP="00082910">
            <w:pPr>
              <w:spacing w:after="0" w:line="240" w:lineRule="auto"/>
              <w:jc w:val="right"/>
              <w:rPr>
                <w:rFonts w:cs="Calibri"/>
                <w:i/>
                <w:iCs/>
                <w:color w:val="000000"/>
                <w:sz w:val="20"/>
                <w:szCs w:val="20"/>
              </w:rPr>
            </w:pPr>
            <w:r>
              <w:rPr>
                <w:rFonts w:cs="Calibri"/>
                <w:i/>
                <w:iCs/>
                <w:color w:val="000000"/>
                <w:sz w:val="20"/>
                <w:szCs w:val="20"/>
              </w:rPr>
              <w:t>295 bps</w:t>
            </w:r>
          </w:p>
        </w:tc>
        <w:tc>
          <w:tcPr>
            <w:tcW w:w="1157" w:type="dxa"/>
            <w:tcBorders>
              <w:top w:val="nil"/>
              <w:left w:val="nil"/>
              <w:bottom w:val="single" w:sz="8" w:space="0" w:color="A8D08D"/>
              <w:right w:val="single" w:sz="8" w:space="0" w:color="A8D08D"/>
            </w:tcBorders>
            <w:shd w:val="clear" w:color="000000" w:fill="E2EFD9"/>
            <w:vAlign w:val="center"/>
          </w:tcPr>
          <w:p w14:paraId="59291749" w14:textId="2092D463"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10</w:t>
            </w:r>
            <w:r>
              <w:rPr>
                <w:rFonts w:cs="Calibri"/>
                <w:i/>
                <w:iCs/>
                <w:color w:val="000000"/>
                <w:sz w:val="20"/>
                <w:szCs w:val="20"/>
                <w:lang w:val="en-US"/>
              </w:rPr>
              <w:t>,</w:t>
            </w:r>
            <w:r>
              <w:rPr>
                <w:rFonts w:cs="Calibri"/>
                <w:i/>
                <w:iCs/>
                <w:color w:val="000000"/>
                <w:sz w:val="20"/>
                <w:szCs w:val="20"/>
              </w:rPr>
              <w:t>1%</w:t>
            </w:r>
          </w:p>
        </w:tc>
        <w:tc>
          <w:tcPr>
            <w:tcW w:w="1158" w:type="dxa"/>
            <w:tcBorders>
              <w:top w:val="nil"/>
              <w:left w:val="nil"/>
              <w:bottom w:val="single" w:sz="8" w:space="0" w:color="A8D08D"/>
              <w:right w:val="single" w:sz="8" w:space="0" w:color="A8D08D"/>
            </w:tcBorders>
            <w:shd w:val="clear" w:color="000000" w:fill="E2EFD9"/>
            <w:vAlign w:val="center"/>
          </w:tcPr>
          <w:p w14:paraId="186F2596" w14:textId="3506A2C3"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8</w:t>
            </w:r>
            <w:r>
              <w:rPr>
                <w:rFonts w:cs="Calibri"/>
                <w:i/>
                <w:iCs/>
                <w:color w:val="000000"/>
                <w:sz w:val="20"/>
                <w:szCs w:val="20"/>
                <w:lang w:val="en-US"/>
              </w:rPr>
              <w:t>,</w:t>
            </w:r>
            <w:r>
              <w:rPr>
                <w:rFonts w:cs="Calibri"/>
                <w:i/>
                <w:iCs/>
                <w:color w:val="000000"/>
                <w:sz w:val="20"/>
                <w:szCs w:val="20"/>
              </w:rPr>
              <w:t>1%</w:t>
            </w:r>
          </w:p>
        </w:tc>
        <w:tc>
          <w:tcPr>
            <w:tcW w:w="1158" w:type="dxa"/>
            <w:tcBorders>
              <w:top w:val="nil"/>
              <w:left w:val="nil"/>
              <w:bottom w:val="single" w:sz="8" w:space="0" w:color="A8D08D"/>
              <w:right w:val="single" w:sz="8" w:space="0" w:color="A8D08D"/>
            </w:tcBorders>
            <w:shd w:val="clear" w:color="000000" w:fill="E2EFD9"/>
            <w:vAlign w:val="center"/>
          </w:tcPr>
          <w:p w14:paraId="7B01ABB4" w14:textId="1A166CFC"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201 bps</w:t>
            </w:r>
          </w:p>
        </w:tc>
      </w:tr>
      <w:tr w:rsidR="00FC022D" w:rsidRPr="009F49E2" w14:paraId="4AEFBC68"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3801BF08" w14:textId="60DC97A1" w:rsidR="00FC022D" w:rsidRPr="00FC022D" w:rsidRDefault="00FC022D" w:rsidP="00082910">
            <w:pPr>
              <w:spacing w:after="0" w:line="240" w:lineRule="auto"/>
              <w:rPr>
                <w:rFonts w:eastAsia="Times New Roman" w:cs="Calibri"/>
                <w:b/>
                <w:bCs/>
                <w:color w:val="000000"/>
                <w:sz w:val="20"/>
                <w:szCs w:val="20"/>
              </w:rPr>
            </w:pPr>
            <w:r w:rsidRPr="008567C6">
              <w:rPr>
                <w:rFonts w:asciiTheme="minorHAnsi" w:hAnsiTheme="minorHAnsi" w:cstheme="minorHAnsi"/>
                <w:b/>
                <w:bCs/>
                <w:sz w:val="20"/>
                <w:szCs w:val="20"/>
              </w:rPr>
              <w:t>Κέρδη προ φόρων, χρηματοδοτικών, επενδυτικών αποτελεσμάτων και αποσβέσεων (EBITDA)</w:t>
            </w:r>
          </w:p>
        </w:tc>
        <w:tc>
          <w:tcPr>
            <w:tcW w:w="1157" w:type="dxa"/>
            <w:tcBorders>
              <w:top w:val="nil"/>
              <w:left w:val="nil"/>
              <w:bottom w:val="single" w:sz="8" w:space="0" w:color="A8D08D"/>
              <w:right w:val="single" w:sz="8" w:space="0" w:color="A8D08D"/>
            </w:tcBorders>
            <w:shd w:val="clear" w:color="000000" w:fill="FFFFFF"/>
            <w:noWrap/>
            <w:vAlign w:val="center"/>
          </w:tcPr>
          <w:p w14:paraId="587C58EA" w14:textId="1AF2F5DC"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color w:val="000000"/>
                <w:sz w:val="20"/>
                <w:szCs w:val="20"/>
              </w:rPr>
              <w:t>79.249</w:t>
            </w:r>
          </w:p>
        </w:tc>
        <w:tc>
          <w:tcPr>
            <w:tcW w:w="1158" w:type="dxa"/>
            <w:tcBorders>
              <w:top w:val="nil"/>
              <w:left w:val="nil"/>
              <w:bottom w:val="single" w:sz="8" w:space="0" w:color="A8D08D"/>
              <w:right w:val="single" w:sz="8" w:space="0" w:color="A8D08D"/>
            </w:tcBorders>
            <w:shd w:val="clear" w:color="000000" w:fill="FFFFFF"/>
            <w:noWrap/>
            <w:vAlign w:val="center"/>
            <w:hideMark/>
          </w:tcPr>
          <w:p w14:paraId="356BE3E6" w14:textId="1459BAFF"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color w:val="000000"/>
                <w:sz w:val="20"/>
                <w:szCs w:val="20"/>
              </w:rPr>
              <w:t>49.067</w:t>
            </w:r>
          </w:p>
        </w:tc>
        <w:tc>
          <w:tcPr>
            <w:tcW w:w="1158" w:type="dxa"/>
            <w:tcBorders>
              <w:top w:val="nil"/>
              <w:left w:val="nil"/>
              <w:bottom w:val="single" w:sz="8" w:space="0" w:color="A8D08D"/>
              <w:right w:val="single" w:sz="8" w:space="0" w:color="A8D08D"/>
            </w:tcBorders>
            <w:shd w:val="clear" w:color="000000" w:fill="FFFFFF"/>
            <w:vAlign w:val="center"/>
          </w:tcPr>
          <w:p w14:paraId="0712AEB2" w14:textId="0D24D2C6"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62%</w:t>
            </w:r>
          </w:p>
        </w:tc>
        <w:tc>
          <w:tcPr>
            <w:tcW w:w="1157" w:type="dxa"/>
            <w:tcBorders>
              <w:top w:val="nil"/>
              <w:left w:val="nil"/>
              <w:bottom w:val="single" w:sz="8" w:space="0" w:color="A8D08D"/>
              <w:right w:val="single" w:sz="8" w:space="0" w:color="A8D08D"/>
            </w:tcBorders>
            <w:shd w:val="clear" w:color="000000" w:fill="FFFFFF"/>
            <w:vAlign w:val="center"/>
          </w:tcPr>
          <w:p w14:paraId="72C4A8B8" w14:textId="75BE27B9"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37.427</w:t>
            </w:r>
          </w:p>
        </w:tc>
        <w:tc>
          <w:tcPr>
            <w:tcW w:w="1158" w:type="dxa"/>
            <w:tcBorders>
              <w:top w:val="nil"/>
              <w:left w:val="nil"/>
              <w:bottom w:val="single" w:sz="8" w:space="0" w:color="A8D08D"/>
              <w:right w:val="single" w:sz="8" w:space="0" w:color="A8D08D"/>
            </w:tcBorders>
            <w:shd w:val="clear" w:color="000000" w:fill="FFFFFF"/>
            <w:vAlign w:val="center"/>
          </w:tcPr>
          <w:p w14:paraId="7D8994AC" w14:textId="6F78C44A"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23.235</w:t>
            </w:r>
          </w:p>
        </w:tc>
        <w:tc>
          <w:tcPr>
            <w:tcW w:w="1158" w:type="dxa"/>
            <w:tcBorders>
              <w:top w:val="nil"/>
              <w:left w:val="nil"/>
              <w:bottom w:val="single" w:sz="8" w:space="0" w:color="A8D08D"/>
              <w:right w:val="single" w:sz="8" w:space="0" w:color="A8D08D"/>
            </w:tcBorders>
            <w:shd w:val="clear" w:color="000000" w:fill="FFFFFF"/>
            <w:vAlign w:val="center"/>
          </w:tcPr>
          <w:p w14:paraId="2219982D" w14:textId="6F47CD9A"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61%</w:t>
            </w:r>
          </w:p>
        </w:tc>
      </w:tr>
      <w:tr w:rsidR="00FC022D" w:rsidRPr="009F49E2" w14:paraId="776837FB"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49C6E00D" w14:textId="09B1E72A"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Περιθώριο EBITDA (%)</w:t>
            </w:r>
          </w:p>
        </w:tc>
        <w:tc>
          <w:tcPr>
            <w:tcW w:w="1157" w:type="dxa"/>
            <w:tcBorders>
              <w:top w:val="nil"/>
              <w:left w:val="nil"/>
              <w:bottom w:val="single" w:sz="8" w:space="0" w:color="A8D08D"/>
              <w:right w:val="single" w:sz="8" w:space="0" w:color="A8D08D"/>
            </w:tcBorders>
            <w:shd w:val="clear" w:color="000000" w:fill="FFFFFF"/>
            <w:noWrap/>
            <w:vAlign w:val="center"/>
          </w:tcPr>
          <w:p w14:paraId="44053F6D" w14:textId="2737D89E"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9</w:t>
            </w:r>
            <w:r>
              <w:rPr>
                <w:rFonts w:cs="Calibri"/>
                <w:i/>
                <w:iCs/>
                <w:color w:val="000000"/>
                <w:sz w:val="20"/>
                <w:szCs w:val="20"/>
                <w:lang w:val="en-US"/>
              </w:rPr>
              <w:t>,</w:t>
            </w:r>
            <w:r>
              <w:rPr>
                <w:rFonts w:cs="Calibri"/>
                <w:i/>
                <w:iCs/>
                <w:color w:val="000000"/>
                <w:sz w:val="20"/>
                <w:szCs w:val="20"/>
              </w:rPr>
              <w:t>9%</w:t>
            </w:r>
          </w:p>
        </w:tc>
        <w:tc>
          <w:tcPr>
            <w:tcW w:w="1158" w:type="dxa"/>
            <w:tcBorders>
              <w:top w:val="nil"/>
              <w:left w:val="nil"/>
              <w:bottom w:val="single" w:sz="8" w:space="0" w:color="A8D08D"/>
              <w:right w:val="single" w:sz="8" w:space="0" w:color="A8D08D"/>
            </w:tcBorders>
            <w:shd w:val="clear" w:color="000000" w:fill="FFFFFF"/>
            <w:noWrap/>
            <w:vAlign w:val="center"/>
            <w:hideMark/>
          </w:tcPr>
          <w:p w14:paraId="185F1703" w14:textId="10D5376A"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7</w:t>
            </w:r>
            <w:r>
              <w:rPr>
                <w:rFonts w:cs="Calibri"/>
                <w:i/>
                <w:iCs/>
                <w:color w:val="000000"/>
                <w:sz w:val="20"/>
                <w:szCs w:val="20"/>
                <w:lang w:val="en-US"/>
              </w:rPr>
              <w:t>,</w:t>
            </w:r>
            <w:r>
              <w:rPr>
                <w:rFonts w:cs="Calibri"/>
                <w:i/>
                <w:iCs/>
                <w:color w:val="000000"/>
                <w:sz w:val="20"/>
                <w:szCs w:val="20"/>
              </w:rPr>
              <w:t>4%</w:t>
            </w:r>
          </w:p>
        </w:tc>
        <w:tc>
          <w:tcPr>
            <w:tcW w:w="1158" w:type="dxa"/>
            <w:tcBorders>
              <w:top w:val="nil"/>
              <w:left w:val="nil"/>
              <w:bottom w:val="single" w:sz="8" w:space="0" w:color="A8D08D"/>
              <w:right w:val="single" w:sz="8" w:space="0" w:color="A8D08D"/>
            </w:tcBorders>
            <w:shd w:val="clear" w:color="000000" w:fill="FFFFFF"/>
            <w:vAlign w:val="center"/>
          </w:tcPr>
          <w:p w14:paraId="13027C79" w14:textId="5B995205" w:rsidR="00FC022D" w:rsidRPr="009F49E2" w:rsidRDefault="00FC022D" w:rsidP="00082910">
            <w:pPr>
              <w:spacing w:after="0" w:line="240" w:lineRule="auto"/>
              <w:jc w:val="right"/>
              <w:rPr>
                <w:rFonts w:cs="Calibri"/>
                <w:i/>
                <w:iCs/>
                <w:color w:val="000000"/>
                <w:sz w:val="20"/>
                <w:szCs w:val="20"/>
              </w:rPr>
            </w:pPr>
            <w:r>
              <w:rPr>
                <w:rFonts w:cs="Calibri"/>
                <w:i/>
                <w:iCs/>
                <w:color w:val="000000"/>
                <w:sz w:val="20"/>
                <w:szCs w:val="20"/>
              </w:rPr>
              <w:t>248 bps</w:t>
            </w:r>
          </w:p>
        </w:tc>
        <w:tc>
          <w:tcPr>
            <w:tcW w:w="1157" w:type="dxa"/>
            <w:tcBorders>
              <w:top w:val="nil"/>
              <w:left w:val="nil"/>
              <w:bottom w:val="single" w:sz="8" w:space="0" w:color="A8D08D"/>
              <w:right w:val="single" w:sz="8" w:space="0" w:color="A8D08D"/>
            </w:tcBorders>
            <w:shd w:val="clear" w:color="000000" w:fill="FFFFFF"/>
            <w:vAlign w:val="center"/>
          </w:tcPr>
          <w:p w14:paraId="616DF224" w14:textId="424CEC73"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9</w:t>
            </w:r>
            <w:r>
              <w:rPr>
                <w:rFonts w:cs="Calibri"/>
                <w:i/>
                <w:iCs/>
                <w:color w:val="000000"/>
                <w:sz w:val="20"/>
                <w:szCs w:val="20"/>
                <w:lang w:val="en-US"/>
              </w:rPr>
              <w:t>,</w:t>
            </w:r>
            <w:r>
              <w:rPr>
                <w:rFonts w:cs="Calibri"/>
                <w:i/>
                <w:iCs/>
                <w:color w:val="000000"/>
                <w:sz w:val="20"/>
                <w:szCs w:val="20"/>
              </w:rPr>
              <w:t>0%</w:t>
            </w:r>
          </w:p>
        </w:tc>
        <w:tc>
          <w:tcPr>
            <w:tcW w:w="1158" w:type="dxa"/>
            <w:tcBorders>
              <w:top w:val="nil"/>
              <w:left w:val="nil"/>
              <w:bottom w:val="single" w:sz="8" w:space="0" w:color="A8D08D"/>
              <w:right w:val="single" w:sz="8" w:space="0" w:color="A8D08D"/>
            </w:tcBorders>
            <w:shd w:val="clear" w:color="000000" w:fill="FFFFFF"/>
            <w:vAlign w:val="center"/>
          </w:tcPr>
          <w:p w14:paraId="51EF3428" w14:textId="57365E90"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6</w:t>
            </w:r>
            <w:r>
              <w:rPr>
                <w:rFonts w:cs="Calibri"/>
                <w:i/>
                <w:iCs/>
                <w:color w:val="000000"/>
                <w:sz w:val="20"/>
                <w:szCs w:val="20"/>
                <w:lang w:val="en-US"/>
              </w:rPr>
              <w:t>,</w:t>
            </w:r>
            <w:r>
              <w:rPr>
                <w:rFonts w:cs="Calibri"/>
                <w:i/>
                <w:iCs/>
                <w:color w:val="000000"/>
                <w:sz w:val="20"/>
                <w:szCs w:val="20"/>
              </w:rPr>
              <w:t>5%</w:t>
            </w:r>
          </w:p>
        </w:tc>
        <w:tc>
          <w:tcPr>
            <w:tcW w:w="1158" w:type="dxa"/>
            <w:tcBorders>
              <w:top w:val="nil"/>
              <w:left w:val="nil"/>
              <w:bottom w:val="single" w:sz="8" w:space="0" w:color="A8D08D"/>
              <w:right w:val="single" w:sz="8" w:space="0" w:color="A8D08D"/>
            </w:tcBorders>
            <w:shd w:val="clear" w:color="000000" w:fill="FFFFFF"/>
            <w:vAlign w:val="center"/>
          </w:tcPr>
          <w:p w14:paraId="60B0BDA4" w14:textId="5400F6B1"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250 bps</w:t>
            </w:r>
          </w:p>
        </w:tc>
      </w:tr>
      <w:tr w:rsidR="00FC022D" w:rsidRPr="009F49E2" w14:paraId="69067840"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0059589F" w14:textId="08FDEA69" w:rsidR="00FC022D" w:rsidRPr="00FC022D" w:rsidRDefault="00FC022D" w:rsidP="00082910">
            <w:pPr>
              <w:spacing w:after="0" w:line="240" w:lineRule="auto"/>
              <w:rPr>
                <w:rFonts w:eastAsia="Times New Roman" w:cs="Calibri"/>
                <w:b/>
                <w:bCs/>
                <w:color w:val="000000"/>
                <w:sz w:val="20"/>
                <w:szCs w:val="20"/>
              </w:rPr>
            </w:pPr>
            <w:r w:rsidRPr="008567C6">
              <w:rPr>
                <w:rFonts w:asciiTheme="minorHAnsi" w:hAnsiTheme="minorHAnsi" w:cstheme="minorHAnsi"/>
                <w:b/>
                <w:bCs/>
                <w:sz w:val="20"/>
                <w:szCs w:val="20"/>
              </w:rPr>
              <w:t>Αναπροσαρμοσμένα κέρδη προ φόρων, χρηματοδοτικών και επενδυτικών αποτελεσμάτων (α-EBIT)</w:t>
            </w:r>
          </w:p>
        </w:tc>
        <w:tc>
          <w:tcPr>
            <w:tcW w:w="1157" w:type="dxa"/>
            <w:tcBorders>
              <w:top w:val="nil"/>
              <w:left w:val="nil"/>
              <w:bottom w:val="single" w:sz="8" w:space="0" w:color="A8D08D"/>
              <w:right w:val="single" w:sz="8" w:space="0" w:color="A8D08D"/>
            </w:tcBorders>
            <w:shd w:val="clear" w:color="000000" w:fill="E2EFD9"/>
            <w:noWrap/>
            <w:vAlign w:val="center"/>
          </w:tcPr>
          <w:p w14:paraId="3B29750E" w14:textId="039DACA9"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71.611</w:t>
            </w:r>
          </w:p>
        </w:tc>
        <w:tc>
          <w:tcPr>
            <w:tcW w:w="1158" w:type="dxa"/>
            <w:tcBorders>
              <w:top w:val="nil"/>
              <w:left w:val="nil"/>
              <w:bottom w:val="single" w:sz="8" w:space="0" w:color="A8D08D"/>
              <w:right w:val="single" w:sz="8" w:space="0" w:color="A8D08D"/>
            </w:tcBorders>
            <w:shd w:val="clear" w:color="000000" w:fill="E2EFD9"/>
            <w:noWrap/>
            <w:vAlign w:val="center"/>
            <w:hideMark/>
          </w:tcPr>
          <w:p w14:paraId="407C5E59" w14:textId="30D2895D"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38.169</w:t>
            </w:r>
          </w:p>
        </w:tc>
        <w:tc>
          <w:tcPr>
            <w:tcW w:w="1158" w:type="dxa"/>
            <w:tcBorders>
              <w:top w:val="nil"/>
              <w:left w:val="nil"/>
              <w:bottom w:val="single" w:sz="8" w:space="0" w:color="A8D08D"/>
              <w:right w:val="single" w:sz="8" w:space="0" w:color="A8D08D"/>
            </w:tcBorders>
            <w:shd w:val="clear" w:color="000000" w:fill="E2EFD9"/>
            <w:vAlign w:val="center"/>
          </w:tcPr>
          <w:p w14:paraId="7E3C4203" w14:textId="68B846D7"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88%</w:t>
            </w:r>
          </w:p>
        </w:tc>
        <w:tc>
          <w:tcPr>
            <w:tcW w:w="1157" w:type="dxa"/>
            <w:tcBorders>
              <w:top w:val="nil"/>
              <w:left w:val="nil"/>
              <w:bottom w:val="single" w:sz="8" w:space="0" w:color="A8D08D"/>
              <w:right w:val="single" w:sz="8" w:space="0" w:color="A8D08D"/>
            </w:tcBorders>
            <w:shd w:val="clear" w:color="000000" w:fill="E2EFD9"/>
            <w:vAlign w:val="center"/>
          </w:tcPr>
          <w:p w14:paraId="68BD6A71" w14:textId="2A78CCD2"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34.713</w:t>
            </w:r>
          </w:p>
        </w:tc>
        <w:tc>
          <w:tcPr>
            <w:tcW w:w="1158" w:type="dxa"/>
            <w:tcBorders>
              <w:top w:val="nil"/>
              <w:left w:val="nil"/>
              <w:bottom w:val="single" w:sz="8" w:space="0" w:color="A8D08D"/>
              <w:right w:val="single" w:sz="8" w:space="0" w:color="A8D08D"/>
            </w:tcBorders>
            <w:shd w:val="clear" w:color="000000" w:fill="E2EFD9"/>
            <w:vAlign w:val="center"/>
          </w:tcPr>
          <w:p w14:paraId="45A96CE8" w14:textId="45455948"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22.358</w:t>
            </w:r>
          </w:p>
        </w:tc>
        <w:tc>
          <w:tcPr>
            <w:tcW w:w="1158" w:type="dxa"/>
            <w:tcBorders>
              <w:top w:val="nil"/>
              <w:left w:val="nil"/>
              <w:bottom w:val="single" w:sz="8" w:space="0" w:color="A8D08D"/>
              <w:right w:val="single" w:sz="8" w:space="0" w:color="A8D08D"/>
            </w:tcBorders>
            <w:shd w:val="clear" w:color="000000" w:fill="E2EFD9"/>
            <w:vAlign w:val="center"/>
          </w:tcPr>
          <w:p w14:paraId="0FC3E3CA" w14:textId="7034B68D"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55%</w:t>
            </w:r>
          </w:p>
        </w:tc>
      </w:tr>
      <w:tr w:rsidR="00FC022D" w:rsidRPr="009F49E2" w14:paraId="19994725"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464CA6CD" w14:textId="101681CF"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Περιθώριο a-EBIT (%)</w:t>
            </w:r>
          </w:p>
        </w:tc>
        <w:tc>
          <w:tcPr>
            <w:tcW w:w="1157" w:type="dxa"/>
            <w:tcBorders>
              <w:top w:val="nil"/>
              <w:left w:val="nil"/>
              <w:bottom w:val="single" w:sz="8" w:space="0" w:color="A8D08D"/>
              <w:right w:val="single" w:sz="8" w:space="0" w:color="A8D08D"/>
            </w:tcBorders>
            <w:shd w:val="clear" w:color="000000" w:fill="E2EFD9"/>
            <w:noWrap/>
            <w:vAlign w:val="center"/>
          </w:tcPr>
          <w:p w14:paraId="0C6A205E" w14:textId="52166DC7"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9</w:t>
            </w:r>
            <w:r>
              <w:rPr>
                <w:rFonts w:cs="Calibri"/>
                <w:i/>
                <w:iCs/>
                <w:color w:val="000000"/>
                <w:sz w:val="20"/>
                <w:szCs w:val="20"/>
                <w:lang w:val="en-US"/>
              </w:rPr>
              <w:t>,</w:t>
            </w:r>
            <w:r>
              <w:rPr>
                <w:rFonts w:cs="Calibri"/>
                <w:i/>
                <w:iCs/>
                <w:color w:val="000000"/>
                <w:sz w:val="20"/>
                <w:szCs w:val="20"/>
              </w:rPr>
              <w:t>0%</w:t>
            </w:r>
          </w:p>
        </w:tc>
        <w:tc>
          <w:tcPr>
            <w:tcW w:w="1158" w:type="dxa"/>
            <w:tcBorders>
              <w:top w:val="nil"/>
              <w:left w:val="nil"/>
              <w:bottom w:val="single" w:sz="8" w:space="0" w:color="A8D08D"/>
              <w:right w:val="single" w:sz="8" w:space="0" w:color="A8D08D"/>
            </w:tcBorders>
            <w:shd w:val="clear" w:color="000000" w:fill="E2EFD9"/>
            <w:noWrap/>
            <w:vAlign w:val="center"/>
            <w:hideMark/>
          </w:tcPr>
          <w:p w14:paraId="5E68619B" w14:textId="27A73310"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5</w:t>
            </w:r>
            <w:r>
              <w:rPr>
                <w:rFonts w:cs="Calibri"/>
                <w:i/>
                <w:iCs/>
                <w:color w:val="000000"/>
                <w:sz w:val="20"/>
                <w:szCs w:val="20"/>
                <w:lang w:val="en-US"/>
              </w:rPr>
              <w:t>,</w:t>
            </w:r>
            <w:r>
              <w:rPr>
                <w:rFonts w:cs="Calibri"/>
                <w:i/>
                <w:iCs/>
                <w:color w:val="000000"/>
                <w:sz w:val="20"/>
                <w:szCs w:val="20"/>
              </w:rPr>
              <w:t>8%</w:t>
            </w:r>
          </w:p>
        </w:tc>
        <w:tc>
          <w:tcPr>
            <w:tcW w:w="1158" w:type="dxa"/>
            <w:tcBorders>
              <w:top w:val="nil"/>
              <w:left w:val="nil"/>
              <w:bottom w:val="single" w:sz="8" w:space="0" w:color="A8D08D"/>
              <w:right w:val="single" w:sz="8" w:space="0" w:color="A8D08D"/>
            </w:tcBorders>
            <w:shd w:val="clear" w:color="000000" w:fill="E2EFD9"/>
            <w:vAlign w:val="center"/>
          </w:tcPr>
          <w:p w14:paraId="65755EA2" w14:textId="51C9F3EB" w:rsidR="00FC022D" w:rsidRPr="009F49E2" w:rsidRDefault="00FC022D" w:rsidP="00082910">
            <w:pPr>
              <w:spacing w:after="0" w:line="240" w:lineRule="auto"/>
              <w:jc w:val="right"/>
              <w:rPr>
                <w:rFonts w:cs="Calibri"/>
                <w:i/>
                <w:iCs/>
                <w:color w:val="000000"/>
                <w:sz w:val="20"/>
                <w:szCs w:val="20"/>
              </w:rPr>
            </w:pPr>
            <w:r>
              <w:rPr>
                <w:rFonts w:cs="Calibri"/>
                <w:i/>
                <w:iCs/>
                <w:color w:val="000000"/>
                <w:sz w:val="20"/>
                <w:szCs w:val="20"/>
              </w:rPr>
              <w:t>318 bps</w:t>
            </w:r>
          </w:p>
        </w:tc>
        <w:tc>
          <w:tcPr>
            <w:tcW w:w="1157" w:type="dxa"/>
            <w:tcBorders>
              <w:top w:val="nil"/>
              <w:left w:val="nil"/>
              <w:bottom w:val="single" w:sz="8" w:space="0" w:color="A8D08D"/>
              <w:right w:val="single" w:sz="8" w:space="0" w:color="A8D08D"/>
            </w:tcBorders>
            <w:shd w:val="clear" w:color="000000" w:fill="E2EFD9"/>
            <w:vAlign w:val="center"/>
          </w:tcPr>
          <w:p w14:paraId="62BC5932" w14:textId="3C91AF92"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8</w:t>
            </w:r>
            <w:r>
              <w:rPr>
                <w:rFonts w:cs="Calibri"/>
                <w:i/>
                <w:iCs/>
                <w:color w:val="000000"/>
                <w:sz w:val="20"/>
                <w:szCs w:val="20"/>
                <w:lang w:val="en-US"/>
              </w:rPr>
              <w:t>,</w:t>
            </w:r>
            <w:r>
              <w:rPr>
                <w:rFonts w:cs="Calibri"/>
                <w:i/>
                <w:iCs/>
                <w:color w:val="000000"/>
                <w:sz w:val="20"/>
                <w:szCs w:val="20"/>
              </w:rPr>
              <w:t>3%</w:t>
            </w:r>
          </w:p>
        </w:tc>
        <w:tc>
          <w:tcPr>
            <w:tcW w:w="1158" w:type="dxa"/>
            <w:tcBorders>
              <w:top w:val="nil"/>
              <w:left w:val="nil"/>
              <w:bottom w:val="single" w:sz="8" w:space="0" w:color="A8D08D"/>
              <w:right w:val="single" w:sz="8" w:space="0" w:color="A8D08D"/>
            </w:tcBorders>
            <w:shd w:val="clear" w:color="000000" w:fill="E2EFD9"/>
            <w:vAlign w:val="center"/>
          </w:tcPr>
          <w:p w14:paraId="6EB6C607" w14:textId="4D8D106F"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6</w:t>
            </w:r>
            <w:r>
              <w:rPr>
                <w:rFonts w:cs="Calibri"/>
                <w:i/>
                <w:iCs/>
                <w:color w:val="000000"/>
                <w:sz w:val="20"/>
                <w:szCs w:val="20"/>
                <w:lang w:val="en-US"/>
              </w:rPr>
              <w:t>,</w:t>
            </w:r>
            <w:r>
              <w:rPr>
                <w:rFonts w:cs="Calibri"/>
                <w:i/>
                <w:iCs/>
                <w:color w:val="000000"/>
                <w:sz w:val="20"/>
                <w:szCs w:val="20"/>
              </w:rPr>
              <w:t>2%</w:t>
            </w:r>
          </w:p>
        </w:tc>
        <w:tc>
          <w:tcPr>
            <w:tcW w:w="1158" w:type="dxa"/>
            <w:tcBorders>
              <w:top w:val="nil"/>
              <w:left w:val="nil"/>
              <w:bottom w:val="single" w:sz="8" w:space="0" w:color="A8D08D"/>
              <w:right w:val="single" w:sz="8" w:space="0" w:color="A8D08D"/>
            </w:tcBorders>
            <w:shd w:val="clear" w:color="000000" w:fill="E2EFD9"/>
            <w:vAlign w:val="center"/>
          </w:tcPr>
          <w:p w14:paraId="74D7E5D6" w14:textId="4E16152E"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209 bps</w:t>
            </w:r>
          </w:p>
        </w:tc>
      </w:tr>
      <w:tr w:rsidR="00FC022D" w:rsidRPr="009F49E2" w14:paraId="0B73BFF7"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14217111" w14:textId="4A7E9680" w:rsidR="00FC022D" w:rsidRPr="00FC022D" w:rsidRDefault="00FC022D" w:rsidP="00082910">
            <w:pPr>
              <w:spacing w:after="0" w:line="240" w:lineRule="auto"/>
              <w:rPr>
                <w:rFonts w:eastAsia="Times New Roman" w:cs="Calibri"/>
                <w:b/>
                <w:bCs/>
                <w:color w:val="000000"/>
                <w:sz w:val="20"/>
                <w:szCs w:val="20"/>
              </w:rPr>
            </w:pPr>
            <w:r w:rsidRPr="008567C6">
              <w:rPr>
                <w:rFonts w:asciiTheme="minorHAnsi" w:hAnsiTheme="minorHAnsi" w:cstheme="minorHAnsi"/>
                <w:b/>
                <w:bCs/>
                <w:sz w:val="20"/>
                <w:szCs w:val="20"/>
              </w:rPr>
              <w:t>Κέρδη προ φόρων, χρηματοδοτικών και επενδυτικών αποτελεσμάτων (EBIT)</w:t>
            </w:r>
          </w:p>
        </w:tc>
        <w:tc>
          <w:tcPr>
            <w:tcW w:w="1157" w:type="dxa"/>
            <w:tcBorders>
              <w:top w:val="nil"/>
              <w:left w:val="nil"/>
              <w:bottom w:val="single" w:sz="8" w:space="0" w:color="A8D08D"/>
              <w:right w:val="single" w:sz="8" w:space="0" w:color="A8D08D"/>
            </w:tcBorders>
            <w:shd w:val="clear" w:color="000000" w:fill="FFFFFF"/>
            <w:noWrap/>
            <w:vAlign w:val="center"/>
          </w:tcPr>
          <w:p w14:paraId="618ED0A1" w14:textId="269E9E4D"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color w:val="000000"/>
                <w:sz w:val="20"/>
                <w:szCs w:val="20"/>
              </w:rPr>
              <w:t>64.746</w:t>
            </w:r>
          </w:p>
        </w:tc>
        <w:tc>
          <w:tcPr>
            <w:tcW w:w="1158" w:type="dxa"/>
            <w:tcBorders>
              <w:top w:val="nil"/>
              <w:left w:val="nil"/>
              <w:bottom w:val="single" w:sz="8" w:space="0" w:color="A8D08D"/>
              <w:right w:val="single" w:sz="8" w:space="0" w:color="A8D08D"/>
            </w:tcBorders>
            <w:shd w:val="clear" w:color="000000" w:fill="FFFFFF"/>
            <w:noWrap/>
            <w:vAlign w:val="center"/>
            <w:hideMark/>
          </w:tcPr>
          <w:p w14:paraId="3EE68F93" w14:textId="60BEE42C"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color w:val="000000"/>
                <w:sz w:val="20"/>
                <w:szCs w:val="20"/>
              </w:rPr>
              <w:t>35.611</w:t>
            </w:r>
          </w:p>
        </w:tc>
        <w:tc>
          <w:tcPr>
            <w:tcW w:w="1158" w:type="dxa"/>
            <w:tcBorders>
              <w:top w:val="nil"/>
              <w:left w:val="nil"/>
              <w:bottom w:val="single" w:sz="8" w:space="0" w:color="A8D08D"/>
              <w:right w:val="single" w:sz="8" w:space="0" w:color="A8D08D"/>
            </w:tcBorders>
            <w:shd w:val="clear" w:color="000000" w:fill="FFFFFF"/>
            <w:vAlign w:val="center"/>
          </w:tcPr>
          <w:p w14:paraId="2E1EC123" w14:textId="57A9F99F"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82%</w:t>
            </w:r>
          </w:p>
        </w:tc>
        <w:tc>
          <w:tcPr>
            <w:tcW w:w="1157" w:type="dxa"/>
            <w:tcBorders>
              <w:top w:val="nil"/>
              <w:left w:val="nil"/>
              <w:bottom w:val="single" w:sz="8" w:space="0" w:color="A8D08D"/>
              <w:right w:val="single" w:sz="8" w:space="0" w:color="A8D08D"/>
            </w:tcBorders>
            <w:shd w:val="clear" w:color="000000" w:fill="FFFFFF"/>
            <w:vAlign w:val="center"/>
          </w:tcPr>
          <w:p w14:paraId="6CE4212C" w14:textId="017C9EFA"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29.991</w:t>
            </w:r>
          </w:p>
        </w:tc>
        <w:tc>
          <w:tcPr>
            <w:tcW w:w="1158" w:type="dxa"/>
            <w:tcBorders>
              <w:top w:val="nil"/>
              <w:left w:val="nil"/>
              <w:bottom w:val="single" w:sz="8" w:space="0" w:color="A8D08D"/>
              <w:right w:val="single" w:sz="8" w:space="0" w:color="A8D08D"/>
            </w:tcBorders>
            <w:shd w:val="clear" w:color="000000" w:fill="FFFFFF"/>
            <w:vAlign w:val="center"/>
          </w:tcPr>
          <w:p w14:paraId="06D97D70" w14:textId="78E3C99F" w:rsidR="00FC022D" w:rsidRDefault="00FC022D" w:rsidP="00082910">
            <w:pPr>
              <w:spacing w:after="0" w:line="240" w:lineRule="auto"/>
              <w:jc w:val="right"/>
              <w:rPr>
                <w:rFonts w:cs="Calibri"/>
                <w:b/>
                <w:bCs/>
                <w:i/>
                <w:iCs/>
                <w:color w:val="000000"/>
                <w:sz w:val="20"/>
                <w:szCs w:val="20"/>
              </w:rPr>
            </w:pPr>
            <w:r>
              <w:rPr>
                <w:rFonts w:cs="Calibri"/>
                <w:color w:val="000000"/>
                <w:sz w:val="20"/>
                <w:szCs w:val="20"/>
              </w:rPr>
              <w:t>16.518</w:t>
            </w:r>
          </w:p>
        </w:tc>
        <w:tc>
          <w:tcPr>
            <w:tcW w:w="1158" w:type="dxa"/>
            <w:tcBorders>
              <w:top w:val="nil"/>
              <w:left w:val="nil"/>
              <w:bottom w:val="single" w:sz="8" w:space="0" w:color="A8D08D"/>
              <w:right w:val="single" w:sz="8" w:space="0" w:color="A8D08D"/>
            </w:tcBorders>
            <w:shd w:val="clear" w:color="000000" w:fill="FFFFFF"/>
            <w:vAlign w:val="center"/>
          </w:tcPr>
          <w:p w14:paraId="60ADED41" w14:textId="791BA04A"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82%</w:t>
            </w:r>
          </w:p>
        </w:tc>
      </w:tr>
      <w:tr w:rsidR="00FC022D" w:rsidRPr="009F49E2" w14:paraId="5CB90E02"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00457984" w14:textId="75607E18"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Περιθώριο EBIT (%)</w:t>
            </w:r>
          </w:p>
        </w:tc>
        <w:tc>
          <w:tcPr>
            <w:tcW w:w="1157" w:type="dxa"/>
            <w:tcBorders>
              <w:top w:val="nil"/>
              <w:left w:val="nil"/>
              <w:bottom w:val="single" w:sz="8" w:space="0" w:color="A8D08D"/>
              <w:right w:val="single" w:sz="8" w:space="0" w:color="A8D08D"/>
            </w:tcBorders>
            <w:shd w:val="clear" w:color="000000" w:fill="FFFFFF"/>
            <w:noWrap/>
            <w:vAlign w:val="center"/>
          </w:tcPr>
          <w:p w14:paraId="526B5B52" w14:textId="623636DF"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8</w:t>
            </w:r>
            <w:r>
              <w:rPr>
                <w:rFonts w:cs="Calibri"/>
                <w:i/>
                <w:iCs/>
                <w:color w:val="000000"/>
                <w:sz w:val="20"/>
                <w:szCs w:val="20"/>
                <w:lang w:val="en-US"/>
              </w:rPr>
              <w:t>,</w:t>
            </w:r>
            <w:r>
              <w:rPr>
                <w:rFonts w:cs="Calibri"/>
                <w:i/>
                <w:iCs/>
                <w:color w:val="000000"/>
                <w:sz w:val="20"/>
                <w:szCs w:val="20"/>
              </w:rPr>
              <w:t>1%</w:t>
            </w:r>
          </w:p>
        </w:tc>
        <w:tc>
          <w:tcPr>
            <w:tcW w:w="1158" w:type="dxa"/>
            <w:tcBorders>
              <w:top w:val="nil"/>
              <w:left w:val="nil"/>
              <w:bottom w:val="single" w:sz="8" w:space="0" w:color="A8D08D"/>
              <w:right w:val="single" w:sz="8" w:space="0" w:color="A8D08D"/>
            </w:tcBorders>
            <w:shd w:val="clear" w:color="000000" w:fill="FFFFFF"/>
            <w:noWrap/>
            <w:vAlign w:val="center"/>
            <w:hideMark/>
          </w:tcPr>
          <w:p w14:paraId="7B9B27D6" w14:textId="49C405DA"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5</w:t>
            </w:r>
            <w:r>
              <w:rPr>
                <w:rFonts w:cs="Calibri"/>
                <w:i/>
                <w:iCs/>
                <w:color w:val="000000"/>
                <w:sz w:val="20"/>
                <w:szCs w:val="20"/>
                <w:lang w:val="en-US"/>
              </w:rPr>
              <w:t>,</w:t>
            </w:r>
            <w:r>
              <w:rPr>
                <w:rFonts w:cs="Calibri"/>
                <w:i/>
                <w:iCs/>
                <w:color w:val="000000"/>
                <w:sz w:val="20"/>
                <w:szCs w:val="20"/>
              </w:rPr>
              <w:t>4%</w:t>
            </w:r>
          </w:p>
        </w:tc>
        <w:tc>
          <w:tcPr>
            <w:tcW w:w="1158" w:type="dxa"/>
            <w:tcBorders>
              <w:top w:val="nil"/>
              <w:left w:val="nil"/>
              <w:bottom w:val="single" w:sz="8" w:space="0" w:color="A8D08D"/>
              <w:right w:val="single" w:sz="8" w:space="0" w:color="A8D08D"/>
            </w:tcBorders>
            <w:shd w:val="clear" w:color="000000" w:fill="FFFFFF"/>
            <w:vAlign w:val="center"/>
          </w:tcPr>
          <w:p w14:paraId="0A542EC9" w14:textId="1B83B6B5" w:rsidR="00FC022D" w:rsidRPr="009F49E2" w:rsidRDefault="00FC022D" w:rsidP="00082910">
            <w:pPr>
              <w:spacing w:after="0" w:line="240" w:lineRule="auto"/>
              <w:jc w:val="right"/>
              <w:rPr>
                <w:rFonts w:cs="Calibri"/>
                <w:i/>
                <w:iCs/>
                <w:color w:val="000000"/>
                <w:sz w:val="20"/>
                <w:szCs w:val="20"/>
              </w:rPr>
            </w:pPr>
            <w:r>
              <w:rPr>
                <w:rFonts w:cs="Calibri"/>
                <w:i/>
                <w:iCs/>
                <w:color w:val="000000"/>
                <w:sz w:val="20"/>
                <w:szCs w:val="20"/>
              </w:rPr>
              <w:t>270 bps</w:t>
            </w:r>
          </w:p>
        </w:tc>
        <w:tc>
          <w:tcPr>
            <w:tcW w:w="1157" w:type="dxa"/>
            <w:tcBorders>
              <w:top w:val="nil"/>
              <w:left w:val="nil"/>
              <w:bottom w:val="single" w:sz="8" w:space="0" w:color="A8D08D"/>
              <w:right w:val="single" w:sz="8" w:space="0" w:color="A8D08D"/>
            </w:tcBorders>
            <w:shd w:val="clear" w:color="000000" w:fill="FFFFFF"/>
            <w:vAlign w:val="center"/>
          </w:tcPr>
          <w:p w14:paraId="5A939A2D" w14:textId="087E2CC2"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7</w:t>
            </w:r>
            <w:r>
              <w:rPr>
                <w:rFonts w:cs="Calibri"/>
                <w:i/>
                <w:iCs/>
                <w:color w:val="000000"/>
                <w:sz w:val="20"/>
                <w:szCs w:val="20"/>
                <w:lang w:val="en-US"/>
              </w:rPr>
              <w:t>,</w:t>
            </w:r>
            <w:r>
              <w:rPr>
                <w:rFonts w:cs="Calibri"/>
                <w:i/>
                <w:iCs/>
                <w:color w:val="000000"/>
                <w:sz w:val="20"/>
                <w:szCs w:val="20"/>
              </w:rPr>
              <w:t>2%</w:t>
            </w:r>
          </w:p>
        </w:tc>
        <w:tc>
          <w:tcPr>
            <w:tcW w:w="1158" w:type="dxa"/>
            <w:tcBorders>
              <w:top w:val="nil"/>
              <w:left w:val="nil"/>
              <w:bottom w:val="single" w:sz="8" w:space="0" w:color="A8D08D"/>
              <w:right w:val="single" w:sz="8" w:space="0" w:color="A8D08D"/>
            </w:tcBorders>
            <w:shd w:val="clear" w:color="000000" w:fill="FFFFFF"/>
            <w:vAlign w:val="center"/>
          </w:tcPr>
          <w:p w14:paraId="6B8EA349" w14:textId="4FA77C27"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4</w:t>
            </w:r>
            <w:r>
              <w:rPr>
                <w:rFonts w:cs="Calibri"/>
                <w:i/>
                <w:iCs/>
                <w:color w:val="000000"/>
                <w:sz w:val="20"/>
                <w:szCs w:val="20"/>
                <w:lang w:val="en-US"/>
              </w:rPr>
              <w:t>,</w:t>
            </w:r>
            <w:r>
              <w:rPr>
                <w:rFonts w:cs="Calibri"/>
                <w:i/>
                <w:iCs/>
                <w:color w:val="000000"/>
                <w:sz w:val="20"/>
                <w:szCs w:val="20"/>
              </w:rPr>
              <w:t>6%</w:t>
            </w:r>
          </w:p>
        </w:tc>
        <w:tc>
          <w:tcPr>
            <w:tcW w:w="1158" w:type="dxa"/>
            <w:tcBorders>
              <w:top w:val="nil"/>
              <w:left w:val="nil"/>
              <w:bottom w:val="single" w:sz="8" w:space="0" w:color="A8D08D"/>
              <w:right w:val="single" w:sz="8" w:space="0" w:color="A8D08D"/>
            </w:tcBorders>
            <w:shd w:val="clear" w:color="000000" w:fill="FFFFFF"/>
            <w:vAlign w:val="center"/>
          </w:tcPr>
          <w:p w14:paraId="5A1B19C9" w14:textId="6BFFA804"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259 bps</w:t>
            </w:r>
          </w:p>
        </w:tc>
      </w:tr>
      <w:tr w:rsidR="00FC022D" w:rsidRPr="009F49E2" w14:paraId="0BA03796"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11B0AAC1" w14:textId="11D25782" w:rsidR="00FC022D" w:rsidRDefault="00FC022D" w:rsidP="00082910">
            <w:pPr>
              <w:spacing w:after="0" w:line="240" w:lineRule="auto"/>
              <w:rPr>
                <w:rFonts w:eastAsia="Times New Roman" w:cs="Calibri"/>
                <w:color w:val="000000"/>
                <w:sz w:val="20"/>
                <w:szCs w:val="20"/>
                <w:lang w:val="en-US"/>
              </w:rPr>
            </w:pPr>
            <w:r w:rsidRPr="008567C6">
              <w:rPr>
                <w:rFonts w:asciiTheme="minorHAnsi" w:hAnsiTheme="minorHAnsi" w:cstheme="minorHAnsi"/>
                <w:sz w:val="20"/>
                <w:szCs w:val="20"/>
              </w:rPr>
              <w:t>Καθαρά χρηματοοικονομικά έξοδα</w:t>
            </w:r>
          </w:p>
        </w:tc>
        <w:tc>
          <w:tcPr>
            <w:tcW w:w="1157" w:type="dxa"/>
            <w:tcBorders>
              <w:top w:val="nil"/>
              <w:left w:val="nil"/>
              <w:bottom w:val="single" w:sz="8" w:space="0" w:color="A8D08D"/>
              <w:right w:val="single" w:sz="8" w:space="0" w:color="A8D08D"/>
            </w:tcBorders>
            <w:shd w:val="clear" w:color="000000" w:fill="FFFFFF"/>
            <w:noWrap/>
            <w:vAlign w:val="center"/>
          </w:tcPr>
          <w:p w14:paraId="420CAE64" w14:textId="5689BC09"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(33.894)</w:t>
            </w:r>
          </w:p>
        </w:tc>
        <w:tc>
          <w:tcPr>
            <w:tcW w:w="1158" w:type="dxa"/>
            <w:tcBorders>
              <w:top w:val="nil"/>
              <w:left w:val="nil"/>
              <w:bottom w:val="single" w:sz="8" w:space="0" w:color="A8D08D"/>
              <w:right w:val="single" w:sz="8" w:space="0" w:color="A8D08D"/>
            </w:tcBorders>
            <w:shd w:val="clear" w:color="000000" w:fill="FFFFFF"/>
            <w:noWrap/>
            <w:vAlign w:val="center"/>
            <w:hideMark/>
          </w:tcPr>
          <w:p w14:paraId="7B8B014D" w14:textId="72F26D5D"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(14.429)</w:t>
            </w:r>
          </w:p>
        </w:tc>
        <w:tc>
          <w:tcPr>
            <w:tcW w:w="1158" w:type="dxa"/>
            <w:tcBorders>
              <w:top w:val="nil"/>
              <w:left w:val="nil"/>
              <w:bottom w:val="single" w:sz="8" w:space="0" w:color="A8D08D"/>
              <w:right w:val="single" w:sz="8" w:space="0" w:color="A8D08D"/>
            </w:tcBorders>
            <w:shd w:val="clear" w:color="000000" w:fill="FFFFFF"/>
            <w:vAlign w:val="center"/>
          </w:tcPr>
          <w:p w14:paraId="1EBDD20C" w14:textId="00492F0B" w:rsidR="00FC022D" w:rsidRPr="009F49E2" w:rsidRDefault="00FC022D" w:rsidP="00082910">
            <w:pPr>
              <w:spacing w:after="0" w:line="240" w:lineRule="auto"/>
              <w:jc w:val="right"/>
              <w:rPr>
                <w:rFonts w:cs="Calibri"/>
                <w:color w:val="000000"/>
                <w:sz w:val="20"/>
                <w:szCs w:val="20"/>
              </w:rPr>
            </w:pPr>
            <w:r>
              <w:rPr>
                <w:rFonts w:cs="Calibri"/>
                <w:i/>
                <w:iCs/>
                <w:color w:val="000000"/>
                <w:sz w:val="20"/>
                <w:szCs w:val="20"/>
              </w:rPr>
              <w:t>135%</w:t>
            </w:r>
          </w:p>
        </w:tc>
        <w:tc>
          <w:tcPr>
            <w:tcW w:w="1157" w:type="dxa"/>
            <w:tcBorders>
              <w:top w:val="nil"/>
              <w:left w:val="nil"/>
              <w:bottom w:val="single" w:sz="8" w:space="0" w:color="A8D08D"/>
              <w:right w:val="single" w:sz="8" w:space="0" w:color="A8D08D"/>
            </w:tcBorders>
            <w:shd w:val="clear" w:color="000000" w:fill="FFFFFF"/>
            <w:vAlign w:val="center"/>
          </w:tcPr>
          <w:p w14:paraId="732FDF90" w14:textId="60896897" w:rsidR="00FC022D" w:rsidRDefault="00FC022D" w:rsidP="00082910">
            <w:pPr>
              <w:spacing w:after="0" w:line="240" w:lineRule="auto"/>
              <w:jc w:val="right"/>
              <w:rPr>
                <w:rFonts w:cs="Calibri"/>
                <w:i/>
                <w:iCs/>
                <w:color w:val="000000"/>
                <w:sz w:val="20"/>
                <w:szCs w:val="20"/>
              </w:rPr>
            </w:pPr>
            <w:r>
              <w:rPr>
                <w:rFonts w:cs="Calibri"/>
                <w:color w:val="000000"/>
                <w:sz w:val="20"/>
                <w:szCs w:val="20"/>
              </w:rPr>
              <w:t>(17.659)</w:t>
            </w:r>
          </w:p>
        </w:tc>
        <w:tc>
          <w:tcPr>
            <w:tcW w:w="1158" w:type="dxa"/>
            <w:tcBorders>
              <w:top w:val="nil"/>
              <w:left w:val="nil"/>
              <w:bottom w:val="single" w:sz="8" w:space="0" w:color="A8D08D"/>
              <w:right w:val="single" w:sz="8" w:space="0" w:color="A8D08D"/>
            </w:tcBorders>
            <w:shd w:val="clear" w:color="000000" w:fill="FFFFFF"/>
            <w:vAlign w:val="center"/>
          </w:tcPr>
          <w:p w14:paraId="0EA082EA" w14:textId="115D9A0E" w:rsidR="00FC022D" w:rsidRDefault="00FC022D" w:rsidP="00082910">
            <w:pPr>
              <w:spacing w:after="0" w:line="240" w:lineRule="auto"/>
              <w:jc w:val="right"/>
              <w:rPr>
                <w:rFonts w:cs="Calibri"/>
                <w:i/>
                <w:iCs/>
                <w:color w:val="000000"/>
                <w:sz w:val="20"/>
                <w:szCs w:val="20"/>
              </w:rPr>
            </w:pPr>
            <w:r>
              <w:rPr>
                <w:rFonts w:cs="Calibri"/>
                <w:color w:val="000000"/>
                <w:sz w:val="20"/>
                <w:szCs w:val="20"/>
              </w:rPr>
              <w:t>(7.617)</w:t>
            </w:r>
          </w:p>
        </w:tc>
        <w:tc>
          <w:tcPr>
            <w:tcW w:w="1158" w:type="dxa"/>
            <w:tcBorders>
              <w:top w:val="nil"/>
              <w:left w:val="nil"/>
              <w:bottom w:val="single" w:sz="8" w:space="0" w:color="A8D08D"/>
              <w:right w:val="single" w:sz="8" w:space="0" w:color="A8D08D"/>
            </w:tcBorders>
            <w:shd w:val="clear" w:color="000000" w:fill="FFFFFF"/>
            <w:vAlign w:val="center"/>
          </w:tcPr>
          <w:p w14:paraId="3ECAF831" w14:textId="43CF796F"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132%</w:t>
            </w:r>
          </w:p>
        </w:tc>
      </w:tr>
      <w:tr w:rsidR="00FC022D" w:rsidRPr="009F49E2" w14:paraId="028B1F4B"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E2EFD9"/>
          </w:tcPr>
          <w:p w14:paraId="51FB788A" w14:textId="4D73C235" w:rsidR="00FC022D" w:rsidRPr="009F49E2" w:rsidRDefault="00FC022D" w:rsidP="00082910">
            <w:pPr>
              <w:spacing w:after="0" w:line="240" w:lineRule="auto"/>
              <w:rPr>
                <w:rFonts w:eastAsia="Times New Roman" w:cs="Calibri"/>
                <w:b/>
                <w:bCs/>
                <w:color w:val="000000"/>
                <w:sz w:val="20"/>
                <w:szCs w:val="20"/>
                <w:lang w:val="en-US"/>
              </w:rPr>
            </w:pPr>
            <w:r w:rsidRPr="008567C6">
              <w:rPr>
                <w:rFonts w:asciiTheme="minorHAnsi" w:hAnsiTheme="minorHAnsi" w:cstheme="minorHAnsi"/>
                <w:b/>
                <w:bCs/>
                <w:sz w:val="20"/>
                <w:szCs w:val="20"/>
              </w:rPr>
              <w:t>Κέρδη προ φόρου εισοδήματος</w:t>
            </w:r>
          </w:p>
        </w:tc>
        <w:tc>
          <w:tcPr>
            <w:tcW w:w="1157" w:type="dxa"/>
            <w:tcBorders>
              <w:top w:val="nil"/>
              <w:left w:val="nil"/>
              <w:bottom w:val="single" w:sz="8" w:space="0" w:color="A8D08D"/>
              <w:right w:val="single" w:sz="8" w:space="0" w:color="A8D08D"/>
            </w:tcBorders>
            <w:shd w:val="clear" w:color="000000" w:fill="E2EFD9"/>
            <w:noWrap/>
            <w:vAlign w:val="center"/>
          </w:tcPr>
          <w:p w14:paraId="221EC2FE" w14:textId="0757DF54"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30.852</w:t>
            </w:r>
          </w:p>
        </w:tc>
        <w:tc>
          <w:tcPr>
            <w:tcW w:w="1158" w:type="dxa"/>
            <w:tcBorders>
              <w:top w:val="nil"/>
              <w:left w:val="nil"/>
              <w:bottom w:val="single" w:sz="8" w:space="0" w:color="A8D08D"/>
              <w:right w:val="single" w:sz="8" w:space="0" w:color="A8D08D"/>
            </w:tcBorders>
            <w:shd w:val="clear" w:color="000000" w:fill="E2EFD9"/>
            <w:noWrap/>
            <w:vAlign w:val="center"/>
            <w:hideMark/>
          </w:tcPr>
          <w:p w14:paraId="112B4AF1" w14:textId="39E1F20C" w:rsidR="00FC022D" w:rsidRPr="009F49E2" w:rsidRDefault="00FC022D" w:rsidP="00082910">
            <w:pPr>
              <w:spacing w:after="0" w:line="240" w:lineRule="auto"/>
              <w:jc w:val="right"/>
              <w:rPr>
                <w:rFonts w:eastAsia="Times New Roman" w:cs="Calibri"/>
                <w:b/>
                <w:bCs/>
                <w:color w:val="000000"/>
                <w:sz w:val="20"/>
                <w:szCs w:val="20"/>
                <w:lang w:val="en-US"/>
              </w:rPr>
            </w:pPr>
            <w:r>
              <w:rPr>
                <w:rFonts w:cs="Calibri"/>
                <w:b/>
                <w:bCs/>
                <w:color w:val="000000"/>
                <w:sz w:val="20"/>
                <w:szCs w:val="20"/>
              </w:rPr>
              <w:t>21.181</w:t>
            </w:r>
          </w:p>
        </w:tc>
        <w:tc>
          <w:tcPr>
            <w:tcW w:w="1158" w:type="dxa"/>
            <w:tcBorders>
              <w:top w:val="nil"/>
              <w:left w:val="nil"/>
              <w:bottom w:val="single" w:sz="8" w:space="0" w:color="A8D08D"/>
              <w:right w:val="single" w:sz="8" w:space="0" w:color="A8D08D"/>
            </w:tcBorders>
            <w:shd w:val="clear" w:color="000000" w:fill="E2EFD9"/>
            <w:vAlign w:val="center"/>
          </w:tcPr>
          <w:p w14:paraId="44E6A9A9" w14:textId="6CB6FF37" w:rsidR="00FC022D" w:rsidRPr="009F49E2" w:rsidRDefault="00FC022D" w:rsidP="00082910">
            <w:pPr>
              <w:spacing w:after="0" w:line="240" w:lineRule="auto"/>
              <w:jc w:val="right"/>
              <w:rPr>
                <w:rFonts w:cs="Calibri"/>
                <w:b/>
                <w:bCs/>
                <w:color w:val="000000"/>
                <w:sz w:val="20"/>
                <w:szCs w:val="20"/>
              </w:rPr>
            </w:pPr>
            <w:r>
              <w:rPr>
                <w:rFonts w:cs="Calibri"/>
                <w:b/>
                <w:bCs/>
                <w:i/>
                <w:iCs/>
                <w:color w:val="000000"/>
                <w:sz w:val="20"/>
                <w:szCs w:val="20"/>
              </w:rPr>
              <w:t>46%</w:t>
            </w:r>
          </w:p>
        </w:tc>
        <w:tc>
          <w:tcPr>
            <w:tcW w:w="1157" w:type="dxa"/>
            <w:tcBorders>
              <w:top w:val="nil"/>
              <w:left w:val="nil"/>
              <w:bottom w:val="single" w:sz="8" w:space="0" w:color="A8D08D"/>
              <w:right w:val="single" w:sz="8" w:space="0" w:color="A8D08D"/>
            </w:tcBorders>
            <w:shd w:val="clear" w:color="000000" w:fill="E2EFD9"/>
            <w:vAlign w:val="center"/>
          </w:tcPr>
          <w:p w14:paraId="60079561" w14:textId="4B44CF9F"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12.332</w:t>
            </w:r>
          </w:p>
        </w:tc>
        <w:tc>
          <w:tcPr>
            <w:tcW w:w="1158" w:type="dxa"/>
            <w:tcBorders>
              <w:top w:val="nil"/>
              <w:left w:val="nil"/>
              <w:bottom w:val="single" w:sz="8" w:space="0" w:color="A8D08D"/>
              <w:right w:val="single" w:sz="8" w:space="0" w:color="A8D08D"/>
            </w:tcBorders>
            <w:shd w:val="clear" w:color="000000" w:fill="E2EFD9"/>
            <w:vAlign w:val="center"/>
          </w:tcPr>
          <w:p w14:paraId="1DFA940A" w14:textId="3F2C6F0F" w:rsidR="00FC022D" w:rsidRDefault="00FC022D" w:rsidP="00082910">
            <w:pPr>
              <w:spacing w:after="0" w:line="240" w:lineRule="auto"/>
              <w:jc w:val="right"/>
              <w:rPr>
                <w:rFonts w:cs="Calibri"/>
                <w:b/>
                <w:bCs/>
                <w:i/>
                <w:iCs/>
                <w:color w:val="000000"/>
                <w:sz w:val="20"/>
                <w:szCs w:val="20"/>
              </w:rPr>
            </w:pPr>
            <w:r>
              <w:rPr>
                <w:rFonts w:cs="Calibri"/>
                <w:b/>
                <w:bCs/>
                <w:color w:val="000000"/>
                <w:sz w:val="20"/>
                <w:szCs w:val="20"/>
              </w:rPr>
              <w:t>8.901</w:t>
            </w:r>
          </w:p>
        </w:tc>
        <w:tc>
          <w:tcPr>
            <w:tcW w:w="1158" w:type="dxa"/>
            <w:tcBorders>
              <w:top w:val="nil"/>
              <w:left w:val="nil"/>
              <w:bottom w:val="single" w:sz="8" w:space="0" w:color="A8D08D"/>
              <w:right w:val="single" w:sz="8" w:space="0" w:color="A8D08D"/>
            </w:tcBorders>
            <w:shd w:val="clear" w:color="000000" w:fill="E2EFD9"/>
            <w:vAlign w:val="center"/>
          </w:tcPr>
          <w:p w14:paraId="310E0964" w14:textId="65260FCE" w:rsidR="00FC022D" w:rsidRDefault="00FC022D" w:rsidP="00082910">
            <w:pPr>
              <w:spacing w:after="0" w:line="240" w:lineRule="auto"/>
              <w:jc w:val="right"/>
              <w:rPr>
                <w:rFonts w:cs="Calibri"/>
                <w:b/>
                <w:bCs/>
                <w:i/>
                <w:iCs/>
                <w:color w:val="000000"/>
                <w:sz w:val="20"/>
                <w:szCs w:val="20"/>
              </w:rPr>
            </w:pPr>
            <w:r>
              <w:rPr>
                <w:rFonts w:cs="Calibri"/>
                <w:b/>
                <w:bCs/>
                <w:i/>
                <w:iCs/>
                <w:color w:val="000000"/>
                <w:sz w:val="20"/>
                <w:szCs w:val="20"/>
              </w:rPr>
              <w:t>39%</w:t>
            </w:r>
          </w:p>
        </w:tc>
      </w:tr>
      <w:tr w:rsidR="00FC022D" w:rsidRPr="009F49E2" w14:paraId="1BFDBDA1"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01FCDC65" w14:textId="6CEE5CFE" w:rsidR="00FC022D" w:rsidRPr="00FC022D" w:rsidRDefault="00FC022D" w:rsidP="00082910">
            <w:pPr>
              <w:spacing w:after="0" w:line="240" w:lineRule="auto"/>
              <w:rPr>
                <w:rFonts w:eastAsia="Times New Roman" w:cs="Calibri"/>
                <w:color w:val="000000"/>
                <w:sz w:val="20"/>
                <w:szCs w:val="20"/>
              </w:rPr>
            </w:pPr>
            <w:r w:rsidRPr="008567C6">
              <w:rPr>
                <w:rFonts w:asciiTheme="minorHAnsi" w:hAnsiTheme="minorHAnsi" w:cstheme="minorHAnsi"/>
                <w:sz w:val="20"/>
                <w:szCs w:val="20"/>
              </w:rPr>
              <w:t>Κέρδη χρήσης μετά από φόρους</w:t>
            </w:r>
          </w:p>
        </w:tc>
        <w:tc>
          <w:tcPr>
            <w:tcW w:w="1157" w:type="dxa"/>
            <w:tcBorders>
              <w:top w:val="nil"/>
              <w:left w:val="nil"/>
              <w:bottom w:val="single" w:sz="8" w:space="0" w:color="A8D08D"/>
              <w:right w:val="single" w:sz="8" w:space="0" w:color="A8D08D"/>
            </w:tcBorders>
            <w:shd w:val="clear" w:color="000000" w:fill="FFFFFF"/>
            <w:noWrap/>
            <w:vAlign w:val="center"/>
          </w:tcPr>
          <w:p w14:paraId="555160A0" w14:textId="2E38E768"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23.631</w:t>
            </w:r>
          </w:p>
        </w:tc>
        <w:tc>
          <w:tcPr>
            <w:tcW w:w="1158" w:type="dxa"/>
            <w:tcBorders>
              <w:top w:val="nil"/>
              <w:left w:val="nil"/>
              <w:bottom w:val="single" w:sz="8" w:space="0" w:color="A8D08D"/>
              <w:right w:val="single" w:sz="8" w:space="0" w:color="A8D08D"/>
            </w:tcBorders>
            <w:shd w:val="clear" w:color="000000" w:fill="FFFFFF"/>
            <w:noWrap/>
            <w:vAlign w:val="center"/>
            <w:hideMark/>
          </w:tcPr>
          <w:p w14:paraId="2DF4AD99" w14:textId="50FADF0A"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18.458</w:t>
            </w:r>
          </w:p>
        </w:tc>
        <w:tc>
          <w:tcPr>
            <w:tcW w:w="1158" w:type="dxa"/>
            <w:tcBorders>
              <w:top w:val="nil"/>
              <w:left w:val="nil"/>
              <w:bottom w:val="single" w:sz="8" w:space="0" w:color="A8D08D"/>
              <w:right w:val="single" w:sz="8" w:space="0" w:color="A8D08D"/>
            </w:tcBorders>
            <w:shd w:val="clear" w:color="000000" w:fill="FFFFFF"/>
            <w:vAlign w:val="center"/>
          </w:tcPr>
          <w:p w14:paraId="1EB48766" w14:textId="3C108C2D" w:rsidR="00FC022D" w:rsidRPr="009F49E2" w:rsidRDefault="00FC022D" w:rsidP="00082910">
            <w:pPr>
              <w:spacing w:after="0" w:line="240" w:lineRule="auto"/>
              <w:jc w:val="right"/>
              <w:rPr>
                <w:rFonts w:cs="Calibri"/>
                <w:color w:val="000000"/>
                <w:sz w:val="20"/>
                <w:szCs w:val="20"/>
              </w:rPr>
            </w:pPr>
            <w:r>
              <w:rPr>
                <w:rFonts w:cs="Calibri"/>
                <w:i/>
                <w:iCs/>
                <w:color w:val="000000"/>
                <w:sz w:val="20"/>
                <w:szCs w:val="20"/>
              </w:rPr>
              <w:t>28%</w:t>
            </w:r>
          </w:p>
        </w:tc>
        <w:tc>
          <w:tcPr>
            <w:tcW w:w="1157" w:type="dxa"/>
            <w:tcBorders>
              <w:top w:val="nil"/>
              <w:left w:val="nil"/>
              <w:bottom w:val="single" w:sz="8" w:space="0" w:color="A8D08D"/>
              <w:right w:val="single" w:sz="8" w:space="0" w:color="A8D08D"/>
            </w:tcBorders>
            <w:shd w:val="clear" w:color="000000" w:fill="FFFFFF"/>
            <w:vAlign w:val="center"/>
          </w:tcPr>
          <w:p w14:paraId="0EBB0C1B" w14:textId="2AB52E4C" w:rsidR="00FC022D" w:rsidRDefault="00FC022D" w:rsidP="00082910">
            <w:pPr>
              <w:spacing w:after="0" w:line="240" w:lineRule="auto"/>
              <w:jc w:val="right"/>
              <w:rPr>
                <w:rFonts w:cs="Calibri"/>
                <w:i/>
                <w:iCs/>
                <w:color w:val="000000"/>
                <w:sz w:val="20"/>
                <w:szCs w:val="20"/>
              </w:rPr>
            </w:pPr>
            <w:r>
              <w:rPr>
                <w:rFonts w:cs="Calibri"/>
                <w:color w:val="000000"/>
                <w:sz w:val="20"/>
                <w:szCs w:val="20"/>
              </w:rPr>
              <w:t>8.267</w:t>
            </w:r>
          </w:p>
        </w:tc>
        <w:tc>
          <w:tcPr>
            <w:tcW w:w="1158" w:type="dxa"/>
            <w:tcBorders>
              <w:top w:val="nil"/>
              <w:left w:val="nil"/>
              <w:bottom w:val="single" w:sz="8" w:space="0" w:color="A8D08D"/>
              <w:right w:val="single" w:sz="8" w:space="0" w:color="A8D08D"/>
            </w:tcBorders>
            <w:shd w:val="clear" w:color="000000" w:fill="FFFFFF"/>
            <w:vAlign w:val="center"/>
          </w:tcPr>
          <w:p w14:paraId="38CC1631" w14:textId="2688131A" w:rsidR="00FC022D" w:rsidRDefault="00FC022D" w:rsidP="00082910">
            <w:pPr>
              <w:spacing w:after="0" w:line="240" w:lineRule="auto"/>
              <w:jc w:val="right"/>
              <w:rPr>
                <w:rFonts w:cs="Calibri"/>
                <w:i/>
                <w:iCs/>
                <w:color w:val="000000"/>
                <w:sz w:val="20"/>
                <w:szCs w:val="20"/>
              </w:rPr>
            </w:pPr>
            <w:r>
              <w:rPr>
                <w:rFonts w:cs="Calibri"/>
                <w:color w:val="000000"/>
                <w:sz w:val="20"/>
                <w:szCs w:val="20"/>
              </w:rPr>
              <w:t>8.816</w:t>
            </w:r>
          </w:p>
        </w:tc>
        <w:tc>
          <w:tcPr>
            <w:tcW w:w="1158" w:type="dxa"/>
            <w:tcBorders>
              <w:top w:val="nil"/>
              <w:left w:val="nil"/>
              <w:bottom w:val="single" w:sz="8" w:space="0" w:color="A8D08D"/>
              <w:right w:val="single" w:sz="8" w:space="0" w:color="A8D08D"/>
            </w:tcBorders>
            <w:shd w:val="clear" w:color="000000" w:fill="FFFFFF"/>
            <w:vAlign w:val="center"/>
          </w:tcPr>
          <w:p w14:paraId="087C19FD" w14:textId="4D3794CA" w:rsidR="00FC022D" w:rsidRDefault="00FC022D" w:rsidP="00082910">
            <w:pPr>
              <w:spacing w:after="0" w:line="240" w:lineRule="auto"/>
              <w:jc w:val="right"/>
              <w:rPr>
                <w:rFonts w:cs="Calibri"/>
                <w:i/>
                <w:iCs/>
                <w:color w:val="000000"/>
                <w:sz w:val="20"/>
                <w:szCs w:val="20"/>
              </w:rPr>
            </w:pPr>
            <w:r>
              <w:rPr>
                <w:rFonts w:cs="Calibri"/>
                <w:i/>
                <w:iCs/>
                <w:color w:val="000000"/>
                <w:sz w:val="20"/>
                <w:szCs w:val="20"/>
              </w:rPr>
              <w:t>-6%</w:t>
            </w:r>
          </w:p>
        </w:tc>
      </w:tr>
      <w:tr w:rsidR="00FC022D" w:rsidRPr="00FE74FE" w14:paraId="275B6545"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78C61356" w14:textId="0F727224" w:rsidR="00FC022D" w:rsidRPr="009F49E2" w:rsidRDefault="00FC022D" w:rsidP="00082910">
            <w:pPr>
              <w:spacing w:after="0" w:line="240" w:lineRule="auto"/>
              <w:rPr>
                <w:rFonts w:eastAsia="Times New Roman" w:cs="Calibri"/>
                <w:i/>
                <w:iCs/>
                <w:color w:val="000000"/>
                <w:sz w:val="20"/>
                <w:szCs w:val="20"/>
                <w:lang w:val="en-US"/>
              </w:rPr>
            </w:pPr>
            <w:r w:rsidRPr="008567C6">
              <w:rPr>
                <w:rFonts w:asciiTheme="minorHAnsi" w:hAnsiTheme="minorHAnsi" w:cstheme="minorHAnsi"/>
                <w:i/>
                <w:iCs/>
                <w:sz w:val="20"/>
                <w:szCs w:val="20"/>
              </w:rPr>
              <w:t>Καθαρό περιθώριο κέρδους (%)</w:t>
            </w:r>
          </w:p>
        </w:tc>
        <w:tc>
          <w:tcPr>
            <w:tcW w:w="1157" w:type="dxa"/>
            <w:tcBorders>
              <w:top w:val="nil"/>
              <w:left w:val="nil"/>
              <w:bottom w:val="single" w:sz="8" w:space="0" w:color="A8D08D"/>
              <w:right w:val="single" w:sz="8" w:space="0" w:color="A8D08D"/>
            </w:tcBorders>
            <w:shd w:val="clear" w:color="000000" w:fill="FFFFFF"/>
            <w:noWrap/>
            <w:vAlign w:val="center"/>
          </w:tcPr>
          <w:p w14:paraId="40D7BF34" w14:textId="777CD9A4"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3</w:t>
            </w:r>
            <w:r>
              <w:rPr>
                <w:rFonts w:cs="Calibri"/>
                <w:i/>
                <w:iCs/>
                <w:color w:val="000000"/>
                <w:sz w:val="20"/>
                <w:szCs w:val="20"/>
                <w:lang w:val="en-US"/>
              </w:rPr>
              <w:t>,</w:t>
            </w:r>
            <w:r>
              <w:rPr>
                <w:rFonts w:cs="Calibri"/>
                <w:i/>
                <w:iCs/>
                <w:color w:val="000000"/>
                <w:sz w:val="20"/>
                <w:szCs w:val="20"/>
              </w:rPr>
              <w:t>0%</w:t>
            </w:r>
          </w:p>
        </w:tc>
        <w:tc>
          <w:tcPr>
            <w:tcW w:w="1158" w:type="dxa"/>
            <w:tcBorders>
              <w:top w:val="nil"/>
              <w:left w:val="nil"/>
              <w:bottom w:val="single" w:sz="8" w:space="0" w:color="A8D08D"/>
              <w:right w:val="single" w:sz="8" w:space="0" w:color="A8D08D"/>
            </w:tcBorders>
            <w:shd w:val="clear" w:color="000000" w:fill="FFFFFF"/>
            <w:noWrap/>
            <w:vAlign w:val="center"/>
            <w:hideMark/>
          </w:tcPr>
          <w:p w14:paraId="2FCF0E06" w14:textId="6DA28C10" w:rsidR="00FC022D" w:rsidRPr="009F49E2" w:rsidRDefault="00FC022D" w:rsidP="00082910">
            <w:pPr>
              <w:spacing w:after="0" w:line="240" w:lineRule="auto"/>
              <w:jc w:val="right"/>
              <w:rPr>
                <w:rFonts w:eastAsia="Times New Roman" w:cs="Calibri"/>
                <w:i/>
                <w:iCs/>
                <w:color w:val="000000"/>
                <w:sz w:val="20"/>
                <w:szCs w:val="20"/>
                <w:lang w:val="en-US"/>
              </w:rPr>
            </w:pPr>
            <w:r>
              <w:rPr>
                <w:rFonts w:cs="Calibri"/>
                <w:i/>
                <w:iCs/>
                <w:color w:val="000000"/>
                <w:sz w:val="20"/>
                <w:szCs w:val="20"/>
              </w:rPr>
              <w:t>2</w:t>
            </w:r>
            <w:r>
              <w:rPr>
                <w:rFonts w:cs="Calibri"/>
                <w:i/>
                <w:iCs/>
                <w:color w:val="000000"/>
                <w:sz w:val="20"/>
                <w:szCs w:val="20"/>
                <w:lang w:val="en-US"/>
              </w:rPr>
              <w:t>,</w:t>
            </w:r>
            <w:r>
              <w:rPr>
                <w:rFonts w:cs="Calibri"/>
                <w:i/>
                <w:iCs/>
                <w:color w:val="000000"/>
                <w:sz w:val="20"/>
                <w:szCs w:val="20"/>
              </w:rPr>
              <w:t>8%</w:t>
            </w:r>
          </w:p>
        </w:tc>
        <w:tc>
          <w:tcPr>
            <w:tcW w:w="1158" w:type="dxa"/>
            <w:tcBorders>
              <w:top w:val="nil"/>
              <w:left w:val="nil"/>
              <w:bottom w:val="single" w:sz="8" w:space="0" w:color="A8D08D"/>
              <w:right w:val="single" w:sz="8" w:space="0" w:color="A8D08D"/>
            </w:tcBorders>
            <w:shd w:val="clear" w:color="000000" w:fill="FFFFFF"/>
            <w:vAlign w:val="center"/>
          </w:tcPr>
          <w:p w14:paraId="3559D7BE" w14:textId="3F1F2F4E" w:rsidR="00FC022D" w:rsidRPr="00FE74FE" w:rsidRDefault="00FC022D" w:rsidP="00082910">
            <w:pPr>
              <w:spacing w:after="0" w:line="240" w:lineRule="auto"/>
              <w:jc w:val="right"/>
              <w:rPr>
                <w:rFonts w:cs="Calibri"/>
                <w:i/>
                <w:iCs/>
                <w:color w:val="000000"/>
                <w:sz w:val="20"/>
                <w:szCs w:val="20"/>
                <w:lang w:val="en-US"/>
              </w:rPr>
            </w:pPr>
            <w:r>
              <w:rPr>
                <w:rFonts w:cs="Calibri"/>
                <w:i/>
                <w:iCs/>
                <w:color w:val="000000"/>
                <w:sz w:val="20"/>
                <w:szCs w:val="20"/>
              </w:rPr>
              <w:t>16 bps</w:t>
            </w:r>
          </w:p>
        </w:tc>
        <w:tc>
          <w:tcPr>
            <w:tcW w:w="1157" w:type="dxa"/>
            <w:tcBorders>
              <w:top w:val="nil"/>
              <w:left w:val="nil"/>
              <w:bottom w:val="single" w:sz="8" w:space="0" w:color="A8D08D"/>
              <w:right w:val="single" w:sz="8" w:space="0" w:color="A8D08D"/>
            </w:tcBorders>
            <w:shd w:val="clear" w:color="000000" w:fill="FFFFFF"/>
            <w:vAlign w:val="center"/>
          </w:tcPr>
          <w:p w14:paraId="52B66C83" w14:textId="3F2CA790" w:rsidR="00FC022D" w:rsidRPr="00FE74FE" w:rsidRDefault="00FC022D" w:rsidP="00082910">
            <w:pPr>
              <w:spacing w:after="0" w:line="240" w:lineRule="auto"/>
              <w:jc w:val="right"/>
              <w:rPr>
                <w:rFonts w:cs="Calibri"/>
                <w:i/>
                <w:iCs/>
                <w:color w:val="000000"/>
                <w:sz w:val="20"/>
                <w:szCs w:val="20"/>
                <w:lang w:val="en-US"/>
              </w:rPr>
            </w:pPr>
            <w:r>
              <w:rPr>
                <w:rFonts w:cs="Calibri"/>
                <w:i/>
                <w:iCs/>
                <w:color w:val="000000"/>
                <w:sz w:val="20"/>
                <w:szCs w:val="20"/>
              </w:rPr>
              <w:t>2</w:t>
            </w:r>
            <w:r>
              <w:rPr>
                <w:rFonts w:cs="Calibri"/>
                <w:i/>
                <w:iCs/>
                <w:color w:val="000000"/>
                <w:sz w:val="20"/>
                <w:szCs w:val="20"/>
                <w:lang w:val="en-US"/>
              </w:rPr>
              <w:t>,</w:t>
            </w:r>
            <w:r>
              <w:rPr>
                <w:rFonts w:cs="Calibri"/>
                <w:i/>
                <w:iCs/>
                <w:color w:val="000000"/>
                <w:sz w:val="20"/>
                <w:szCs w:val="20"/>
              </w:rPr>
              <w:t>0%</w:t>
            </w:r>
          </w:p>
        </w:tc>
        <w:tc>
          <w:tcPr>
            <w:tcW w:w="1158" w:type="dxa"/>
            <w:tcBorders>
              <w:top w:val="nil"/>
              <w:left w:val="nil"/>
              <w:bottom w:val="single" w:sz="8" w:space="0" w:color="A8D08D"/>
              <w:right w:val="single" w:sz="8" w:space="0" w:color="A8D08D"/>
            </w:tcBorders>
            <w:shd w:val="clear" w:color="000000" w:fill="FFFFFF"/>
            <w:vAlign w:val="center"/>
          </w:tcPr>
          <w:p w14:paraId="3B6DCB49" w14:textId="3A4EC0DA" w:rsidR="00FC022D" w:rsidRPr="00FE74FE" w:rsidRDefault="00FC022D" w:rsidP="00082910">
            <w:pPr>
              <w:spacing w:after="0" w:line="240" w:lineRule="auto"/>
              <w:jc w:val="right"/>
              <w:rPr>
                <w:rFonts w:cs="Calibri"/>
                <w:i/>
                <w:iCs/>
                <w:color w:val="000000"/>
                <w:sz w:val="20"/>
                <w:szCs w:val="20"/>
                <w:lang w:val="en-US"/>
              </w:rPr>
            </w:pPr>
            <w:r>
              <w:rPr>
                <w:rFonts w:cs="Calibri"/>
                <w:i/>
                <w:iCs/>
                <w:color w:val="000000"/>
                <w:sz w:val="20"/>
                <w:szCs w:val="20"/>
              </w:rPr>
              <w:t>2</w:t>
            </w:r>
            <w:r>
              <w:rPr>
                <w:rFonts w:cs="Calibri"/>
                <w:i/>
                <w:iCs/>
                <w:color w:val="000000"/>
                <w:sz w:val="20"/>
                <w:szCs w:val="20"/>
                <w:lang w:val="en-US"/>
              </w:rPr>
              <w:t>,</w:t>
            </w:r>
            <w:r>
              <w:rPr>
                <w:rFonts w:cs="Calibri"/>
                <w:i/>
                <w:iCs/>
                <w:color w:val="000000"/>
                <w:sz w:val="20"/>
                <w:szCs w:val="20"/>
              </w:rPr>
              <w:t>5%</w:t>
            </w:r>
          </w:p>
        </w:tc>
        <w:tc>
          <w:tcPr>
            <w:tcW w:w="1158" w:type="dxa"/>
            <w:tcBorders>
              <w:top w:val="nil"/>
              <w:left w:val="nil"/>
              <w:bottom w:val="single" w:sz="8" w:space="0" w:color="A8D08D"/>
              <w:right w:val="single" w:sz="8" w:space="0" w:color="A8D08D"/>
            </w:tcBorders>
            <w:shd w:val="clear" w:color="000000" w:fill="FFFFFF"/>
            <w:vAlign w:val="center"/>
          </w:tcPr>
          <w:p w14:paraId="7E1C865C" w14:textId="694BCC08" w:rsidR="00FC022D" w:rsidRPr="00FE74FE" w:rsidRDefault="00FC022D" w:rsidP="00082910">
            <w:pPr>
              <w:spacing w:after="0" w:line="240" w:lineRule="auto"/>
              <w:jc w:val="right"/>
              <w:rPr>
                <w:rFonts w:cs="Calibri"/>
                <w:i/>
                <w:iCs/>
                <w:color w:val="000000"/>
                <w:sz w:val="20"/>
                <w:szCs w:val="20"/>
                <w:lang w:val="en-US"/>
              </w:rPr>
            </w:pPr>
            <w:r>
              <w:rPr>
                <w:rFonts w:cs="Calibri"/>
                <w:i/>
                <w:iCs/>
                <w:color w:val="000000"/>
                <w:sz w:val="20"/>
                <w:szCs w:val="20"/>
              </w:rPr>
              <w:t>-47 bps</w:t>
            </w:r>
          </w:p>
        </w:tc>
      </w:tr>
      <w:tr w:rsidR="00FC022D" w:rsidRPr="00FE74FE" w14:paraId="2B960F87" w14:textId="77777777" w:rsidTr="00FC022D">
        <w:trPr>
          <w:trHeight w:val="252"/>
        </w:trPr>
        <w:tc>
          <w:tcPr>
            <w:tcW w:w="2967" w:type="dxa"/>
            <w:tcBorders>
              <w:top w:val="nil"/>
              <w:left w:val="single" w:sz="8" w:space="0" w:color="A8D08D"/>
              <w:bottom w:val="single" w:sz="8" w:space="0" w:color="A8D08D"/>
              <w:right w:val="single" w:sz="8" w:space="0" w:color="A8D08D"/>
            </w:tcBorders>
            <w:shd w:val="clear" w:color="000000" w:fill="FFFFFF"/>
          </w:tcPr>
          <w:p w14:paraId="03D5366E" w14:textId="349177EA" w:rsidR="00FC022D" w:rsidRPr="00FC022D" w:rsidRDefault="00FC022D" w:rsidP="00082910">
            <w:pPr>
              <w:spacing w:after="0" w:line="240" w:lineRule="auto"/>
              <w:rPr>
                <w:rFonts w:eastAsia="Times New Roman" w:cs="Calibri"/>
                <w:color w:val="000000"/>
                <w:sz w:val="20"/>
                <w:szCs w:val="20"/>
              </w:rPr>
            </w:pPr>
            <w:r w:rsidRPr="008567C6">
              <w:rPr>
                <w:rFonts w:asciiTheme="minorHAnsi" w:hAnsiTheme="minorHAnsi" w:cstheme="minorHAnsi"/>
                <w:sz w:val="20"/>
                <w:szCs w:val="20"/>
              </w:rPr>
              <w:lastRenderedPageBreak/>
              <w:t>Κέρδη μετά από φόρους και δικαιώματα μειοψηφίας</w:t>
            </w:r>
          </w:p>
        </w:tc>
        <w:tc>
          <w:tcPr>
            <w:tcW w:w="1157" w:type="dxa"/>
            <w:tcBorders>
              <w:top w:val="nil"/>
              <w:left w:val="nil"/>
              <w:bottom w:val="single" w:sz="8" w:space="0" w:color="A8D08D"/>
              <w:right w:val="single" w:sz="8" w:space="0" w:color="A8D08D"/>
            </w:tcBorders>
            <w:shd w:val="clear" w:color="000000" w:fill="FFFFFF"/>
            <w:noWrap/>
            <w:vAlign w:val="center"/>
          </w:tcPr>
          <w:p w14:paraId="1AF90208" w14:textId="5FA30596"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23.634</w:t>
            </w:r>
          </w:p>
        </w:tc>
        <w:tc>
          <w:tcPr>
            <w:tcW w:w="1158" w:type="dxa"/>
            <w:tcBorders>
              <w:top w:val="nil"/>
              <w:left w:val="nil"/>
              <w:bottom w:val="single" w:sz="8" w:space="0" w:color="A8D08D"/>
              <w:right w:val="single" w:sz="8" w:space="0" w:color="A8D08D"/>
            </w:tcBorders>
            <w:shd w:val="clear" w:color="000000" w:fill="FFFFFF"/>
            <w:noWrap/>
            <w:vAlign w:val="center"/>
            <w:hideMark/>
          </w:tcPr>
          <w:p w14:paraId="5DCFA3FA" w14:textId="636FF008" w:rsidR="00FC022D" w:rsidRPr="009F49E2" w:rsidRDefault="00FC022D" w:rsidP="00082910">
            <w:pPr>
              <w:spacing w:after="0" w:line="240" w:lineRule="auto"/>
              <w:jc w:val="right"/>
              <w:rPr>
                <w:rFonts w:eastAsia="Times New Roman" w:cs="Calibri"/>
                <w:color w:val="000000"/>
                <w:sz w:val="20"/>
                <w:szCs w:val="20"/>
                <w:lang w:val="en-US"/>
              </w:rPr>
            </w:pPr>
            <w:r>
              <w:rPr>
                <w:rFonts w:cs="Calibri"/>
                <w:color w:val="000000"/>
                <w:sz w:val="20"/>
                <w:szCs w:val="20"/>
              </w:rPr>
              <w:t>18.456</w:t>
            </w:r>
          </w:p>
        </w:tc>
        <w:tc>
          <w:tcPr>
            <w:tcW w:w="1158" w:type="dxa"/>
            <w:tcBorders>
              <w:top w:val="nil"/>
              <w:left w:val="nil"/>
              <w:bottom w:val="single" w:sz="8" w:space="0" w:color="A8D08D"/>
              <w:right w:val="single" w:sz="8" w:space="0" w:color="A8D08D"/>
            </w:tcBorders>
            <w:shd w:val="clear" w:color="000000" w:fill="FFFFFF"/>
            <w:vAlign w:val="center"/>
          </w:tcPr>
          <w:p w14:paraId="01D29B12" w14:textId="4CAEF698" w:rsidR="00FC022D" w:rsidRPr="00FE74FE" w:rsidRDefault="00FC022D" w:rsidP="00082910">
            <w:pPr>
              <w:spacing w:after="0" w:line="240" w:lineRule="auto"/>
              <w:jc w:val="right"/>
              <w:rPr>
                <w:rFonts w:cs="Calibri"/>
                <w:color w:val="000000"/>
                <w:sz w:val="20"/>
                <w:szCs w:val="20"/>
                <w:lang w:val="en-US"/>
              </w:rPr>
            </w:pPr>
            <w:r>
              <w:rPr>
                <w:rFonts w:cs="Calibri"/>
                <w:i/>
                <w:iCs/>
                <w:color w:val="000000"/>
                <w:sz w:val="20"/>
                <w:szCs w:val="20"/>
              </w:rPr>
              <w:t>28%</w:t>
            </w:r>
          </w:p>
        </w:tc>
        <w:tc>
          <w:tcPr>
            <w:tcW w:w="1157" w:type="dxa"/>
            <w:tcBorders>
              <w:top w:val="nil"/>
              <w:left w:val="nil"/>
              <w:bottom w:val="single" w:sz="8" w:space="0" w:color="A8D08D"/>
              <w:right w:val="single" w:sz="8" w:space="0" w:color="A8D08D"/>
            </w:tcBorders>
            <w:shd w:val="clear" w:color="000000" w:fill="FFFFFF"/>
            <w:vAlign w:val="center"/>
          </w:tcPr>
          <w:p w14:paraId="0793AE93" w14:textId="29B04D78" w:rsidR="00FC022D" w:rsidRPr="00FE74FE" w:rsidRDefault="00FC022D" w:rsidP="00082910">
            <w:pPr>
              <w:spacing w:after="0" w:line="240" w:lineRule="auto"/>
              <w:jc w:val="right"/>
              <w:rPr>
                <w:rFonts w:cs="Calibri"/>
                <w:i/>
                <w:iCs/>
                <w:color w:val="000000"/>
                <w:sz w:val="20"/>
                <w:szCs w:val="20"/>
                <w:lang w:val="en-US"/>
              </w:rPr>
            </w:pPr>
            <w:r>
              <w:rPr>
                <w:rFonts w:cs="Calibri"/>
                <w:color w:val="000000"/>
                <w:sz w:val="20"/>
                <w:szCs w:val="20"/>
              </w:rPr>
              <w:t>8.268</w:t>
            </w:r>
          </w:p>
        </w:tc>
        <w:tc>
          <w:tcPr>
            <w:tcW w:w="1158" w:type="dxa"/>
            <w:tcBorders>
              <w:top w:val="nil"/>
              <w:left w:val="nil"/>
              <w:bottom w:val="single" w:sz="8" w:space="0" w:color="A8D08D"/>
              <w:right w:val="single" w:sz="8" w:space="0" w:color="A8D08D"/>
            </w:tcBorders>
            <w:shd w:val="clear" w:color="000000" w:fill="FFFFFF"/>
            <w:vAlign w:val="center"/>
          </w:tcPr>
          <w:p w14:paraId="479CF740" w14:textId="607946E4" w:rsidR="00FC022D" w:rsidRPr="00FE74FE" w:rsidRDefault="00FC022D" w:rsidP="00082910">
            <w:pPr>
              <w:spacing w:after="0" w:line="240" w:lineRule="auto"/>
              <w:jc w:val="right"/>
              <w:rPr>
                <w:rFonts w:cs="Calibri"/>
                <w:i/>
                <w:iCs/>
                <w:color w:val="000000"/>
                <w:sz w:val="20"/>
                <w:szCs w:val="20"/>
                <w:lang w:val="en-US"/>
              </w:rPr>
            </w:pPr>
            <w:r>
              <w:rPr>
                <w:rFonts w:cs="Calibri"/>
                <w:color w:val="000000"/>
                <w:sz w:val="20"/>
                <w:szCs w:val="20"/>
              </w:rPr>
              <w:t>8.817</w:t>
            </w:r>
          </w:p>
        </w:tc>
        <w:tc>
          <w:tcPr>
            <w:tcW w:w="1158" w:type="dxa"/>
            <w:tcBorders>
              <w:top w:val="nil"/>
              <w:left w:val="nil"/>
              <w:bottom w:val="single" w:sz="8" w:space="0" w:color="A8D08D"/>
              <w:right w:val="single" w:sz="8" w:space="0" w:color="A8D08D"/>
            </w:tcBorders>
            <w:shd w:val="clear" w:color="000000" w:fill="FFFFFF"/>
            <w:vAlign w:val="center"/>
          </w:tcPr>
          <w:p w14:paraId="6BC62569" w14:textId="7A1A405F" w:rsidR="00FC022D" w:rsidRPr="00FE74FE" w:rsidRDefault="00FC022D" w:rsidP="00082910">
            <w:pPr>
              <w:spacing w:after="0" w:line="240" w:lineRule="auto"/>
              <w:jc w:val="right"/>
              <w:rPr>
                <w:rFonts w:cs="Calibri"/>
                <w:i/>
                <w:iCs/>
                <w:color w:val="000000"/>
                <w:sz w:val="20"/>
                <w:szCs w:val="20"/>
                <w:lang w:val="en-US"/>
              </w:rPr>
            </w:pPr>
            <w:r>
              <w:rPr>
                <w:rFonts w:cs="Calibri"/>
                <w:i/>
                <w:iCs/>
                <w:color w:val="000000"/>
                <w:sz w:val="20"/>
                <w:szCs w:val="20"/>
              </w:rPr>
              <w:t>-6%</w:t>
            </w:r>
          </w:p>
        </w:tc>
      </w:tr>
    </w:tbl>
    <w:p w14:paraId="36DE748D" w14:textId="61BE33DD" w:rsidR="00F442FF" w:rsidRPr="00FC022D" w:rsidRDefault="00FC022D" w:rsidP="003D2E23">
      <w:pPr>
        <w:autoSpaceDE w:val="0"/>
        <w:autoSpaceDN w:val="0"/>
        <w:adjustRightInd w:val="0"/>
        <w:spacing w:after="120" w:line="240" w:lineRule="auto"/>
        <w:contextualSpacing/>
        <w:jc w:val="both"/>
        <w:rPr>
          <w:rFonts w:eastAsia="SimSun" w:cs="Calibri"/>
          <w:i/>
          <w:color w:val="000000"/>
          <w:sz w:val="16"/>
          <w:szCs w:val="20"/>
        </w:rPr>
      </w:pPr>
      <w:r w:rsidRPr="005F6732">
        <w:rPr>
          <w:rFonts w:cs="Calibri"/>
          <w:i/>
          <w:color w:val="000000"/>
          <w:sz w:val="16"/>
          <w:szCs w:val="20"/>
        </w:rPr>
        <w:t xml:space="preserve">Πηγή: Συνοπτική Ενοποιημένη Κατάσταση Αποτελεσμάτων (Παράρτημα </w:t>
      </w:r>
      <w:r w:rsidRPr="005F6732">
        <w:rPr>
          <w:rFonts w:cs="Calibri"/>
          <w:i/>
          <w:color w:val="000000"/>
          <w:sz w:val="16"/>
          <w:szCs w:val="20"/>
          <w:lang w:val="en-GB"/>
        </w:rPr>
        <w:t>A</w:t>
      </w:r>
      <w:r w:rsidRPr="005F6732">
        <w:rPr>
          <w:rFonts w:cs="Calibri"/>
          <w:i/>
          <w:color w:val="000000"/>
          <w:sz w:val="16"/>
          <w:szCs w:val="20"/>
        </w:rPr>
        <w:t>) και ΕΜΑ (Παράρτημα Γ)</w:t>
      </w:r>
    </w:p>
    <w:p w14:paraId="0F2A1C25" w14:textId="77777777" w:rsidR="0009734B" w:rsidRPr="00FC022D" w:rsidRDefault="0009734B" w:rsidP="006B321F">
      <w:pPr>
        <w:autoSpaceDE w:val="0"/>
        <w:autoSpaceDN w:val="0"/>
        <w:adjustRightInd w:val="0"/>
        <w:spacing w:after="120" w:line="240" w:lineRule="auto"/>
        <w:contextualSpacing/>
        <w:jc w:val="both"/>
        <w:rPr>
          <w:rFonts w:eastAsia="SimSun" w:cs="Calibri"/>
          <w:i/>
          <w:color w:val="000000"/>
          <w:sz w:val="16"/>
          <w:szCs w:val="20"/>
        </w:rPr>
      </w:pPr>
    </w:p>
    <w:tbl>
      <w:tblPr>
        <w:tblW w:w="991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972"/>
        <w:gridCol w:w="1157"/>
        <w:gridCol w:w="1158"/>
        <w:gridCol w:w="1158"/>
        <w:gridCol w:w="1157"/>
        <w:gridCol w:w="1158"/>
        <w:gridCol w:w="1158"/>
      </w:tblGrid>
      <w:tr w:rsidR="00B258B5" w:rsidRPr="009F49E2" w14:paraId="082C8B1E" w14:textId="77777777" w:rsidTr="006759DE">
        <w:trPr>
          <w:trHeight w:val="300"/>
        </w:trPr>
        <w:tc>
          <w:tcPr>
            <w:tcW w:w="2972" w:type="dxa"/>
            <w:shd w:val="clear" w:color="auto" w:fill="476C2E"/>
            <w:noWrap/>
            <w:vAlign w:val="bottom"/>
            <w:hideMark/>
          </w:tcPr>
          <w:p w14:paraId="5D865F87" w14:textId="176B2B30" w:rsidR="00B258B5" w:rsidRPr="009F49E2" w:rsidRDefault="00B258B5" w:rsidP="00B258B5">
            <w:pPr>
              <w:spacing w:after="120" w:line="240" w:lineRule="auto"/>
              <w:rPr>
                <w:rFonts w:eastAsia="Times New Roman" w:cs="Arial"/>
                <w:b/>
                <w:bCs/>
                <w:i/>
                <w:color w:val="FFFFFF" w:themeColor="background1"/>
                <w:sz w:val="20"/>
                <w:szCs w:val="20"/>
                <w:lang w:val="en-GB"/>
              </w:rPr>
            </w:pPr>
            <w:r w:rsidRPr="008567C6">
              <w:rPr>
                <w:rFonts w:asciiTheme="minorHAnsi" w:eastAsia="Times New Roman" w:hAnsiTheme="minorHAnsi" w:cstheme="minorHAnsi"/>
                <w:b/>
                <w:bCs/>
                <w:i/>
                <w:iCs/>
                <w:color w:val="FFFFFF"/>
                <w:sz w:val="20"/>
                <w:szCs w:val="20"/>
                <w:lang w:val="en-US"/>
              </w:rPr>
              <w:t>Ποσά σε χιλιάδες ευρώ</w:t>
            </w:r>
          </w:p>
        </w:tc>
        <w:tc>
          <w:tcPr>
            <w:tcW w:w="1157" w:type="dxa"/>
            <w:shd w:val="clear" w:color="auto" w:fill="476C2E"/>
            <w:noWrap/>
            <w:vAlign w:val="center"/>
            <w:hideMark/>
          </w:tcPr>
          <w:p w14:paraId="0A05074E" w14:textId="77777777" w:rsidR="00B258B5" w:rsidRDefault="00B258B5" w:rsidP="00B258B5">
            <w:pPr>
              <w:spacing w:after="120" w:line="240" w:lineRule="auto"/>
              <w:jc w:val="center"/>
              <w:rPr>
                <w:rFonts w:cs="Calibri"/>
                <w:b/>
                <w:bCs/>
                <w:color w:val="FFFFFF"/>
                <w:sz w:val="20"/>
                <w:szCs w:val="20"/>
              </w:rPr>
            </w:pPr>
            <w:r w:rsidRPr="006C0543">
              <w:rPr>
                <w:b/>
                <w:color w:val="FFFFFF"/>
                <w:sz w:val="20"/>
              </w:rPr>
              <w:t>1ο εξ.</w:t>
            </w:r>
          </w:p>
          <w:p w14:paraId="070B9EB4" w14:textId="2D5AA8A8" w:rsidR="00B258B5" w:rsidRPr="00B258B5" w:rsidRDefault="00B258B5" w:rsidP="00B258B5">
            <w:pPr>
              <w:spacing w:after="120" w:line="240" w:lineRule="auto"/>
              <w:jc w:val="center"/>
              <w:rPr>
                <w:rFonts w:cs="Calibri"/>
                <w:b/>
                <w:bCs/>
                <w:color w:val="FFFFFF"/>
                <w:sz w:val="20"/>
                <w:szCs w:val="20"/>
              </w:rPr>
            </w:pPr>
            <w:r>
              <w:rPr>
                <w:rFonts w:cs="Calibri"/>
                <w:b/>
                <w:bCs/>
                <w:color w:val="FFFFFF"/>
                <w:sz w:val="20"/>
                <w:szCs w:val="20"/>
              </w:rPr>
              <w:t>202</w:t>
            </w:r>
            <w:r>
              <w:rPr>
                <w:rFonts w:cs="Calibri"/>
                <w:b/>
                <w:bCs/>
                <w:color w:val="FFFFFF"/>
                <w:sz w:val="20"/>
                <w:szCs w:val="20"/>
                <w:lang w:val="en-US"/>
              </w:rPr>
              <w:t>3</w:t>
            </w:r>
          </w:p>
        </w:tc>
        <w:tc>
          <w:tcPr>
            <w:tcW w:w="1158" w:type="dxa"/>
            <w:shd w:val="clear" w:color="auto" w:fill="476C2E"/>
            <w:noWrap/>
            <w:vAlign w:val="center"/>
            <w:hideMark/>
          </w:tcPr>
          <w:p w14:paraId="1F366962" w14:textId="77777777" w:rsidR="00B258B5" w:rsidRDefault="00B258B5" w:rsidP="00B258B5">
            <w:pPr>
              <w:spacing w:after="120" w:line="240" w:lineRule="auto"/>
              <w:jc w:val="center"/>
              <w:rPr>
                <w:rFonts w:cs="Calibri"/>
                <w:b/>
                <w:bCs/>
                <w:color w:val="FFFFFF"/>
                <w:sz w:val="20"/>
                <w:szCs w:val="20"/>
              </w:rPr>
            </w:pPr>
            <w:r w:rsidRPr="006C0543">
              <w:rPr>
                <w:b/>
                <w:color w:val="FFFFFF"/>
                <w:sz w:val="20"/>
              </w:rPr>
              <w:t>1ο εξ.</w:t>
            </w:r>
          </w:p>
          <w:p w14:paraId="63D41F01" w14:textId="05759E56" w:rsidR="00B258B5" w:rsidRPr="009F49E2" w:rsidRDefault="00B258B5" w:rsidP="00B258B5">
            <w:pPr>
              <w:spacing w:after="120" w:line="240" w:lineRule="auto"/>
              <w:jc w:val="center"/>
              <w:rPr>
                <w:rFonts w:eastAsia="Times New Roman" w:cs="Arial"/>
                <w:b/>
                <w:bCs/>
                <w:i/>
                <w:color w:val="FFFFFF" w:themeColor="background1"/>
                <w:sz w:val="20"/>
                <w:szCs w:val="20"/>
                <w:lang w:val="en-GB"/>
              </w:rPr>
            </w:pPr>
            <w:r>
              <w:rPr>
                <w:rFonts w:cs="Calibri"/>
                <w:b/>
                <w:bCs/>
                <w:color w:val="FFFFFF"/>
                <w:sz w:val="20"/>
                <w:szCs w:val="20"/>
              </w:rPr>
              <w:t>2022</w:t>
            </w:r>
          </w:p>
        </w:tc>
        <w:tc>
          <w:tcPr>
            <w:tcW w:w="1158" w:type="dxa"/>
            <w:shd w:val="clear" w:color="auto" w:fill="476C2E"/>
            <w:vAlign w:val="center"/>
          </w:tcPr>
          <w:p w14:paraId="5BB64B5E" w14:textId="7DF5FFBE" w:rsidR="00B258B5" w:rsidRPr="009F49E2" w:rsidRDefault="00B258B5" w:rsidP="00B258B5">
            <w:pPr>
              <w:spacing w:after="120" w:line="240" w:lineRule="auto"/>
              <w:jc w:val="center"/>
              <w:rPr>
                <w:rFonts w:eastAsia="Times New Roman" w:cs="Calibri"/>
                <w:b/>
                <w:bCs/>
                <w:color w:val="FFFFFF"/>
                <w:sz w:val="20"/>
                <w:szCs w:val="20"/>
                <w:lang w:val="en-US"/>
              </w:rPr>
            </w:pPr>
            <w:r>
              <w:rPr>
                <w:rFonts w:cs="Calibri"/>
                <w:b/>
                <w:bCs/>
                <w:color w:val="FFFFFF"/>
                <w:sz w:val="20"/>
                <w:szCs w:val="20"/>
              </w:rPr>
              <w:t>Μεταβολή</w:t>
            </w:r>
            <w:r w:rsidRPr="00C62621">
              <w:rPr>
                <w:rFonts w:cs="Calibri"/>
                <w:b/>
                <w:bCs/>
                <w:color w:val="FFFFFF"/>
                <w:sz w:val="20"/>
                <w:szCs w:val="20"/>
                <w:lang w:val="en-GB"/>
              </w:rPr>
              <w:t>(%)</w:t>
            </w:r>
          </w:p>
        </w:tc>
        <w:tc>
          <w:tcPr>
            <w:tcW w:w="1157" w:type="dxa"/>
            <w:shd w:val="clear" w:color="auto" w:fill="476C2E"/>
            <w:vAlign w:val="center"/>
          </w:tcPr>
          <w:p w14:paraId="7C224F9D" w14:textId="77777777" w:rsidR="00B258B5" w:rsidRPr="00C62621" w:rsidRDefault="00B258B5" w:rsidP="00B258B5">
            <w:pPr>
              <w:spacing w:after="120" w:line="240" w:lineRule="auto"/>
              <w:jc w:val="center"/>
              <w:rPr>
                <w:rFonts w:cs="Calibri"/>
                <w:b/>
                <w:bCs/>
                <w:color w:val="FFFFFF"/>
                <w:sz w:val="20"/>
                <w:szCs w:val="20"/>
                <w:lang w:val="en-GB"/>
              </w:rPr>
            </w:pPr>
            <w:r>
              <w:rPr>
                <w:b/>
                <w:color w:val="FFFFFF"/>
                <w:sz w:val="20"/>
              </w:rPr>
              <w:t>2</w:t>
            </w:r>
            <w:r w:rsidRPr="006C0543">
              <w:rPr>
                <w:b/>
                <w:color w:val="FFFFFF"/>
                <w:sz w:val="20"/>
              </w:rPr>
              <w:t xml:space="preserve">ο </w:t>
            </w:r>
            <w:r>
              <w:rPr>
                <w:b/>
                <w:color w:val="FFFFFF"/>
                <w:sz w:val="20"/>
              </w:rPr>
              <w:t>τριμ</w:t>
            </w:r>
            <w:r w:rsidRPr="006C0543">
              <w:rPr>
                <w:b/>
                <w:color w:val="FFFFFF"/>
                <w:sz w:val="20"/>
              </w:rPr>
              <w:t>.</w:t>
            </w:r>
          </w:p>
          <w:p w14:paraId="7B764576" w14:textId="4B553EBC" w:rsidR="00B258B5" w:rsidRPr="009F49E2" w:rsidRDefault="00B258B5" w:rsidP="00B258B5">
            <w:pPr>
              <w:spacing w:after="120" w:line="240" w:lineRule="auto"/>
              <w:jc w:val="center"/>
              <w:rPr>
                <w:rFonts w:cs="Calibri"/>
                <w:b/>
                <w:bCs/>
                <w:color w:val="FFFFFF"/>
                <w:sz w:val="20"/>
                <w:szCs w:val="20"/>
                <w:lang w:val="en-US"/>
              </w:rPr>
            </w:pPr>
            <w:r w:rsidRPr="00C62621">
              <w:rPr>
                <w:rFonts w:cs="Calibri"/>
                <w:b/>
                <w:bCs/>
                <w:color w:val="FFFFFF"/>
                <w:sz w:val="20"/>
                <w:szCs w:val="20"/>
                <w:lang w:val="en-GB"/>
              </w:rPr>
              <w:t>202</w:t>
            </w:r>
            <w:r>
              <w:rPr>
                <w:rFonts w:cs="Calibri"/>
                <w:b/>
                <w:bCs/>
                <w:color w:val="FFFFFF"/>
                <w:sz w:val="20"/>
                <w:szCs w:val="20"/>
                <w:lang w:val="en-GB"/>
              </w:rPr>
              <w:t>3</w:t>
            </w:r>
          </w:p>
        </w:tc>
        <w:tc>
          <w:tcPr>
            <w:tcW w:w="1158" w:type="dxa"/>
            <w:shd w:val="clear" w:color="auto" w:fill="476C2E"/>
            <w:vAlign w:val="center"/>
          </w:tcPr>
          <w:p w14:paraId="64C50114" w14:textId="77777777" w:rsidR="00B258B5" w:rsidRPr="00C62621" w:rsidRDefault="00B258B5" w:rsidP="00B258B5">
            <w:pPr>
              <w:spacing w:after="120" w:line="240" w:lineRule="auto"/>
              <w:jc w:val="center"/>
              <w:rPr>
                <w:rFonts w:cs="Calibri"/>
                <w:b/>
                <w:bCs/>
                <w:color w:val="FFFFFF"/>
                <w:sz w:val="20"/>
                <w:szCs w:val="20"/>
                <w:lang w:val="en-GB"/>
              </w:rPr>
            </w:pPr>
            <w:r>
              <w:rPr>
                <w:b/>
                <w:color w:val="FFFFFF"/>
                <w:sz w:val="20"/>
                <w:lang w:val="en-US"/>
              </w:rPr>
              <w:t>2</w:t>
            </w:r>
            <w:r w:rsidRPr="006C0543">
              <w:rPr>
                <w:b/>
                <w:color w:val="FFFFFF"/>
                <w:sz w:val="20"/>
              </w:rPr>
              <w:t xml:space="preserve">ο </w:t>
            </w:r>
            <w:r>
              <w:rPr>
                <w:b/>
                <w:color w:val="FFFFFF"/>
                <w:sz w:val="20"/>
              </w:rPr>
              <w:t>τριμ</w:t>
            </w:r>
            <w:r w:rsidRPr="006C0543">
              <w:rPr>
                <w:b/>
                <w:color w:val="FFFFFF"/>
                <w:sz w:val="20"/>
              </w:rPr>
              <w:t>.</w:t>
            </w:r>
          </w:p>
          <w:p w14:paraId="0353CACA" w14:textId="74C73CD8" w:rsidR="00B258B5" w:rsidRPr="009F49E2" w:rsidRDefault="00B258B5" w:rsidP="00B258B5">
            <w:pPr>
              <w:spacing w:after="120" w:line="240" w:lineRule="auto"/>
              <w:jc w:val="center"/>
              <w:rPr>
                <w:rFonts w:cs="Calibri"/>
                <w:b/>
                <w:bCs/>
                <w:color w:val="FFFFFF"/>
                <w:sz w:val="20"/>
                <w:szCs w:val="20"/>
                <w:lang w:val="en-US"/>
              </w:rPr>
            </w:pPr>
            <w:r w:rsidRPr="00C62621">
              <w:rPr>
                <w:rFonts w:cs="Calibri"/>
                <w:b/>
                <w:bCs/>
                <w:color w:val="FFFFFF"/>
                <w:sz w:val="20"/>
                <w:szCs w:val="20"/>
                <w:lang w:val="en-GB"/>
              </w:rPr>
              <w:t>2022</w:t>
            </w:r>
          </w:p>
        </w:tc>
        <w:tc>
          <w:tcPr>
            <w:tcW w:w="1158" w:type="dxa"/>
            <w:shd w:val="clear" w:color="auto" w:fill="476C2E"/>
            <w:vAlign w:val="center"/>
          </w:tcPr>
          <w:p w14:paraId="409751DE" w14:textId="4316313C" w:rsidR="00B258B5" w:rsidRPr="009F49E2" w:rsidRDefault="00B258B5" w:rsidP="00B258B5">
            <w:pPr>
              <w:spacing w:after="120" w:line="240" w:lineRule="auto"/>
              <w:jc w:val="center"/>
              <w:rPr>
                <w:rFonts w:cs="Calibri"/>
                <w:b/>
                <w:bCs/>
                <w:color w:val="FFFFFF"/>
                <w:sz w:val="20"/>
                <w:szCs w:val="20"/>
                <w:lang w:val="en-US"/>
              </w:rPr>
            </w:pPr>
            <w:r>
              <w:rPr>
                <w:rFonts w:cs="Calibri"/>
                <w:b/>
                <w:bCs/>
                <w:color w:val="FFFFFF"/>
                <w:sz w:val="20"/>
                <w:szCs w:val="20"/>
              </w:rPr>
              <w:t>Μεταβολή</w:t>
            </w:r>
            <w:r w:rsidRPr="00C62621">
              <w:rPr>
                <w:rFonts w:cs="Calibri"/>
                <w:b/>
                <w:bCs/>
                <w:color w:val="FFFFFF"/>
                <w:sz w:val="20"/>
                <w:szCs w:val="20"/>
                <w:lang w:val="en-GB"/>
              </w:rPr>
              <w:t xml:space="preserve"> (%)</w:t>
            </w:r>
          </w:p>
        </w:tc>
      </w:tr>
      <w:tr w:rsidR="00B258B5" w:rsidRPr="009F49E2" w14:paraId="35FB7095" w14:textId="77777777" w:rsidTr="00063FAC">
        <w:trPr>
          <w:trHeight w:val="300"/>
        </w:trPr>
        <w:tc>
          <w:tcPr>
            <w:tcW w:w="2972" w:type="dxa"/>
            <w:shd w:val="clear" w:color="auto" w:fill="auto"/>
          </w:tcPr>
          <w:p w14:paraId="2FE1C3BC" w14:textId="4B280EF3" w:rsidR="00B258B5" w:rsidRPr="009F49E2" w:rsidRDefault="00B258B5" w:rsidP="00B258B5">
            <w:pPr>
              <w:spacing w:after="120" w:line="240" w:lineRule="auto"/>
              <w:jc w:val="both"/>
              <w:rPr>
                <w:rFonts w:eastAsia="Times New Roman" w:cs="Arial"/>
                <w:b/>
                <w:bCs/>
                <w:i/>
                <w:sz w:val="20"/>
                <w:szCs w:val="20"/>
                <w:lang w:val="en-GB"/>
              </w:rPr>
            </w:pPr>
            <w:r w:rsidRPr="006C0543">
              <w:rPr>
                <w:b/>
                <w:i/>
                <w:sz w:val="20"/>
              </w:rPr>
              <w:t>Κέρδη ανά μετοχή</w:t>
            </w:r>
          </w:p>
        </w:tc>
        <w:tc>
          <w:tcPr>
            <w:tcW w:w="1157" w:type="dxa"/>
            <w:shd w:val="clear" w:color="auto" w:fill="auto"/>
            <w:noWrap/>
            <w:vAlign w:val="center"/>
          </w:tcPr>
          <w:p w14:paraId="031EC1DE" w14:textId="548FCEC8" w:rsidR="00B258B5" w:rsidRPr="009F49E2" w:rsidRDefault="00B258B5" w:rsidP="00B258B5">
            <w:pPr>
              <w:spacing w:after="120" w:line="240" w:lineRule="auto"/>
              <w:jc w:val="right"/>
              <w:rPr>
                <w:rFonts w:cs="Calibri"/>
                <w:b/>
                <w:bCs/>
                <w:i/>
                <w:iCs/>
                <w:color w:val="000000"/>
                <w:sz w:val="20"/>
                <w:szCs w:val="20"/>
                <w:lang w:val="en-US"/>
              </w:rPr>
            </w:pPr>
            <w:r>
              <w:rPr>
                <w:rFonts w:cs="Calibri"/>
                <w:b/>
                <w:bCs/>
                <w:i/>
                <w:iCs/>
                <w:color w:val="000000"/>
                <w:sz w:val="20"/>
                <w:szCs w:val="20"/>
              </w:rPr>
              <w:t>0</w:t>
            </w:r>
            <w:r>
              <w:rPr>
                <w:rFonts w:cs="Calibri"/>
                <w:b/>
                <w:bCs/>
                <w:i/>
                <w:iCs/>
                <w:color w:val="000000"/>
                <w:sz w:val="20"/>
                <w:szCs w:val="20"/>
                <w:lang w:val="en-US"/>
              </w:rPr>
              <w:t>,</w:t>
            </w:r>
            <w:r>
              <w:rPr>
                <w:rFonts w:cs="Calibri"/>
                <w:b/>
                <w:bCs/>
                <w:i/>
                <w:iCs/>
                <w:color w:val="000000"/>
                <w:sz w:val="20"/>
                <w:szCs w:val="20"/>
              </w:rPr>
              <w:t>12360</w:t>
            </w:r>
          </w:p>
        </w:tc>
        <w:tc>
          <w:tcPr>
            <w:tcW w:w="1158" w:type="dxa"/>
            <w:shd w:val="clear" w:color="auto" w:fill="auto"/>
            <w:noWrap/>
            <w:vAlign w:val="center"/>
          </w:tcPr>
          <w:p w14:paraId="4E000876" w14:textId="1A065D36" w:rsidR="00B258B5" w:rsidRPr="009F49E2" w:rsidRDefault="00B258B5" w:rsidP="00B258B5">
            <w:pPr>
              <w:spacing w:after="120" w:line="240" w:lineRule="auto"/>
              <w:jc w:val="right"/>
              <w:rPr>
                <w:rFonts w:cs="Calibri"/>
                <w:b/>
                <w:i/>
                <w:sz w:val="20"/>
                <w:szCs w:val="20"/>
                <w:lang w:val="en-GB"/>
              </w:rPr>
            </w:pPr>
            <w:r>
              <w:rPr>
                <w:rFonts w:cs="Calibri"/>
                <w:b/>
                <w:bCs/>
                <w:i/>
                <w:iCs/>
                <w:color w:val="000000"/>
                <w:sz w:val="20"/>
                <w:szCs w:val="20"/>
              </w:rPr>
              <w:t>0</w:t>
            </w:r>
            <w:r>
              <w:rPr>
                <w:rFonts w:cs="Calibri"/>
                <w:b/>
                <w:bCs/>
                <w:i/>
                <w:iCs/>
                <w:color w:val="000000"/>
                <w:sz w:val="20"/>
                <w:szCs w:val="20"/>
                <w:lang w:val="en-US"/>
              </w:rPr>
              <w:t>,</w:t>
            </w:r>
            <w:r>
              <w:rPr>
                <w:rFonts w:cs="Calibri"/>
                <w:b/>
                <w:bCs/>
                <w:i/>
                <w:iCs/>
                <w:color w:val="000000"/>
                <w:sz w:val="20"/>
                <w:szCs w:val="20"/>
              </w:rPr>
              <w:t>09707</w:t>
            </w:r>
          </w:p>
        </w:tc>
        <w:tc>
          <w:tcPr>
            <w:tcW w:w="1158" w:type="dxa"/>
            <w:vAlign w:val="center"/>
          </w:tcPr>
          <w:p w14:paraId="72517427" w14:textId="0FC96777" w:rsidR="00B258B5" w:rsidRPr="009F49E2" w:rsidRDefault="00B258B5" w:rsidP="00B258B5">
            <w:pPr>
              <w:spacing w:after="120" w:line="240" w:lineRule="auto"/>
              <w:jc w:val="right"/>
              <w:rPr>
                <w:rFonts w:cs="Calibri"/>
                <w:b/>
                <w:bCs/>
                <w:i/>
                <w:iCs/>
                <w:color w:val="000000"/>
                <w:sz w:val="20"/>
                <w:szCs w:val="20"/>
                <w:lang w:val="en-GB"/>
              </w:rPr>
            </w:pPr>
            <w:r>
              <w:rPr>
                <w:rFonts w:cs="Calibri"/>
                <w:b/>
                <w:bCs/>
                <w:i/>
                <w:iCs/>
                <w:color w:val="000000"/>
                <w:sz w:val="20"/>
                <w:szCs w:val="20"/>
              </w:rPr>
              <w:t>27%</w:t>
            </w:r>
          </w:p>
        </w:tc>
        <w:tc>
          <w:tcPr>
            <w:tcW w:w="1157" w:type="dxa"/>
            <w:vAlign w:val="center"/>
          </w:tcPr>
          <w:p w14:paraId="39E1F27B" w14:textId="705F389A" w:rsidR="00B258B5" w:rsidRPr="009F49E2" w:rsidRDefault="00B258B5" w:rsidP="00B258B5">
            <w:pPr>
              <w:spacing w:after="120" w:line="240" w:lineRule="auto"/>
              <w:jc w:val="right"/>
              <w:rPr>
                <w:rFonts w:cs="Calibri"/>
                <w:b/>
                <w:bCs/>
                <w:i/>
                <w:iCs/>
                <w:color w:val="000000"/>
                <w:sz w:val="20"/>
                <w:szCs w:val="20"/>
              </w:rPr>
            </w:pPr>
            <w:r>
              <w:rPr>
                <w:rFonts w:cs="Calibri"/>
                <w:b/>
                <w:bCs/>
                <w:i/>
                <w:iCs/>
                <w:color w:val="000000"/>
                <w:sz w:val="20"/>
                <w:szCs w:val="20"/>
              </w:rPr>
              <w:t>0</w:t>
            </w:r>
            <w:r>
              <w:rPr>
                <w:rFonts w:cs="Calibri"/>
                <w:b/>
                <w:bCs/>
                <w:i/>
                <w:iCs/>
                <w:color w:val="000000"/>
                <w:sz w:val="20"/>
                <w:szCs w:val="20"/>
                <w:lang w:val="en-US"/>
              </w:rPr>
              <w:t>,</w:t>
            </w:r>
            <w:r>
              <w:rPr>
                <w:rFonts w:cs="Calibri"/>
                <w:b/>
                <w:bCs/>
                <w:i/>
                <w:iCs/>
                <w:color w:val="000000"/>
                <w:sz w:val="20"/>
                <w:szCs w:val="20"/>
              </w:rPr>
              <w:t>04281</w:t>
            </w:r>
          </w:p>
        </w:tc>
        <w:tc>
          <w:tcPr>
            <w:tcW w:w="1158" w:type="dxa"/>
            <w:vAlign w:val="center"/>
          </w:tcPr>
          <w:p w14:paraId="2C202B55" w14:textId="1DB74837" w:rsidR="00B258B5" w:rsidRPr="009F49E2" w:rsidRDefault="00B258B5" w:rsidP="00B258B5">
            <w:pPr>
              <w:spacing w:after="120" w:line="240" w:lineRule="auto"/>
              <w:jc w:val="right"/>
              <w:rPr>
                <w:rFonts w:cs="Calibri"/>
                <w:b/>
                <w:bCs/>
                <w:i/>
                <w:iCs/>
                <w:color w:val="000000"/>
                <w:sz w:val="20"/>
                <w:szCs w:val="20"/>
              </w:rPr>
            </w:pPr>
            <w:r>
              <w:rPr>
                <w:rFonts w:cs="Calibri"/>
                <w:b/>
                <w:bCs/>
                <w:i/>
                <w:iCs/>
                <w:color w:val="000000"/>
                <w:sz w:val="20"/>
                <w:szCs w:val="20"/>
              </w:rPr>
              <w:t>0</w:t>
            </w:r>
            <w:r>
              <w:rPr>
                <w:rFonts w:cs="Calibri"/>
                <w:b/>
                <w:bCs/>
                <w:i/>
                <w:iCs/>
                <w:color w:val="000000"/>
                <w:sz w:val="20"/>
                <w:szCs w:val="20"/>
                <w:lang w:val="en-US"/>
              </w:rPr>
              <w:t>,</w:t>
            </w:r>
            <w:r>
              <w:rPr>
                <w:rFonts w:cs="Calibri"/>
                <w:b/>
                <w:bCs/>
                <w:i/>
                <w:iCs/>
                <w:color w:val="000000"/>
                <w:sz w:val="20"/>
                <w:szCs w:val="20"/>
              </w:rPr>
              <w:t>04636</w:t>
            </w:r>
          </w:p>
        </w:tc>
        <w:tc>
          <w:tcPr>
            <w:tcW w:w="1158" w:type="dxa"/>
            <w:vAlign w:val="center"/>
          </w:tcPr>
          <w:p w14:paraId="692B1CC4" w14:textId="6F4F5878" w:rsidR="00B258B5" w:rsidRPr="009F49E2" w:rsidRDefault="00B258B5" w:rsidP="00B258B5">
            <w:pPr>
              <w:spacing w:after="120" w:line="240" w:lineRule="auto"/>
              <w:jc w:val="right"/>
              <w:rPr>
                <w:rFonts w:cs="Calibri"/>
                <w:b/>
                <w:bCs/>
                <w:i/>
                <w:iCs/>
                <w:color w:val="000000"/>
                <w:sz w:val="20"/>
                <w:szCs w:val="20"/>
              </w:rPr>
            </w:pPr>
            <w:r>
              <w:rPr>
                <w:rFonts w:cs="Calibri"/>
                <w:b/>
                <w:bCs/>
                <w:i/>
                <w:iCs/>
                <w:color w:val="000000"/>
                <w:sz w:val="20"/>
                <w:szCs w:val="20"/>
              </w:rPr>
              <w:t>-8%</w:t>
            </w:r>
          </w:p>
        </w:tc>
      </w:tr>
    </w:tbl>
    <w:p w14:paraId="4260B4AC" w14:textId="77777777" w:rsidR="00F442FF" w:rsidRPr="009F49E2" w:rsidRDefault="00F442FF" w:rsidP="006B321F">
      <w:pPr>
        <w:spacing w:after="120" w:line="240" w:lineRule="auto"/>
        <w:contextualSpacing/>
        <w:jc w:val="both"/>
        <w:rPr>
          <w:rFonts w:eastAsia="SimSun" w:cs="Calibri"/>
          <w:i/>
          <w:color w:val="000000"/>
          <w:sz w:val="16"/>
          <w:szCs w:val="20"/>
          <w:lang w:val="en-GB"/>
        </w:rPr>
      </w:pPr>
      <w:bookmarkStart w:id="3" w:name="_Hlk3376976"/>
    </w:p>
    <w:p w14:paraId="52812D6A" w14:textId="0B7C4D25" w:rsidR="002175D2" w:rsidRPr="002175D2" w:rsidRDefault="00642E83" w:rsidP="00E83804">
      <w:pPr>
        <w:spacing w:after="120" w:line="240" w:lineRule="auto"/>
        <w:jc w:val="both"/>
        <w:rPr>
          <w:rFonts w:cs="Calibri"/>
        </w:rPr>
      </w:pPr>
      <w:bookmarkStart w:id="4" w:name="_Hlk34213821"/>
      <w:r>
        <w:rPr>
          <w:rFonts w:cs="Calibri"/>
        </w:rPr>
        <w:t>Οι πωλήσεις αυξήθηκαν</w:t>
      </w:r>
      <w:r w:rsidR="002175D2" w:rsidRPr="002175D2">
        <w:rPr>
          <w:rFonts w:cs="Calibri"/>
        </w:rPr>
        <w:t xml:space="preserve"> κατά 21% σε</w:t>
      </w:r>
      <w:r>
        <w:rPr>
          <w:rFonts w:cs="Calibri"/>
        </w:rPr>
        <w:t xml:space="preserve"> σχέση με το πρώτο εξάμηνο του προηγούμενου έτους και ανήλθαν σε</w:t>
      </w:r>
      <w:r w:rsidR="002175D2" w:rsidRPr="002175D2">
        <w:rPr>
          <w:rFonts w:cs="Calibri"/>
        </w:rPr>
        <w:t xml:space="preserve"> 798</w:t>
      </w:r>
      <w:r w:rsidR="00B45003">
        <w:rPr>
          <w:rFonts w:cs="Calibri"/>
        </w:rPr>
        <w:t> </w:t>
      </w:r>
      <w:r w:rsidR="002175D2" w:rsidRPr="002175D2">
        <w:rPr>
          <w:rFonts w:cs="Calibri"/>
        </w:rPr>
        <w:t>εκατ.</w:t>
      </w:r>
      <w:r w:rsidR="00B45003">
        <w:rPr>
          <w:rFonts w:cs="Calibri"/>
        </w:rPr>
        <w:t> </w:t>
      </w:r>
      <w:r w:rsidR="002175D2" w:rsidRPr="002175D2">
        <w:rPr>
          <w:rFonts w:cs="Calibri"/>
        </w:rPr>
        <w:t>ευρώ, με το β' τρίμηνο του 2023 να είναι 16% υψηλότερ</w:t>
      </w:r>
      <w:r w:rsidR="00B45003">
        <w:rPr>
          <w:rFonts w:cs="Calibri"/>
        </w:rPr>
        <w:t>ο</w:t>
      </w:r>
      <w:r w:rsidR="002175D2" w:rsidRPr="002175D2">
        <w:rPr>
          <w:rFonts w:cs="Calibri"/>
        </w:rPr>
        <w:t xml:space="preserve"> από το αντίστοιχο τρίμηνο του 2022 και 9% υψηλότερ</w:t>
      </w:r>
      <w:r w:rsidR="00B45003">
        <w:rPr>
          <w:rFonts w:cs="Calibri"/>
        </w:rPr>
        <w:t>ο</w:t>
      </w:r>
      <w:r w:rsidR="002175D2" w:rsidRPr="002175D2">
        <w:rPr>
          <w:rFonts w:cs="Calibri"/>
        </w:rPr>
        <w:t xml:space="preserve"> από το α' τρίμηνο του 2023. </w:t>
      </w:r>
      <w:r w:rsidR="00B45003">
        <w:rPr>
          <w:rFonts w:cs="Calibri"/>
        </w:rPr>
        <w:t xml:space="preserve"> </w:t>
      </w:r>
      <w:r w:rsidR="002175D2" w:rsidRPr="002175D2">
        <w:rPr>
          <w:rFonts w:cs="Calibri"/>
        </w:rPr>
        <w:t xml:space="preserve">Στον </w:t>
      </w:r>
      <w:r w:rsidR="00B45003">
        <w:rPr>
          <w:rFonts w:cs="Calibri"/>
        </w:rPr>
        <w:t>τομέα</w:t>
      </w:r>
      <w:r w:rsidR="002175D2" w:rsidRPr="002175D2">
        <w:rPr>
          <w:rFonts w:cs="Calibri"/>
        </w:rPr>
        <w:t xml:space="preserve"> καλωδίων,</w:t>
      </w:r>
      <w:r>
        <w:rPr>
          <w:rFonts w:cs="Calibri"/>
        </w:rPr>
        <w:t xml:space="preserve"> το</w:t>
      </w:r>
      <w:r w:rsidR="002175D2" w:rsidRPr="002175D2">
        <w:rPr>
          <w:rFonts w:cs="Calibri"/>
        </w:rPr>
        <w:t xml:space="preserve"> βελτιωμένο </w:t>
      </w:r>
      <w:r w:rsidR="00B45003">
        <w:rPr>
          <w:rFonts w:cs="Calibri"/>
        </w:rPr>
        <w:t xml:space="preserve">προϊοντικό </w:t>
      </w:r>
      <w:r w:rsidR="002175D2" w:rsidRPr="002175D2">
        <w:rPr>
          <w:rFonts w:cs="Calibri"/>
        </w:rPr>
        <w:t xml:space="preserve">μείγμα </w:t>
      </w:r>
      <w:r>
        <w:rPr>
          <w:rFonts w:cs="Calibri"/>
        </w:rPr>
        <w:t xml:space="preserve">αύξησε τις πωλήσεις </w:t>
      </w:r>
      <w:r w:rsidR="002175D2" w:rsidRPr="002175D2">
        <w:rPr>
          <w:rFonts w:cs="Calibri"/>
        </w:rPr>
        <w:t xml:space="preserve">του </w:t>
      </w:r>
      <w:r w:rsidR="00B45003">
        <w:rPr>
          <w:rFonts w:cs="Calibri"/>
        </w:rPr>
        <w:t>τομέα</w:t>
      </w:r>
      <w:r w:rsidR="002175D2" w:rsidRPr="002175D2">
        <w:rPr>
          <w:rFonts w:cs="Calibri"/>
        </w:rPr>
        <w:t xml:space="preserve"> κατά 6% (+15% στα </w:t>
      </w:r>
      <w:r>
        <w:rPr>
          <w:rFonts w:cs="Calibri"/>
        </w:rPr>
        <w:t>καλωδιακά έργα</w:t>
      </w:r>
      <w:r w:rsidR="002175D2" w:rsidRPr="002175D2">
        <w:rPr>
          <w:rFonts w:cs="Calibri"/>
        </w:rPr>
        <w:t xml:space="preserve"> και +6% στα </w:t>
      </w:r>
      <w:r w:rsidR="00F72836">
        <w:rPr>
          <w:rFonts w:cs="Calibri"/>
        </w:rPr>
        <w:t>προϊόντα καλωδίων</w:t>
      </w:r>
      <w:r w:rsidR="002175D2" w:rsidRPr="002175D2">
        <w:rPr>
          <w:rFonts w:cs="Calibri"/>
        </w:rPr>
        <w:t xml:space="preserve"> ενέργειας και τηλεπικοινωνιών), ενώ </w:t>
      </w:r>
      <w:r>
        <w:rPr>
          <w:rFonts w:cs="Calibri"/>
        </w:rPr>
        <w:t xml:space="preserve">ο </w:t>
      </w:r>
      <w:r w:rsidR="00B45003">
        <w:rPr>
          <w:rFonts w:cs="Calibri"/>
        </w:rPr>
        <w:t>τομέας</w:t>
      </w:r>
      <w:r>
        <w:rPr>
          <w:rFonts w:cs="Calibri"/>
        </w:rPr>
        <w:t xml:space="preserve"> σωλήνων χάλυβα </w:t>
      </w:r>
      <w:r w:rsidR="002175D2" w:rsidRPr="002175D2">
        <w:rPr>
          <w:rFonts w:cs="Calibri"/>
        </w:rPr>
        <w:t>πέτυχ</w:t>
      </w:r>
      <w:r>
        <w:rPr>
          <w:rFonts w:cs="Calibri"/>
        </w:rPr>
        <w:t>ε</w:t>
      </w:r>
      <w:r w:rsidR="002175D2" w:rsidRPr="002175D2">
        <w:rPr>
          <w:rFonts w:cs="Calibri"/>
        </w:rPr>
        <w:t xml:space="preserve"> αύξηση </w:t>
      </w:r>
      <w:r>
        <w:rPr>
          <w:rFonts w:cs="Calibri"/>
        </w:rPr>
        <w:t>πωλήσεων</w:t>
      </w:r>
      <w:r w:rsidR="002175D2" w:rsidRPr="002175D2">
        <w:rPr>
          <w:rFonts w:cs="Calibri"/>
        </w:rPr>
        <w:t xml:space="preserve"> κατά περίπου </w:t>
      </w:r>
      <w:r w:rsidR="000F076F" w:rsidRPr="000F076F">
        <w:rPr>
          <w:rFonts w:cs="Calibri"/>
        </w:rPr>
        <w:t>59</w:t>
      </w:r>
      <w:r w:rsidR="002175D2" w:rsidRPr="002175D2">
        <w:rPr>
          <w:rFonts w:cs="Calibri"/>
        </w:rPr>
        <w:t>% σ</w:t>
      </w:r>
      <w:r>
        <w:rPr>
          <w:rFonts w:cs="Calibri"/>
        </w:rPr>
        <w:t>ε σχέση με την αντίστοιχη περσινή περίοδο</w:t>
      </w:r>
      <w:r w:rsidR="002175D2" w:rsidRPr="002175D2">
        <w:rPr>
          <w:rFonts w:cs="Calibri"/>
        </w:rPr>
        <w:t>, γεγονός που</w:t>
      </w:r>
      <w:r>
        <w:rPr>
          <w:rFonts w:cs="Calibri"/>
        </w:rPr>
        <w:t xml:space="preserve"> απεικονίζει τη</w:t>
      </w:r>
      <w:r w:rsidR="00B45003">
        <w:rPr>
          <w:rFonts w:cs="Calibri"/>
        </w:rPr>
        <w:t xml:space="preserve"> γενικότερη</w:t>
      </w:r>
      <w:r>
        <w:rPr>
          <w:rFonts w:cs="Calibri"/>
        </w:rPr>
        <w:t xml:space="preserve"> ανοδική τάση του</w:t>
      </w:r>
      <w:r w:rsidR="002175D2" w:rsidRPr="002175D2">
        <w:rPr>
          <w:rFonts w:cs="Calibri"/>
        </w:rPr>
        <w:t>.</w:t>
      </w:r>
    </w:p>
    <w:p w14:paraId="599BB231" w14:textId="7A8BDD55" w:rsidR="00642E83" w:rsidRPr="00642E83" w:rsidRDefault="00642E83" w:rsidP="00E83804">
      <w:pPr>
        <w:spacing w:after="120" w:line="240" w:lineRule="auto"/>
        <w:jc w:val="both"/>
        <w:rPr>
          <w:rFonts w:cs="Calibri"/>
        </w:rPr>
      </w:pPr>
      <w:r w:rsidRPr="00642E83">
        <w:rPr>
          <w:rFonts w:cs="Calibri"/>
        </w:rPr>
        <w:t xml:space="preserve">Με </w:t>
      </w:r>
      <w:r w:rsidR="00281CFA">
        <w:rPr>
          <w:rFonts w:cs="Calibri"/>
        </w:rPr>
        <w:t>βασικούς άξονες</w:t>
      </w:r>
      <w:r w:rsidRPr="00642E83">
        <w:rPr>
          <w:rFonts w:cs="Calibri"/>
        </w:rPr>
        <w:t xml:space="preserve"> τη μεγάλη αύξηση των πωλήσεων και τη βελτίωση των περιθωρίων κέρδους</w:t>
      </w:r>
      <w:r>
        <w:rPr>
          <w:rFonts w:cs="Calibri"/>
        </w:rPr>
        <w:t xml:space="preserve"> στον </w:t>
      </w:r>
      <w:r w:rsidR="00B80DE8">
        <w:rPr>
          <w:rFonts w:cs="Calibri"/>
        </w:rPr>
        <w:t>τομέα</w:t>
      </w:r>
      <w:r>
        <w:rPr>
          <w:rFonts w:cs="Calibri"/>
        </w:rPr>
        <w:t xml:space="preserve"> σωλήνων χάλυβα</w:t>
      </w:r>
      <w:r w:rsidRPr="00642E83">
        <w:rPr>
          <w:rFonts w:cs="Calibri"/>
        </w:rPr>
        <w:t>, τ</w:t>
      </w:r>
      <w:r>
        <w:rPr>
          <w:rFonts w:cs="Calibri"/>
        </w:rPr>
        <w:t>ο</w:t>
      </w:r>
      <w:r w:rsidRPr="00642E83">
        <w:rPr>
          <w:rFonts w:cs="Calibri"/>
        </w:rPr>
        <w:t xml:space="preserve"> </w:t>
      </w:r>
      <w:r w:rsidRPr="00642E83">
        <w:rPr>
          <w:rFonts w:cs="Calibri"/>
          <w:b/>
          <w:bCs/>
        </w:rPr>
        <w:t>αναπροσαρμοσμέν</w:t>
      </w:r>
      <w:r>
        <w:rPr>
          <w:rFonts w:cs="Calibri"/>
          <w:b/>
          <w:bCs/>
        </w:rPr>
        <w:t>ο</w:t>
      </w:r>
      <w:r w:rsidRPr="00642E83">
        <w:rPr>
          <w:rFonts w:cs="Calibri"/>
          <w:b/>
          <w:bCs/>
        </w:rPr>
        <w:t xml:space="preserve"> EBITDA</w:t>
      </w:r>
      <w:r w:rsidRPr="00642E83">
        <w:rPr>
          <w:rFonts w:cs="Calibri"/>
        </w:rPr>
        <w:t xml:space="preserve"> ανήλθ</w:t>
      </w:r>
      <w:r>
        <w:rPr>
          <w:rFonts w:cs="Calibri"/>
        </w:rPr>
        <w:t>ε</w:t>
      </w:r>
      <w:r w:rsidRPr="00642E83">
        <w:rPr>
          <w:rFonts w:cs="Calibri"/>
        </w:rPr>
        <w:t xml:space="preserve"> σε 86,</w:t>
      </w:r>
      <w:r w:rsidR="000F076F" w:rsidRPr="000F076F">
        <w:rPr>
          <w:rFonts w:cs="Calibri"/>
        </w:rPr>
        <w:t>1</w:t>
      </w:r>
      <w:r w:rsidR="00082910">
        <w:rPr>
          <w:rFonts w:cs="Calibri"/>
        </w:rPr>
        <w:t> </w:t>
      </w:r>
      <w:r w:rsidRPr="00642E83">
        <w:rPr>
          <w:rFonts w:cs="Calibri"/>
        </w:rPr>
        <w:t>εκατ.</w:t>
      </w:r>
      <w:r w:rsidR="00082910">
        <w:rPr>
          <w:rFonts w:cs="Calibri"/>
        </w:rPr>
        <w:t> </w:t>
      </w:r>
      <w:r w:rsidRPr="00642E83">
        <w:rPr>
          <w:rFonts w:cs="Calibri"/>
        </w:rPr>
        <w:t xml:space="preserve">ευρώ το πρώτο εξάμηνο του 2023 (+67% σε </w:t>
      </w:r>
      <w:r>
        <w:rPr>
          <w:rFonts w:cs="Calibri"/>
        </w:rPr>
        <w:t>σχέση με το πρώτο εξάμηνο του 2022</w:t>
      </w:r>
      <w:r w:rsidRPr="00642E83">
        <w:rPr>
          <w:rFonts w:cs="Calibri"/>
        </w:rPr>
        <w:t xml:space="preserve">), ενώ η τριμηνιαία λειτουργική κερδοφορία </w:t>
      </w:r>
      <w:r w:rsidRPr="00BB4653">
        <w:rPr>
          <w:rFonts w:cs="Calibri"/>
        </w:rPr>
        <w:t xml:space="preserve">αυξήθηκε κατά 45% σε σχέση με το αντίστοιχο τρίμηνο της προηγούμενης χρήσης. </w:t>
      </w:r>
      <w:r w:rsidR="00082910">
        <w:rPr>
          <w:rFonts w:cs="Calibri"/>
        </w:rPr>
        <w:t xml:space="preserve"> </w:t>
      </w:r>
      <w:r w:rsidRPr="00BB4653">
        <w:rPr>
          <w:rFonts w:cs="Calibri"/>
        </w:rPr>
        <w:t>Τα υψηλότερα</w:t>
      </w:r>
      <w:r w:rsidRPr="00642E83">
        <w:rPr>
          <w:rFonts w:cs="Calibri"/>
        </w:rPr>
        <w:t xml:space="preserve"> περιθώρια κέρδους που επιτεύχθηκαν κατά το πρώτο εξάμηνο του έτους επιβεβ</w:t>
      </w:r>
      <w:r w:rsidR="00BF1F1E">
        <w:rPr>
          <w:rFonts w:cs="Calibri"/>
        </w:rPr>
        <w:t xml:space="preserve">αιώνουν ότι </w:t>
      </w:r>
      <w:r w:rsidR="00082910">
        <w:rPr>
          <w:rFonts w:cs="Calibri"/>
        </w:rPr>
        <w:t xml:space="preserve">και </w:t>
      </w:r>
      <w:r w:rsidR="00BF1F1E">
        <w:rPr>
          <w:rFonts w:cs="Calibri"/>
        </w:rPr>
        <w:t xml:space="preserve">οι δύο </w:t>
      </w:r>
      <w:r w:rsidR="00082910">
        <w:rPr>
          <w:rFonts w:cs="Calibri"/>
        </w:rPr>
        <w:t>τομείς</w:t>
      </w:r>
      <w:r w:rsidR="00BF1F1E">
        <w:rPr>
          <w:rFonts w:cs="Calibri"/>
        </w:rPr>
        <w:t xml:space="preserve"> επικεντρώνο</w:t>
      </w:r>
      <w:r w:rsidR="00082910">
        <w:rPr>
          <w:rFonts w:cs="Calibri"/>
        </w:rPr>
        <w:t xml:space="preserve">νται </w:t>
      </w:r>
      <w:r w:rsidRPr="00642E83">
        <w:rPr>
          <w:rFonts w:cs="Calibri"/>
        </w:rPr>
        <w:t xml:space="preserve">σε προϊόντα υψηλής προστιθέμενης αξίας </w:t>
      </w:r>
      <w:r w:rsidR="00082910">
        <w:rPr>
          <w:rFonts w:cs="Calibri"/>
        </w:rPr>
        <w:t xml:space="preserve">αλλά και </w:t>
      </w:r>
      <w:r w:rsidRPr="00642E83">
        <w:rPr>
          <w:rFonts w:cs="Calibri"/>
        </w:rPr>
        <w:t xml:space="preserve">την ικανότητα </w:t>
      </w:r>
      <w:r>
        <w:rPr>
          <w:rFonts w:cs="Calibri"/>
        </w:rPr>
        <w:t xml:space="preserve">του </w:t>
      </w:r>
      <w:r w:rsidR="00082910">
        <w:rPr>
          <w:rFonts w:cs="Calibri"/>
        </w:rPr>
        <w:t xml:space="preserve">τομέα </w:t>
      </w:r>
      <w:r>
        <w:rPr>
          <w:rFonts w:cs="Calibri"/>
        </w:rPr>
        <w:t>σωλήνων χάλυβα</w:t>
      </w:r>
      <w:r w:rsidRPr="00642E83">
        <w:rPr>
          <w:rFonts w:cs="Calibri"/>
        </w:rPr>
        <w:t xml:space="preserve"> να ωφεληθ</w:t>
      </w:r>
      <w:r w:rsidR="00BF1F1E">
        <w:rPr>
          <w:rFonts w:cs="Calibri"/>
        </w:rPr>
        <w:t>εί</w:t>
      </w:r>
      <w:r w:rsidRPr="00642E83">
        <w:rPr>
          <w:rFonts w:cs="Calibri"/>
        </w:rPr>
        <w:t xml:space="preserve"> από τις βελτιωμένες συνθήκες της αγοράς.</w:t>
      </w:r>
    </w:p>
    <w:p w14:paraId="20C8A357" w14:textId="786F2B8E" w:rsidR="00BB4653" w:rsidRPr="00BB4653" w:rsidRDefault="00BB4653" w:rsidP="008D2AC8">
      <w:pPr>
        <w:spacing w:after="120" w:line="240" w:lineRule="auto"/>
        <w:jc w:val="both"/>
        <w:rPr>
          <w:rFonts w:cs="Calibri"/>
        </w:rPr>
      </w:pPr>
      <w:r w:rsidRPr="00BB4653">
        <w:rPr>
          <w:rFonts w:cs="Calibri"/>
        </w:rPr>
        <w:t>Το καθαρό χρηματοοικονομικό κόστος αυξήθηκε σημαντικά και ανήλθε σε 34</w:t>
      </w:r>
      <w:r w:rsidR="00082910">
        <w:rPr>
          <w:rFonts w:cs="Calibri"/>
        </w:rPr>
        <w:t> </w:t>
      </w:r>
      <w:r w:rsidRPr="00BB4653">
        <w:rPr>
          <w:rFonts w:cs="Calibri"/>
        </w:rPr>
        <w:t>εκατ.</w:t>
      </w:r>
      <w:r w:rsidR="00082910">
        <w:rPr>
          <w:rFonts w:cs="Calibri"/>
        </w:rPr>
        <w:t> </w:t>
      </w:r>
      <w:r w:rsidRPr="00BB4653">
        <w:rPr>
          <w:rFonts w:cs="Calibri"/>
        </w:rPr>
        <w:t>ευρώ το πρώτο εξάμηνο, έναντι 14,4</w:t>
      </w:r>
      <w:r w:rsidR="00082910">
        <w:rPr>
          <w:rFonts w:cs="Calibri"/>
        </w:rPr>
        <w:t> </w:t>
      </w:r>
      <w:r w:rsidRPr="00BB4653">
        <w:rPr>
          <w:rFonts w:cs="Calibri"/>
        </w:rPr>
        <w:t>εκατ.</w:t>
      </w:r>
      <w:r w:rsidR="00082910">
        <w:rPr>
          <w:rFonts w:cs="Calibri"/>
        </w:rPr>
        <w:t> </w:t>
      </w:r>
      <w:r w:rsidRPr="00BB4653">
        <w:rPr>
          <w:rFonts w:cs="Calibri"/>
        </w:rPr>
        <w:t xml:space="preserve">ευρώ </w:t>
      </w:r>
      <w:r>
        <w:rPr>
          <w:rFonts w:cs="Calibri"/>
        </w:rPr>
        <w:t>την αντίστοιχη περσινή περίοδο</w:t>
      </w:r>
      <w:r w:rsidRPr="00BB4653">
        <w:rPr>
          <w:rFonts w:cs="Calibri"/>
        </w:rPr>
        <w:t xml:space="preserve">. </w:t>
      </w:r>
      <w:r w:rsidR="00082910">
        <w:rPr>
          <w:rFonts w:cs="Calibri"/>
        </w:rPr>
        <w:t xml:space="preserve"> </w:t>
      </w:r>
      <w:r w:rsidRPr="00BB4653">
        <w:rPr>
          <w:rFonts w:cs="Calibri"/>
        </w:rPr>
        <w:t xml:space="preserve">Η αύξηση οφείλεται, </w:t>
      </w:r>
      <w:r w:rsidR="00082910">
        <w:rPr>
          <w:rFonts w:cs="Calibri"/>
        </w:rPr>
        <w:t>κυρίως</w:t>
      </w:r>
      <w:r w:rsidRPr="00BB4653">
        <w:rPr>
          <w:rFonts w:cs="Calibri"/>
        </w:rPr>
        <w:t xml:space="preserve">, στο υψηλότερο </w:t>
      </w:r>
      <w:r w:rsidR="00A0213F">
        <w:rPr>
          <w:rFonts w:cs="Calibri"/>
        </w:rPr>
        <w:t>κόστος δανεισμού</w:t>
      </w:r>
      <w:r w:rsidRPr="00BB4653">
        <w:rPr>
          <w:rFonts w:cs="Calibri"/>
        </w:rPr>
        <w:t>, καθώς οι αυξήσεις των επιτοκίων εντάθηκαν</w:t>
      </w:r>
      <w:r w:rsidR="00A833E8" w:rsidRPr="00A833E8">
        <w:rPr>
          <w:rFonts w:cs="Calibri"/>
        </w:rPr>
        <w:t xml:space="preserve"> </w:t>
      </w:r>
      <w:r w:rsidR="00A833E8" w:rsidRPr="00BB4653">
        <w:rPr>
          <w:rFonts w:cs="Calibri"/>
        </w:rPr>
        <w:t>το πρώτο εξάμηνο του 2023</w:t>
      </w:r>
      <w:r w:rsidRPr="00BB4653">
        <w:rPr>
          <w:rFonts w:cs="Calibri"/>
        </w:rPr>
        <w:t xml:space="preserve"> με τη</w:t>
      </w:r>
      <w:r w:rsidR="00A833E8">
        <w:rPr>
          <w:rFonts w:cs="Calibri"/>
        </w:rPr>
        <w:t xml:space="preserve">ν αυστηρότερη νομισματική πολιτική </w:t>
      </w:r>
      <w:r w:rsidR="009D2042">
        <w:rPr>
          <w:rFonts w:cs="Calibri"/>
        </w:rPr>
        <w:t xml:space="preserve">που επιβλήθηκε </w:t>
      </w:r>
      <w:r w:rsidR="00A833E8">
        <w:rPr>
          <w:rFonts w:cs="Calibri"/>
        </w:rPr>
        <w:t>παγκοσμίως</w:t>
      </w:r>
      <w:r w:rsidRPr="00BB4653">
        <w:rPr>
          <w:rFonts w:cs="Calibri"/>
        </w:rPr>
        <w:t xml:space="preserve">. </w:t>
      </w:r>
      <w:r w:rsidR="00082910">
        <w:rPr>
          <w:rFonts w:cs="Calibri"/>
        </w:rPr>
        <w:t xml:space="preserve"> </w:t>
      </w:r>
      <w:r w:rsidRPr="00BB4653">
        <w:rPr>
          <w:rFonts w:cs="Calibri"/>
        </w:rPr>
        <w:t xml:space="preserve">Αξίζει να σημειωθεί ότι, </w:t>
      </w:r>
      <w:r w:rsidR="00082910">
        <w:rPr>
          <w:rFonts w:cs="Calibri"/>
        </w:rPr>
        <w:t xml:space="preserve">παρόλο που </w:t>
      </w:r>
      <w:r w:rsidRPr="00BB4653">
        <w:rPr>
          <w:rFonts w:cs="Calibri"/>
        </w:rPr>
        <w:t>τα πιστωτικά περιθώρια</w:t>
      </w:r>
      <w:r w:rsidR="009D2042">
        <w:rPr>
          <w:rFonts w:cs="Calibri"/>
        </w:rPr>
        <w:t xml:space="preserve"> («</w:t>
      </w:r>
      <w:r w:rsidR="009D2042">
        <w:rPr>
          <w:rFonts w:cs="Calibri"/>
          <w:lang w:val="en-US"/>
        </w:rPr>
        <w:t>credit</w:t>
      </w:r>
      <w:r w:rsidR="009D2042" w:rsidRPr="009D2042">
        <w:rPr>
          <w:rFonts w:cs="Calibri"/>
        </w:rPr>
        <w:t xml:space="preserve"> </w:t>
      </w:r>
      <w:r w:rsidR="009D2042">
        <w:rPr>
          <w:rFonts w:cs="Calibri"/>
          <w:lang w:val="en-US"/>
        </w:rPr>
        <w:t>spreads</w:t>
      </w:r>
      <w:r w:rsidR="009D2042">
        <w:rPr>
          <w:rFonts w:cs="Calibri"/>
        </w:rPr>
        <w:t>»)</w:t>
      </w:r>
      <w:r w:rsidRPr="00BB4653">
        <w:rPr>
          <w:rFonts w:cs="Calibri"/>
        </w:rPr>
        <w:t xml:space="preserve"> για όλες τις θυγατρικές</w:t>
      </w:r>
      <w:r w:rsidR="009D2042">
        <w:rPr>
          <w:rFonts w:cs="Calibri"/>
        </w:rPr>
        <w:t xml:space="preserve"> του Ομίλου</w:t>
      </w:r>
      <w:r w:rsidRPr="00BB4653">
        <w:rPr>
          <w:rFonts w:cs="Calibri"/>
        </w:rPr>
        <w:t xml:space="preserve"> παρέμειναν σταθερά ή και μειώθηκαν ελαφρώς κατά το πρώτο εξάμηνο, το </w:t>
      </w:r>
      <w:r w:rsidR="00082910">
        <w:rPr>
          <w:rFonts w:cs="Calibri"/>
        </w:rPr>
        <w:t xml:space="preserve">πολύ υψηλότερο </w:t>
      </w:r>
      <w:r w:rsidRPr="00BB4653">
        <w:rPr>
          <w:rFonts w:cs="Calibri"/>
        </w:rPr>
        <w:t xml:space="preserve">επιτόκιο αναφοράς </w:t>
      </w:r>
      <w:proofErr w:type="spellStart"/>
      <w:r w:rsidRPr="00BB4653">
        <w:rPr>
          <w:rFonts w:cs="Calibri"/>
        </w:rPr>
        <w:t>Euribor</w:t>
      </w:r>
      <w:proofErr w:type="spellEnd"/>
      <w:r w:rsidRPr="00BB4653">
        <w:rPr>
          <w:rFonts w:cs="Calibri"/>
        </w:rPr>
        <w:t xml:space="preserve"> </w:t>
      </w:r>
      <w:r w:rsidR="009D2042">
        <w:rPr>
          <w:rFonts w:cs="Calibri"/>
        </w:rPr>
        <w:t>τριών</w:t>
      </w:r>
      <w:r w:rsidRPr="00BB4653">
        <w:rPr>
          <w:rFonts w:cs="Calibri"/>
        </w:rPr>
        <w:t xml:space="preserve"> μηνών (από -0,176% την 1/7/22 σε 3,577% στις 30/6/23)</w:t>
      </w:r>
      <w:r w:rsidR="00082910">
        <w:rPr>
          <w:rFonts w:cs="Calibri"/>
        </w:rPr>
        <w:t xml:space="preserve"> αύξησε πολύ το μέσο κόστος δανεισμού</w:t>
      </w:r>
      <w:r w:rsidRPr="00BB4653">
        <w:rPr>
          <w:rFonts w:cs="Calibri"/>
        </w:rPr>
        <w:t>.</w:t>
      </w:r>
    </w:p>
    <w:p w14:paraId="4F330FA5" w14:textId="20759CEC" w:rsidR="005763B8" w:rsidRPr="005763B8" w:rsidRDefault="00082910" w:rsidP="008D2AC8">
      <w:pPr>
        <w:spacing w:after="120" w:line="240" w:lineRule="auto"/>
        <w:jc w:val="both"/>
        <w:rPr>
          <w:rFonts w:cs="Calibri"/>
        </w:rPr>
      </w:pPr>
      <w:r>
        <w:rPr>
          <w:rFonts w:cs="Calibri"/>
        </w:rPr>
        <w:t>Παράλληλα, σημειώθηκε και μια αύξηση στον</w:t>
      </w:r>
      <w:r w:rsidRPr="005763B8">
        <w:rPr>
          <w:rFonts w:cs="Calibri"/>
        </w:rPr>
        <w:t xml:space="preserve"> καθαρ</w:t>
      </w:r>
      <w:r>
        <w:rPr>
          <w:rFonts w:cs="Calibri"/>
        </w:rPr>
        <w:t>ό</w:t>
      </w:r>
      <w:r w:rsidRPr="005763B8">
        <w:rPr>
          <w:rFonts w:cs="Calibri"/>
        </w:rPr>
        <w:t xml:space="preserve"> </w:t>
      </w:r>
      <w:r>
        <w:rPr>
          <w:rFonts w:cs="Calibri"/>
        </w:rPr>
        <w:t>δανεισμό από τις</w:t>
      </w:r>
      <w:r w:rsidR="005763B8" w:rsidRPr="005763B8">
        <w:rPr>
          <w:rFonts w:cs="Calibri"/>
        </w:rPr>
        <w:t xml:space="preserve"> συνεχιζόμενες επενδύσεις στον </w:t>
      </w:r>
      <w:r>
        <w:rPr>
          <w:rFonts w:cs="Calibri"/>
        </w:rPr>
        <w:t>τομέα</w:t>
      </w:r>
      <w:r w:rsidR="005763B8" w:rsidRPr="005763B8">
        <w:rPr>
          <w:rFonts w:cs="Calibri"/>
        </w:rPr>
        <w:t xml:space="preserve"> καλωδίων και </w:t>
      </w:r>
      <w:r>
        <w:rPr>
          <w:rFonts w:cs="Calibri"/>
        </w:rPr>
        <w:t xml:space="preserve">κάποιες μικρές </w:t>
      </w:r>
      <w:r w:rsidR="00566E11">
        <w:rPr>
          <w:rFonts w:cs="Calibri"/>
        </w:rPr>
        <w:t>αλλαγές στο</w:t>
      </w:r>
      <w:r w:rsidR="005763B8" w:rsidRPr="005763B8">
        <w:rPr>
          <w:rFonts w:cs="Calibri"/>
        </w:rPr>
        <w:t xml:space="preserve"> </w:t>
      </w:r>
      <w:r w:rsidR="00566E11" w:rsidRPr="005763B8">
        <w:rPr>
          <w:rFonts w:cs="Calibri"/>
        </w:rPr>
        <w:t>χρον</w:t>
      </w:r>
      <w:r>
        <w:rPr>
          <w:rFonts w:cs="Calibri"/>
        </w:rPr>
        <w:t xml:space="preserve">ισμό </w:t>
      </w:r>
      <w:r w:rsidRPr="005763B8">
        <w:rPr>
          <w:rFonts w:cs="Calibri"/>
        </w:rPr>
        <w:t>τιμολογήσ</w:t>
      </w:r>
      <w:r>
        <w:rPr>
          <w:rFonts w:cs="Calibri"/>
        </w:rPr>
        <w:t>εων</w:t>
      </w:r>
      <w:r w:rsidR="005763B8" w:rsidRPr="005763B8">
        <w:rPr>
          <w:rFonts w:cs="Calibri"/>
        </w:rPr>
        <w:t xml:space="preserve"> </w:t>
      </w:r>
      <w:r>
        <w:rPr>
          <w:rFonts w:cs="Calibri"/>
        </w:rPr>
        <w:t>για τους σωλήνες χ</w:t>
      </w:r>
      <w:r w:rsidR="005763B8">
        <w:rPr>
          <w:rFonts w:cs="Calibri"/>
        </w:rPr>
        <w:t>άλυβα</w:t>
      </w:r>
      <w:r w:rsidR="005763B8" w:rsidRPr="005763B8">
        <w:rPr>
          <w:rFonts w:cs="Calibri"/>
        </w:rPr>
        <w:t xml:space="preserve">, </w:t>
      </w:r>
      <w:r>
        <w:rPr>
          <w:rFonts w:cs="Calibri"/>
        </w:rPr>
        <w:t xml:space="preserve">πράγμα που επηρέασε </w:t>
      </w:r>
      <w:r w:rsidRPr="005763B8">
        <w:rPr>
          <w:rFonts w:cs="Calibri"/>
        </w:rPr>
        <w:t xml:space="preserve">το </w:t>
      </w:r>
      <w:r>
        <w:rPr>
          <w:rFonts w:cs="Calibri"/>
        </w:rPr>
        <w:t xml:space="preserve">συνολικό </w:t>
      </w:r>
      <w:r w:rsidRPr="00BB4653">
        <w:rPr>
          <w:rFonts w:cs="Calibri"/>
        </w:rPr>
        <w:t>χρηματοοικονομικό κόστος</w:t>
      </w:r>
      <w:r w:rsidR="00566E11">
        <w:rPr>
          <w:rFonts w:cs="Calibri"/>
        </w:rPr>
        <w:t>, αλλά σ</w:t>
      </w:r>
      <w:r w:rsidR="00566E11" w:rsidRPr="005763B8">
        <w:rPr>
          <w:rFonts w:cs="Calibri"/>
        </w:rPr>
        <w:t>ε μικρότερο βαθμό</w:t>
      </w:r>
      <w:r>
        <w:rPr>
          <w:rFonts w:cs="Calibri"/>
        </w:rPr>
        <w:t xml:space="preserve"> από τα επιτόκια</w:t>
      </w:r>
      <w:r w:rsidR="005763B8" w:rsidRPr="005763B8">
        <w:rPr>
          <w:rFonts w:cs="Calibri"/>
        </w:rPr>
        <w:t>.</w:t>
      </w:r>
      <w:r>
        <w:rPr>
          <w:rFonts w:cs="Calibri"/>
        </w:rPr>
        <w:t xml:space="preserve"> </w:t>
      </w:r>
      <w:r w:rsidR="005763B8" w:rsidRPr="005763B8">
        <w:rPr>
          <w:rFonts w:cs="Calibri"/>
        </w:rPr>
        <w:t xml:space="preserve"> Η αύξηση του καθαρού </w:t>
      </w:r>
      <w:r w:rsidR="005763B8">
        <w:rPr>
          <w:rFonts w:cs="Calibri"/>
        </w:rPr>
        <w:t>δανεισμού</w:t>
      </w:r>
      <w:r w:rsidR="005763B8" w:rsidRPr="005763B8">
        <w:rPr>
          <w:rFonts w:cs="Calibri"/>
        </w:rPr>
        <w:t xml:space="preserve"> αναμένεται να αντιστραφεί </w:t>
      </w:r>
      <w:r>
        <w:rPr>
          <w:rFonts w:cs="Calibri"/>
        </w:rPr>
        <w:t>σ</w:t>
      </w:r>
      <w:r w:rsidR="005763B8" w:rsidRPr="005763B8">
        <w:rPr>
          <w:rFonts w:cs="Calibri"/>
        </w:rPr>
        <w:t xml:space="preserve">το υπόλοιπο του έτους, καθώς </w:t>
      </w:r>
      <w:r>
        <w:rPr>
          <w:rFonts w:cs="Calibri"/>
        </w:rPr>
        <w:t>η αλληλουχία των πληρωμών (</w:t>
      </w:r>
      <w:r w:rsidRPr="00082910">
        <w:rPr>
          <w:rFonts w:cs="Calibri"/>
        </w:rPr>
        <w:t>“</w:t>
      </w:r>
      <w:r w:rsidR="00566E11">
        <w:rPr>
          <w:rFonts w:cs="Calibri"/>
          <w:lang w:val="en-GB"/>
        </w:rPr>
        <w:t>payment</w:t>
      </w:r>
      <w:r w:rsidR="00566E11" w:rsidRPr="00566E11">
        <w:rPr>
          <w:rFonts w:cs="Calibri"/>
        </w:rPr>
        <w:t xml:space="preserve"> </w:t>
      </w:r>
      <w:r w:rsidR="00566E11">
        <w:rPr>
          <w:rFonts w:cs="Calibri"/>
          <w:lang w:val="en-GB"/>
        </w:rPr>
        <w:t>milestones</w:t>
      </w:r>
      <w:r w:rsidRPr="00082910">
        <w:rPr>
          <w:rFonts w:cs="Calibri"/>
        </w:rPr>
        <w:t>”</w:t>
      </w:r>
      <w:r w:rsidR="00566E11">
        <w:rPr>
          <w:rFonts w:cs="Calibri"/>
        </w:rPr>
        <w:t>)</w:t>
      </w:r>
      <w:r w:rsidR="005763B8" w:rsidRPr="005763B8">
        <w:rPr>
          <w:rFonts w:cs="Calibri"/>
        </w:rPr>
        <w:t xml:space="preserve"> επανέρχ</w:t>
      </w:r>
      <w:r>
        <w:rPr>
          <w:rFonts w:cs="Calibri"/>
        </w:rPr>
        <w:t>ε</w:t>
      </w:r>
      <w:r w:rsidR="005763B8" w:rsidRPr="005763B8">
        <w:rPr>
          <w:rFonts w:cs="Calibri"/>
        </w:rPr>
        <w:t>ται σ</w:t>
      </w:r>
      <w:r>
        <w:rPr>
          <w:rFonts w:cs="Calibri"/>
        </w:rPr>
        <w:t>ε σειρά</w:t>
      </w:r>
      <w:r w:rsidR="005763B8" w:rsidRPr="005763B8">
        <w:rPr>
          <w:rFonts w:cs="Calibri"/>
        </w:rPr>
        <w:t>.</w:t>
      </w:r>
    </w:p>
    <w:bookmarkEnd w:id="4"/>
    <w:p w14:paraId="6CC22BEB" w14:textId="493E244D" w:rsidR="00393682" w:rsidRDefault="00393682" w:rsidP="00E83804">
      <w:pPr>
        <w:spacing w:after="120" w:line="240" w:lineRule="auto"/>
        <w:jc w:val="both"/>
      </w:pPr>
      <w:r>
        <w:t xml:space="preserve">Η ισχυρή λειτουργική κερδοφορία οδήγησε τα </w:t>
      </w:r>
      <w:r>
        <w:rPr>
          <w:b/>
        </w:rPr>
        <w:t xml:space="preserve">κέρδη προ φόρων </w:t>
      </w:r>
      <w:r>
        <w:t>σε επίπεδα 4</w:t>
      </w:r>
      <w:r w:rsidR="000F076F" w:rsidRPr="000F076F">
        <w:t>6</w:t>
      </w:r>
      <w:r>
        <w:t>% υψηλότερα από το προηγούμενο έτος (30,</w:t>
      </w:r>
      <w:r w:rsidR="00E94FCF" w:rsidRPr="00E94FCF">
        <w:t>9</w:t>
      </w:r>
      <w:r w:rsidR="00B070D2">
        <w:t> </w:t>
      </w:r>
      <w:r>
        <w:t>εκατ.</w:t>
      </w:r>
      <w:r w:rsidR="00B070D2">
        <w:t> </w:t>
      </w:r>
      <w:r>
        <w:t xml:space="preserve">ευρώ), </w:t>
      </w:r>
      <w:r w:rsidR="00C53441">
        <w:t>κυρ</w:t>
      </w:r>
      <w:r>
        <w:t xml:space="preserve">ίως </w:t>
      </w:r>
      <w:r w:rsidR="00725289">
        <w:t>προερχόμενη από τον</w:t>
      </w:r>
      <w:r>
        <w:t xml:space="preserve"> </w:t>
      </w:r>
      <w:r w:rsidR="00B070D2">
        <w:t>τομέα των</w:t>
      </w:r>
      <w:r>
        <w:t xml:space="preserve"> σωλήνων χάλυβα. </w:t>
      </w:r>
      <w:r w:rsidR="00B070D2">
        <w:t xml:space="preserve"> </w:t>
      </w:r>
      <w:r>
        <w:t xml:space="preserve">Τα </w:t>
      </w:r>
      <w:r>
        <w:rPr>
          <w:b/>
        </w:rPr>
        <w:t xml:space="preserve">κέρδη μετά από φόρους </w:t>
      </w:r>
      <w:r>
        <w:t>ανήλθαν στα 23,</w:t>
      </w:r>
      <w:r w:rsidR="000F076F" w:rsidRPr="000F076F">
        <w:t>6</w:t>
      </w:r>
      <w:r w:rsidR="00B070D2">
        <w:t> </w:t>
      </w:r>
      <w:r>
        <w:t>εκατ.</w:t>
      </w:r>
      <w:r w:rsidR="00B070D2">
        <w:t> </w:t>
      </w:r>
      <w:r>
        <w:t>ευρώ, από 18,5</w:t>
      </w:r>
      <w:r w:rsidR="00B070D2">
        <w:t> </w:t>
      </w:r>
      <w:r>
        <w:t>εκατ.</w:t>
      </w:r>
      <w:r w:rsidR="00B070D2">
        <w:t> </w:t>
      </w:r>
      <w:r>
        <w:t>ευρώ το πρώτο εξάμηνο του 2022 (2,9% των πωλήσεων).</w:t>
      </w:r>
    </w:p>
    <w:tbl>
      <w:tblPr>
        <w:tblW w:w="5000" w:type="pct"/>
        <w:tblLook w:val="04A0" w:firstRow="1" w:lastRow="0" w:firstColumn="1" w:lastColumn="0" w:noHBand="0" w:noVBand="1"/>
      </w:tblPr>
      <w:tblGrid>
        <w:gridCol w:w="5936"/>
        <w:gridCol w:w="222"/>
        <w:gridCol w:w="1686"/>
        <w:gridCol w:w="222"/>
        <w:gridCol w:w="1912"/>
      </w:tblGrid>
      <w:tr w:rsidR="003A027F" w:rsidRPr="009F49E2" w14:paraId="3F918DA2" w14:textId="77777777" w:rsidTr="00082910">
        <w:trPr>
          <w:trHeight w:val="270"/>
          <w:tblHeader/>
        </w:trPr>
        <w:tc>
          <w:tcPr>
            <w:tcW w:w="2975" w:type="pct"/>
            <w:tcBorders>
              <w:top w:val="nil"/>
              <w:left w:val="nil"/>
              <w:bottom w:val="single" w:sz="8" w:space="0" w:color="4F6228"/>
              <w:right w:val="nil"/>
            </w:tcBorders>
            <w:shd w:val="clear" w:color="auto" w:fill="auto"/>
            <w:noWrap/>
            <w:vAlign w:val="bottom"/>
            <w:hideMark/>
          </w:tcPr>
          <w:p w14:paraId="6115A99D" w14:textId="62B3F15D" w:rsidR="003A027F" w:rsidRPr="009F49E2" w:rsidRDefault="003A027F" w:rsidP="003A027F">
            <w:pPr>
              <w:spacing w:after="0" w:line="240" w:lineRule="auto"/>
              <w:rPr>
                <w:rFonts w:eastAsia="Times New Roman" w:cs="Calibri"/>
                <w:i/>
                <w:iCs/>
                <w:color w:val="000000"/>
                <w:sz w:val="20"/>
                <w:szCs w:val="20"/>
                <w:lang w:val="en-GB"/>
              </w:rPr>
            </w:pPr>
            <w:r w:rsidRPr="005460AF">
              <w:rPr>
                <w:rFonts w:eastAsia="MS Mincho"/>
                <w:i/>
                <w:color w:val="000000"/>
                <w:sz w:val="20"/>
                <w:szCs w:val="24"/>
              </w:rPr>
              <w:t>Ποσά σε χιλιάδες ευρώ</w:t>
            </w:r>
          </w:p>
        </w:tc>
        <w:tc>
          <w:tcPr>
            <w:tcW w:w="111" w:type="pct"/>
            <w:tcBorders>
              <w:top w:val="nil"/>
              <w:left w:val="nil"/>
              <w:bottom w:val="nil"/>
              <w:right w:val="nil"/>
            </w:tcBorders>
            <w:shd w:val="clear" w:color="000000" w:fill="FFFFFF"/>
            <w:noWrap/>
            <w:vAlign w:val="bottom"/>
          </w:tcPr>
          <w:p w14:paraId="1718D4B6" w14:textId="77777777" w:rsidR="003A027F" w:rsidRPr="009F49E2" w:rsidRDefault="003A027F" w:rsidP="003A027F">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bottom"/>
            <w:hideMark/>
          </w:tcPr>
          <w:p w14:paraId="2EA51A71" w14:textId="65D4D6B0" w:rsidR="003A027F" w:rsidRPr="009F49E2" w:rsidRDefault="003A027F" w:rsidP="003A027F">
            <w:pPr>
              <w:spacing w:after="0" w:line="240" w:lineRule="auto"/>
              <w:jc w:val="right"/>
              <w:rPr>
                <w:rFonts w:eastAsia="Times New Roman" w:cs="Calibri"/>
                <w:b/>
                <w:bCs/>
                <w:color w:val="000000"/>
                <w:sz w:val="20"/>
                <w:szCs w:val="20"/>
                <w:lang w:val="en-GB"/>
              </w:rPr>
            </w:pPr>
            <w:r w:rsidRPr="009259F9">
              <w:rPr>
                <w:rFonts w:eastAsia="Times New Roman" w:cs="Calibri"/>
                <w:b/>
                <w:bCs/>
                <w:color w:val="000000"/>
                <w:sz w:val="20"/>
                <w:szCs w:val="20"/>
                <w:lang w:val="en-GB"/>
              </w:rPr>
              <w:t>3</w:t>
            </w:r>
            <w:r>
              <w:rPr>
                <w:rFonts w:eastAsia="Times New Roman" w:cs="Calibri"/>
                <w:b/>
                <w:bCs/>
                <w:color w:val="000000"/>
                <w:sz w:val="20"/>
                <w:szCs w:val="20"/>
                <w:lang w:val="en-GB"/>
              </w:rPr>
              <w:t xml:space="preserve">0 </w:t>
            </w:r>
            <w:r>
              <w:rPr>
                <w:rFonts w:eastAsia="Times New Roman" w:cs="Calibri"/>
                <w:b/>
                <w:bCs/>
                <w:color w:val="000000"/>
                <w:sz w:val="20"/>
                <w:szCs w:val="20"/>
              </w:rPr>
              <w:t>Ιουνίου</w:t>
            </w:r>
            <w:r w:rsidRPr="009259F9">
              <w:rPr>
                <w:rFonts w:eastAsia="Times New Roman" w:cs="Calibri"/>
                <w:b/>
                <w:bCs/>
                <w:color w:val="000000"/>
                <w:sz w:val="20"/>
                <w:szCs w:val="20"/>
                <w:lang w:val="en-GB"/>
              </w:rPr>
              <w:t xml:space="preserve"> </w:t>
            </w:r>
            <w:r>
              <w:rPr>
                <w:rFonts w:eastAsia="Times New Roman" w:cs="Calibri"/>
                <w:b/>
                <w:bCs/>
                <w:color w:val="000000"/>
                <w:sz w:val="20"/>
                <w:szCs w:val="20"/>
                <w:lang w:val="en-GB"/>
              </w:rPr>
              <w:t>2023</w:t>
            </w:r>
          </w:p>
        </w:tc>
        <w:tc>
          <w:tcPr>
            <w:tcW w:w="111" w:type="pct"/>
            <w:tcBorders>
              <w:top w:val="nil"/>
              <w:left w:val="nil"/>
              <w:bottom w:val="nil"/>
              <w:right w:val="nil"/>
            </w:tcBorders>
            <w:shd w:val="clear" w:color="auto" w:fill="auto"/>
            <w:noWrap/>
            <w:vAlign w:val="bottom"/>
            <w:hideMark/>
          </w:tcPr>
          <w:p w14:paraId="0EF4301A" w14:textId="77777777" w:rsidR="003A027F" w:rsidRPr="009F49E2" w:rsidRDefault="003A027F" w:rsidP="003A027F">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48E6211F" w14:textId="0E083BCB" w:rsidR="003A027F" w:rsidRPr="009F49E2" w:rsidRDefault="003A027F" w:rsidP="003A027F">
            <w:pPr>
              <w:spacing w:after="0" w:line="240" w:lineRule="auto"/>
              <w:jc w:val="right"/>
              <w:rPr>
                <w:rFonts w:eastAsia="Times New Roman" w:cs="Calibri"/>
                <w:b/>
                <w:bCs/>
                <w:color w:val="000000"/>
                <w:sz w:val="20"/>
                <w:szCs w:val="20"/>
                <w:lang w:val="en-GB"/>
              </w:rPr>
            </w:pPr>
            <w:r>
              <w:rPr>
                <w:rFonts w:eastAsia="Times New Roman" w:cs="Calibri"/>
                <w:b/>
                <w:bCs/>
                <w:color w:val="000000"/>
                <w:sz w:val="20"/>
                <w:szCs w:val="20"/>
                <w:lang w:val="en-GB"/>
              </w:rPr>
              <w:t xml:space="preserve">31 </w:t>
            </w:r>
            <w:r>
              <w:rPr>
                <w:rFonts w:eastAsia="Times New Roman" w:cs="Calibri"/>
                <w:b/>
                <w:bCs/>
                <w:color w:val="000000"/>
                <w:sz w:val="20"/>
                <w:szCs w:val="20"/>
              </w:rPr>
              <w:t>Δεκεμβρίου</w:t>
            </w:r>
            <w:r>
              <w:rPr>
                <w:rFonts w:eastAsia="Times New Roman" w:cs="Calibri"/>
                <w:b/>
                <w:bCs/>
                <w:color w:val="000000"/>
                <w:sz w:val="20"/>
                <w:szCs w:val="20"/>
                <w:lang w:val="en-GB"/>
              </w:rPr>
              <w:t xml:space="preserve"> 2022</w:t>
            </w:r>
          </w:p>
        </w:tc>
      </w:tr>
      <w:tr w:rsidR="008E1BAC" w:rsidRPr="009F49E2" w14:paraId="4856EAED" w14:textId="77777777" w:rsidTr="00082910">
        <w:trPr>
          <w:trHeight w:val="255"/>
        </w:trPr>
        <w:tc>
          <w:tcPr>
            <w:tcW w:w="2975" w:type="pct"/>
            <w:tcBorders>
              <w:top w:val="nil"/>
              <w:left w:val="nil"/>
              <w:bottom w:val="nil"/>
              <w:right w:val="nil"/>
            </w:tcBorders>
            <w:shd w:val="clear" w:color="auto" w:fill="auto"/>
            <w:noWrap/>
            <w:vAlign w:val="bottom"/>
            <w:hideMark/>
          </w:tcPr>
          <w:p w14:paraId="4DF364DB" w14:textId="1704919E"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ΕΝΕΡΓΗΤΙΚΟ</w:t>
            </w:r>
          </w:p>
        </w:tc>
        <w:tc>
          <w:tcPr>
            <w:tcW w:w="111" w:type="pct"/>
            <w:tcBorders>
              <w:top w:val="nil"/>
              <w:left w:val="nil"/>
              <w:bottom w:val="nil"/>
              <w:right w:val="nil"/>
            </w:tcBorders>
            <w:shd w:val="clear" w:color="000000" w:fill="FFFFFF"/>
            <w:noWrap/>
            <w:vAlign w:val="bottom"/>
          </w:tcPr>
          <w:p w14:paraId="0D70F9B5"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bottom"/>
            <w:hideMark/>
          </w:tcPr>
          <w:p w14:paraId="4228478E" w14:textId="77777777" w:rsidR="008E1BAC" w:rsidRPr="009F49E2" w:rsidRDefault="008E1BAC" w:rsidP="008E1BAC">
            <w:pPr>
              <w:spacing w:after="0" w:line="240" w:lineRule="auto"/>
              <w:jc w:val="right"/>
              <w:rPr>
                <w:rFonts w:eastAsia="Times New Roman" w:cs="Calibri"/>
                <w:color w:val="000000"/>
                <w:sz w:val="20"/>
                <w:szCs w:val="20"/>
                <w:lang w:val="en-GB"/>
              </w:rPr>
            </w:pPr>
            <w:r w:rsidRPr="009F49E2">
              <w:rPr>
                <w:rFonts w:eastAsia="Times New Roman" w:cs="Calibri"/>
                <w:color w:val="000000"/>
                <w:sz w:val="20"/>
                <w:szCs w:val="20"/>
                <w:lang w:val="en-GB"/>
              </w:rPr>
              <w:t> </w:t>
            </w:r>
          </w:p>
        </w:tc>
        <w:tc>
          <w:tcPr>
            <w:tcW w:w="111" w:type="pct"/>
            <w:tcBorders>
              <w:top w:val="nil"/>
              <w:left w:val="nil"/>
              <w:bottom w:val="nil"/>
              <w:right w:val="nil"/>
            </w:tcBorders>
            <w:shd w:val="clear" w:color="auto" w:fill="auto"/>
            <w:noWrap/>
            <w:vAlign w:val="bottom"/>
            <w:hideMark/>
          </w:tcPr>
          <w:p w14:paraId="1E4DF246"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2F54192F" w14:textId="77777777" w:rsidR="008E1BAC" w:rsidRPr="009F49E2" w:rsidRDefault="008E1BAC" w:rsidP="008E1BAC">
            <w:pPr>
              <w:spacing w:after="0" w:line="240" w:lineRule="auto"/>
              <w:jc w:val="right"/>
              <w:rPr>
                <w:rFonts w:ascii="Times New Roman" w:eastAsia="Times New Roman" w:hAnsi="Times New Roman"/>
                <w:sz w:val="20"/>
                <w:szCs w:val="20"/>
                <w:lang w:val="en-GB"/>
              </w:rPr>
            </w:pPr>
            <w:r w:rsidRPr="009F49E2">
              <w:rPr>
                <w:rFonts w:eastAsia="Times New Roman" w:cs="Calibri"/>
                <w:color w:val="000000"/>
                <w:sz w:val="20"/>
                <w:szCs w:val="20"/>
                <w:lang w:val="en-GB"/>
              </w:rPr>
              <w:t> </w:t>
            </w:r>
          </w:p>
        </w:tc>
      </w:tr>
      <w:tr w:rsidR="008E1BAC" w:rsidRPr="009F49E2" w14:paraId="0DBB7136" w14:textId="77777777" w:rsidTr="00082910">
        <w:trPr>
          <w:trHeight w:val="255"/>
        </w:trPr>
        <w:tc>
          <w:tcPr>
            <w:tcW w:w="2975" w:type="pct"/>
            <w:tcBorders>
              <w:top w:val="nil"/>
              <w:left w:val="nil"/>
              <w:bottom w:val="nil"/>
              <w:right w:val="nil"/>
            </w:tcBorders>
            <w:shd w:val="clear" w:color="auto" w:fill="auto"/>
            <w:noWrap/>
            <w:vAlign w:val="bottom"/>
            <w:hideMark/>
          </w:tcPr>
          <w:p w14:paraId="497F718B" w14:textId="7DB582A4"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Ενσώματα πάγια</w:t>
            </w:r>
          </w:p>
        </w:tc>
        <w:tc>
          <w:tcPr>
            <w:tcW w:w="111" w:type="pct"/>
            <w:tcBorders>
              <w:top w:val="nil"/>
              <w:left w:val="nil"/>
              <w:bottom w:val="nil"/>
              <w:right w:val="nil"/>
            </w:tcBorders>
            <w:shd w:val="clear" w:color="000000" w:fill="FFFFFF"/>
            <w:noWrap/>
            <w:vAlign w:val="bottom"/>
          </w:tcPr>
          <w:p w14:paraId="3933CD78"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135E449F" w14:textId="70A00F28"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570</w:t>
            </w:r>
            <w:r w:rsidR="003A027F">
              <w:rPr>
                <w:rFonts w:cs="Calibri"/>
                <w:color w:val="000000"/>
                <w:sz w:val="20"/>
                <w:szCs w:val="20"/>
              </w:rPr>
              <w:t>.</w:t>
            </w:r>
            <w:r>
              <w:rPr>
                <w:rFonts w:cs="Calibri"/>
                <w:color w:val="000000"/>
                <w:sz w:val="20"/>
                <w:szCs w:val="20"/>
              </w:rPr>
              <w:t>628</w:t>
            </w:r>
          </w:p>
        </w:tc>
        <w:tc>
          <w:tcPr>
            <w:tcW w:w="111" w:type="pct"/>
            <w:tcBorders>
              <w:top w:val="nil"/>
              <w:left w:val="nil"/>
              <w:bottom w:val="nil"/>
              <w:right w:val="nil"/>
            </w:tcBorders>
            <w:shd w:val="clear" w:color="auto" w:fill="auto"/>
            <w:noWrap/>
            <w:vAlign w:val="bottom"/>
            <w:hideMark/>
          </w:tcPr>
          <w:p w14:paraId="227B3AF1"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6C90E559" w14:textId="0940708D"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526</w:t>
            </w:r>
            <w:r w:rsidR="003A027F">
              <w:rPr>
                <w:rFonts w:cs="Calibri"/>
                <w:color w:val="000000"/>
                <w:sz w:val="20"/>
                <w:szCs w:val="20"/>
              </w:rPr>
              <w:t>.</w:t>
            </w:r>
            <w:r>
              <w:rPr>
                <w:rFonts w:cs="Calibri"/>
                <w:color w:val="000000"/>
                <w:sz w:val="20"/>
                <w:szCs w:val="20"/>
              </w:rPr>
              <w:t>156</w:t>
            </w:r>
          </w:p>
        </w:tc>
      </w:tr>
      <w:tr w:rsidR="008E1BAC" w:rsidRPr="009F49E2" w14:paraId="67F49364" w14:textId="77777777" w:rsidTr="00082910">
        <w:trPr>
          <w:trHeight w:val="255"/>
        </w:trPr>
        <w:tc>
          <w:tcPr>
            <w:tcW w:w="2975" w:type="pct"/>
            <w:tcBorders>
              <w:top w:val="nil"/>
              <w:left w:val="nil"/>
              <w:right w:val="nil"/>
            </w:tcBorders>
            <w:shd w:val="clear" w:color="auto" w:fill="auto"/>
            <w:noWrap/>
            <w:vAlign w:val="bottom"/>
            <w:hideMark/>
          </w:tcPr>
          <w:p w14:paraId="6AF2CB0E" w14:textId="3B0F86C9" w:rsidR="008E1BAC" w:rsidRPr="009F49E2" w:rsidRDefault="008E1BAC" w:rsidP="008E1BAC">
            <w:pPr>
              <w:spacing w:after="0" w:line="240" w:lineRule="auto"/>
              <w:rPr>
                <w:rFonts w:eastAsia="Times New Roman" w:cs="Calibri"/>
                <w:color w:val="000000"/>
                <w:sz w:val="20"/>
                <w:szCs w:val="20"/>
                <w:lang w:val="en-US"/>
              </w:rPr>
            </w:pPr>
            <w:r>
              <w:rPr>
                <w:rFonts w:eastAsia="MS Mincho"/>
                <w:color w:val="000000"/>
                <w:sz w:val="20"/>
                <w:szCs w:val="24"/>
              </w:rPr>
              <w:t xml:space="preserve">Άυλα </w:t>
            </w:r>
            <w:r w:rsidRPr="005460AF">
              <w:rPr>
                <w:rFonts w:eastAsia="MS Mincho"/>
                <w:color w:val="000000"/>
                <w:sz w:val="20"/>
                <w:szCs w:val="24"/>
              </w:rPr>
              <w:t>πάγια</w:t>
            </w:r>
          </w:p>
        </w:tc>
        <w:tc>
          <w:tcPr>
            <w:tcW w:w="111" w:type="pct"/>
            <w:tcBorders>
              <w:top w:val="nil"/>
              <w:left w:val="nil"/>
              <w:right w:val="nil"/>
            </w:tcBorders>
            <w:shd w:val="clear" w:color="000000" w:fill="FFFFFF"/>
            <w:noWrap/>
            <w:vAlign w:val="bottom"/>
          </w:tcPr>
          <w:p w14:paraId="7F64B8E4"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right w:val="nil"/>
            </w:tcBorders>
            <w:shd w:val="clear" w:color="000000" w:fill="D8E4BC"/>
            <w:noWrap/>
            <w:vAlign w:val="center"/>
          </w:tcPr>
          <w:p w14:paraId="5615F6BE" w14:textId="640BE35C"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31</w:t>
            </w:r>
            <w:r w:rsidR="003A027F">
              <w:rPr>
                <w:rFonts w:cs="Calibri"/>
                <w:color w:val="000000"/>
                <w:sz w:val="20"/>
                <w:szCs w:val="20"/>
              </w:rPr>
              <w:t>.</w:t>
            </w:r>
            <w:r>
              <w:rPr>
                <w:rFonts w:cs="Calibri"/>
                <w:color w:val="000000"/>
                <w:sz w:val="20"/>
                <w:szCs w:val="20"/>
              </w:rPr>
              <w:t>420</w:t>
            </w:r>
          </w:p>
        </w:tc>
        <w:tc>
          <w:tcPr>
            <w:tcW w:w="111" w:type="pct"/>
            <w:tcBorders>
              <w:top w:val="nil"/>
              <w:left w:val="nil"/>
              <w:right w:val="nil"/>
            </w:tcBorders>
            <w:shd w:val="clear" w:color="auto" w:fill="auto"/>
            <w:noWrap/>
            <w:vAlign w:val="bottom"/>
            <w:hideMark/>
          </w:tcPr>
          <w:p w14:paraId="23A7B0DD"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right w:val="nil"/>
            </w:tcBorders>
            <w:shd w:val="clear" w:color="auto" w:fill="auto"/>
            <w:noWrap/>
            <w:vAlign w:val="bottom"/>
            <w:hideMark/>
          </w:tcPr>
          <w:p w14:paraId="7338DFF4" w14:textId="1A665C8E"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31</w:t>
            </w:r>
            <w:r w:rsidR="003A027F">
              <w:rPr>
                <w:rFonts w:cs="Calibri"/>
                <w:color w:val="000000"/>
                <w:sz w:val="20"/>
                <w:szCs w:val="20"/>
              </w:rPr>
              <w:t>.</w:t>
            </w:r>
            <w:r>
              <w:rPr>
                <w:rFonts w:cs="Calibri"/>
                <w:color w:val="000000"/>
                <w:sz w:val="20"/>
                <w:szCs w:val="20"/>
              </w:rPr>
              <w:t>957</w:t>
            </w:r>
          </w:p>
        </w:tc>
      </w:tr>
      <w:tr w:rsidR="008E1BAC" w:rsidRPr="009F49E2" w14:paraId="4E3D2436" w14:textId="77777777" w:rsidTr="00082910">
        <w:trPr>
          <w:trHeight w:val="270"/>
        </w:trPr>
        <w:tc>
          <w:tcPr>
            <w:tcW w:w="2975" w:type="pct"/>
            <w:tcBorders>
              <w:top w:val="nil"/>
              <w:left w:val="nil"/>
              <w:right w:val="nil"/>
            </w:tcBorders>
            <w:shd w:val="clear" w:color="auto" w:fill="auto"/>
            <w:noWrap/>
            <w:vAlign w:val="bottom"/>
          </w:tcPr>
          <w:p w14:paraId="2CC757FE" w14:textId="27DDCCEF" w:rsidR="008E1BAC" w:rsidRPr="009F49E2" w:rsidRDefault="008E1BAC" w:rsidP="008E1BAC">
            <w:pPr>
              <w:spacing w:after="0" w:line="240" w:lineRule="auto"/>
              <w:rPr>
                <w:rFonts w:eastAsia="Times New Roman" w:cs="Calibri"/>
                <w:color w:val="000000"/>
                <w:sz w:val="20"/>
                <w:szCs w:val="20"/>
                <w:lang w:val="en-US"/>
              </w:rPr>
            </w:pPr>
            <w:r w:rsidRPr="005460AF">
              <w:rPr>
                <w:rFonts w:eastAsia="MS Mincho"/>
                <w:color w:val="000000"/>
                <w:sz w:val="20"/>
                <w:szCs w:val="24"/>
              </w:rPr>
              <w:t>Συμμετοχές σε συγγενείς επιχειρήσεις</w:t>
            </w:r>
          </w:p>
        </w:tc>
        <w:tc>
          <w:tcPr>
            <w:tcW w:w="111" w:type="pct"/>
            <w:tcBorders>
              <w:top w:val="nil"/>
              <w:left w:val="nil"/>
              <w:right w:val="nil"/>
            </w:tcBorders>
            <w:shd w:val="clear" w:color="000000" w:fill="FFFFFF"/>
            <w:noWrap/>
            <w:vAlign w:val="bottom"/>
          </w:tcPr>
          <w:p w14:paraId="76877DFE"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right w:val="nil"/>
            </w:tcBorders>
            <w:shd w:val="clear" w:color="000000" w:fill="D8E4BC"/>
            <w:noWrap/>
            <w:vAlign w:val="center"/>
          </w:tcPr>
          <w:p w14:paraId="46F9677E" w14:textId="74BF6248" w:rsidR="008E1BAC" w:rsidRPr="009F49E2" w:rsidRDefault="008E1BAC" w:rsidP="008E1BAC">
            <w:pPr>
              <w:spacing w:after="0" w:line="240" w:lineRule="auto"/>
              <w:jc w:val="right"/>
              <w:rPr>
                <w:rFonts w:cs="Calibri"/>
                <w:color w:val="000000"/>
                <w:sz w:val="20"/>
                <w:szCs w:val="20"/>
              </w:rPr>
            </w:pPr>
            <w:r>
              <w:rPr>
                <w:rFonts w:cs="Calibri"/>
                <w:color w:val="000000"/>
                <w:sz w:val="20"/>
                <w:szCs w:val="20"/>
              </w:rPr>
              <w:t>37</w:t>
            </w:r>
            <w:r w:rsidR="003A027F">
              <w:rPr>
                <w:rFonts w:cs="Calibri"/>
                <w:color w:val="000000"/>
                <w:sz w:val="20"/>
                <w:szCs w:val="20"/>
              </w:rPr>
              <w:t>.</w:t>
            </w:r>
            <w:r>
              <w:rPr>
                <w:rFonts w:cs="Calibri"/>
                <w:color w:val="000000"/>
                <w:sz w:val="20"/>
                <w:szCs w:val="20"/>
              </w:rPr>
              <w:t>288</w:t>
            </w:r>
          </w:p>
        </w:tc>
        <w:tc>
          <w:tcPr>
            <w:tcW w:w="111" w:type="pct"/>
            <w:tcBorders>
              <w:top w:val="nil"/>
              <w:left w:val="nil"/>
              <w:right w:val="nil"/>
            </w:tcBorders>
            <w:shd w:val="clear" w:color="auto" w:fill="auto"/>
            <w:noWrap/>
            <w:vAlign w:val="bottom"/>
          </w:tcPr>
          <w:p w14:paraId="69042E1A"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right w:val="nil"/>
            </w:tcBorders>
            <w:shd w:val="clear" w:color="auto" w:fill="auto"/>
            <w:noWrap/>
            <w:vAlign w:val="bottom"/>
          </w:tcPr>
          <w:p w14:paraId="606999C6" w14:textId="09FAC18E" w:rsidR="008E1BAC" w:rsidRPr="009F49E2" w:rsidRDefault="008E1BAC" w:rsidP="008E1BAC">
            <w:pPr>
              <w:spacing w:after="0" w:line="240" w:lineRule="auto"/>
              <w:jc w:val="right"/>
              <w:rPr>
                <w:rFonts w:cs="Calibri"/>
                <w:color w:val="000000"/>
                <w:sz w:val="20"/>
                <w:szCs w:val="20"/>
              </w:rPr>
            </w:pPr>
            <w:r>
              <w:rPr>
                <w:rFonts w:cs="Calibri"/>
                <w:color w:val="000000"/>
                <w:sz w:val="20"/>
                <w:szCs w:val="20"/>
              </w:rPr>
              <w:t>40</w:t>
            </w:r>
            <w:r w:rsidR="003A027F">
              <w:rPr>
                <w:rFonts w:cs="Calibri"/>
                <w:color w:val="000000"/>
                <w:sz w:val="20"/>
                <w:szCs w:val="20"/>
              </w:rPr>
              <w:t>.</w:t>
            </w:r>
            <w:r>
              <w:rPr>
                <w:rFonts w:cs="Calibri"/>
                <w:color w:val="000000"/>
                <w:sz w:val="20"/>
                <w:szCs w:val="20"/>
              </w:rPr>
              <w:t>959</w:t>
            </w:r>
          </w:p>
        </w:tc>
      </w:tr>
      <w:tr w:rsidR="008E1BAC" w:rsidRPr="009F49E2" w14:paraId="4AA71CBA" w14:textId="77777777" w:rsidTr="00082910">
        <w:trPr>
          <w:trHeight w:val="270"/>
        </w:trPr>
        <w:tc>
          <w:tcPr>
            <w:tcW w:w="2975" w:type="pct"/>
            <w:tcBorders>
              <w:left w:val="nil"/>
              <w:bottom w:val="single" w:sz="8" w:space="0" w:color="4F6228"/>
              <w:right w:val="nil"/>
            </w:tcBorders>
            <w:shd w:val="clear" w:color="auto" w:fill="auto"/>
            <w:noWrap/>
            <w:vAlign w:val="bottom"/>
            <w:hideMark/>
          </w:tcPr>
          <w:p w14:paraId="1AA2F8F2" w14:textId="742AAC70" w:rsidR="008E1BAC" w:rsidRPr="008E1BAC" w:rsidRDefault="008E1BAC" w:rsidP="008E1BAC">
            <w:pPr>
              <w:spacing w:after="0" w:line="240" w:lineRule="auto"/>
              <w:rPr>
                <w:rFonts w:eastAsia="Times New Roman" w:cs="Calibri"/>
                <w:color w:val="000000"/>
                <w:sz w:val="20"/>
                <w:szCs w:val="20"/>
              </w:rPr>
            </w:pPr>
            <w:r w:rsidRPr="005460AF">
              <w:rPr>
                <w:rFonts w:eastAsia="MS Mincho"/>
                <w:color w:val="000000"/>
                <w:sz w:val="20"/>
                <w:szCs w:val="24"/>
              </w:rPr>
              <w:t>Λοιπά μη κυκλοφορούντα περιουσιακά στοιχεία</w:t>
            </w:r>
          </w:p>
        </w:tc>
        <w:tc>
          <w:tcPr>
            <w:tcW w:w="111" w:type="pct"/>
            <w:tcBorders>
              <w:left w:val="nil"/>
              <w:bottom w:val="nil"/>
              <w:right w:val="nil"/>
            </w:tcBorders>
            <w:shd w:val="clear" w:color="000000" w:fill="FFFFFF"/>
            <w:noWrap/>
            <w:vAlign w:val="bottom"/>
          </w:tcPr>
          <w:p w14:paraId="793520C5" w14:textId="77777777" w:rsidR="008E1BAC" w:rsidRPr="008E1BAC" w:rsidRDefault="008E1BAC" w:rsidP="008E1BAC">
            <w:pPr>
              <w:spacing w:after="0" w:line="240" w:lineRule="auto"/>
              <w:rPr>
                <w:rFonts w:eastAsia="Times New Roman" w:cs="Calibri"/>
                <w:color w:val="000000"/>
                <w:sz w:val="20"/>
                <w:szCs w:val="20"/>
              </w:rPr>
            </w:pPr>
          </w:p>
        </w:tc>
        <w:tc>
          <w:tcPr>
            <w:tcW w:w="845" w:type="pct"/>
            <w:tcBorders>
              <w:left w:val="nil"/>
              <w:bottom w:val="single" w:sz="8" w:space="0" w:color="4F6228"/>
              <w:right w:val="nil"/>
            </w:tcBorders>
            <w:shd w:val="clear" w:color="000000" w:fill="D8E4BC"/>
            <w:noWrap/>
            <w:vAlign w:val="center"/>
          </w:tcPr>
          <w:p w14:paraId="06372300" w14:textId="77D6E62B"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24</w:t>
            </w:r>
            <w:r w:rsidR="003A027F">
              <w:rPr>
                <w:rFonts w:cs="Calibri"/>
                <w:color w:val="000000"/>
                <w:sz w:val="20"/>
                <w:szCs w:val="20"/>
              </w:rPr>
              <w:t>.</w:t>
            </w:r>
            <w:r>
              <w:rPr>
                <w:rFonts w:cs="Calibri"/>
                <w:color w:val="000000"/>
                <w:sz w:val="20"/>
                <w:szCs w:val="20"/>
              </w:rPr>
              <w:t>862</w:t>
            </w:r>
          </w:p>
        </w:tc>
        <w:tc>
          <w:tcPr>
            <w:tcW w:w="111" w:type="pct"/>
            <w:tcBorders>
              <w:left w:val="nil"/>
              <w:bottom w:val="nil"/>
              <w:right w:val="nil"/>
            </w:tcBorders>
            <w:shd w:val="clear" w:color="auto" w:fill="auto"/>
            <w:noWrap/>
            <w:vAlign w:val="bottom"/>
            <w:hideMark/>
          </w:tcPr>
          <w:p w14:paraId="0C466D2D"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left w:val="nil"/>
              <w:bottom w:val="single" w:sz="8" w:space="0" w:color="4F6228"/>
              <w:right w:val="nil"/>
            </w:tcBorders>
            <w:shd w:val="clear" w:color="auto" w:fill="auto"/>
            <w:noWrap/>
            <w:vAlign w:val="bottom"/>
            <w:hideMark/>
          </w:tcPr>
          <w:p w14:paraId="04D71757" w14:textId="2F068254"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21</w:t>
            </w:r>
            <w:r w:rsidR="003A027F">
              <w:rPr>
                <w:rFonts w:cs="Calibri"/>
                <w:color w:val="000000"/>
                <w:sz w:val="20"/>
                <w:szCs w:val="20"/>
              </w:rPr>
              <w:t>.</w:t>
            </w:r>
            <w:r>
              <w:rPr>
                <w:rFonts w:cs="Calibri"/>
                <w:color w:val="000000"/>
                <w:sz w:val="20"/>
                <w:szCs w:val="20"/>
              </w:rPr>
              <w:t>511</w:t>
            </w:r>
          </w:p>
        </w:tc>
      </w:tr>
      <w:tr w:rsidR="008E1BAC" w:rsidRPr="009F49E2" w14:paraId="47A7DBD1"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0805E749" w14:textId="69E8F631"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Μη κυκλοφορούν ενεργητικό</w:t>
            </w:r>
          </w:p>
        </w:tc>
        <w:tc>
          <w:tcPr>
            <w:tcW w:w="111" w:type="pct"/>
            <w:tcBorders>
              <w:top w:val="nil"/>
              <w:left w:val="nil"/>
              <w:bottom w:val="nil"/>
              <w:right w:val="nil"/>
            </w:tcBorders>
            <w:shd w:val="clear" w:color="000000" w:fill="FFFFFF"/>
            <w:noWrap/>
            <w:vAlign w:val="bottom"/>
          </w:tcPr>
          <w:p w14:paraId="65869B95"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780B8894" w14:textId="71FFD760"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664</w:t>
            </w:r>
            <w:r w:rsidR="003A027F">
              <w:rPr>
                <w:rFonts w:cs="Calibri"/>
                <w:b/>
                <w:bCs/>
                <w:color w:val="000000"/>
                <w:sz w:val="20"/>
                <w:szCs w:val="20"/>
              </w:rPr>
              <w:t>.</w:t>
            </w:r>
            <w:r>
              <w:rPr>
                <w:rFonts w:cs="Calibri"/>
                <w:b/>
                <w:bCs/>
                <w:color w:val="000000"/>
                <w:sz w:val="20"/>
                <w:szCs w:val="20"/>
              </w:rPr>
              <w:t>197</w:t>
            </w:r>
          </w:p>
        </w:tc>
        <w:tc>
          <w:tcPr>
            <w:tcW w:w="111" w:type="pct"/>
            <w:tcBorders>
              <w:top w:val="nil"/>
              <w:left w:val="nil"/>
              <w:bottom w:val="nil"/>
              <w:right w:val="nil"/>
            </w:tcBorders>
            <w:shd w:val="clear" w:color="auto" w:fill="auto"/>
            <w:noWrap/>
            <w:vAlign w:val="bottom"/>
            <w:hideMark/>
          </w:tcPr>
          <w:p w14:paraId="6D8393B8"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6BC6E0B8" w14:textId="4E95165D"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620</w:t>
            </w:r>
            <w:r w:rsidR="003A027F">
              <w:rPr>
                <w:rFonts w:cs="Calibri"/>
                <w:b/>
                <w:bCs/>
                <w:color w:val="000000"/>
                <w:sz w:val="20"/>
                <w:szCs w:val="20"/>
              </w:rPr>
              <w:t>.</w:t>
            </w:r>
            <w:r>
              <w:rPr>
                <w:rFonts w:cs="Calibri"/>
                <w:b/>
                <w:bCs/>
                <w:color w:val="000000"/>
                <w:sz w:val="20"/>
                <w:szCs w:val="20"/>
              </w:rPr>
              <w:t>582</w:t>
            </w:r>
          </w:p>
        </w:tc>
      </w:tr>
      <w:tr w:rsidR="008E1BAC" w:rsidRPr="009F49E2" w14:paraId="33351771" w14:textId="77777777" w:rsidTr="00082910">
        <w:trPr>
          <w:trHeight w:val="255"/>
        </w:trPr>
        <w:tc>
          <w:tcPr>
            <w:tcW w:w="2975" w:type="pct"/>
            <w:tcBorders>
              <w:top w:val="nil"/>
              <w:left w:val="nil"/>
              <w:bottom w:val="nil"/>
              <w:right w:val="nil"/>
            </w:tcBorders>
            <w:shd w:val="clear" w:color="auto" w:fill="auto"/>
            <w:noWrap/>
            <w:vAlign w:val="bottom"/>
            <w:hideMark/>
          </w:tcPr>
          <w:p w14:paraId="0DA8CD33" w14:textId="20B2B378"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Αποθέματα</w:t>
            </w:r>
          </w:p>
        </w:tc>
        <w:tc>
          <w:tcPr>
            <w:tcW w:w="111" w:type="pct"/>
            <w:tcBorders>
              <w:top w:val="nil"/>
              <w:left w:val="nil"/>
              <w:bottom w:val="nil"/>
              <w:right w:val="nil"/>
            </w:tcBorders>
            <w:shd w:val="clear" w:color="000000" w:fill="FFFFFF"/>
            <w:noWrap/>
            <w:vAlign w:val="bottom"/>
          </w:tcPr>
          <w:p w14:paraId="1FD4E310"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4517A5DE" w14:textId="1C8C1097"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490</w:t>
            </w:r>
            <w:r w:rsidR="003A027F">
              <w:rPr>
                <w:rFonts w:cs="Calibri"/>
                <w:color w:val="000000"/>
                <w:sz w:val="20"/>
                <w:szCs w:val="20"/>
              </w:rPr>
              <w:t>.</w:t>
            </w:r>
            <w:r>
              <w:rPr>
                <w:rFonts w:cs="Calibri"/>
                <w:color w:val="000000"/>
                <w:sz w:val="20"/>
                <w:szCs w:val="20"/>
              </w:rPr>
              <w:t>030</w:t>
            </w:r>
          </w:p>
        </w:tc>
        <w:tc>
          <w:tcPr>
            <w:tcW w:w="111" w:type="pct"/>
            <w:tcBorders>
              <w:top w:val="nil"/>
              <w:left w:val="nil"/>
              <w:bottom w:val="nil"/>
              <w:right w:val="nil"/>
            </w:tcBorders>
            <w:shd w:val="clear" w:color="auto" w:fill="auto"/>
            <w:noWrap/>
            <w:vAlign w:val="bottom"/>
            <w:hideMark/>
          </w:tcPr>
          <w:p w14:paraId="3743134F"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2348997D" w14:textId="7BF82B74"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507</w:t>
            </w:r>
            <w:r w:rsidR="003A027F">
              <w:rPr>
                <w:rFonts w:cs="Calibri"/>
                <w:color w:val="000000"/>
                <w:sz w:val="20"/>
                <w:szCs w:val="20"/>
              </w:rPr>
              <w:t>.</w:t>
            </w:r>
            <w:r>
              <w:rPr>
                <w:rFonts w:cs="Calibri"/>
                <w:color w:val="000000"/>
                <w:sz w:val="20"/>
                <w:szCs w:val="20"/>
              </w:rPr>
              <w:t>545</w:t>
            </w:r>
          </w:p>
        </w:tc>
      </w:tr>
      <w:tr w:rsidR="008E1BAC" w:rsidRPr="009F49E2" w14:paraId="12890B7E" w14:textId="77777777" w:rsidTr="00082910">
        <w:trPr>
          <w:trHeight w:val="255"/>
        </w:trPr>
        <w:tc>
          <w:tcPr>
            <w:tcW w:w="2975" w:type="pct"/>
            <w:tcBorders>
              <w:top w:val="nil"/>
              <w:left w:val="nil"/>
              <w:bottom w:val="nil"/>
              <w:right w:val="nil"/>
            </w:tcBorders>
            <w:shd w:val="clear" w:color="auto" w:fill="auto"/>
            <w:noWrap/>
            <w:vAlign w:val="bottom"/>
            <w:hideMark/>
          </w:tcPr>
          <w:p w14:paraId="16D12B63" w14:textId="2AB8C14F"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Εμπορικές και λοιπές απαιτήσεις</w:t>
            </w:r>
          </w:p>
        </w:tc>
        <w:tc>
          <w:tcPr>
            <w:tcW w:w="111" w:type="pct"/>
            <w:tcBorders>
              <w:top w:val="nil"/>
              <w:left w:val="nil"/>
              <w:bottom w:val="nil"/>
              <w:right w:val="nil"/>
            </w:tcBorders>
            <w:shd w:val="clear" w:color="000000" w:fill="FFFFFF"/>
            <w:noWrap/>
            <w:vAlign w:val="bottom"/>
          </w:tcPr>
          <w:p w14:paraId="717A2691"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76266BF4" w14:textId="72A7ECEC" w:rsidR="008E1BAC" w:rsidRPr="009F49E2" w:rsidRDefault="000F076F" w:rsidP="008E1BAC">
            <w:pPr>
              <w:spacing w:after="0" w:line="240" w:lineRule="auto"/>
              <w:jc w:val="right"/>
              <w:rPr>
                <w:rFonts w:cs="Calibri"/>
                <w:color w:val="000000"/>
                <w:sz w:val="20"/>
                <w:szCs w:val="20"/>
                <w:lang w:val="en-GB"/>
              </w:rPr>
            </w:pPr>
            <w:r>
              <w:rPr>
                <w:rFonts w:cs="Calibri"/>
                <w:color w:val="000000"/>
                <w:sz w:val="20"/>
                <w:szCs w:val="20"/>
                <w:lang w:val="en-GB"/>
              </w:rPr>
              <w:t>198.021</w:t>
            </w:r>
          </w:p>
        </w:tc>
        <w:tc>
          <w:tcPr>
            <w:tcW w:w="111" w:type="pct"/>
            <w:tcBorders>
              <w:top w:val="nil"/>
              <w:left w:val="nil"/>
              <w:bottom w:val="nil"/>
              <w:right w:val="nil"/>
            </w:tcBorders>
            <w:shd w:val="clear" w:color="auto" w:fill="auto"/>
            <w:noWrap/>
            <w:vAlign w:val="bottom"/>
            <w:hideMark/>
          </w:tcPr>
          <w:p w14:paraId="3B086368"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4BDA58AF" w14:textId="24E7A39A"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192</w:t>
            </w:r>
            <w:r w:rsidR="003A027F">
              <w:rPr>
                <w:rFonts w:cs="Calibri"/>
                <w:color w:val="000000"/>
                <w:sz w:val="20"/>
                <w:szCs w:val="20"/>
              </w:rPr>
              <w:t>.</w:t>
            </w:r>
            <w:r>
              <w:rPr>
                <w:rFonts w:cs="Calibri"/>
                <w:color w:val="000000"/>
                <w:sz w:val="20"/>
                <w:szCs w:val="20"/>
              </w:rPr>
              <w:t>769</w:t>
            </w:r>
          </w:p>
        </w:tc>
      </w:tr>
      <w:tr w:rsidR="008E1BAC" w:rsidRPr="009F49E2" w14:paraId="35A205D4" w14:textId="77777777" w:rsidTr="00082910">
        <w:trPr>
          <w:trHeight w:val="255"/>
        </w:trPr>
        <w:tc>
          <w:tcPr>
            <w:tcW w:w="2975" w:type="pct"/>
            <w:tcBorders>
              <w:top w:val="nil"/>
              <w:left w:val="nil"/>
              <w:bottom w:val="nil"/>
              <w:right w:val="nil"/>
            </w:tcBorders>
            <w:shd w:val="clear" w:color="auto" w:fill="auto"/>
            <w:noWrap/>
            <w:vAlign w:val="bottom"/>
            <w:hideMark/>
          </w:tcPr>
          <w:p w14:paraId="2E8A930D" w14:textId="09622261"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Συμβατικά περιουσιακά στοιχεία</w:t>
            </w:r>
          </w:p>
        </w:tc>
        <w:tc>
          <w:tcPr>
            <w:tcW w:w="111" w:type="pct"/>
            <w:tcBorders>
              <w:top w:val="nil"/>
              <w:left w:val="nil"/>
              <w:bottom w:val="nil"/>
              <w:right w:val="nil"/>
            </w:tcBorders>
            <w:shd w:val="clear" w:color="000000" w:fill="FFFFFF"/>
            <w:noWrap/>
            <w:vAlign w:val="bottom"/>
          </w:tcPr>
          <w:p w14:paraId="15382EFE"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276F94E0" w14:textId="76B346BF" w:rsidR="008E1BAC" w:rsidRPr="009F49E2" w:rsidRDefault="000F076F" w:rsidP="008E1BAC">
            <w:pPr>
              <w:spacing w:after="0" w:line="240" w:lineRule="auto"/>
              <w:jc w:val="right"/>
              <w:rPr>
                <w:rFonts w:cs="Calibri"/>
                <w:color w:val="000000"/>
                <w:sz w:val="20"/>
                <w:szCs w:val="20"/>
                <w:lang w:val="en-GB"/>
              </w:rPr>
            </w:pPr>
            <w:r>
              <w:rPr>
                <w:rFonts w:cs="Calibri"/>
                <w:color w:val="000000"/>
                <w:sz w:val="20"/>
                <w:szCs w:val="20"/>
                <w:lang w:val="en-GB"/>
              </w:rPr>
              <w:t>244.729</w:t>
            </w:r>
          </w:p>
        </w:tc>
        <w:tc>
          <w:tcPr>
            <w:tcW w:w="111" w:type="pct"/>
            <w:tcBorders>
              <w:top w:val="nil"/>
              <w:left w:val="nil"/>
              <w:bottom w:val="nil"/>
              <w:right w:val="nil"/>
            </w:tcBorders>
            <w:shd w:val="clear" w:color="auto" w:fill="auto"/>
            <w:noWrap/>
            <w:vAlign w:val="bottom"/>
            <w:hideMark/>
          </w:tcPr>
          <w:p w14:paraId="7EAF1D9A"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1F0FA10C" w14:textId="4CB7CFC4"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195</w:t>
            </w:r>
            <w:r w:rsidR="003A027F">
              <w:rPr>
                <w:rFonts w:cs="Calibri"/>
                <w:color w:val="000000"/>
                <w:sz w:val="20"/>
                <w:szCs w:val="20"/>
              </w:rPr>
              <w:t>.</w:t>
            </w:r>
            <w:r>
              <w:rPr>
                <w:rFonts w:cs="Calibri"/>
                <w:color w:val="000000"/>
                <w:sz w:val="20"/>
                <w:szCs w:val="20"/>
              </w:rPr>
              <w:t>481</w:t>
            </w:r>
          </w:p>
        </w:tc>
      </w:tr>
      <w:tr w:rsidR="008E1BAC" w:rsidRPr="009F49E2" w14:paraId="1AFAABAE" w14:textId="77777777" w:rsidTr="00082910">
        <w:trPr>
          <w:trHeight w:val="255"/>
        </w:trPr>
        <w:tc>
          <w:tcPr>
            <w:tcW w:w="2975" w:type="pct"/>
            <w:tcBorders>
              <w:top w:val="nil"/>
              <w:left w:val="nil"/>
              <w:bottom w:val="nil"/>
              <w:right w:val="nil"/>
            </w:tcBorders>
            <w:shd w:val="clear" w:color="auto" w:fill="auto"/>
            <w:noWrap/>
            <w:vAlign w:val="bottom"/>
            <w:hideMark/>
          </w:tcPr>
          <w:p w14:paraId="23C65FE6" w14:textId="2CB18C73"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lastRenderedPageBreak/>
              <w:t>Ταμειακά διαθέσιμα και ισοδύναμα</w:t>
            </w:r>
          </w:p>
        </w:tc>
        <w:tc>
          <w:tcPr>
            <w:tcW w:w="111" w:type="pct"/>
            <w:tcBorders>
              <w:top w:val="nil"/>
              <w:left w:val="nil"/>
              <w:bottom w:val="nil"/>
              <w:right w:val="nil"/>
            </w:tcBorders>
            <w:shd w:val="clear" w:color="000000" w:fill="FFFFFF"/>
            <w:noWrap/>
            <w:vAlign w:val="bottom"/>
          </w:tcPr>
          <w:p w14:paraId="0C59B1C8"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6805F41C" w14:textId="1EC07684"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212</w:t>
            </w:r>
            <w:r w:rsidR="003A027F">
              <w:rPr>
                <w:rFonts w:cs="Calibri"/>
                <w:color w:val="000000"/>
                <w:sz w:val="20"/>
                <w:szCs w:val="20"/>
              </w:rPr>
              <w:t>.</w:t>
            </w:r>
            <w:r>
              <w:rPr>
                <w:rFonts w:cs="Calibri"/>
                <w:color w:val="000000"/>
                <w:sz w:val="20"/>
                <w:szCs w:val="20"/>
              </w:rPr>
              <w:t>840</w:t>
            </w:r>
          </w:p>
        </w:tc>
        <w:tc>
          <w:tcPr>
            <w:tcW w:w="111" w:type="pct"/>
            <w:tcBorders>
              <w:top w:val="nil"/>
              <w:left w:val="nil"/>
              <w:bottom w:val="nil"/>
              <w:right w:val="nil"/>
            </w:tcBorders>
            <w:shd w:val="clear" w:color="auto" w:fill="auto"/>
            <w:noWrap/>
            <w:vAlign w:val="bottom"/>
            <w:hideMark/>
          </w:tcPr>
          <w:p w14:paraId="4772C7B0"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19638BE6" w14:textId="106C0B5B"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167</w:t>
            </w:r>
            <w:r w:rsidR="003A027F">
              <w:rPr>
                <w:rFonts w:cs="Calibri"/>
                <w:color w:val="000000"/>
                <w:sz w:val="20"/>
                <w:szCs w:val="20"/>
              </w:rPr>
              <w:t>.</w:t>
            </w:r>
            <w:r>
              <w:rPr>
                <w:rFonts w:cs="Calibri"/>
                <w:color w:val="000000"/>
                <w:sz w:val="20"/>
                <w:szCs w:val="20"/>
              </w:rPr>
              <w:t>160</w:t>
            </w:r>
          </w:p>
        </w:tc>
      </w:tr>
      <w:tr w:rsidR="008E1BAC" w:rsidRPr="009F49E2" w14:paraId="4267864C"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1D9903BC" w14:textId="0935ABA1"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Λοιπά κυκλοφορούντα περιουσιακά στοιχεία</w:t>
            </w:r>
          </w:p>
        </w:tc>
        <w:tc>
          <w:tcPr>
            <w:tcW w:w="111" w:type="pct"/>
            <w:tcBorders>
              <w:top w:val="nil"/>
              <w:left w:val="nil"/>
              <w:bottom w:val="nil"/>
              <w:right w:val="nil"/>
            </w:tcBorders>
            <w:shd w:val="clear" w:color="000000" w:fill="FFFFFF"/>
            <w:noWrap/>
            <w:vAlign w:val="bottom"/>
          </w:tcPr>
          <w:p w14:paraId="12310EC1"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7F0FB237" w14:textId="3E2A4F3F"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21</w:t>
            </w:r>
            <w:r w:rsidR="003A027F">
              <w:rPr>
                <w:rFonts w:cs="Calibri"/>
                <w:color w:val="000000"/>
                <w:sz w:val="20"/>
                <w:szCs w:val="20"/>
              </w:rPr>
              <w:t>.</w:t>
            </w:r>
            <w:r>
              <w:rPr>
                <w:rFonts w:cs="Calibri"/>
                <w:color w:val="000000"/>
                <w:sz w:val="20"/>
                <w:szCs w:val="20"/>
              </w:rPr>
              <w:t>619</w:t>
            </w:r>
          </w:p>
        </w:tc>
        <w:tc>
          <w:tcPr>
            <w:tcW w:w="111" w:type="pct"/>
            <w:tcBorders>
              <w:top w:val="nil"/>
              <w:left w:val="nil"/>
              <w:bottom w:val="nil"/>
              <w:right w:val="nil"/>
            </w:tcBorders>
            <w:shd w:val="clear" w:color="auto" w:fill="auto"/>
            <w:noWrap/>
            <w:vAlign w:val="bottom"/>
            <w:hideMark/>
          </w:tcPr>
          <w:p w14:paraId="1834D95A"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3E82FE6E" w14:textId="3E699300"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15</w:t>
            </w:r>
            <w:r w:rsidR="003A027F">
              <w:rPr>
                <w:rFonts w:cs="Calibri"/>
                <w:color w:val="000000"/>
                <w:sz w:val="20"/>
                <w:szCs w:val="20"/>
              </w:rPr>
              <w:t>.</w:t>
            </w:r>
            <w:r>
              <w:rPr>
                <w:rFonts w:cs="Calibri"/>
                <w:color w:val="000000"/>
                <w:sz w:val="20"/>
                <w:szCs w:val="20"/>
              </w:rPr>
              <w:t>209</w:t>
            </w:r>
          </w:p>
        </w:tc>
      </w:tr>
      <w:tr w:rsidR="008E1BAC" w:rsidRPr="009F49E2" w14:paraId="27C562F0"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1897DE44" w14:textId="5F6BF236"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Κυκλοφορούν ενεργητικό</w:t>
            </w:r>
          </w:p>
        </w:tc>
        <w:tc>
          <w:tcPr>
            <w:tcW w:w="111" w:type="pct"/>
            <w:tcBorders>
              <w:top w:val="nil"/>
              <w:left w:val="nil"/>
              <w:bottom w:val="nil"/>
              <w:right w:val="nil"/>
            </w:tcBorders>
            <w:shd w:val="clear" w:color="000000" w:fill="FFFFFF"/>
            <w:noWrap/>
            <w:vAlign w:val="bottom"/>
          </w:tcPr>
          <w:p w14:paraId="15368337"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67548468" w14:textId="2E9A752F"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167</w:t>
            </w:r>
            <w:r w:rsidR="003A027F">
              <w:rPr>
                <w:rFonts w:cs="Calibri"/>
                <w:b/>
                <w:bCs/>
                <w:color w:val="000000"/>
                <w:sz w:val="20"/>
                <w:szCs w:val="20"/>
              </w:rPr>
              <w:t>.</w:t>
            </w:r>
            <w:r>
              <w:rPr>
                <w:rFonts w:cs="Calibri"/>
                <w:b/>
                <w:bCs/>
                <w:color w:val="000000"/>
                <w:sz w:val="20"/>
                <w:szCs w:val="20"/>
              </w:rPr>
              <w:t>238</w:t>
            </w:r>
          </w:p>
        </w:tc>
        <w:tc>
          <w:tcPr>
            <w:tcW w:w="111" w:type="pct"/>
            <w:tcBorders>
              <w:top w:val="nil"/>
              <w:left w:val="nil"/>
              <w:bottom w:val="nil"/>
              <w:right w:val="nil"/>
            </w:tcBorders>
            <w:shd w:val="clear" w:color="auto" w:fill="auto"/>
            <w:noWrap/>
            <w:vAlign w:val="bottom"/>
            <w:hideMark/>
          </w:tcPr>
          <w:p w14:paraId="30688929"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3562BBA4" w14:textId="69282A17"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078</w:t>
            </w:r>
            <w:r w:rsidR="003A027F">
              <w:rPr>
                <w:rFonts w:cs="Calibri"/>
                <w:b/>
                <w:bCs/>
                <w:color w:val="000000"/>
                <w:sz w:val="20"/>
                <w:szCs w:val="20"/>
              </w:rPr>
              <w:t>.</w:t>
            </w:r>
            <w:r>
              <w:rPr>
                <w:rFonts w:cs="Calibri"/>
                <w:b/>
                <w:bCs/>
                <w:color w:val="000000"/>
                <w:sz w:val="20"/>
                <w:szCs w:val="20"/>
              </w:rPr>
              <w:t>163</w:t>
            </w:r>
          </w:p>
        </w:tc>
      </w:tr>
      <w:tr w:rsidR="008E1BAC" w:rsidRPr="009F49E2" w14:paraId="04D44C23"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5A715B4A" w14:textId="3918E71B"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ΣΥΝΟΛΟ ΕΝΕΡΓΗΤΙΚΟΥ</w:t>
            </w:r>
          </w:p>
        </w:tc>
        <w:tc>
          <w:tcPr>
            <w:tcW w:w="111" w:type="pct"/>
            <w:tcBorders>
              <w:top w:val="nil"/>
              <w:left w:val="nil"/>
              <w:bottom w:val="nil"/>
              <w:right w:val="nil"/>
            </w:tcBorders>
            <w:shd w:val="clear" w:color="000000" w:fill="FFFFFF"/>
            <w:noWrap/>
            <w:vAlign w:val="bottom"/>
          </w:tcPr>
          <w:p w14:paraId="49C8185F"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1C5BE355" w14:textId="738F992D"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831</w:t>
            </w:r>
            <w:r w:rsidR="003A027F">
              <w:rPr>
                <w:rFonts w:cs="Calibri"/>
                <w:b/>
                <w:bCs/>
                <w:color w:val="000000"/>
                <w:sz w:val="20"/>
                <w:szCs w:val="20"/>
              </w:rPr>
              <w:t>.</w:t>
            </w:r>
            <w:r>
              <w:rPr>
                <w:rFonts w:cs="Calibri"/>
                <w:b/>
                <w:bCs/>
                <w:color w:val="000000"/>
                <w:sz w:val="20"/>
                <w:szCs w:val="20"/>
              </w:rPr>
              <w:t>436</w:t>
            </w:r>
          </w:p>
        </w:tc>
        <w:tc>
          <w:tcPr>
            <w:tcW w:w="111" w:type="pct"/>
            <w:tcBorders>
              <w:top w:val="nil"/>
              <w:left w:val="nil"/>
              <w:bottom w:val="nil"/>
              <w:right w:val="nil"/>
            </w:tcBorders>
            <w:shd w:val="clear" w:color="auto" w:fill="auto"/>
            <w:noWrap/>
            <w:vAlign w:val="bottom"/>
            <w:hideMark/>
          </w:tcPr>
          <w:p w14:paraId="0C2D0029"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356BD4ED" w14:textId="6D4C480B"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698</w:t>
            </w:r>
            <w:r w:rsidR="003A027F">
              <w:rPr>
                <w:rFonts w:cs="Calibri"/>
                <w:b/>
                <w:bCs/>
                <w:color w:val="000000"/>
                <w:sz w:val="20"/>
                <w:szCs w:val="20"/>
              </w:rPr>
              <w:t>.</w:t>
            </w:r>
            <w:r>
              <w:rPr>
                <w:rFonts w:cs="Calibri"/>
                <w:b/>
                <w:bCs/>
                <w:color w:val="000000"/>
                <w:sz w:val="20"/>
                <w:szCs w:val="20"/>
              </w:rPr>
              <w:t>745</w:t>
            </w:r>
          </w:p>
        </w:tc>
      </w:tr>
      <w:tr w:rsidR="008E1BAC" w:rsidRPr="009F49E2" w14:paraId="6D3D2BBC" w14:textId="77777777" w:rsidTr="00082910">
        <w:trPr>
          <w:trHeight w:val="255"/>
        </w:trPr>
        <w:tc>
          <w:tcPr>
            <w:tcW w:w="2975" w:type="pct"/>
            <w:tcBorders>
              <w:top w:val="nil"/>
              <w:left w:val="nil"/>
              <w:bottom w:val="nil"/>
              <w:right w:val="nil"/>
            </w:tcBorders>
            <w:shd w:val="clear" w:color="auto" w:fill="auto"/>
            <w:noWrap/>
            <w:vAlign w:val="bottom"/>
            <w:hideMark/>
          </w:tcPr>
          <w:p w14:paraId="5F798B7E" w14:textId="03EBF022"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ΙΔΙΑ ΚΕΦΑΛΑΙΑ</w:t>
            </w:r>
          </w:p>
        </w:tc>
        <w:tc>
          <w:tcPr>
            <w:tcW w:w="111" w:type="pct"/>
            <w:tcBorders>
              <w:top w:val="nil"/>
              <w:left w:val="nil"/>
              <w:bottom w:val="nil"/>
              <w:right w:val="nil"/>
            </w:tcBorders>
            <w:shd w:val="clear" w:color="000000" w:fill="FFFFFF"/>
            <w:noWrap/>
            <w:vAlign w:val="bottom"/>
          </w:tcPr>
          <w:p w14:paraId="54E94421"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13E77A49" w14:textId="76C6A44F"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357</w:t>
            </w:r>
            <w:r w:rsidR="003A027F">
              <w:rPr>
                <w:rFonts w:cs="Calibri"/>
                <w:b/>
                <w:bCs/>
                <w:color w:val="000000"/>
                <w:sz w:val="20"/>
                <w:szCs w:val="20"/>
              </w:rPr>
              <w:t>.</w:t>
            </w:r>
            <w:r>
              <w:rPr>
                <w:rFonts w:cs="Calibri"/>
                <w:b/>
                <w:bCs/>
                <w:color w:val="000000"/>
                <w:sz w:val="20"/>
                <w:szCs w:val="20"/>
              </w:rPr>
              <w:t>220</w:t>
            </w:r>
          </w:p>
        </w:tc>
        <w:tc>
          <w:tcPr>
            <w:tcW w:w="111" w:type="pct"/>
            <w:tcBorders>
              <w:top w:val="nil"/>
              <w:left w:val="nil"/>
              <w:bottom w:val="nil"/>
              <w:right w:val="nil"/>
            </w:tcBorders>
            <w:shd w:val="clear" w:color="auto" w:fill="auto"/>
            <w:noWrap/>
            <w:vAlign w:val="bottom"/>
            <w:hideMark/>
          </w:tcPr>
          <w:p w14:paraId="324B0342"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nil"/>
              <w:right w:val="nil"/>
            </w:tcBorders>
            <w:shd w:val="clear" w:color="auto" w:fill="auto"/>
            <w:noWrap/>
            <w:vAlign w:val="bottom"/>
            <w:hideMark/>
          </w:tcPr>
          <w:p w14:paraId="02C8D26C" w14:textId="64C5371D"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341</w:t>
            </w:r>
            <w:r w:rsidR="003A027F">
              <w:rPr>
                <w:rFonts w:cs="Calibri"/>
                <w:b/>
                <w:bCs/>
                <w:color w:val="000000"/>
                <w:sz w:val="20"/>
                <w:szCs w:val="20"/>
              </w:rPr>
              <w:t>.</w:t>
            </w:r>
            <w:r>
              <w:rPr>
                <w:rFonts w:cs="Calibri"/>
                <w:b/>
                <w:bCs/>
                <w:color w:val="000000"/>
                <w:sz w:val="20"/>
                <w:szCs w:val="20"/>
              </w:rPr>
              <w:t>631</w:t>
            </w:r>
          </w:p>
        </w:tc>
      </w:tr>
      <w:tr w:rsidR="008E1BAC" w:rsidRPr="009F49E2" w14:paraId="0085AA2B" w14:textId="77777777" w:rsidTr="00082910">
        <w:trPr>
          <w:trHeight w:val="255"/>
        </w:trPr>
        <w:tc>
          <w:tcPr>
            <w:tcW w:w="2975" w:type="pct"/>
            <w:tcBorders>
              <w:top w:val="nil"/>
              <w:left w:val="nil"/>
              <w:bottom w:val="nil"/>
              <w:right w:val="nil"/>
            </w:tcBorders>
            <w:shd w:val="clear" w:color="auto" w:fill="auto"/>
            <w:noWrap/>
            <w:vAlign w:val="bottom"/>
            <w:hideMark/>
          </w:tcPr>
          <w:p w14:paraId="5EC3B579" w14:textId="6A263AD2"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ΥΠΟΧΡΕΩΣΕΙΣ</w:t>
            </w:r>
          </w:p>
        </w:tc>
        <w:tc>
          <w:tcPr>
            <w:tcW w:w="111" w:type="pct"/>
            <w:tcBorders>
              <w:top w:val="nil"/>
              <w:left w:val="nil"/>
              <w:bottom w:val="nil"/>
              <w:right w:val="nil"/>
            </w:tcBorders>
            <w:shd w:val="clear" w:color="000000" w:fill="FFFFFF"/>
            <w:noWrap/>
            <w:vAlign w:val="bottom"/>
          </w:tcPr>
          <w:p w14:paraId="1515BC33"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7DE1B0D0" w14:textId="736DCBCF"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 </w:t>
            </w:r>
          </w:p>
        </w:tc>
        <w:tc>
          <w:tcPr>
            <w:tcW w:w="111" w:type="pct"/>
            <w:tcBorders>
              <w:top w:val="nil"/>
              <w:left w:val="nil"/>
              <w:bottom w:val="nil"/>
              <w:right w:val="nil"/>
            </w:tcBorders>
            <w:shd w:val="clear" w:color="auto" w:fill="auto"/>
            <w:noWrap/>
            <w:vAlign w:val="bottom"/>
            <w:hideMark/>
          </w:tcPr>
          <w:p w14:paraId="564915EB"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nil"/>
              <w:right w:val="nil"/>
            </w:tcBorders>
            <w:shd w:val="clear" w:color="auto" w:fill="auto"/>
            <w:noWrap/>
            <w:vAlign w:val="bottom"/>
            <w:hideMark/>
          </w:tcPr>
          <w:p w14:paraId="4CDACA09" w14:textId="582E91EC" w:rsidR="008E1BAC" w:rsidRPr="009F49E2" w:rsidRDefault="008E1BAC" w:rsidP="008E1BAC">
            <w:pPr>
              <w:spacing w:after="0" w:line="240" w:lineRule="auto"/>
              <w:jc w:val="right"/>
              <w:rPr>
                <w:rFonts w:ascii="Times New Roman" w:eastAsia="Times New Roman" w:hAnsi="Times New Roman"/>
                <w:sz w:val="20"/>
                <w:szCs w:val="20"/>
                <w:lang w:val="en-GB"/>
              </w:rPr>
            </w:pPr>
            <w:r>
              <w:rPr>
                <w:rFonts w:cs="Calibri"/>
                <w:b/>
                <w:bCs/>
                <w:color w:val="000000"/>
                <w:sz w:val="20"/>
                <w:szCs w:val="20"/>
              </w:rPr>
              <w:t> </w:t>
            </w:r>
          </w:p>
        </w:tc>
      </w:tr>
      <w:tr w:rsidR="008E1BAC" w:rsidRPr="009F49E2" w14:paraId="5D9A5A8B" w14:textId="77777777" w:rsidTr="00082910">
        <w:trPr>
          <w:trHeight w:val="255"/>
        </w:trPr>
        <w:tc>
          <w:tcPr>
            <w:tcW w:w="2975" w:type="pct"/>
            <w:tcBorders>
              <w:top w:val="nil"/>
              <w:left w:val="nil"/>
              <w:bottom w:val="nil"/>
              <w:right w:val="nil"/>
            </w:tcBorders>
            <w:shd w:val="clear" w:color="auto" w:fill="auto"/>
            <w:noWrap/>
            <w:vAlign w:val="bottom"/>
            <w:hideMark/>
          </w:tcPr>
          <w:p w14:paraId="22DDE081" w14:textId="6AB917C5"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Δάνεια</w:t>
            </w:r>
          </w:p>
        </w:tc>
        <w:tc>
          <w:tcPr>
            <w:tcW w:w="111" w:type="pct"/>
            <w:tcBorders>
              <w:top w:val="nil"/>
              <w:left w:val="nil"/>
              <w:bottom w:val="nil"/>
              <w:right w:val="nil"/>
            </w:tcBorders>
            <w:shd w:val="clear" w:color="000000" w:fill="FFFFFF"/>
            <w:noWrap/>
            <w:vAlign w:val="bottom"/>
          </w:tcPr>
          <w:p w14:paraId="34FA8723"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0A1F19A1" w14:textId="4181134B"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222</w:t>
            </w:r>
            <w:r w:rsidR="003A027F">
              <w:rPr>
                <w:rFonts w:cs="Calibri"/>
                <w:color w:val="000000"/>
                <w:sz w:val="20"/>
                <w:szCs w:val="20"/>
              </w:rPr>
              <w:t>.</w:t>
            </w:r>
            <w:r>
              <w:rPr>
                <w:rFonts w:cs="Calibri"/>
                <w:color w:val="000000"/>
                <w:sz w:val="20"/>
                <w:szCs w:val="20"/>
              </w:rPr>
              <w:t>214</w:t>
            </w:r>
          </w:p>
        </w:tc>
        <w:tc>
          <w:tcPr>
            <w:tcW w:w="111" w:type="pct"/>
            <w:tcBorders>
              <w:top w:val="nil"/>
              <w:left w:val="nil"/>
              <w:bottom w:val="nil"/>
              <w:right w:val="nil"/>
            </w:tcBorders>
            <w:shd w:val="clear" w:color="auto" w:fill="auto"/>
            <w:noWrap/>
            <w:vAlign w:val="bottom"/>
            <w:hideMark/>
          </w:tcPr>
          <w:p w14:paraId="6626F164"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7F077EDA" w14:textId="6DA79781"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127</w:t>
            </w:r>
            <w:r w:rsidR="003A027F">
              <w:rPr>
                <w:rFonts w:cs="Calibri"/>
                <w:color w:val="000000"/>
                <w:sz w:val="20"/>
                <w:szCs w:val="20"/>
              </w:rPr>
              <w:t>.</w:t>
            </w:r>
            <w:r>
              <w:rPr>
                <w:rFonts w:cs="Calibri"/>
                <w:color w:val="000000"/>
                <w:sz w:val="20"/>
                <w:szCs w:val="20"/>
              </w:rPr>
              <w:t>161</w:t>
            </w:r>
          </w:p>
        </w:tc>
      </w:tr>
      <w:tr w:rsidR="008E1BAC" w:rsidRPr="009F49E2" w14:paraId="6B1C9D5F" w14:textId="77777777" w:rsidTr="00082910">
        <w:trPr>
          <w:trHeight w:val="255"/>
        </w:trPr>
        <w:tc>
          <w:tcPr>
            <w:tcW w:w="2975" w:type="pct"/>
            <w:tcBorders>
              <w:top w:val="nil"/>
              <w:left w:val="nil"/>
              <w:bottom w:val="nil"/>
              <w:right w:val="nil"/>
            </w:tcBorders>
            <w:shd w:val="clear" w:color="auto" w:fill="auto"/>
            <w:noWrap/>
            <w:vAlign w:val="bottom"/>
          </w:tcPr>
          <w:p w14:paraId="05906F53" w14:textId="6335BC69"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Υποχρεώσεις από μισθώσεις</w:t>
            </w:r>
          </w:p>
        </w:tc>
        <w:tc>
          <w:tcPr>
            <w:tcW w:w="111" w:type="pct"/>
            <w:tcBorders>
              <w:top w:val="nil"/>
              <w:left w:val="nil"/>
              <w:bottom w:val="nil"/>
              <w:right w:val="nil"/>
            </w:tcBorders>
            <w:shd w:val="clear" w:color="000000" w:fill="FFFFFF"/>
            <w:noWrap/>
            <w:vAlign w:val="bottom"/>
          </w:tcPr>
          <w:p w14:paraId="110B7B0D"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007C6889" w14:textId="3DDBD52A"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5</w:t>
            </w:r>
            <w:r w:rsidR="003A027F">
              <w:rPr>
                <w:rFonts w:cs="Calibri"/>
                <w:color w:val="000000"/>
                <w:sz w:val="20"/>
                <w:szCs w:val="20"/>
              </w:rPr>
              <w:t>.</w:t>
            </w:r>
            <w:r>
              <w:rPr>
                <w:rFonts w:cs="Calibri"/>
                <w:color w:val="000000"/>
                <w:sz w:val="20"/>
                <w:szCs w:val="20"/>
              </w:rPr>
              <w:t>305</w:t>
            </w:r>
          </w:p>
        </w:tc>
        <w:tc>
          <w:tcPr>
            <w:tcW w:w="111" w:type="pct"/>
            <w:tcBorders>
              <w:top w:val="nil"/>
              <w:left w:val="nil"/>
              <w:bottom w:val="nil"/>
              <w:right w:val="nil"/>
            </w:tcBorders>
            <w:shd w:val="clear" w:color="auto" w:fill="auto"/>
            <w:noWrap/>
            <w:vAlign w:val="bottom"/>
          </w:tcPr>
          <w:p w14:paraId="3FC2F5D5"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tcPr>
          <w:p w14:paraId="355DD0B6" w14:textId="126F5279"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2</w:t>
            </w:r>
            <w:r w:rsidR="003A027F">
              <w:rPr>
                <w:rFonts w:cs="Calibri"/>
                <w:color w:val="000000"/>
                <w:sz w:val="20"/>
                <w:szCs w:val="20"/>
              </w:rPr>
              <w:t>.</w:t>
            </w:r>
            <w:r>
              <w:rPr>
                <w:rFonts w:cs="Calibri"/>
                <w:color w:val="000000"/>
                <w:sz w:val="20"/>
                <w:szCs w:val="20"/>
              </w:rPr>
              <w:t>233</w:t>
            </w:r>
          </w:p>
        </w:tc>
      </w:tr>
      <w:tr w:rsidR="008E1BAC" w:rsidRPr="009F49E2" w14:paraId="6807CF9A" w14:textId="77777777" w:rsidTr="00082910">
        <w:trPr>
          <w:trHeight w:val="255"/>
        </w:trPr>
        <w:tc>
          <w:tcPr>
            <w:tcW w:w="2975" w:type="pct"/>
            <w:tcBorders>
              <w:top w:val="nil"/>
              <w:left w:val="nil"/>
              <w:bottom w:val="nil"/>
              <w:right w:val="nil"/>
            </w:tcBorders>
            <w:shd w:val="clear" w:color="auto" w:fill="auto"/>
            <w:noWrap/>
            <w:vAlign w:val="bottom"/>
            <w:hideMark/>
          </w:tcPr>
          <w:p w14:paraId="43CE3BC0" w14:textId="0952FF57"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Αναβαλλόμενες φορολογικές υποχρεώσεις</w:t>
            </w:r>
          </w:p>
        </w:tc>
        <w:tc>
          <w:tcPr>
            <w:tcW w:w="111" w:type="pct"/>
            <w:tcBorders>
              <w:top w:val="nil"/>
              <w:left w:val="nil"/>
              <w:bottom w:val="nil"/>
              <w:right w:val="nil"/>
            </w:tcBorders>
            <w:shd w:val="clear" w:color="000000" w:fill="FFFFFF"/>
            <w:noWrap/>
            <w:vAlign w:val="bottom"/>
          </w:tcPr>
          <w:p w14:paraId="59D70080"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283B20D8" w14:textId="5EA1255A"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39</w:t>
            </w:r>
            <w:r w:rsidR="003A027F">
              <w:rPr>
                <w:rFonts w:cs="Calibri"/>
                <w:color w:val="000000"/>
                <w:sz w:val="20"/>
                <w:szCs w:val="20"/>
              </w:rPr>
              <w:t>.</w:t>
            </w:r>
            <w:r>
              <w:rPr>
                <w:rFonts w:cs="Calibri"/>
                <w:color w:val="000000"/>
                <w:sz w:val="20"/>
                <w:szCs w:val="20"/>
              </w:rPr>
              <w:t>055</w:t>
            </w:r>
          </w:p>
        </w:tc>
        <w:tc>
          <w:tcPr>
            <w:tcW w:w="111" w:type="pct"/>
            <w:tcBorders>
              <w:top w:val="nil"/>
              <w:left w:val="nil"/>
              <w:bottom w:val="nil"/>
              <w:right w:val="nil"/>
            </w:tcBorders>
            <w:shd w:val="clear" w:color="auto" w:fill="auto"/>
            <w:noWrap/>
            <w:vAlign w:val="bottom"/>
            <w:hideMark/>
          </w:tcPr>
          <w:p w14:paraId="7F67B8FC"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4930966E" w14:textId="3BCC4A43"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35</w:t>
            </w:r>
            <w:r w:rsidR="003A027F">
              <w:rPr>
                <w:rFonts w:cs="Calibri"/>
                <w:color w:val="000000"/>
                <w:sz w:val="20"/>
                <w:szCs w:val="20"/>
              </w:rPr>
              <w:t>.</w:t>
            </w:r>
            <w:r>
              <w:rPr>
                <w:rFonts w:cs="Calibri"/>
                <w:color w:val="000000"/>
                <w:sz w:val="20"/>
                <w:szCs w:val="20"/>
              </w:rPr>
              <w:t>318</w:t>
            </w:r>
          </w:p>
        </w:tc>
      </w:tr>
      <w:tr w:rsidR="008E1BAC" w:rsidRPr="009F49E2" w14:paraId="29A71E7D"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0EB43864" w14:textId="20A54321"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Λοιπές μακροπρόθεσμες υποχρεώσεις</w:t>
            </w:r>
          </w:p>
        </w:tc>
        <w:tc>
          <w:tcPr>
            <w:tcW w:w="111" w:type="pct"/>
            <w:tcBorders>
              <w:top w:val="nil"/>
              <w:left w:val="nil"/>
              <w:bottom w:val="nil"/>
              <w:right w:val="nil"/>
            </w:tcBorders>
            <w:shd w:val="clear" w:color="000000" w:fill="FFFFFF"/>
            <w:noWrap/>
            <w:vAlign w:val="bottom"/>
          </w:tcPr>
          <w:p w14:paraId="32E407F4"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7111FB3F" w14:textId="533F1027"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28</w:t>
            </w:r>
            <w:r w:rsidR="003A027F">
              <w:rPr>
                <w:rFonts w:cs="Calibri"/>
                <w:color w:val="000000"/>
                <w:sz w:val="20"/>
                <w:szCs w:val="20"/>
              </w:rPr>
              <w:t>.</w:t>
            </w:r>
            <w:r>
              <w:rPr>
                <w:rFonts w:cs="Calibri"/>
                <w:color w:val="000000"/>
                <w:sz w:val="20"/>
                <w:szCs w:val="20"/>
              </w:rPr>
              <w:t>294</w:t>
            </w:r>
          </w:p>
        </w:tc>
        <w:tc>
          <w:tcPr>
            <w:tcW w:w="111" w:type="pct"/>
            <w:tcBorders>
              <w:top w:val="nil"/>
              <w:left w:val="nil"/>
              <w:bottom w:val="nil"/>
              <w:right w:val="nil"/>
            </w:tcBorders>
            <w:shd w:val="clear" w:color="auto" w:fill="auto"/>
            <w:noWrap/>
            <w:vAlign w:val="bottom"/>
            <w:hideMark/>
          </w:tcPr>
          <w:p w14:paraId="59E09765"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181CF31B" w14:textId="113B880D"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28</w:t>
            </w:r>
            <w:r w:rsidR="003A027F">
              <w:rPr>
                <w:rFonts w:cs="Calibri"/>
                <w:color w:val="000000"/>
                <w:sz w:val="20"/>
                <w:szCs w:val="20"/>
              </w:rPr>
              <w:t>.</w:t>
            </w:r>
            <w:r>
              <w:rPr>
                <w:rFonts w:cs="Calibri"/>
                <w:color w:val="000000"/>
                <w:sz w:val="20"/>
                <w:szCs w:val="20"/>
              </w:rPr>
              <w:t>427</w:t>
            </w:r>
          </w:p>
        </w:tc>
      </w:tr>
      <w:tr w:rsidR="008E1BAC" w:rsidRPr="009F49E2" w14:paraId="2D596757"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0B49666C" w14:textId="319163A5"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Μακροπρόθεσμες υποχρεώσεις</w:t>
            </w:r>
          </w:p>
        </w:tc>
        <w:tc>
          <w:tcPr>
            <w:tcW w:w="111" w:type="pct"/>
            <w:tcBorders>
              <w:top w:val="nil"/>
              <w:left w:val="nil"/>
              <w:bottom w:val="nil"/>
              <w:right w:val="nil"/>
            </w:tcBorders>
            <w:shd w:val="clear" w:color="000000" w:fill="FFFFFF"/>
            <w:noWrap/>
            <w:vAlign w:val="bottom"/>
          </w:tcPr>
          <w:p w14:paraId="19EAFBE1"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66CD9484" w14:textId="0F1C6D1C"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294</w:t>
            </w:r>
            <w:r w:rsidR="003A027F">
              <w:rPr>
                <w:rFonts w:cs="Calibri"/>
                <w:b/>
                <w:bCs/>
                <w:color w:val="000000"/>
                <w:sz w:val="20"/>
                <w:szCs w:val="20"/>
              </w:rPr>
              <w:t>.</w:t>
            </w:r>
            <w:r>
              <w:rPr>
                <w:rFonts w:cs="Calibri"/>
                <w:b/>
                <w:bCs/>
                <w:color w:val="000000"/>
                <w:sz w:val="20"/>
                <w:szCs w:val="20"/>
              </w:rPr>
              <w:t>867</w:t>
            </w:r>
          </w:p>
        </w:tc>
        <w:tc>
          <w:tcPr>
            <w:tcW w:w="111" w:type="pct"/>
            <w:tcBorders>
              <w:top w:val="nil"/>
              <w:left w:val="nil"/>
              <w:bottom w:val="nil"/>
              <w:right w:val="nil"/>
            </w:tcBorders>
            <w:shd w:val="clear" w:color="auto" w:fill="auto"/>
            <w:noWrap/>
            <w:vAlign w:val="bottom"/>
            <w:hideMark/>
          </w:tcPr>
          <w:p w14:paraId="77C78B7A"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3D3ECD5E" w14:textId="1D93292E"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193</w:t>
            </w:r>
            <w:r w:rsidR="003A027F">
              <w:rPr>
                <w:rFonts w:cs="Calibri"/>
                <w:b/>
                <w:bCs/>
                <w:color w:val="000000"/>
                <w:sz w:val="20"/>
                <w:szCs w:val="20"/>
              </w:rPr>
              <w:t>.</w:t>
            </w:r>
            <w:r>
              <w:rPr>
                <w:rFonts w:cs="Calibri"/>
                <w:b/>
                <w:bCs/>
                <w:color w:val="000000"/>
                <w:sz w:val="20"/>
                <w:szCs w:val="20"/>
              </w:rPr>
              <w:t>139</w:t>
            </w:r>
          </w:p>
        </w:tc>
      </w:tr>
      <w:tr w:rsidR="008E1BAC" w:rsidRPr="009F49E2" w14:paraId="5284558E" w14:textId="77777777" w:rsidTr="00082910">
        <w:trPr>
          <w:trHeight w:val="255"/>
        </w:trPr>
        <w:tc>
          <w:tcPr>
            <w:tcW w:w="2975" w:type="pct"/>
            <w:tcBorders>
              <w:top w:val="nil"/>
              <w:left w:val="nil"/>
              <w:bottom w:val="nil"/>
              <w:right w:val="nil"/>
            </w:tcBorders>
            <w:shd w:val="clear" w:color="auto" w:fill="auto"/>
            <w:noWrap/>
            <w:vAlign w:val="bottom"/>
            <w:hideMark/>
          </w:tcPr>
          <w:p w14:paraId="59DE466D" w14:textId="25ED19DA"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Δάνεια</w:t>
            </w:r>
          </w:p>
        </w:tc>
        <w:tc>
          <w:tcPr>
            <w:tcW w:w="111" w:type="pct"/>
            <w:tcBorders>
              <w:top w:val="nil"/>
              <w:left w:val="nil"/>
              <w:bottom w:val="nil"/>
              <w:right w:val="nil"/>
            </w:tcBorders>
            <w:shd w:val="clear" w:color="000000" w:fill="FFFFFF"/>
            <w:noWrap/>
            <w:vAlign w:val="bottom"/>
          </w:tcPr>
          <w:p w14:paraId="3F40AAED"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2EEA0C15" w14:textId="5027B9E0"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510</w:t>
            </w:r>
            <w:r w:rsidR="003A027F">
              <w:rPr>
                <w:rFonts w:cs="Calibri"/>
                <w:color w:val="000000"/>
                <w:sz w:val="20"/>
                <w:szCs w:val="20"/>
              </w:rPr>
              <w:t>.</w:t>
            </w:r>
            <w:r>
              <w:rPr>
                <w:rFonts w:cs="Calibri"/>
                <w:color w:val="000000"/>
                <w:sz w:val="20"/>
                <w:szCs w:val="20"/>
              </w:rPr>
              <w:t>326</w:t>
            </w:r>
          </w:p>
        </w:tc>
        <w:tc>
          <w:tcPr>
            <w:tcW w:w="111" w:type="pct"/>
            <w:tcBorders>
              <w:top w:val="nil"/>
              <w:left w:val="nil"/>
              <w:bottom w:val="nil"/>
              <w:right w:val="nil"/>
            </w:tcBorders>
            <w:shd w:val="clear" w:color="auto" w:fill="auto"/>
            <w:noWrap/>
            <w:vAlign w:val="bottom"/>
            <w:hideMark/>
          </w:tcPr>
          <w:p w14:paraId="63DE4E21"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62683349" w14:textId="27B05A21"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474</w:t>
            </w:r>
            <w:r w:rsidR="003A027F">
              <w:rPr>
                <w:rFonts w:cs="Calibri"/>
                <w:color w:val="000000"/>
                <w:sz w:val="20"/>
                <w:szCs w:val="20"/>
              </w:rPr>
              <w:t>.</w:t>
            </w:r>
            <w:r>
              <w:rPr>
                <w:rFonts w:cs="Calibri"/>
                <w:color w:val="000000"/>
                <w:sz w:val="20"/>
                <w:szCs w:val="20"/>
              </w:rPr>
              <w:t>749</w:t>
            </w:r>
          </w:p>
        </w:tc>
      </w:tr>
      <w:tr w:rsidR="008E1BAC" w:rsidRPr="009F49E2" w14:paraId="3E2FC2E1" w14:textId="77777777" w:rsidTr="00082910">
        <w:trPr>
          <w:trHeight w:val="255"/>
        </w:trPr>
        <w:tc>
          <w:tcPr>
            <w:tcW w:w="2975" w:type="pct"/>
            <w:tcBorders>
              <w:top w:val="nil"/>
              <w:left w:val="nil"/>
              <w:bottom w:val="nil"/>
              <w:right w:val="nil"/>
            </w:tcBorders>
            <w:shd w:val="clear" w:color="auto" w:fill="auto"/>
            <w:noWrap/>
            <w:vAlign w:val="bottom"/>
          </w:tcPr>
          <w:p w14:paraId="39D300DA" w14:textId="34CDEA22"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Υποχρεώσεις από μισθώσεις</w:t>
            </w:r>
          </w:p>
        </w:tc>
        <w:tc>
          <w:tcPr>
            <w:tcW w:w="111" w:type="pct"/>
            <w:tcBorders>
              <w:top w:val="nil"/>
              <w:left w:val="nil"/>
              <w:bottom w:val="nil"/>
              <w:right w:val="nil"/>
            </w:tcBorders>
            <w:shd w:val="clear" w:color="000000" w:fill="FFFFFF"/>
            <w:noWrap/>
            <w:vAlign w:val="bottom"/>
          </w:tcPr>
          <w:p w14:paraId="6ED483FC"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69D83DC0" w14:textId="14E4F441"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2</w:t>
            </w:r>
            <w:r w:rsidR="003A027F">
              <w:rPr>
                <w:rFonts w:cs="Calibri"/>
                <w:color w:val="000000"/>
                <w:sz w:val="20"/>
                <w:szCs w:val="20"/>
              </w:rPr>
              <w:t>.</w:t>
            </w:r>
            <w:r>
              <w:rPr>
                <w:rFonts w:cs="Calibri"/>
                <w:color w:val="000000"/>
                <w:sz w:val="20"/>
                <w:szCs w:val="20"/>
              </w:rPr>
              <w:t>072</w:t>
            </w:r>
          </w:p>
        </w:tc>
        <w:tc>
          <w:tcPr>
            <w:tcW w:w="111" w:type="pct"/>
            <w:tcBorders>
              <w:top w:val="nil"/>
              <w:left w:val="nil"/>
              <w:bottom w:val="nil"/>
              <w:right w:val="nil"/>
            </w:tcBorders>
            <w:shd w:val="clear" w:color="auto" w:fill="auto"/>
            <w:noWrap/>
            <w:vAlign w:val="bottom"/>
          </w:tcPr>
          <w:p w14:paraId="27C5DB79"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tcPr>
          <w:p w14:paraId="6C8179EF" w14:textId="43498080"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w:t>
            </w:r>
            <w:r w:rsidR="003A027F">
              <w:rPr>
                <w:rFonts w:cs="Calibri"/>
                <w:color w:val="000000"/>
                <w:sz w:val="20"/>
                <w:szCs w:val="20"/>
              </w:rPr>
              <w:t>.</w:t>
            </w:r>
            <w:r>
              <w:rPr>
                <w:rFonts w:cs="Calibri"/>
                <w:color w:val="000000"/>
                <w:sz w:val="20"/>
                <w:szCs w:val="20"/>
              </w:rPr>
              <w:t>224</w:t>
            </w:r>
          </w:p>
        </w:tc>
      </w:tr>
      <w:tr w:rsidR="008E1BAC" w:rsidRPr="009F49E2" w14:paraId="1C04CB6D" w14:textId="77777777" w:rsidTr="00082910">
        <w:trPr>
          <w:trHeight w:val="255"/>
        </w:trPr>
        <w:tc>
          <w:tcPr>
            <w:tcW w:w="2975" w:type="pct"/>
            <w:tcBorders>
              <w:top w:val="nil"/>
              <w:left w:val="nil"/>
              <w:bottom w:val="nil"/>
              <w:right w:val="nil"/>
            </w:tcBorders>
            <w:shd w:val="clear" w:color="auto" w:fill="auto"/>
            <w:noWrap/>
            <w:vAlign w:val="bottom"/>
            <w:hideMark/>
          </w:tcPr>
          <w:p w14:paraId="495411B9" w14:textId="2BA35118"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Εμπορικές και λοιπές υποχρεώσεις</w:t>
            </w:r>
          </w:p>
        </w:tc>
        <w:tc>
          <w:tcPr>
            <w:tcW w:w="111" w:type="pct"/>
            <w:tcBorders>
              <w:top w:val="nil"/>
              <w:left w:val="nil"/>
              <w:bottom w:val="nil"/>
              <w:right w:val="nil"/>
            </w:tcBorders>
            <w:shd w:val="clear" w:color="000000" w:fill="FFFFFF"/>
            <w:noWrap/>
            <w:vAlign w:val="bottom"/>
          </w:tcPr>
          <w:p w14:paraId="3938B3D5"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4F57D31C" w14:textId="412F5BB1" w:rsidR="008E1BAC" w:rsidRPr="009F49E2" w:rsidRDefault="000F076F" w:rsidP="008E1BAC">
            <w:pPr>
              <w:spacing w:after="0" w:line="240" w:lineRule="auto"/>
              <w:jc w:val="right"/>
              <w:rPr>
                <w:rFonts w:cs="Calibri"/>
                <w:color w:val="000000"/>
                <w:sz w:val="20"/>
                <w:szCs w:val="20"/>
                <w:lang w:val="en-GB"/>
              </w:rPr>
            </w:pPr>
            <w:r>
              <w:rPr>
                <w:rFonts w:cs="Calibri"/>
                <w:color w:val="000000"/>
                <w:sz w:val="20"/>
                <w:szCs w:val="20"/>
                <w:lang w:val="en-GB"/>
              </w:rPr>
              <w:t>450.584</w:t>
            </w:r>
          </w:p>
        </w:tc>
        <w:tc>
          <w:tcPr>
            <w:tcW w:w="111" w:type="pct"/>
            <w:tcBorders>
              <w:top w:val="nil"/>
              <w:left w:val="nil"/>
              <w:bottom w:val="nil"/>
              <w:right w:val="nil"/>
            </w:tcBorders>
            <w:shd w:val="clear" w:color="auto" w:fill="auto"/>
            <w:noWrap/>
            <w:vAlign w:val="bottom"/>
            <w:hideMark/>
          </w:tcPr>
          <w:p w14:paraId="774AC61D"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0A9F4ACA" w14:textId="5B6B64E4"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549</w:t>
            </w:r>
            <w:r w:rsidR="003A027F">
              <w:rPr>
                <w:rFonts w:cs="Calibri"/>
                <w:color w:val="000000"/>
                <w:sz w:val="20"/>
                <w:szCs w:val="20"/>
              </w:rPr>
              <w:t>.</w:t>
            </w:r>
            <w:r>
              <w:rPr>
                <w:rFonts w:cs="Calibri"/>
                <w:color w:val="000000"/>
                <w:sz w:val="20"/>
                <w:szCs w:val="20"/>
              </w:rPr>
              <w:t>283</w:t>
            </w:r>
          </w:p>
        </w:tc>
      </w:tr>
      <w:tr w:rsidR="008E1BAC" w:rsidRPr="009F49E2" w14:paraId="5704D81D" w14:textId="77777777" w:rsidTr="00082910">
        <w:trPr>
          <w:trHeight w:val="255"/>
        </w:trPr>
        <w:tc>
          <w:tcPr>
            <w:tcW w:w="2975" w:type="pct"/>
            <w:tcBorders>
              <w:top w:val="nil"/>
              <w:left w:val="nil"/>
              <w:bottom w:val="nil"/>
              <w:right w:val="nil"/>
            </w:tcBorders>
            <w:shd w:val="clear" w:color="auto" w:fill="auto"/>
            <w:noWrap/>
            <w:vAlign w:val="bottom"/>
            <w:hideMark/>
          </w:tcPr>
          <w:p w14:paraId="7EFCD63B" w14:textId="260982E2"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Συμβατικές υποχρεώσεις</w:t>
            </w:r>
          </w:p>
        </w:tc>
        <w:tc>
          <w:tcPr>
            <w:tcW w:w="111" w:type="pct"/>
            <w:tcBorders>
              <w:top w:val="nil"/>
              <w:left w:val="nil"/>
              <w:bottom w:val="nil"/>
              <w:right w:val="nil"/>
            </w:tcBorders>
            <w:shd w:val="clear" w:color="000000" w:fill="FFFFFF"/>
            <w:noWrap/>
            <w:vAlign w:val="bottom"/>
          </w:tcPr>
          <w:p w14:paraId="44B39A22"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nil"/>
              <w:right w:val="nil"/>
            </w:tcBorders>
            <w:shd w:val="clear" w:color="000000" w:fill="D8E4BC"/>
            <w:noWrap/>
            <w:vAlign w:val="center"/>
          </w:tcPr>
          <w:p w14:paraId="392CD834" w14:textId="5180FBA1" w:rsidR="008E1BAC" w:rsidRPr="009F49E2" w:rsidRDefault="000F076F" w:rsidP="008E1BAC">
            <w:pPr>
              <w:spacing w:after="0" w:line="240" w:lineRule="auto"/>
              <w:jc w:val="right"/>
              <w:rPr>
                <w:rFonts w:cs="Calibri"/>
                <w:color w:val="000000"/>
                <w:sz w:val="20"/>
                <w:szCs w:val="20"/>
                <w:lang w:val="en-GB"/>
              </w:rPr>
            </w:pPr>
            <w:r>
              <w:rPr>
                <w:rFonts w:cs="Calibri"/>
                <w:color w:val="000000"/>
                <w:sz w:val="20"/>
                <w:szCs w:val="20"/>
                <w:lang w:val="en-GB"/>
              </w:rPr>
              <w:t>186.078</w:t>
            </w:r>
          </w:p>
        </w:tc>
        <w:tc>
          <w:tcPr>
            <w:tcW w:w="111" w:type="pct"/>
            <w:tcBorders>
              <w:top w:val="nil"/>
              <w:left w:val="nil"/>
              <w:bottom w:val="nil"/>
              <w:right w:val="nil"/>
            </w:tcBorders>
            <w:shd w:val="clear" w:color="auto" w:fill="auto"/>
            <w:noWrap/>
            <w:vAlign w:val="bottom"/>
            <w:hideMark/>
          </w:tcPr>
          <w:p w14:paraId="086F122B"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nil"/>
              <w:right w:val="nil"/>
            </w:tcBorders>
            <w:shd w:val="clear" w:color="auto" w:fill="auto"/>
            <w:noWrap/>
            <w:vAlign w:val="bottom"/>
            <w:hideMark/>
          </w:tcPr>
          <w:p w14:paraId="2818B5D8" w14:textId="7C6D8073"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108</w:t>
            </w:r>
            <w:r w:rsidR="003A027F">
              <w:rPr>
                <w:rFonts w:cs="Calibri"/>
                <w:color w:val="000000"/>
                <w:sz w:val="20"/>
                <w:szCs w:val="20"/>
              </w:rPr>
              <w:t>.</w:t>
            </w:r>
            <w:r>
              <w:rPr>
                <w:rFonts w:cs="Calibri"/>
                <w:color w:val="000000"/>
                <w:sz w:val="20"/>
                <w:szCs w:val="20"/>
              </w:rPr>
              <w:t>780</w:t>
            </w:r>
          </w:p>
        </w:tc>
      </w:tr>
      <w:tr w:rsidR="008E1BAC" w:rsidRPr="009F49E2" w14:paraId="399AAD04"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6FE3B6A9" w14:textId="462FB0FD" w:rsidR="008E1BAC" w:rsidRPr="009F49E2" w:rsidRDefault="008E1BAC" w:rsidP="008E1BAC">
            <w:pPr>
              <w:spacing w:after="0" w:line="240" w:lineRule="auto"/>
              <w:rPr>
                <w:rFonts w:eastAsia="Times New Roman" w:cs="Calibri"/>
                <w:color w:val="000000"/>
                <w:sz w:val="20"/>
                <w:szCs w:val="20"/>
                <w:lang w:val="en-GB"/>
              </w:rPr>
            </w:pPr>
            <w:r w:rsidRPr="005460AF">
              <w:rPr>
                <w:rFonts w:eastAsia="MS Mincho"/>
                <w:color w:val="000000"/>
                <w:sz w:val="20"/>
                <w:szCs w:val="24"/>
              </w:rPr>
              <w:t>Λοιπές βραχυπρόθεσμες υποχρεώσεις</w:t>
            </w:r>
          </w:p>
        </w:tc>
        <w:tc>
          <w:tcPr>
            <w:tcW w:w="111" w:type="pct"/>
            <w:tcBorders>
              <w:top w:val="nil"/>
              <w:left w:val="nil"/>
              <w:bottom w:val="nil"/>
              <w:right w:val="nil"/>
            </w:tcBorders>
            <w:shd w:val="clear" w:color="000000" w:fill="FFFFFF"/>
            <w:noWrap/>
            <w:vAlign w:val="bottom"/>
          </w:tcPr>
          <w:p w14:paraId="0DE36157"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671A0877" w14:textId="79E26F84" w:rsidR="008E1BAC" w:rsidRPr="009F49E2" w:rsidRDefault="008E1BAC" w:rsidP="008E1BAC">
            <w:pPr>
              <w:spacing w:after="0" w:line="240" w:lineRule="auto"/>
              <w:jc w:val="right"/>
              <w:rPr>
                <w:rFonts w:cs="Calibri"/>
                <w:color w:val="000000"/>
                <w:sz w:val="20"/>
                <w:szCs w:val="20"/>
                <w:lang w:val="en-GB"/>
              </w:rPr>
            </w:pPr>
            <w:r>
              <w:rPr>
                <w:rFonts w:cs="Calibri"/>
                <w:color w:val="000000"/>
                <w:sz w:val="20"/>
                <w:szCs w:val="20"/>
              </w:rPr>
              <w:t>30</w:t>
            </w:r>
            <w:r w:rsidR="003A027F">
              <w:rPr>
                <w:rFonts w:cs="Calibri"/>
                <w:color w:val="000000"/>
                <w:sz w:val="20"/>
                <w:szCs w:val="20"/>
              </w:rPr>
              <w:t>.</w:t>
            </w:r>
            <w:r>
              <w:rPr>
                <w:rFonts w:cs="Calibri"/>
                <w:color w:val="000000"/>
                <w:sz w:val="20"/>
                <w:szCs w:val="20"/>
              </w:rPr>
              <w:t>290</w:t>
            </w:r>
          </w:p>
        </w:tc>
        <w:tc>
          <w:tcPr>
            <w:tcW w:w="111" w:type="pct"/>
            <w:tcBorders>
              <w:top w:val="nil"/>
              <w:left w:val="nil"/>
              <w:bottom w:val="nil"/>
              <w:right w:val="nil"/>
            </w:tcBorders>
            <w:shd w:val="clear" w:color="auto" w:fill="auto"/>
            <w:noWrap/>
            <w:vAlign w:val="bottom"/>
            <w:hideMark/>
          </w:tcPr>
          <w:p w14:paraId="6CC3B078" w14:textId="77777777" w:rsidR="008E1BAC" w:rsidRPr="009F49E2" w:rsidRDefault="008E1BAC" w:rsidP="008E1BAC">
            <w:pPr>
              <w:spacing w:after="0" w:line="240" w:lineRule="auto"/>
              <w:jc w:val="right"/>
              <w:rPr>
                <w:rFonts w:eastAsia="Times New Roman" w:cs="Calibri"/>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2A55D35F" w14:textId="0222CDF9" w:rsidR="008E1BAC" w:rsidRPr="009F49E2" w:rsidRDefault="008E1BAC" w:rsidP="008E1BAC">
            <w:pPr>
              <w:spacing w:after="0" w:line="240" w:lineRule="auto"/>
              <w:jc w:val="right"/>
              <w:rPr>
                <w:rFonts w:eastAsia="Times New Roman" w:cs="Calibri"/>
                <w:color w:val="000000"/>
                <w:sz w:val="20"/>
                <w:szCs w:val="20"/>
                <w:lang w:val="en-GB"/>
              </w:rPr>
            </w:pPr>
            <w:r>
              <w:rPr>
                <w:rFonts w:cs="Calibri"/>
                <w:color w:val="000000"/>
                <w:sz w:val="20"/>
                <w:szCs w:val="20"/>
              </w:rPr>
              <w:t>29</w:t>
            </w:r>
            <w:r w:rsidR="003A027F">
              <w:rPr>
                <w:rFonts w:cs="Calibri"/>
                <w:color w:val="000000"/>
                <w:sz w:val="20"/>
                <w:szCs w:val="20"/>
              </w:rPr>
              <w:t>.</w:t>
            </w:r>
            <w:r>
              <w:rPr>
                <w:rFonts w:cs="Calibri"/>
                <w:color w:val="000000"/>
                <w:sz w:val="20"/>
                <w:szCs w:val="20"/>
              </w:rPr>
              <w:t>940</w:t>
            </w:r>
          </w:p>
        </w:tc>
      </w:tr>
      <w:tr w:rsidR="008E1BAC" w:rsidRPr="009F49E2" w14:paraId="3F71BE75"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7DEC538F" w14:textId="24DF6A95"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Βραχυπρόθεσμες υποχρεώσεις</w:t>
            </w:r>
          </w:p>
        </w:tc>
        <w:tc>
          <w:tcPr>
            <w:tcW w:w="111" w:type="pct"/>
            <w:tcBorders>
              <w:top w:val="nil"/>
              <w:left w:val="nil"/>
              <w:bottom w:val="nil"/>
              <w:right w:val="nil"/>
            </w:tcBorders>
            <w:shd w:val="clear" w:color="000000" w:fill="FFFFFF"/>
            <w:noWrap/>
            <w:vAlign w:val="bottom"/>
          </w:tcPr>
          <w:p w14:paraId="6E4E7E5F"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5452F23B" w14:textId="6C0C0BD5"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179</w:t>
            </w:r>
            <w:r w:rsidR="003A027F">
              <w:rPr>
                <w:rFonts w:cs="Calibri"/>
                <w:b/>
                <w:bCs/>
                <w:color w:val="000000"/>
                <w:sz w:val="20"/>
                <w:szCs w:val="20"/>
              </w:rPr>
              <w:t>.</w:t>
            </w:r>
            <w:r>
              <w:rPr>
                <w:rFonts w:cs="Calibri"/>
                <w:b/>
                <w:bCs/>
                <w:color w:val="000000"/>
                <w:sz w:val="20"/>
                <w:szCs w:val="20"/>
              </w:rPr>
              <w:t>349</w:t>
            </w:r>
          </w:p>
        </w:tc>
        <w:tc>
          <w:tcPr>
            <w:tcW w:w="111" w:type="pct"/>
            <w:tcBorders>
              <w:top w:val="nil"/>
              <w:left w:val="nil"/>
              <w:bottom w:val="nil"/>
              <w:right w:val="nil"/>
            </w:tcBorders>
            <w:shd w:val="clear" w:color="auto" w:fill="auto"/>
            <w:noWrap/>
            <w:vAlign w:val="bottom"/>
            <w:hideMark/>
          </w:tcPr>
          <w:p w14:paraId="0D2394AF"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290BA97C" w14:textId="645684EF"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163</w:t>
            </w:r>
            <w:r w:rsidR="003A027F">
              <w:rPr>
                <w:rFonts w:cs="Calibri"/>
                <w:b/>
                <w:bCs/>
                <w:color w:val="000000"/>
                <w:sz w:val="20"/>
                <w:szCs w:val="20"/>
              </w:rPr>
              <w:t>.</w:t>
            </w:r>
            <w:r>
              <w:rPr>
                <w:rFonts w:cs="Calibri"/>
                <w:b/>
                <w:bCs/>
                <w:color w:val="000000"/>
                <w:sz w:val="20"/>
                <w:szCs w:val="20"/>
              </w:rPr>
              <w:t>975</w:t>
            </w:r>
          </w:p>
        </w:tc>
      </w:tr>
      <w:tr w:rsidR="008E1BAC" w:rsidRPr="009F49E2" w14:paraId="554BF589"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09A46221" w14:textId="25124B4B" w:rsidR="008E1BAC" w:rsidRPr="009F49E2" w:rsidRDefault="008E1BAC" w:rsidP="008E1BAC">
            <w:pPr>
              <w:spacing w:after="0" w:line="240" w:lineRule="auto"/>
              <w:rPr>
                <w:rFonts w:eastAsia="Times New Roman" w:cs="Calibri"/>
                <w:b/>
                <w:bCs/>
                <w:color w:val="000000"/>
                <w:sz w:val="20"/>
                <w:szCs w:val="20"/>
                <w:lang w:val="en-GB"/>
              </w:rPr>
            </w:pPr>
            <w:r w:rsidRPr="005460AF">
              <w:rPr>
                <w:rFonts w:eastAsia="MS Mincho"/>
                <w:b/>
                <w:color w:val="000000"/>
                <w:sz w:val="20"/>
                <w:szCs w:val="24"/>
              </w:rPr>
              <w:t>ΣΥΝΟΛΟ ΥΠΟΧΡΕΩΣΕΩΝ</w:t>
            </w:r>
          </w:p>
        </w:tc>
        <w:tc>
          <w:tcPr>
            <w:tcW w:w="111" w:type="pct"/>
            <w:tcBorders>
              <w:top w:val="nil"/>
              <w:left w:val="nil"/>
              <w:bottom w:val="nil"/>
              <w:right w:val="nil"/>
            </w:tcBorders>
            <w:shd w:val="clear" w:color="000000" w:fill="FFFFFF"/>
            <w:noWrap/>
            <w:vAlign w:val="bottom"/>
          </w:tcPr>
          <w:p w14:paraId="02553461" w14:textId="77777777" w:rsidR="008E1BAC" w:rsidRPr="009F49E2" w:rsidRDefault="008E1BAC" w:rsidP="008E1BAC">
            <w:pPr>
              <w:spacing w:after="0" w:line="240" w:lineRule="auto"/>
              <w:rPr>
                <w:rFonts w:eastAsia="Times New Roman" w:cs="Calibri"/>
                <w:color w:val="000000"/>
                <w:sz w:val="20"/>
                <w:szCs w:val="20"/>
                <w:lang w:val="en-GB"/>
              </w:rPr>
            </w:pPr>
          </w:p>
        </w:tc>
        <w:tc>
          <w:tcPr>
            <w:tcW w:w="845" w:type="pct"/>
            <w:tcBorders>
              <w:top w:val="nil"/>
              <w:left w:val="nil"/>
              <w:bottom w:val="single" w:sz="8" w:space="0" w:color="4F6228"/>
              <w:right w:val="nil"/>
            </w:tcBorders>
            <w:shd w:val="clear" w:color="000000" w:fill="D8E4BC"/>
            <w:noWrap/>
            <w:vAlign w:val="center"/>
          </w:tcPr>
          <w:p w14:paraId="19C71D0C" w14:textId="766BCF21" w:rsidR="008E1BAC" w:rsidRPr="009F49E2" w:rsidRDefault="008E1BAC" w:rsidP="008E1BAC">
            <w:pPr>
              <w:spacing w:after="0" w:line="240" w:lineRule="auto"/>
              <w:jc w:val="right"/>
              <w:rPr>
                <w:rFonts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474</w:t>
            </w:r>
            <w:r w:rsidR="003A027F">
              <w:rPr>
                <w:rFonts w:cs="Calibri"/>
                <w:b/>
                <w:bCs/>
                <w:color w:val="000000"/>
                <w:sz w:val="20"/>
                <w:szCs w:val="20"/>
              </w:rPr>
              <w:t>.</w:t>
            </w:r>
            <w:r>
              <w:rPr>
                <w:rFonts w:cs="Calibri"/>
                <w:b/>
                <w:bCs/>
                <w:color w:val="000000"/>
                <w:sz w:val="20"/>
                <w:szCs w:val="20"/>
              </w:rPr>
              <w:t>216</w:t>
            </w:r>
          </w:p>
        </w:tc>
        <w:tc>
          <w:tcPr>
            <w:tcW w:w="111" w:type="pct"/>
            <w:tcBorders>
              <w:top w:val="nil"/>
              <w:left w:val="nil"/>
              <w:bottom w:val="nil"/>
              <w:right w:val="nil"/>
            </w:tcBorders>
            <w:shd w:val="clear" w:color="auto" w:fill="auto"/>
            <w:noWrap/>
            <w:vAlign w:val="bottom"/>
            <w:hideMark/>
          </w:tcPr>
          <w:p w14:paraId="06B2047F" w14:textId="77777777" w:rsidR="008E1BAC" w:rsidRPr="009F49E2" w:rsidRDefault="008E1BAC" w:rsidP="008E1BAC">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766329EA" w14:textId="65114B18" w:rsidR="008E1BAC" w:rsidRPr="009F49E2" w:rsidRDefault="008E1BAC" w:rsidP="008E1BAC">
            <w:pPr>
              <w:spacing w:after="0" w:line="240" w:lineRule="auto"/>
              <w:jc w:val="right"/>
              <w:rPr>
                <w:rFonts w:eastAsia="Times New Roman"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357</w:t>
            </w:r>
            <w:r w:rsidR="003A027F">
              <w:rPr>
                <w:rFonts w:cs="Calibri"/>
                <w:b/>
                <w:bCs/>
                <w:color w:val="000000"/>
                <w:sz w:val="20"/>
                <w:szCs w:val="20"/>
              </w:rPr>
              <w:t>.</w:t>
            </w:r>
            <w:r>
              <w:rPr>
                <w:rFonts w:cs="Calibri"/>
                <w:b/>
                <w:bCs/>
                <w:color w:val="000000"/>
                <w:sz w:val="20"/>
                <w:szCs w:val="20"/>
              </w:rPr>
              <w:t>114</w:t>
            </w:r>
          </w:p>
        </w:tc>
      </w:tr>
      <w:tr w:rsidR="00995152" w:rsidRPr="009F49E2" w14:paraId="6769B7F1" w14:textId="77777777" w:rsidTr="00082910">
        <w:trPr>
          <w:trHeight w:val="270"/>
        </w:trPr>
        <w:tc>
          <w:tcPr>
            <w:tcW w:w="2975" w:type="pct"/>
            <w:tcBorders>
              <w:top w:val="nil"/>
              <w:left w:val="nil"/>
              <w:bottom w:val="single" w:sz="8" w:space="0" w:color="4F6228"/>
              <w:right w:val="nil"/>
            </w:tcBorders>
            <w:shd w:val="clear" w:color="auto" w:fill="auto"/>
            <w:noWrap/>
            <w:vAlign w:val="bottom"/>
            <w:hideMark/>
          </w:tcPr>
          <w:p w14:paraId="5E17689A" w14:textId="0D2F077B" w:rsidR="00995152" w:rsidRPr="008E1BAC" w:rsidRDefault="008E1BAC" w:rsidP="00995152">
            <w:pPr>
              <w:spacing w:after="0" w:line="240" w:lineRule="auto"/>
              <w:rPr>
                <w:rFonts w:eastAsia="Times New Roman" w:cs="Calibri"/>
                <w:b/>
                <w:bCs/>
                <w:color w:val="000000"/>
                <w:sz w:val="20"/>
                <w:szCs w:val="20"/>
              </w:rPr>
            </w:pPr>
            <w:r w:rsidRPr="005460AF">
              <w:rPr>
                <w:rFonts w:eastAsia="MS Mincho"/>
                <w:b/>
                <w:color w:val="000000"/>
                <w:sz w:val="20"/>
                <w:szCs w:val="24"/>
              </w:rPr>
              <w:t>ΣΥΝΟΛΟ ΙΔΙΩΝ ΚΕΦΑΛΑΙΩΝ ΚΑΙ ΥΠΟΧΡΕΩΣΕΩΝ</w:t>
            </w:r>
          </w:p>
        </w:tc>
        <w:tc>
          <w:tcPr>
            <w:tcW w:w="111" w:type="pct"/>
            <w:tcBorders>
              <w:top w:val="nil"/>
              <w:left w:val="nil"/>
              <w:bottom w:val="nil"/>
              <w:right w:val="nil"/>
            </w:tcBorders>
            <w:shd w:val="clear" w:color="000000" w:fill="FFFFFF"/>
            <w:noWrap/>
            <w:vAlign w:val="bottom"/>
          </w:tcPr>
          <w:p w14:paraId="4314C1FF" w14:textId="77777777" w:rsidR="00995152" w:rsidRPr="008E1BAC" w:rsidRDefault="00995152" w:rsidP="00995152">
            <w:pPr>
              <w:spacing w:after="0" w:line="240" w:lineRule="auto"/>
              <w:rPr>
                <w:rFonts w:eastAsia="Times New Roman" w:cs="Calibri"/>
                <w:color w:val="000000"/>
                <w:sz w:val="20"/>
                <w:szCs w:val="20"/>
              </w:rPr>
            </w:pPr>
          </w:p>
        </w:tc>
        <w:tc>
          <w:tcPr>
            <w:tcW w:w="845" w:type="pct"/>
            <w:tcBorders>
              <w:top w:val="nil"/>
              <w:left w:val="nil"/>
              <w:bottom w:val="single" w:sz="8" w:space="0" w:color="4F6228"/>
              <w:right w:val="nil"/>
            </w:tcBorders>
            <w:shd w:val="clear" w:color="000000" w:fill="D8E4BC"/>
            <w:noWrap/>
            <w:vAlign w:val="center"/>
          </w:tcPr>
          <w:p w14:paraId="0E633C9D" w14:textId="374A4232" w:rsidR="00995152" w:rsidRPr="009F49E2" w:rsidRDefault="00995152" w:rsidP="00995152">
            <w:pPr>
              <w:spacing w:after="0" w:line="240" w:lineRule="auto"/>
              <w:jc w:val="right"/>
              <w:rPr>
                <w:rFonts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831</w:t>
            </w:r>
            <w:r w:rsidR="003A027F">
              <w:rPr>
                <w:rFonts w:cs="Calibri"/>
                <w:b/>
                <w:bCs/>
                <w:color w:val="000000"/>
                <w:sz w:val="20"/>
                <w:szCs w:val="20"/>
              </w:rPr>
              <w:t>.</w:t>
            </w:r>
            <w:r>
              <w:rPr>
                <w:rFonts w:cs="Calibri"/>
                <w:b/>
                <w:bCs/>
                <w:color w:val="000000"/>
                <w:sz w:val="20"/>
                <w:szCs w:val="20"/>
              </w:rPr>
              <w:t>436</w:t>
            </w:r>
          </w:p>
        </w:tc>
        <w:tc>
          <w:tcPr>
            <w:tcW w:w="111" w:type="pct"/>
            <w:tcBorders>
              <w:top w:val="nil"/>
              <w:left w:val="nil"/>
              <w:bottom w:val="nil"/>
              <w:right w:val="nil"/>
            </w:tcBorders>
            <w:shd w:val="clear" w:color="auto" w:fill="auto"/>
            <w:noWrap/>
            <w:vAlign w:val="bottom"/>
            <w:hideMark/>
          </w:tcPr>
          <w:p w14:paraId="101918DF" w14:textId="77777777" w:rsidR="00995152" w:rsidRPr="009F49E2" w:rsidRDefault="00995152" w:rsidP="00995152">
            <w:pPr>
              <w:spacing w:after="0" w:line="240" w:lineRule="auto"/>
              <w:jc w:val="right"/>
              <w:rPr>
                <w:rFonts w:eastAsia="Times New Roman" w:cs="Calibri"/>
                <w:b/>
                <w:bCs/>
                <w:color w:val="000000"/>
                <w:sz w:val="20"/>
                <w:szCs w:val="20"/>
                <w:lang w:val="en-GB"/>
              </w:rPr>
            </w:pPr>
          </w:p>
        </w:tc>
        <w:tc>
          <w:tcPr>
            <w:tcW w:w="958" w:type="pct"/>
            <w:tcBorders>
              <w:top w:val="nil"/>
              <w:left w:val="nil"/>
              <w:bottom w:val="single" w:sz="8" w:space="0" w:color="4F6228"/>
              <w:right w:val="nil"/>
            </w:tcBorders>
            <w:shd w:val="clear" w:color="auto" w:fill="auto"/>
            <w:noWrap/>
            <w:vAlign w:val="bottom"/>
            <w:hideMark/>
          </w:tcPr>
          <w:p w14:paraId="2DDBE194" w14:textId="36575727" w:rsidR="00995152" w:rsidRPr="009F49E2" w:rsidRDefault="00995152" w:rsidP="00995152">
            <w:pPr>
              <w:spacing w:after="0" w:line="240" w:lineRule="auto"/>
              <w:jc w:val="right"/>
              <w:rPr>
                <w:rFonts w:eastAsia="Times New Roman" w:cs="Calibri"/>
                <w:b/>
                <w:bCs/>
                <w:color w:val="000000"/>
                <w:sz w:val="20"/>
                <w:szCs w:val="20"/>
                <w:lang w:val="en-GB"/>
              </w:rPr>
            </w:pPr>
            <w:r>
              <w:rPr>
                <w:rFonts w:cs="Calibri"/>
                <w:b/>
                <w:bCs/>
                <w:color w:val="000000"/>
                <w:sz w:val="20"/>
                <w:szCs w:val="20"/>
              </w:rPr>
              <w:t>1</w:t>
            </w:r>
            <w:r w:rsidR="003A027F">
              <w:rPr>
                <w:rFonts w:cs="Calibri"/>
                <w:b/>
                <w:bCs/>
                <w:color w:val="000000"/>
                <w:sz w:val="20"/>
                <w:szCs w:val="20"/>
              </w:rPr>
              <w:t>.</w:t>
            </w:r>
            <w:r>
              <w:rPr>
                <w:rFonts w:cs="Calibri"/>
                <w:b/>
                <w:bCs/>
                <w:color w:val="000000"/>
                <w:sz w:val="20"/>
                <w:szCs w:val="20"/>
              </w:rPr>
              <w:t>698</w:t>
            </w:r>
            <w:r w:rsidR="003A027F">
              <w:rPr>
                <w:rFonts w:cs="Calibri"/>
                <w:b/>
                <w:bCs/>
                <w:color w:val="000000"/>
                <w:sz w:val="20"/>
                <w:szCs w:val="20"/>
              </w:rPr>
              <w:t>.</w:t>
            </w:r>
            <w:r>
              <w:rPr>
                <w:rFonts w:cs="Calibri"/>
                <w:b/>
                <w:bCs/>
                <w:color w:val="000000"/>
                <w:sz w:val="20"/>
                <w:szCs w:val="20"/>
              </w:rPr>
              <w:t>745</w:t>
            </w:r>
          </w:p>
        </w:tc>
      </w:tr>
    </w:tbl>
    <w:bookmarkEnd w:id="3"/>
    <w:p w14:paraId="5DC275D6" w14:textId="4BD4EB4A" w:rsidR="001F57E3" w:rsidRPr="003A027F" w:rsidRDefault="003A027F" w:rsidP="006B321F">
      <w:pPr>
        <w:numPr>
          <w:ilvl w:val="0"/>
          <w:numId w:val="3"/>
        </w:numPr>
        <w:autoSpaceDE w:val="0"/>
        <w:autoSpaceDN w:val="0"/>
        <w:adjustRightInd w:val="0"/>
        <w:spacing w:after="120" w:line="240" w:lineRule="auto"/>
        <w:ind w:left="142" w:hanging="142"/>
        <w:contextualSpacing/>
        <w:jc w:val="both"/>
        <w:rPr>
          <w:rFonts w:eastAsia="SimSun" w:cs="Calibri"/>
          <w:i/>
          <w:color w:val="000000"/>
          <w:sz w:val="16"/>
          <w:szCs w:val="20"/>
        </w:rPr>
      </w:pPr>
      <w:r w:rsidRPr="003A027F">
        <w:rPr>
          <w:rFonts w:eastAsia="SimSun" w:cs="Calibri"/>
          <w:i/>
          <w:color w:val="000000"/>
          <w:sz w:val="16"/>
          <w:szCs w:val="20"/>
        </w:rPr>
        <w:t>Πηγή: Συνοπτική Ενοποιημένη Κατάσταση Οικονομικής Θέσης (Παράρτημα Β)</w:t>
      </w:r>
    </w:p>
    <w:p w14:paraId="1F37385D" w14:textId="77777777" w:rsidR="00B74331" w:rsidRPr="003A027F" w:rsidRDefault="00B74331" w:rsidP="006B321F">
      <w:pPr>
        <w:spacing w:after="120" w:line="240" w:lineRule="auto"/>
        <w:rPr>
          <w:rFonts w:eastAsia="Times New Roman" w:cs="Calibri"/>
          <w:b/>
          <w:snapToGrid w:val="0"/>
          <w:lang w:eastAsia="el-GR"/>
        </w:rPr>
      </w:pPr>
      <w:bookmarkStart w:id="5" w:name="_Hlk3377163"/>
    </w:p>
    <w:p w14:paraId="57A76187" w14:textId="4D2A817C" w:rsidR="003F46D7" w:rsidRPr="003F46D7" w:rsidRDefault="003F46D7" w:rsidP="00825A6B">
      <w:pPr>
        <w:autoSpaceDE w:val="0"/>
        <w:autoSpaceDN w:val="0"/>
        <w:adjustRightInd w:val="0"/>
        <w:spacing w:after="120" w:line="240" w:lineRule="auto"/>
        <w:jc w:val="both"/>
        <w:rPr>
          <w:rFonts w:eastAsia="Times New Roman" w:cs="Calibri"/>
          <w:bCs/>
          <w:snapToGrid w:val="0"/>
          <w:lang w:eastAsia="el-GR"/>
        </w:rPr>
      </w:pPr>
      <w:bookmarkStart w:id="6" w:name="_Hlk111560556"/>
      <w:bookmarkStart w:id="7" w:name="_Hlk34214080"/>
      <w:bookmarkEnd w:id="5"/>
      <w:r w:rsidRPr="003F46D7">
        <w:rPr>
          <w:rFonts w:eastAsia="Times New Roman" w:cs="Calibri"/>
          <w:bCs/>
          <w:snapToGrid w:val="0"/>
          <w:lang w:eastAsia="el-GR"/>
        </w:rPr>
        <w:t>Οι συνολικές κεφαλαιουχικές δαπάνες του ομίλου ανήλθαν σε 58,3</w:t>
      </w:r>
      <w:r w:rsidR="00B070D2">
        <w:rPr>
          <w:rFonts w:eastAsia="Times New Roman" w:cs="Calibri"/>
          <w:bCs/>
          <w:snapToGrid w:val="0"/>
          <w:lang w:eastAsia="el-GR"/>
        </w:rPr>
        <w:t> </w:t>
      </w:r>
      <w:r w:rsidRPr="003F46D7">
        <w:rPr>
          <w:rFonts w:eastAsia="Times New Roman" w:cs="Calibri"/>
          <w:bCs/>
          <w:snapToGrid w:val="0"/>
          <w:lang w:eastAsia="el-GR"/>
        </w:rPr>
        <w:t>εκατ.</w:t>
      </w:r>
      <w:r w:rsidR="00B070D2">
        <w:rPr>
          <w:rFonts w:eastAsia="Times New Roman" w:cs="Calibri"/>
          <w:bCs/>
          <w:snapToGrid w:val="0"/>
          <w:lang w:eastAsia="el-GR"/>
        </w:rPr>
        <w:t> </w:t>
      </w:r>
      <w:r w:rsidRPr="003F46D7">
        <w:rPr>
          <w:rFonts w:eastAsia="Times New Roman" w:cs="Calibri"/>
          <w:bCs/>
          <w:snapToGrid w:val="0"/>
          <w:lang w:eastAsia="el-GR"/>
        </w:rPr>
        <w:t>ευρώ το πρώτο εξάμηνο του 2023</w:t>
      </w:r>
      <w:r>
        <w:rPr>
          <w:rFonts w:eastAsia="Times New Roman" w:cs="Calibri"/>
          <w:bCs/>
          <w:snapToGrid w:val="0"/>
          <w:lang w:eastAsia="el-GR"/>
        </w:rPr>
        <w:t xml:space="preserve">. </w:t>
      </w:r>
      <w:r w:rsidR="00B070D2">
        <w:rPr>
          <w:rFonts w:eastAsia="Times New Roman" w:cs="Calibri"/>
          <w:bCs/>
          <w:snapToGrid w:val="0"/>
          <w:lang w:eastAsia="el-GR"/>
        </w:rPr>
        <w:t xml:space="preserve"> </w:t>
      </w:r>
      <w:r>
        <w:rPr>
          <w:rFonts w:eastAsia="Times New Roman" w:cs="Calibri"/>
          <w:bCs/>
          <w:snapToGrid w:val="0"/>
          <w:lang w:eastAsia="el-GR"/>
        </w:rPr>
        <w:t>Πιο συγκεκριμένα</w:t>
      </w:r>
      <w:r w:rsidR="00B070D2">
        <w:rPr>
          <w:rFonts w:eastAsia="Times New Roman" w:cs="Calibri"/>
          <w:bCs/>
          <w:snapToGrid w:val="0"/>
          <w:lang w:eastAsia="el-GR"/>
        </w:rPr>
        <w:t>,</w:t>
      </w:r>
      <w:r>
        <w:rPr>
          <w:rFonts w:eastAsia="Times New Roman" w:cs="Calibri"/>
          <w:bCs/>
          <w:snapToGrid w:val="0"/>
          <w:lang w:eastAsia="el-GR"/>
        </w:rPr>
        <w:t xml:space="preserve"> </w:t>
      </w:r>
      <w:r w:rsidRPr="003F46D7">
        <w:rPr>
          <w:rFonts w:eastAsia="Times New Roman" w:cs="Calibri"/>
          <w:bCs/>
          <w:snapToGrid w:val="0"/>
          <w:lang w:eastAsia="el-GR"/>
        </w:rPr>
        <w:t>σε 54,7 εκατ. ευρώ</w:t>
      </w:r>
      <w:r>
        <w:rPr>
          <w:rFonts w:eastAsia="Times New Roman" w:cs="Calibri"/>
          <w:bCs/>
          <w:snapToGrid w:val="0"/>
          <w:lang w:eastAsia="el-GR"/>
        </w:rPr>
        <w:t xml:space="preserve"> </w:t>
      </w:r>
      <w:r w:rsidR="00B070D2">
        <w:rPr>
          <w:rFonts w:eastAsia="Times New Roman" w:cs="Calibri"/>
          <w:bCs/>
          <w:snapToGrid w:val="0"/>
          <w:lang w:eastAsia="el-GR"/>
        </w:rPr>
        <w:t xml:space="preserve">για τον τομέα καλωδίων </w:t>
      </w:r>
      <w:r w:rsidRPr="003F46D7">
        <w:rPr>
          <w:rFonts w:eastAsia="Times New Roman" w:cs="Calibri"/>
          <w:bCs/>
          <w:snapToGrid w:val="0"/>
          <w:lang w:eastAsia="el-GR"/>
        </w:rPr>
        <w:t>και 3,6</w:t>
      </w:r>
      <w:r w:rsidR="00B070D2">
        <w:rPr>
          <w:rFonts w:eastAsia="Times New Roman" w:cs="Calibri"/>
          <w:bCs/>
          <w:snapToGrid w:val="0"/>
          <w:lang w:eastAsia="el-GR"/>
        </w:rPr>
        <w:t> </w:t>
      </w:r>
      <w:r w:rsidRPr="003F46D7">
        <w:rPr>
          <w:rFonts w:eastAsia="Times New Roman" w:cs="Calibri"/>
          <w:bCs/>
          <w:snapToGrid w:val="0"/>
          <w:lang w:eastAsia="el-GR"/>
        </w:rPr>
        <w:t>εκατ.</w:t>
      </w:r>
      <w:r w:rsidR="00B070D2">
        <w:rPr>
          <w:rFonts w:eastAsia="Times New Roman" w:cs="Calibri"/>
          <w:bCs/>
          <w:snapToGrid w:val="0"/>
          <w:lang w:eastAsia="el-GR"/>
        </w:rPr>
        <w:t> </w:t>
      </w:r>
      <w:r w:rsidRPr="003F46D7">
        <w:rPr>
          <w:rFonts w:eastAsia="Times New Roman" w:cs="Calibri"/>
          <w:bCs/>
          <w:snapToGrid w:val="0"/>
          <w:lang w:eastAsia="el-GR"/>
        </w:rPr>
        <w:t xml:space="preserve">ευρώ για </w:t>
      </w:r>
      <w:r w:rsidR="00B070D2">
        <w:rPr>
          <w:rFonts w:eastAsia="Times New Roman" w:cs="Calibri"/>
          <w:bCs/>
          <w:snapToGrid w:val="0"/>
          <w:lang w:eastAsia="el-GR"/>
        </w:rPr>
        <w:t xml:space="preserve">τους </w:t>
      </w:r>
      <w:r>
        <w:rPr>
          <w:rFonts w:eastAsia="Times New Roman" w:cs="Calibri"/>
          <w:bCs/>
          <w:snapToGrid w:val="0"/>
          <w:lang w:eastAsia="el-GR"/>
        </w:rPr>
        <w:t>σωλήν</w:t>
      </w:r>
      <w:r w:rsidR="00B070D2">
        <w:rPr>
          <w:rFonts w:eastAsia="Times New Roman" w:cs="Calibri"/>
          <w:bCs/>
          <w:snapToGrid w:val="0"/>
          <w:lang w:eastAsia="el-GR"/>
        </w:rPr>
        <w:t>ες</w:t>
      </w:r>
      <w:r>
        <w:rPr>
          <w:rFonts w:eastAsia="Times New Roman" w:cs="Calibri"/>
          <w:bCs/>
          <w:snapToGrid w:val="0"/>
          <w:lang w:eastAsia="el-GR"/>
        </w:rPr>
        <w:t xml:space="preserve"> χάλυβα </w:t>
      </w:r>
      <w:r w:rsidRPr="003F46D7">
        <w:rPr>
          <w:rFonts w:eastAsia="Times New Roman" w:cs="Calibri"/>
          <w:bCs/>
          <w:snapToGrid w:val="0"/>
          <w:lang w:eastAsia="el-GR"/>
        </w:rPr>
        <w:t>(βλέπε λεπτομέρειες</w:t>
      </w:r>
      <w:r>
        <w:rPr>
          <w:rFonts w:eastAsia="Times New Roman" w:cs="Calibri"/>
          <w:bCs/>
          <w:snapToGrid w:val="0"/>
          <w:lang w:eastAsia="el-GR"/>
        </w:rPr>
        <w:t xml:space="preserve"> στις επιμέρους ενότητες</w:t>
      </w:r>
      <w:r w:rsidRPr="003F46D7">
        <w:rPr>
          <w:rFonts w:eastAsia="Times New Roman" w:cs="Calibri"/>
          <w:bCs/>
          <w:snapToGrid w:val="0"/>
          <w:lang w:eastAsia="el-GR"/>
        </w:rPr>
        <w:t>).</w:t>
      </w:r>
    </w:p>
    <w:p w14:paraId="52C33994" w14:textId="0C33F477" w:rsidR="0016123A" w:rsidRDefault="003F46D7" w:rsidP="00AF4450">
      <w:pPr>
        <w:autoSpaceDE w:val="0"/>
        <w:autoSpaceDN w:val="0"/>
        <w:adjustRightInd w:val="0"/>
        <w:spacing w:after="120" w:line="240" w:lineRule="auto"/>
        <w:jc w:val="both"/>
        <w:rPr>
          <w:rFonts w:asciiTheme="minorHAnsi" w:hAnsiTheme="minorHAnsi" w:cstheme="minorHAnsi"/>
        </w:rPr>
      </w:pPr>
      <w:r w:rsidRPr="003F46D7">
        <w:rPr>
          <w:rFonts w:asciiTheme="minorHAnsi" w:hAnsiTheme="minorHAnsi" w:cstheme="minorHAnsi"/>
        </w:rPr>
        <w:t xml:space="preserve">Το </w:t>
      </w:r>
      <w:r w:rsidRPr="003F46D7">
        <w:rPr>
          <w:rFonts w:asciiTheme="minorHAnsi" w:hAnsiTheme="minorHAnsi" w:cstheme="minorHAnsi"/>
          <w:b/>
          <w:bCs/>
        </w:rPr>
        <w:t xml:space="preserve">κεφάλαιο κίνησης </w:t>
      </w:r>
      <w:r w:rsidRPr="003F46D7">
        <w:rPr>
          <w:rFonts w:asciiTheme="minorHAnsi" w:hAnsiTheme="minorHAnsi" w:cstheme="minorHAnsi"/>
        </w:rPr>
        <w:t>αυξήθηκε κατά 56</w:t>
      </w:r>
      <w:r w:rsidR="00B070D2">
        <w:rPr>
          <w:rFonts w:asciiTheme="minorHAnsi" w:hAnsiTheme="minorHAnsi" w:cstheme="minorHAnsi"/>
        </w:rPr>
        <w:t> </w:t>
      </w:r>
      <w:r w:rsidRPr="003F46D7">
        <w:rPr>
          <w:rFonts w:asciiTheme="minorHAnsi" w:hAnsiTheme="minorHAnsi" w:cstheme="minorHAnsi"/>
        </w:rPr>
        <w:t>εκατ.</w:t>
      </w:r>
      <w:r w:rsidR="00B070D2">
        <w:rPr>
          <w:rFonts w:asciiTheme="minorHAnsi" w:hAnsiTheme="minorHAnsi" w:cstheme="minorHAnsi"/>
        </w:rPr>
        <w:t> </w:t>
      </w:r>
      <w:r w:rsidRPr="003F46D7">
        <w:rPr>
          <w:rFonts w:asciiTheme="minorHAnsi" w:hAnsiTheme="minorHAnsi" w:cstheme="minorHAnsi"/>
        </w:rPr>
        <w:t>ευρώ</w:t>
      </w:r>
      <w:r>
        <w:rPr>
          <w:rFonts w:asciiTheme="minorHAnsi" w:hAnsiTheme="minorHAnsi" w:cstheme="minorHAnsi"/>
        </w:rPr>
        <w:t xml:space="preserve"> και ανήλθε σ</w:t>
      </w:r>
      <w:r w:rsidRPr="003F46D7">
        <w:rPr>
          <w:rFonts w:asciiTheme="minorHAnsi" w:hAnsiTheme="minorHAnsi" w:cstheme="minorHAnsi"/>
        </w:rPr>
        <w:t>τα 271</w:t>
      </w:r>
      <w:r w:rsidR="00B070D2">
        <w:rPr>
          <w:rFonts w:asciiTheme="minorHAnsi" w:hAnsiTheme="minorHAnsi" w:cstheme="minorHAnsi"/>
        </w:rPr>
        <w:t> </w:t>
      </w:r>
      <w:r w:rsidRPr="003F46D7">
        <w:rPr>
          <w:rFonts w:asciiTheme="minorHAnsi" w:hAnsiTheme="minorHAnsi" w:cstheme="minorHAnsi"/>
        </w:rPr>
        <w:t>εκατ.</w:t>
      </w:r>
      <w:r w:rsidR="00B070D2">
        <w:rPr>
          <w:rFonts w:asciiTheme="minorHAnsi" w:hAnsiTheme="minorHAnsi" w:cstheme="minorHAnsi"/>
        </w:rPr>
        <w:t> </w:t>
      </w:r>
      <w:r w:rsidRPr="003F46D7">
        <w:rPr>
          <w:rFonts w:asciiTheme="minorHAnsi" w:hAnsiTheme="minorHAnsi" w:cstheme="minorHAnsi"/>
        </w:rPr>
        <w:t xml:space="preserve">ευρώ στις 30 Ιουνίου 2023 έναντι 214 εκατ. ευρώ στις 31 Δεκεμβρίου 2022. </w:t>
      </w:r>
      <w:r w:rsidR="00B80DE8">
        <w:rPr>
          <w:rFonts w:asciiTheme="minorHAnsi" w:hAnsiTheme="minorHAnsi" w:cstheme="minorHAnsi"/>
        </w:rPr>
        <w:t xml:space="preserve"> </w:t>
      </w:r>
      <w:r w:rsidRPr="003F46D7">
        <w:rPr>
          <w:rFonts w:asciiTheme="minorHAnsi" w:hAnsiTheme="minorHAnsi" w:cstheme="minorHAnsi"/>
        </w:rPr>
        <w:t xml:space="preserve">Η αύξηση αυτή οφείλεται κυρίως στην εξόφληση προμηθευτών πρώτων υλών που σχετίζονται με έργα </w:t>
      </w:r>
      <w:r>
        <w:rPr>
          <w:rFonts w:asciiTheme="minorHAnsi" w:hAnsiTheme="minorHAnsi" w:cstheme="minorHAnsi"/>
        </w:rPr>
        <w:t xml:space="preserve">στον </w:t>
      </w:r>
      <w:r w:rsidR="00B80DE8">
        <w:rPr>
          <w:rFonts w:asciiTheme="minorHAnsi" w:hAnsiTheme="minorHAnsi" w:cstheme="minorHAnsi"/>
        </w:rPr>
        <w:t>τομέα των</w:t>
      </w:r>
      <w:r>
        <w:rPr>
          <w:rFonts w:asciiTheme="minorHAnsi" w:hAnsiTheme="minorHAnsi" w:cstheme="minorHAnsi"/>
        </w:rPr>
        <w:t xml:space="preserve"> σωλήνων χάλυβα</w:t>
      </w:r>
      <w:r w:rsidR="00281CFA">
        <w:rPr>
          <w:rFonts w:asciiTheme="minorHAnsi" w:hAnsiTheme="minorHAnsi" w:cstheme="minorHAnsi"/>
        </w:rPr>
        <w:t>,</w:t>
      </w:r>
      <w:r w:rsidR="0016123A" w:rsidRPr="0016123A">
        <w:rPr>
          <w:rFonts w:asciiTheme="minorHAnsi" w:hAnsiTheme="minorHAnsi" w:cstheme="minorHAnsi"/>
        </w:rPr>
        <w:t xml:space="preserve"> </w:t>
      </w:r>
      <w:r w:rsidR="0016123A" w:rsidRPr="003F46D7">
        <w:rPr>
          <w:rFonts w:asciiTheme="minorHAnsi" w:hAnsiTheme="minorHAnsi" w:cstheme="minorHAnsi"/>
        </w:rPr>
        <w:t xml:space="preserve">τα οποία </w:t>
      </w:r>
      <w:r w:rsidR="00B80DE8">
        <w:rPr>
          <w:rFonts w:asciiTheme="minorHAnsi" w:hAnsiTheme="minorHAnsi" w:cstheme="minorHAnsi"/>
        </w:rPr>
        <w:t xml:space="preserve">όμως </w:t>
      </w:r>
      <w:r w:rsidR="0016123A" w:rsidRPr="003F46D7">
        <w:rPr>
          <w:rFonts w:asciiTheme="minorHAnsi" w:hAnsiTheme="minorHAnsi" w:cstheme="minorHAnsi"/>
        </w:rPr>
        <w:t>θα παραδοθούν πλήρως εντός του 2023</w:t>
      </w:r>
      <w:r w:rsidR="0016123A">
        <w:rPr>
          <w:rFonts w:asciiTheme="minorHAnsi" w:hAnsiTheme="minorHAnsi" w:cstheme="minorHAnsi"/>
        </w:rPr>
        <w:t xml:space="preserve"> και </w:t>
      </w:r>
      <w:r w:rsidRPr="003F46D7">
        <w:rPr>
          <w:rFonts w:asciiTheme="minorHAnsi" w:hAnsiTheme="minorHAnsi" w:cstheme="minorHAnsi"/>
        </w:rPr>
        <w:t>περιλαμβάνονται στο ανεκτέλεστο υπόλοιπο</w:t>
      </w:r>
      <w:r>
        <w:rPr>
          <w:rFonts w:asciiTheme="minorHAnsi" w:hAnsiTheme="minorHAnsi" w:cstheme="minorHAnsi"/>
        </w:rPr>
        <w:t xml:space="preserve"> παραγγελιώ</w:t>
      </w:r>
      <w:r w:rsidR="0016123A">
        <w:rPr>
          <w:rFonts w:asciiTheme="minorHAnsi" w:hAnsiTheme="minorHAnsi" w:cstheme="minorHAnsi"/>
        </w:rPr>
        <w:t>ν</w:t>
      </w:r>
      <w:r w:rsidRPr="003F46D7">
        <w:rPr>
          <w:rFonts w:asciiTheme="minorHAnsi" w:hAnsiTheme="minorHAnsi" w:cstheme="minorHAnsi"/>
        </w:rPr>
        <w:t>.</w:t>
      </w:r>
      <w:r w:rsidR="0016123A">
        <w:rPr>
          <w:rFonts w:asciiTheme="minorHAnsi" w:hAnsiTheme="minorHAnsi" w:cstheme="minorHAnsi"/>
        </w:rPr>
        <w:t xml:space="preserve"> </w:t>
      </w:r>
      <w:r w:rsidR="00B80DE8">
        <w:rPr>
          <w:rFonts w:asciiTheme="minorHAnsi" w:hAnsiTheme="minorHAnsi" w:cstheme="minorHAnsi"/>
        </w:rPr>
        <w:t xml:space="preserve"> </w:t>
      </w:r>
      <w:r w:rsidR="0016123A">
        <w:rPr>
          <w:rFonts w:asciiTheme="minorHAnsi" w:hAnsiTheme="minorHAnsi" w:cstheme="minorHAnsi"/>
        </w:rPr>
        <w:t xml:space="preserve">Οι σημαντικές </w:t>
      </w:r>
      <w:r w:rsidR="0016123A" w:rsidRPr="003F46D7">
        <w:rPr>
          <w:rFonts w:asciiTheme="minorHAnsi" w:hAnsiTheme="minorHAnsi" w:cstheme="minorHAnsi"/>
        </w:rPr>
        <w:t>συμβατικές εισροές κατά το δεύτερο εξάμηνο του έτους</w:t>
      </w:r>
      <w:r w:rsidR="00B80DE8">
        <w:rPr>
          <w:rFonts w:asciiTheme="minorHAnsi" w:hAnsiTheme="minorHAnsi" w:cstheme="minorHAnsi"/>
        </w:rPr>
        <w:t>,</w:t>
      </w:r>
      <w:r w:rsidR="0016123A">
        <w:rPr>
          <w:rFonts w:asciiTheme="minorHAnsi" w:hAnsiTheme="minorHAnsi" w:cstheme="minorHAnsi"/>
        </w:rPr>
        <w:t xml:space="preserve"> τόσο </w:t>
      </w:r>
      <w:r w:rsidR="00B80DE8">
        <w:rPr>
          <w:rFonts w:asciiTheme="minorHAnsi" w:hAnsiTheme="minorHAnsi" w:cstheme="minorHAnsi"/>
        </w:rPr>
        <w:t xml:space="preserve">λόγω </w:t>
      </w:r>
      <w:r w:rsidR="0016123A">
        <w:rPr>
          <w:rFonts w:asciiTheme="minorHAnsi" w:hAnsiTheme="minorHAnsi" w:cstheme="minorHAnsi"/>
        </w:rPr>
        <w:t xml:space="preserve">της εκτέλεσης των έργων όσο και </w:t>
      </w:r>
      <w:r w:rsidR="00B80DE8">
        <w:rPr>
          <w:rFonts w:asciiTheme="minorHAnsi" w:hAnsiTheme="minorHAnsi" w:cstheme="minorHAnsi"/>
        </w:rPr>
        <w:t xml:space="preserve">λόγω </w:t>
      </w:r>
      <w:r w:rsidR="0016123A">
        <w:rPr>
          <w:rFonts w:asciiTheme="minorHAnsi" w:hAnsiTheme="minorHAnsi" w:cstheme="minorHAnsi"/>
        </w:rPr>
        <w:t xml:space="preserve">της </w:t>
      </w:r>
      <w:r w:rsidR="00B80DE8">
        <w:rPr>
          <w:rFonts w:asciiTheme="minorHAnsi" w:hAnsiTheme="minorHAnsi" w:cstheme="minorHAnsi"/>
        </w:rPr>
        <w:t>βελτίωσης των</w:t>
      </w:r>
      <w:r w:rsidR="0016123A">
        <w:rPr>
          <w:rFonts w:asciiTheme="minorHAnsi" w:hAnsiTheme="minorHAnsi" w:cstheme="minorHAnsi"/>
        </w:rPr>
        <w:t xml:space="preserve"> ορών πληρωμής με τους εταίρους της εφοδιαστικής αλυσίδας</w:t>
      </w:r>
      <w:r w:rsidR="00B80DE8">
        <w:rPr>
          <w:rFonts w:asciiTheme="minorHAnsi" w:hAnsiTheme="minorHAnsi" w:cstheme="minorHAnsi"/>
        </w:rPr>
        <w:t>,</w:t>
      </w:r>
      <w:r w:rsidR="0016123A">
        <w:rPr>
          <w:rFonts w:asciiTheme="minorHAnsi" w:hAnsiTheme="minorHAnsi" w:cstheme="minorHAnsi"/>
        </w:rPr>
        <w:t xml:space="preserve"> αναμένεται να αντιστρέψουν την αύξηση στο κεφάλαιο κίνησης μέχρι το τέλος του έτους.</w:t>
      </w:r>
    </w:p>
    <w:p w14:paraId="088DE67B" w14:textId="7554BD9D" w:rsidR="0016123A" w:rsidRPr="0016123A" w:rsidRDefault="0016123A" w:rsidP="00825A6B">
      <w:pPr>
        <w:spacing w:after="120" w:line="240" w:lineRule="auto"/>
        <w:jc w:val="both"/>
        <w:rPr>
          <w:rFonts w:asciiTheme="minorHAnsi" w:eastAsia="Times New Roman" w:hAnsiTheme="minorHAnsi" w:cstheme="minorHAnsi"/>
          <w:snapToGrid w:val="0"/>
          <w:lang w:eastAsia="el-GR"/>
        </w:rPr>
      </w:pPr>
      <w:r w:rsidRPr="0016123A">
        <w:rPr>
          <w:rFonts w:asciiTheme="minorHAnsi" w:eastAsia="Times New Roman" w:hAnsiTheme="minorHAnsi" w:cstheme="minorHAnsi"/>
          <w:snapToGrid w:val="0"/>
          <w:lang w:eastAsia="el-GR"/>
        </w:rPr>
        <w:t xml:space="preserve">Παρόλο που οι </w:t>
      </w:r>
      <w:r w:rsidR="00B80DE8">
        <w:rPr>
          <w:rFonts w:asciiTheme="minorHAnsi" w:eastAsia="Times New Roman" w:hAnsiTheme="minorHAnsi" w:cstheme="minorHAnsi"/>
          <w:snapToGrid w:val="0"/>
          <w:lang w:eastAsia="el-GR"/>
        </w:rPr>
        <w:t xml:space="preserve">λειτουργικές </w:t>
      </w:r>
      <w:r w:rsidRPr="0016123A">
        <w:rPr>
          <w:rFonts w:asciiTheme="minorHAnsi" w:eastAsia="Times New Roman" w:hAnsiTheme="minorHAnsi" w:cstheme="minorHAnsi"/>
          <w:snapToGrid w:val="0"/>
          <w:lang w:eastAsia="el-GR"/>
        </w:rPr>
        <w:t>ταμειακές ροές</w:t>
      </w:r>
      <w:r w:rsidR="00281CFA">
        <w:rPr>
          <w:rFonts w:asciiTheme="minorHAnsi" w:eastAsia="Times New Roman" w:hAnsiTheme="minorHAnsi" w:cstheme="minorHAnsi"/>
          <w:snapToGrid w:val="0"/>
          <w:lang w:eastAsia="el-GR"/>
        </w:rPr>
        <w:t xml:space="preserve"> </w:t>
      </w:r>
      <w:r w:rsidRPr="0016123A">
        <w:rPr>
          <w:rFonts w:asciiTheme="minorHAnsi" w:eastAsia="Times New Roman" w:hAnsiTheme="minorHAnsi" w:cstheme="minorHAnsi"/>
          <w:snapToGrid w:val="0"/>
          <w:lang w:eastAsia="el-GR"/>
        </w:rPr>
        <w:t xml:space="preserve">ήταν θετικές </w:t>
      </w:r>
      <w:r w:rsidR="00B80DE8">
        <w:rPr>
          <w:rFonts w:asciiTheme="minorHAnsi" w:eastAsia="Times New Roman" w:hAnsiTheme="minorHAnsi" w:cstheme="minorHAnsi"/>
          <w:snapToGrid w:val="0"/>
          <w:lang w:eastAsia="el-GR"/>
        </w:rPr>
        <w:t>σ</w:t>
      </w:r>
      <w:r w:rsidRPr="0016123A">
        <w:rPr>
          <w:rFonts w:asciiTheme="minorHAnsi" w:eastAsia="Times New Roman" w:hAnsiTheme="minorHAnsi" w:cstheme="minorHAnsi"/>
          <w:snapToGrid w:val="0"/>
          <w:lang w:eastAsia="el-GR"/>
        </w:rPr>
        <w:t xml:space="preserve">το πρώτο εξάμηνο του 2023, οι καθαρές ταμειακές ροές </w:t>
      </w:r>
      <w:r w:rsidR="00281CFA" w:rsidRPr="0016123A">
        <w:rPr>
          <w:rFonts w:asciiTheme="minorHAnsi" w:eastAsia="Times New Roman" w:hAnsiTheme="minorHAnsi" w:cstheme="minorHAnsi"/>
          <w:snapToGrid w:val="0"/>
          <w:lang w:eastAsia="el-GR"/>
        </w:rPr>
        <w:t xml:space="preserve">από λειτουργικές δραστηριότητες </w:t>
      </w:r>
      <w:r w:rsidR="00B80DE8">
        <w:rPr>
          <w:rFonts w:asciiTheme="minorHAnsi" w:eastAsia="Times New Roman" w:hAnsiTheme="minorHAnsi" w:cstheme="minorHAnsi"/>
          <w:snapToGrid w:val="0"/>
          <w:lang w:eastAsia="el-GR"/>
        </w:rPr>
        <w:t>κατέληξαν</w:t>
      </w:r>
      <w:r w:rsidRPr="0016123A">
        <w:rPr>
          <w:rFonts w:asciiTheme="minorHAnsi" w:eastAsia="Times New Roman" w:hAnsiTheme="minorHAnsi" w:cstheme="minorHAnsi"/>
          <w:snapToGrid w:val="0"/>
          <w:lang w:eastAsia="el-GR"/>
        </w:rPr>
        <w:t xml:space="preserve"> αρνητικές, καθώς η θετική συνεισφορά των κερδών (μετά την προσαρμογή για τις ανάγκες </w:t>
      </w:r>
      <w:r w:rsidR="00CD122D">
        <w:rPr>
          <w:rFonts w:asciiTheme="minorHAnsi" w:eastAsia="Times New Roman" w:hAnsiTheme="minorHAnsi" w:cstheme="minorHAnsi"/>
          <w:snapToGrid w:val="0"/>
          <w:lang w:eastAsia="el-GR"/>
        </w:rPr>
        <w:t>για κεφάλαιο κίνησης</w:t>
      </w:r>
      <w:r w:rsidRPr="0016123A">
        <w:rPr>
          <w:rFonts w:asciiTheme="minorHAnsi" w:eastAsia="Times New Roman" w:hAnsiTheme="minorHAnsi" w:cstheme="minorHAnsi"/>
          <w:snapToGrid w:val="0"/>
          <w:lang w:eastAsia="el-GR"/>
        </w:rPr>
        <w:t>) αντισταθμίστηκε από τις αυξημένες δαπάνες</w:t>
      </w:r>
      <w:r w:rsidR="00CD122D">
        <w:rPr>
          <w:rFonts w:asciiTheme="minorHAnsi" w:eastAsia="Times New Roman" w:hAnsiTheme="minorHAnsi" w:cstheme="minorHAnsi"/>
          <w:snapToGrid w:val="0"/>
          <w:lang w:eastAsia="el-GR"/>
        </w:rPr>
        <w:t xml:space="preserve"> για</w:t>
      </w:r>
      <w:r w:rsidRPr="0016123A">
        <w:rPr>
          <w:rFonts w:asciiTheme="minorHAnsi" w:eastAsia="Times New Roman" w:hAnsiTheme="minorHAnsi" w:cstheme="minorHAnsi"/>
          <w:snapToGrid w:val="0"/>
          <w:lang w:eastAsia="el-GR"/>
        </w:rPr>
        <w:t xml:space="preserve"> τόκ</w:t>
      </w:r>
      <w:r w:rsidR="00CD122D">
        <w:rPr>
          <w:rFonts w:asciiTheme="minorHAnsi" w:eastAsia="Times New Roman" w:hAnsiTheme="minorHAnsi" w:cstheme="minorHAnsi"/>
          <w:snapToGrid w:val="0"/>
          <w:lang w:eastAsia="el-GR"/>
        </w:rPr>
        <w:t>ους</w:t>
      </w:r>
      <w:r w:rsidRPr="0016123A">
        <w:rPr>
          <w:rFonts w:asciiTheme="minorHAnsi" w:eastAsia="Times New Roman" w:hAnsiTheme="minorHAnsi" w:cstheme="minorHAnsi"/>
          <w:snapToGrid w:val="0"/>
          <w:lang w:eastAsia="el-GR"/>
        </w:rPr>
        <w:t xml:space="preserve"> και συναφ</w:t>
      </w:r>
      <w:r w:rsidR="00CD122D">
        <w:rPr>
          <w:rFonts w:asciiTheme="minorHAnsi" w:eastAsia="Times New Roman" w:hAnsiTheme="minorHAnsi" w:cstheme="minorHAnsi"/>
          <w:snapToGrid w:val="0"/>
          <w:lang w:eastAsia="el-GR"/>
        </w:rPr>
        <w:t>ή</w:t>
      </w:r>
      <w:r w:rsidRPr="0016123A">
        <w:rPr>
          <w:rFonts w:asciiTheme="minorHAnsi" w:eastAsia="Times New Roman" w:hAnsiTheme="minorHAnsi" w:cstheme="minorHAnsi"/>
          <w:snapToGrid w:val="0"/>
          <w:lang w:eastAsia="el-GR"/>
        </w:rPr>
        <w:t xml:space="preserve"> </w:t>
      </w:r>
      <w:r w:rsidR="00CD122D">
        <w:rPr>
          <w:rFonts w:asciiTheme="minorHAnsi" w:eastAsia="Times New Roman" w:hAnsiTheme="minorHAnsi" w:cstheme="minorHAnsi"/>
          <w:snapToGrid w:val="0"/>
          <w:lang w:eastAsia="el-GR"/>
        </w:rPr>
        <w:t>έξοδα</w:t>
      </w:r>
      <w:r w:rsidRPr="0016123A">
        <w:rPr>
          <w:rFonts w:asciiTheme="minorHAnsi" w:eastAsia="Times New Roman" w:hAnsiTheme="minorHAnsi" w:cstheme="minorHAnsi"/>
          <w:snapToGrid w:val="0"/>
          <w:lang w:eastAsia="el-GR"/>
        </w:rPr>
        <w:t>.</w:t>
      </w:r>
      <w:r w:rsidR="00B80DE8">
        <w:rPr>
          <w:rFonts w:asciiTheme="minorHAnsi" w:eastAsia="Times New Roman" w:hAnsiTheme="minorHAnsi" w:cstheme="minorHAnsi"/>
          <w:snapToGrid w:val="0"/>
          <w:lang w:eastAsia="el-GR"/>
        </w:rPr>
        <w:t xml:space="preserve"> </w:t>
      </w:r>
      <w:r w:rsidRPr="0016123A">
        <w:rPr>
          <w:rFonts w:asciiTheme="minorHAnsi" w:eastAsia="Times New Roman" w:hAnsiTheme="minorHAnsi" w:cstheme="minorHAnsi"/>
          <w:snapToGrid w:val="0"/>
          <w:lang w:eastAsia="el-GR"/>
        </w:rPr>
        <w:t xml:space="preserve"> </w:t>
      </w:r>
      <w:r w:rsidR="00B80DE8">
        <w:rPr>
          <w:rFonts w:asciiTheme="minorHAnsi" w:eastAsia="Times New Roman" w:hAnsiTheme="minorHAnsi" w:cstheme="minorHAnsi"/>
          <w:snapToGrid w:val="0"/>
          <w:lang w:eastAsia="el-GR"/>
        </w:rPr>
        <w:t>Ο</w:t>
      </w:r>
      <w:r w:rsidRPr="0016123A">
        <w:rPr>
          <w:rFonts w:asciiTheme="minorHAnsi" w:eastAsia="Times New Roman" w:hAnsiTheme="minorHAnsi" w:cstheme="minorHAnsi"/>
          <w:snapToGrid w:val="0"/>
          <w:lang w:eastAsia="el-GR"/>
        </w:rPr>
        <w:t xml:space="preserve">ι </w:t>
      </w:r>
      <w:r w:rsidR="00B80DE8">
        <w:rPr>
          <w:rFonts w:asciiTheme="minorHAnsi" w:eastAsia="Times New Roman" w:hAnsiTheme="minorHAnsi" w:cstheme="minorHAnsi"/>
          <w:snapToGrid w:val="0"/>
          <w:lang w:eastAsia="el-GR"/>
        </w:rPr>
        <w:t xml:space="preserve">δε </w:t>
      </w:r>
      <w:r w:rsidRPr="0016123A">
        <w:rPr>
          <w:rFonts w:asciiTheme="minorHAnsi" w:eastAsia="Times New Roman" w:hAnsiTheme="minorHAnsi" w:cstheme="minorHAnsi"/>
          <w:snapToGrid w:val="0"/>
          <w:lang w:eastAsia="el-GR"/>
        </w:rPr>
        <w:t xml:space="preserve">κεφαλαιουχικές δαπάνες </w:t>
      </w:r>
      <w:r w:rsidR="00B80DE8">
        <w:rPr>
          <w:rFonts w:asciiTheme="minorHAnsi" w:eastAsia="Times New Roman" w:hAnsiTheme="minorHAnsi" w:cstheme="minorHAnsi"/>
          <w:snapToGrid w:val="0"/>
          <w:lang w:eastAsia="el-GR"/>
        </w:rPr>
        <w:t>για τ</w:t>
      </w:r>
      <w:r w:rsidRPr="0016123A">
        <w:rPr>
          <w:rFonts w:asciiTheme="minorHAnsi" w:eastAsia="Times New Roman" w:hAnsiTheme="minorHAnsi" w:cstheme="minorHAnsi"/>
          <w:snapToGrid w:val="0"/>
          <w:lang w:eastAsia="el-GR"/>
        </w:rPr>
        <w:t xml:space="preserve">ην επέκταση της επιχειρηματικής μονάδας </w:t>
      </w:r>
      <w:r w:rsidR="0073322F">
        <w:rPr>
          <w:rFonts w:asciiTheme="minorHAnsi" w:eastAsia="Times New Roman" w:hAnsiTheme="minorHAnsi" w:cstheme="minorHAnsi"/>
          <w:snapToGrid w:val="0"/>
          <w:lang w:eastAsia="el-GR"/>
        </w:rPr>
        <w:t xml:space="preserve">υποβρυχίων </w:t>
      </w:r>
      <w:r w:rsidRPr="0016123A">
        <w:rPr>
          <w:rFonts w:asciiTheme="minorHAnsi" w:eastAsia="Times New Roman" w:hAnsiTheme="minorHAnsi" w:cstheme="minorHAnsi"/>
          <w:snapToGrid w:val="0"/>
          <w:lang w:eastAsia="el-GR"/>
        </w:rPr>
        <w:t xml:space="preserve">καλωδίων χρηματοδοτήθηκαν πλήρως μέσω δανειακής </w:t>
      </w:r>
      <w:r w:rsidR="00B80DE8">
        <w:rPr>
          <w:rFonts w:asciiTheme="minorHAnsi" w:eastAsia="Times New Roman" w:hAnsiTheme="minorHAnsi" w:cstheme="minorHAnsi"/>
          <w:snapToGrid w:val="0"/>
          <w:lang w:eastAsia="el-GR"/>
        </w:rPr>
        <w:t xml:space="preserve">σύμβασης </w:t>
      </w:r>
      <w:r w:rsidRPr="0016123A">
        <w:rPr>
          <w:rFonts w:asciiTheme="minorHAnsi" w:eastAsia="Times New Roman" w:hAnsiTheme="minorHAnsi" w:cstheme="minorHAnsi"/>
          <w:snapToGrid w:val="0"/>
          <w:lang w:eastAsia="el-GR"/>
        </w:rPr>
        <w:t xml:space="preserve">ύψους 88 εκατ. ευρώ από την </w:t>
      </w:r>
      <w:r w:rsidR="0073322F">
        <w:rPr>
          <w:rFonts w:asciiTheme="minorHAnsi" w:eastAsia="Times New Roman" w:hAnsiTheme="minorHAnsi" w:cstheme="minorHAnsi"/>
          <w:snapToGrid w:val="0"/>
          <w:lang w:eastAsia="el-GR"/>
        </w:rPr>
        <w:t>Ευρωπαϊκή Τράπεζα Ανασυγκρότησης και Ανάπτυξης (</w:t>
      </w:r>
      <w:r w:rsidR="0073322F">
        <w:rPr>
          <w:rFonts w:asciiTheme="minorHAnsi" w:eastAsia="Times New Roman" w:hAnsiTheme="minorHAnsi" w:cstheme="minorHAnsi"/>
          <w:snapToGrid w:val="0"/>
          <w:lang w:val="en-US" w:eastAsia="el-GR"/>
        </w:rPr>
        <w:t>EBRD</w:t>
      </w:r>
      <w:r w:rsidR="0073322F">
        <w:rPr>
          <w:rFonts w:asciiTheme="minorHAnsi" w:eastAsia="Times New Roman" w:hAnsiTheme="minorHAnsi" w:cstheme="minorHAnsi"/>
          <w:snapToGrid w:val="0"/>
          <w:lang w:eastAsia="el-GR"/>
        </w:rPr>
        <w:t>)</w:t>
      </w:r>
      <w:r w:rsidRPr="0016123A">
        <w:rPr>
          <w:rFonts w:asciiTheme="minorHAnsi" w:eastAsia="Times New Roman" w:hAnsiTheme="minorHAnsi" w:cstheme="minorHAnsi"/>
          <w:snapToGrid w:val="0"/>
          <w:lang w:eastAsia="el-GR"/>
        </w:rPr>
        <w:t xml:space="preserve"> </w:t>
      </w:r>
      <w:r w:rsidR="0073322F">
        <w:rPr>
          <w:rFonts w:asciiTheme="minorHAnsi" w:eastAsia="Times New Roman" w:hAnsiTheme="minorHAnsi" w:cstheme="minorHAnsi"/>
          <w:snapToGrid w:val="0"/>
          <w:lang w:eastAsia="el-GR"/>
        </w:rPr>
        <w:t>και το</w:t>
      </w:r>
      <w:r w:rsidRPr="0016123A">
        <w:rPr>
          <w:rFonts w:asciiTheme="minorHAnsi" w:eastAsia="Times New Roman" w:hAnsiTheme="minorHAnsi" w:cstheme="minorHAnsi"/>
          <w:snapToGrid w:val="0"/>
          <w:lang w:eastAsia="el-GR"/>
        </w:rPr>
        <w:t xml:space="preserve"> Ελληνικό Ταμείο Ανάκαμψης και Ανθεκτικότητας (ΕΤΕΑ).</w:t>
      </w:r>
    </w:p>
    <w:bookmarkEnd w:id="6"/>
    <w:bookmarkEnd w:id="7"/>
    <w:p w14:paraId="540DE03D" w14:textId="35726667" w:rsidR="008D7D2C" w:rsidRPr="0016123A" w:rsidRDefault="0016123A" w:rsidP="00884F06">
      <w:pPr>
        <w:spacing w:after="120" w:line="240" w:lineRule="auto"/>
        <w:jc w:val="both"/>
        <w:rPr>
          <w:rFonts w:asciiTheme="minorHAnsi" w:eastAsia="Times New Roman" w:hAnsiTheme="minorHAnsi" w:cstheme="minorHAnsi"/>
          <w:snapToGrid w:val="0"/>
          <w:lang w:eastAsia="el-GR"/>
        </w:rPr>
      </w:pPr>
      <w:r w:rsidRPr="0016123A">
        <w:rPr>
          <w:rFonts w:asciiTheme="minorHAnsi" w:eastAsia="Times New Roman" w:hAnsiTheme="minorHAnsi" w:cstheme="minorHAnsi"/>
          <w:snapToGrid w:val="0"/>
          <w:lang w:eastAsia="el-GR"/>
        </w:rPr>
        <w:t xml:space="preserve">Ως αποτέλεσμα των </w:t>
      </w:r>
      <w:r w:rsidR="00C53441">
        <w:rPr>
          <w:rFonts w:asciiTheme="minorHAnsi" w:eastAsia="Times New Roman" w:hAnsiTheme="minorHAnsi" w:cstheme="minorHAnsi"/>
          <w:snapToGrid w:val="0"/>
          <w:lang w:eastAsia="el-GR"/>
        </w:rPr>
        <w:t>παραπάνω</w:t>
      </w:r>
      <w:r w:rsidRPr="0016123A">
        <w:rPr>
          <w:rFonts w:asciiTheme="minorHAnsi" w:eastAsia="Times New Roman" w:hAnsiTheme="minorHAnsi" w:cstheme="minorHAnsi"/>
          <w:snapToGrid w:val="0"/>
          <w:lang w:eastAsia="el-GR"/>
        </w:rPr>
        <w:t xml:space="preserve">, </w:t>
      </w:r>
      <w:r>
        <w:rPr>
          <w:rFonts w:asciiTheme="minorHAnsi" w:eastAsia="Times New Roman" w:hAnsiTheme="minorHAnsi" w:cstheme="minorHAnsi"/>
          <w:snapToGrid w:val="0"/>
          <w:lang w:eastAsia="el-GR"/>
        </w:rPr>
        <w:t xml:space="preserve">ο </w:t>
      </w:r>
      <w:r>
        <w:rPr>
          <w:rFonts w:asciiTheme="minorHAnsi" w:eastAsia="Times New Roman" w:hAnsiTheme="minorHAnsi" w:cstheme="minorHAnsi"/>
          <w:b/>
          <w:bCs/>
          <w:snapToGrid w:val="0"/>
          <w:lang w:eastAsia="el-GR"/>
        </w:rPr>
        <w:t>καθαρός δανεισμός</w:t>
      </w:r>
      <w:r w:rsidRPr="0016123A">
        <w:rPr>
          <w:rFonts w:asciiTheme="minorHAnsi" w:eastAsia="Times New Roman" w:hAnsiTheme="minorHAnsi" w:cstheme="minorHAnsi"/>
          <w:snapToGrid w:val="0"/>
          <w:lang w:eastAsia="el-GR"/>
        </w:rPr>
        <w:t xml:space="preserve"> ανήλθε </w:t>
      </w:r>
      <w:r w:rsidR="00884F06" w:rsidRPr="00884F06">
        <w:rPr>
          <w:rFonts w:asciiTheme="minorHAnsi" w:eastAsia="Times New Roman" w:hAnsiTheme="minorHAnsi" w:cstheme="minorHAnsi"/>
          <w:snapToGrid w:val="0"/>
          <w:lang w:eastAsia="el-GR"/>
        </w:rPr>
        <w:t>στις 30 Ιουνίου 2023</w:t>
      </w:r>
      <w:r w:rsidR="00884F06">
        <w:rPr>
          <w:rFonts w:asciiTheme="minorHAnsi" w:eastAsia="Times New Roman" w:hAnsiTheme="minorHAnsi" w:cstheme="minorHAnsi"/>
          <w:snapToGrid w:val="0"/>
          <w:lang w:eastAsia="el-GR"/>
        </w:rPr>
        <w:t xml:space="preserve"> </w:t>
      </w:r>
      <w:r w:rsidRPr="0016123A">
        <w:rPr>
          <w:rFonts w:asciiTheme="minorHAnsi" w:eastAsia="Times New Roman" w:hAnsiTheme="minorHAnsi" w:cstheme="minorHAnsi"/>
          <w:snapToGrid w:val="0"/>
          <w:lang w:eastAsia="el-GR"/>
        </w:rPr>
        <w:t>σε 527</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εκατ.</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ευρώ από 438</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εκατ.</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 xml:space="preserve">ευρώ </w:t>
      </w:r>
      <w:r>
        <w:rPr>
          <w:rFonts w:asciiTheme="minorHAnsi" w:eastAsia="Times New Roman" w:hAnsiTheme="minorHAnsi" w:cstheme="minorHAnsi"/>
          <w:snapToGrid w:val="0"/>
          <w:lang w:eastAsia="el-GR"/>
        </w:rPr>
        <w:t>στις 31 Δεκεμβρίου 2022</w:t>
      </w:r>
      <w:r w:rsidRPr="0016123A">
        <w:rPr>
          <w:rFonts w:asciiTheme="minorHAnsi" w:eastAsia="Times New Roman" w:hAnsiTheme="minorHAnsi" w:cstheme="minorHAnsi"/>
          <w:snapToGrid w:val="0"/>
          <w:lang w:eastAsia="el-GR"/>
        </w:rPr>
        <w:t xml:space="preserve"> (+89</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εκατ.</w:t>
      </w:r>
      <w:r w:rsidR="00B80DE8">
        <w:rPr>
          <w:rFonts w:asciiTheme="minorHAnsi" w:eastAsia="Times New Roman" w:hAnsiTheme="minorHAnsi" w:cstheme="minorHAnsi"/>
          <w:snapToGrid w:val="0"/>
          <w:lang w:eastAsia="el-GR"/>
        </w:rPr>
        <w:t> </w:t>
      </w:r>
      <w:r w:rsidRPr="0016123A">
        <w:rPr>
          <w:rFonts w:asciiTheme="minorHAnsi" w:eastAsia="Times New Roman" w:hAnsiTheme="minorHAnsi" w:cstheme="minorHAnsi"/>
          <w:snapToGrid w:val="0"/>
          <w:lang w:eastAsia="el-GR"/>
        </w:rPr>
        <w:t>ευρώ).</w:t>
      </w:r>
    </w:p>
    <w:p w14:paraId="18CBEF56" w14:textId="77777777" w:rsidR="00ED1559" w:rsidRDefault="00ED1559">
      <w:pPr>
        <w:spacing w:after="0" w:line="240" w:lineRule="auto"/>
        <w:rPr>
          <w:rFonts w:eastAsia="SimSun" w:cs="Calibri"/>
          <w:b/>
          <w:bCs/>
          <w:color w:val="4F6228"/>
          <w:sz w:val="24"/>
          <w:szCs w:val="24"/>
        </w:rPr>
      </w:pPr>
      <w:r>
        <w:rPr>
          <w:rFonts w:eastAsia="SimSun" w:cs="Calibri"/>
          <w:b/>
          <w:bCs/>
          <w:color w:val="4F6228"/>
          <w:sz w:val="24"/>
          <w:szCs w:val="24"/>
        </w:rPr>
        <w:br w:type="page"/>
      </w:r>
    </w:p>
    <w:p w14:paraId="0C6FFB1F" w14:textId="3C580BDD" w:rsidR="003A5991" w:rsidRDefault="00E7588B" w:rsidP="00074D11">
      <w:pPr>
        <w:spacing w:after="120" w:line="240" w:lineRule="auto"/>
        <w:jc w:val="both"/>
        <w:rPr>
          <w:rFonts w:eastAsia="SimSun" w:cs="Calibri"/>
          <w:b/>
          <w:bCs/>
          <w:color w:val="4F6228"/>
          <w:sz w:val="24"/>
          <w:szCs w:val="24"/>
          <w:lang w:val="en-GB"/>
        </w:rPr>
      </w:pPr>
      <w:r w:rsidRPr="000722ED">
        <w:rPr>
          <w:rFonts w:eastAsia="SimSun" w:cs="Calibri"/>
          <w:b/>
          <w:bCs/>
          <w:color w:val="4F6228"/>
          <w:sz w:val="24"/>
          <w:szCs w:val="24"/>
        </w:rPr>
        <w:lastRenderedPageBreak/>
        <w:t>Επιδόσεις</w:t>
      </w:r>
      <w:r w:rsidRPr="00E7588B">
        <w:rPr>
          <w:rFonts w:eastAsia="SimSun" w:cs="Calibri"/>
          <w:b/>
          <w:bCs/>
          <w:color w:val="4F6228"/>
          <w:sz w:val="24"/>
          <w:szCs w:val="24"/>
          <w:lang w:val="en-GB"/>
        </w:rPr>
        <w:t xml:space="preserve"> </w:t>
      </w:r>
      <w:r w:rsidRPr="000722ED">
        <w:rPr>
          <w:rFonts w:eastAsia="SimSun" w:cs="Calibri"/>
          <w:b/>
          <w:bCs/>
          <w:color w:val="4F6228"/>
          <w:sz w:val="24"/>
          <w:szCs w:val="24"/>
        </w:rPr>
        <w:t>ανά</w:t>
      </w:r>
      <w:r w:rsidRPr="00E7588B">
        <w:rPr>
          <w:rFonts w:eastAsia="SimSun" w:cs="Calibri"/>
          <w:b/>
          <w:bCs/>
          <w:color w:val="4F6228"/>
          <w:sz w:val="24"/>
          <w:szCs w:val="24"/>
          <w:lang w:val="en-GB"/>
        </w:rPr>
        <w:t xml:space="preserve"> </w:t>
      </w:r>
      <w:r w:rsidRPr="000722ED">
        <w:rPr>
          <w:rFonts w:eastAsia="SimSun" w:cs="Calibri"/>
          <w:b/>
          <w:bCs/>
          <w:color w:val="4F6228"/>
          <w:sz w:val="24"/>
          <w:szCs w:val="24"/>
        </w:rPr>
        <w:t>επιχειρηματικό</w:t>
      </w:r>
      <w:r w:rsidRPr="00E7588B">
        <w:rPr>
          <w:rFonts w:eastAsia="SimSun" w:cs="Calibri"/>
          <w:b/>
          <w:bCs/>
          <w:color w:val="4F6228"/>
          <w:sz w:val="24"/>
          <w:szCs w:val="24"/>
          <w:lang w:val="en-GB"/>
        </w:rPr>
        <w:t xml:space="preserve"> </w:t>
      </w:r>
      <w:r w:rsidR="00B80DE8">
        <w:rPr>
          <w:rFonts w:eastAsia="SimSun" w:cs="Calibri"/>
          <w:b/>
          <w:bCs/>
          <w:color w:val="4F6228"/>
          <w:sz w:val="24"/>
          <w:szCs w:val="24"/>
        </w:rPr>
        <w:t>τομέα</w:t>
      </w:r>
    </w:p>
    <w:tbl>
      <w:tblPr>
        <w:tblW w:w="9990" w:type="dxa"/>
        <w:tblLayout w:type="fixed"/>
        <w:tblLook w:val="04A0" w:firstRow="1" w:lastRow="0" w:firstColumn="1" w:lastColumn="0" w:noHBand="0" w:noVBand="1"/>
      </w:tblPr>
      <w:tblGrid>
        <w:gridCol w:w="1440"/>
        <w:gridCol w:w="855"/>
        <w:gridCol w:w="855"/>
        <w:gridCol w:w="855"/>
        <w:gridCol w:w="855"/>
        <w:gridCol w:w="855"/>
        <w:gridCol w:w="855"/>
        <w:gridCol w:w="855"/>
        <w:gridCol w:w="855"/>
        <w:gridCol w:w="855"/>
        <w:gridCol w:w="855"/>
      </w:tblGrid>
      <w:tr w:rsidR="00E7588B" w:rsidRPr="009259F9" w14:paraId="1DCAD06F" w14:textId="77777777" w:rsidTr="0050101D">
        <w:trPr>
          <w:trHeight w:val="465"/>
        </w:trPr>
        <w:tc>
          <w:tcPr>
            <w:tcW w:w="1440" w:type="dxa"/>
            <w:tcBorders>
              <w:top w:val="nil"/>
              <w:left w:val="nil"/>
              <w:bottom w:val="single" w:sz="4" w:space="0" w:color="385623" w:themeColor="accent6" w:themeShade="80"/>
              <w:right w:val="dotted" w:sz="4" w:space="0" w:color="385623" w:themeColor="accent6" w:themeShade="80"/>
            </w:tcBorders>
            <w:shd w:val="clear" w:color="000000" w:fill="FFFFFF"/>
            <w:vAlign w:val="center"/>
            <w:hideMark/>
          </w:tcPr>
          <w:p w14:paraId="10BC060C" w14:textId="77777777" w:rsidR="00E7588B" w:rsidRPr="000722ED" w:rsidRDefault="00E7588B" w:rsidP="00E7588B">
            <w:pPr>
              <w:spacing w:after="120" w:line="240" w:lineRule="auto"/>
              <w:jc w:val="both"/>
              <w:rPr>
                <w:rFonts w:eastAsia="Times New Roman" w:cs="Calibri"/>
                <w:bCs/>
                <w:i/>
                <w:sz w:val="18"/>
                <w:szCs w:val="18"/>
                <w:lang w:eastAsia="el-GR"/>
              </w:rPr>
            </w:pPr>
            <w:r w:rsidRPr="000722ED">
              <w:rPr>
                <w:rFonts w:eastAsia="Times New Roman" w:cs="Calibri"/>
                <w:bCs/>
                <w:i/>
                <w:sz w:val="18"/>
                <w:szCs w:val="18"/>
                <w:lang w:eastAsia="el-GR"/>
              </w:rPr>
              <w:t>Ποσά σε</w:t>
            </w:r>
          </w:p>
          <w:p w14:paraId="4C3FAFF0" w14:textId="1840B16F" w:rsidR="00E7588B" w:rsidRPr="009259F9" w:rsidRDefault="00E7588B" w:rsidP="00E7588B">
            <w:pPr>
              <w:spacing w:after="0" w:line="240" w:lineRule="auto"/>
              <w:jc w:val="both"/>
              <w:rPr>
                <w:rFonts w:eastAsia="Times New Roman" w:cs="Calibri"/>
                <w:bCs/>
                <w:i/>
                <w:sz w:val="16"/>
                <w:szCs w:val="16"/>
                <w:lang w:val="en-GB" w:eastAsia="el-GR"/>
              </w:rPr>
            </w:pPr>
            <w:r w:rsidRPr="000722ED">
              <w:rPr>
                <w:rFonts w:eastAsia="Times New Roman" w:cs="Calibri"/>
                <w:bCs/>
                <w:i/>
                <w:sz w:val="18"/>
                <w:szCs w:val="18"/>
                <w:lang w:eastAsia="el-GR"/>
              </w:rPr>
              <w:t>χιλιάδες ευρώ</w:t>
            </w:r>
          </w:p>
        </w:tc>
        <w:tc>
          <w:tcPr>
            <w:tcW w:w="1710" w:type="dxa"/>
            <w:gridSpan w:val="2"/>
            <w:tcBorders>
              <w:top w:val="nil"/>
              <w:left w:val="dotted" w:sz="4" w:space="0" w:color="385623" w:themeColor="accent6" w:themeShade="80"/>
              <w:bottom w:val="single" w:sz="4" w:space="0" w:color="385623" w:themeColor="accent6" w:themeShade="80"/>
              <w:right w:val="dotted" w:sz="4" w:space="0" w:color="385623" w:themeColor="accent6" w:themeShade="80"/>
            </w:tcBorders>
            <w:shd w:val="clear" w:color="000000" w:fill="FFFFFF"/>
            <w:vAlign w:val="center"/>
            <w:hideMark/>
          </w:tcPr>
          <w:p w14:paraId="424D6813" w14:textId="2ED1E2A7" w:rsidR="00E7588B" w:rsidRPr="009259F9" w:rsidRDefault="00E7588B" w:rsidP="00E7588B">
            <w:pPr>
              <w:spacing w:after="120" w:line="240" w:lineRule="auto"/>
              <w:jc w:val="center"/>
              <w:rPr>
                <w:rFonts w:eastAsia="Times New Roman" w:cs="Calibri"/>
                <w:b/>
                <w:bCs/>
                <w:sz w:val="18"/>
                <w:szCs w:val="18"/>
                <w:lang w:val="en-GB" w:eastAsia="el-GR"/>
              </w:rPr>
            </w:pPr>
            <w:r>
              <w:rPr>
                <w:rFonts w:eastAsia="Times New Roman" w:cs="Calibri"/>
                <w:b/>
                <w:bCs/>
                <w:sz w:val="18"/>
                <w:szCs w:val="18"/>
                <w:lang w:eastAsia="el-GR"/>
              </w:rPr>
              <w:t>Πωλήσεις</w:t>
            </w:r>
          </w:p>
        </w:tc>
        <w:tc>
          <w:tcPr>
            <w:tcW w:w="1710" w:type="dxa"/>
            <w:gridSpan w:val="2"/>
            <w:tcBorders>
              <w:top w:val="nil"/>
              <w:left w:val="dotted" w:sz="4" w:space="0" w:color="385623" w:themeColor="accent6" w:themeShade="80"/>
              <w:bottom w:val="single" w:sz="4" w:space="0" w:color="385623" w:themeColor="accent6" w:themeShade="80"/>
              <w:right w:val="dotted" w:sz="4" w:space="0" w:color="385623" w:themeColor="accent6" w:themeShade="80"/>
            </w:tcBorders>
            <w:shd w:val="clear" w:color="auto" w:fill="auto"/>
            <w:vAlign w:val="center"/>
          </w:tcPr>
          <w:p w14:paraId="2E9E6B3C" w14:textId="66FBB61E" w:rsidR="00E7588B" w:rsidRPr="009259F9" w:rsidRDefault="00E7588B" w:rsidP="00E7588B">
            <w:pPr>
              <w:spacing w:after="120" w:line="240" w:lineRule="auto"/>
              <w:jc w:val="center"/>
              <w:rPr>
                <w:rFonts w:eastAsia="Times New Roman" w:cs="Calibri"/>
                <w:b/>
                <w:bCs/>
                <w:sz w:val="18"/>
                <w:szCs w:val="18"/>
                <w:lang w:val="en-GB" w:eastAsia="el-GR"/>
              </w:rPr>
            </w:pPr>
            <w:r w:rsidRPr="009259F9">
              <w:rPr>
                <w:rFonts w:eastAsia="Times New Roman" w:cs="Calibri"/>
                <w:b/>
                <w:bCs/>
                <w:sz w:val="18"/>
                <w:szCs w:val="18"/>
                <w:lang w:val="en-GB" w:eastAsia="el-GR"/>
              </w:rPr>
              <w:t>EBITDA</w:t>
            </w:r>
          </w:p>
        </w:tc>
        <w:tc>
          <w:tcPr>
            <w:tcW w:w="1710" w:type="dxa"/>
            <w:gridSpan w:val="2"/>
            <w:tcBorders>
              <w:top w:val="nil"/>
              <w:left w:val="dotted" w:sz="4" w:space="0" w:color="385623" w:themeColor="accent6" w:themeShade="80"/>
              <w:bottom w:val="single" w:sz="4" w:space="0" w:color="385623" w:themeColor="accent6" w:themeShade="80"/>
              <w:right w:val="dotted" w:sz="4" w:space="0" w:color="385623" w:themeColor="accent6" w:themeShade="80"/>
            </w:tcBorders>
            <w:shd w:val="clear" w:color="000000" w:fill="FFFFFF"/>
            <w:vAlign w:val="center"/>
            <w:hideMark/>
          </w:tcPr>
          <w:p w14:paraId="0E849778" w14:textId="0373E990" w:rsidR="00E7588B" w:rsidRPr="009259F9" w:rsidRDefault="00E7588B" w:rsidP="00E7588B">
            <w:pPr>
              <w:spacing w:after="120" w:line="240" w:lineRule="auto"/>
              <w:jc w:val="center"/>
              <w:rPr>
                <w:rFonts w:eastAsia="Times New Roman" w:cs="Calibri"/>
                <w:b/>
                <w:bCs/>
                <w:sz w:val="18"/>
                <w:szCs w:val="18"/>
                <w:lang w:val="en-GB" w:eastAsia="el-GR"/>
              </w:rPr>
            </w:pPr>
            <w:r w:rsidRPr="009259F9">
              <w:rPr>
                <w:rFonts w:eastAsia="Times New Roman" w:cs="Calibri"/>
                <w:b/>
                <w:bCs/>
                <w:sz w:val="18"/>
                <w:szCs w:val="18"/>
                <w:lang w:val="en-GB" w:eastAsia="el-GR"/>
              </w:rPr>
              <w:t>a-EBITDA</w:t>
            </w:r>
          </w:p>
        </w:tc>
        <w:tc>
          <w:tcPr>
            <w:tcW w:w="1710" w:type="dxa"/>
            <w:gridSpan w:val="2"/>
            <w:tcBorders>
              <w:top w:val="nil"/>
              <w:left w:val="dotted" w:sz="4" w:space="0" w:color="385623" w:themeColor="accent6" w:themeShade="80"/>
              <w:bottom w:val="single" w:sz="4" w:space="0" w:color="385623" w:themeColor="accent6" w:themeShade="80"/>
              <w:right w:val="dotted" w:sz="4" w:space="0" w:color="385623" w:themeColor="accent6" w:themeShade="80"/>
            </w:tcBorders>
            <w:shd w:val="clear" w:color="000000" w:fill="FFFFFF"/>
            <w:vAlign w:val="center"/>
            <w:hideMark/>
          </w:tcPr>
          <w:p w14:paraId="0FB392B1" w14:textId="2C35BE4F" w:rsidR="00E7588B" w:rsidRPr="009259F9" w:rsidRDefault="00E7588B" w:rsidP="00E7588B">
            <w:pPr>
              <w:spacing w:after="120" w:line="240" w:lineRule="auto"/>
              <w:jc w:val="center"/>
              <w:rPr>
                <w:rFonts w:eastAsia="Times New Roman" w:cs="Calibri"/>
                <w:b/>
                <w:bCs/>
                <w:sz w:val="18"/>
                <w:szCs w:val="18"/>
                <w:lang w:val="en-GB" w:eastAsia="el-GR"/>
              </w:rPr>
            </w:pPr>
            <w:r w:rsidRPr="009259F9">
              <w:rPr>
                <w:rFonts w:eastAsia="Times New Roman" w:cs="Calibri"/>
                <w:b/>
                <w:bCs/>
                <w:sz w:val="18"/>
                <w:szCs w:val="18"/>
                <w:lang w:val="en-GB" w:eastAsia="el-GR"/>
              </w:rPr>
              <w:t>EBIT</w:t>
            </w:r>
          </w:p>
        </w:tc>
        <w:tc>
          <w:tcPr>
            <w:tcW w:w="1710" w:type="dxa"/>
            <w:gridSpan w:val="2"/>
            <w:tcBorders>
              <w:top w:val="nil"/>
              <w:left w:val="dotted" w:sz="4" w:space="0" w:color="385623" w:themeColor="accent6" w:themeShade="80"/>
              <w:bottom w:val="single" w:sz="4" w:space="0" w:color="385623" w:themeColor="accent6" w:themeShade="80"/>
              <w:right w:val="dotted" w:sz="4" w:space="0" w:color="385623" w:themeColor="accent6" w:themeShade="80"/>
            </w:tcBorders>
            <w:shd w:val="clear" w:color="000000" w:fill="FFFFFF"/>
            <w:vAlign w:val="center"/>
            <w:hideMark/>
          </w:tcPr>
          <w:p w14:paraId="770F3756" w14:textId="3EDD69E8" w:rsidR="00E7588B" w:rsidRPr="009259F9" w:rsidRDefault="00E7588B" w:rsidP="00E7588B">
            <w:pPr>
              <w:spacing w:after="120" w:line="240" w:lineRule="auto"/>
              <w:jc w:val="center"/>
              <w:rPr>
                <w:rFonts w:eastAsia="Times New Roman" w:cs="Calibri"/>
                <w:b/>
                <w:bCs/>
                <w:sz w:val="18"/>
                <w:szCs w:val="18"/>
                <w:lang w:val="en-GB" w:eastAsia="el-GR"/>
              </w:rPr>
            </w:pPr>
            <w:r>
              <w:rPr>
                <w:rFonts w:eastAsia="Times New Roman" w:cs="Calibri"/>
                <w:b/>
                <w:bCs/>
                <w:sz w:val="18"/>
                <w:szCs w:val="18"/>
                <w:lang w:eastAsia="el-GR"/>
              </w:rPr>
              <w:t>Κέρδη προ φόρων</w:t>
            </w:r>
          </w:p>
        </w:tc>
      </w:tr>
      <w:tr w:rsidR="00E7588B" w:rsidRPr="009259F9" w14:paraId="0E009A64" w14:textId="77777777" w:rsidTr="00635231">
        <w:trPr>
          <w:trHeight w:val="255"/>
        </w:trPr>
        <w:tc>
          <w:tcPr>
            <w:tcW w:w="1440"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000000" w:fill="FFFFFF"/>
            <w:vAlign w:val="center"/>
            <w:hideMark/>
          </w:tcPr>
          <w:p w14:paraId="08AB0546" w14:textId="1FD64362" w:rsidR="00E7588B" w:rsidRPr="009259F9" w:rsidRDefault="00B80DE8" w:rsidP="00E7588B">
            <w:pPr>
              <w:spacing w:before="60" w:after="60" w:line="240" w:lineRule="auto"/>
              <w:rPr>
                <w:rFonts w:eastAsia="Times New Roman" w:cs="Calibri"/>
                <w:b/>
                <w:bCs/>
                <w:sz w:val="18"/>
                <w:szCs w:val="18"/>
                <w:u w:val="single"/>
                <w:lang w:val="en-GB" w:eastAsia="el-GR"/>
              </w:rPr>
            </w:pPr>
            <w:r>
              <w:rPr>
                <w:rFonts w:eastAsia="Times New Roman" w:cs="Calibri"/>
                <w:b/>
                <w:bCs/>
                <w:sz w:val="18"/>
                <w:szCs w:val="18"/>
                <w:u w:val="single"/>
                <w:lang w:eastAsia="el-GR"/>
              </w:rPr>
              <w:t>Τομέα</w:t>
            </w:r>
            <w:r w:rsidR="00E7588B" w:rsidRPr="005460AF">
              <w:rPr>
                <w:rFonts w:eastAsia="Times New Roman" w:cs="Calibri"/>
                <w:b/>
                <w:bCs/>
                <w:sz w:val="18"/>
                <w:szCs w:val="18"/>
                <w:u w:val="single"/>
                <w:lang w:eastAsia="el-GR"/>
              </w:rPr>
              <w:t>ς</w:t>
            </w:r>
          </w:p>
        </w:tc>
        <w:tc>
          <w:tcPr>
            <w:tcW w:w="855" w:type="dxa"/>
            <w:tcBorders>
              <w:top w:val="single" w:sz="4" w:space="0" w:color="385623" w:themeColor="accent6" w:themeShade="80"/>
              <w:left w:val="dotted" w:sz="4" w:space="0" w:color="385623" w:themeColor="accent6" w:themeShade="80"/>
              <w:bottom w:val="single" w:sz="4" w:space="0" w:color="385623" w:themeColor="accent6" w:themeShade="80"/>
              <w:right w:val="nil"/>
            </w:tcBorders>
            <w:shd w:val="clear" w:color="auto" w:fill="E2EFD9"/>
            <w:vAlign w:val="center"/>
            <w:hideMark/>
          </w:tcPr>
          <w:p w14:paraId="23F604D4" w14:textId="2C3388EC"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 xml:space="preserve"> 2023</w:t>
            </w:r>
          </w:p>
        </w:tc>
        <w:tc>
          <w:tcPr>
            <w:tcW w:w="855"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000000" w:fill="FFFFFF"/>
            <w:vAlign w:val="center"/>
            <w:hideMark/>
          </w:tcPr>
          <w:p w14:paraId="30240DE9" w14:textId="5AF98438"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2022</w:t>
            </w:r>
          </w:p>
        </w:tc>
        <w:tc>
          <w:tcPr>
            <w:tcW w:w="855" w:type="dxa"/>
            <w:tcBorders>
              <w:top w:val="single" w:sz="4" w:space="0" w:color="385623" w:themeColor="accent6" w:themeShade="80"/>
              <w:left w:val="dotted" w:sz="4" w:space="0" w:color="385623" w:themeColor="accent6" w:themeShade="80"/>
              <w:bottom w:val="single" w:sz="4" w:space="0" w:color="385623" w:themeColor="accent6" w:themeShade="80"/>
              <w:right w:val="nil"/>
            </w:tcBorders>
            <w:shd w:val="clear" w:color="auto" w:fill="E2EFD9"/>
            <w:vAlign w:val="center"/>
          </w:tcPr>
          <w:p w14:paraId="723675C3" w14:textId="3DB474B3"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 xml:space="preserve"> 2023</w:t>
            </w:r>
          </w:p>
        </w:tc>
        <w:tc>
          <w:tcPr>
            <w:tcW w:w="855"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auto" w:fill="auto"/>
            <w:vAlign w:val="center"/>
          </w:tcPr>
          <w:p w14:paraId="2E50BD0A" w14:textId="11172CFE"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2022</w:t>
            </w:r>
          </w:p>
        </w:tc>
        <w:tc>
          <w:tcPr>
            <w:tcW w:w="855" w:type="dxa"/>
            <w:tcBorders>
              <w:top w:val="single" w:sz="4" w:space="0" w:color="385623" w:themeColor="accent6" w:themeShade="80"/>
              <w:left w:val="dotted" w:sz="4" w:space="0" w:color="385623" w:themeColor="accent6" w:themeShade="80"/>
              <w:bottom w:val="single" w:sz="4" w:space="0" w:color="385623" w:themeColor="accent6" w:themeShade="80"/>
              <w:right w:val="nil"/>
            </w:tcBorders>
            <w:shd w:val="clear" w:color="auto" w:fill="E2EFD9"/>
            <w:vAlign w:val="center"/>
          </w:tcPr>
          <w:p w14:paraId="6A710491" w14:textId="60D8134F"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 xml:space="preserve"> 2023</w:t>
            </w:r>
          </w:p>
        </w:tc>
        <w:tc>
          <w:tcPr>
            <w:tcW w:w="855"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000000" w:fill="FFFFFF"/>
            <w:vAlign w:val="center"/>
            <w:hideMark/>
          </w:tcPr>
          <w:p w14:paraId="0CC92A03" w14:textId="5A5D3580"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2022</w:t>
            </w:r>
          </w:p>
        </w:tc>
        <w:tc>
          <w:tcPr>
            <w:tcW w:w="855" w:type="dxa"/>
            <w:tcBorders>
              <w:top w:val="single" w:sz="4" w:space="0" w:color="385623" w:themeColor="accent6" w:themeShade="80"/>
              <w:left w:val="dotted" w:sz="4" w:space="0" w:color="385623" w:themeColor="accent6" w:themeShade="80"/>
              <w:bottom w:val="single" w:sz="4" w:space="0" w:color="385623" w:themeColor="accent6" w:themeShade="80"/>
              <w:right w:val="nil"/>
            </w:tcBorders>
            <w:shd w:val="clear" w:color="auto" w:fill="E2EFD9"/>
            <w:vAlign w:val="center"/>
          </w:tcPr>
          <w:p w14:paraId="1C5D67D2" w14:textId="0897D99D"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 xml:space="preserve"> 2023</w:t>
            </w:r>
          </w:p>
        </w:tc>
        <w:tc>
          <w:tcPr>
            <w:tcW w:w="855"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000000" w:fill="FFFFFF"/>
            <w:vAlign w:val="center"/>
            <w:hideMark/>
          </w:tcPr>
          <w:p w14:paraId="466495A4" w14:textId="18934EEE"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2022</w:t>
            </w:r>
          </w:p>
        </w:tc>
        <w:tc>
          <w:tcPr>
            <w:tcW w:w="855" w:type="dxa"/>
            <w:tcBorders>
              <w:top w:val="single" w:sz="4" w:space="0" w:color="385623" w:themeColor="accent6" w:themeShade="80"/>
              <w:left w:val="dotted" w:sz="4" w:space="0" w:color="385623" w:themeColor="accent6" w:themeShade="80"/>
              <w:bottom w:val="single" w:sz="4" w:space="0" w:color="385623" w:themeColor="accent6" w:themeShade="80"/>
              <w:right w:val="nil"/>
            </w:tcBorders>
            <w:shd w:val="clear" w:color="auto" w:fill="E2EFD9"/>
            <w:vAlign w:val="center"/>
          </w:tcPr>
          <w:p w14:paraId="1BCD90D1" w14:textId="68DFE392"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 xml:space="preserve"> 2023</w:t>
            </w:r>
          </w:p>
        </w:tc>
        <w:tc>
          <w:tcPr>
            <w:tcW w:w="855" w:type="dxa"/>
            <w:tcBorders>
              <w:top w:val="single" w:sz="4" w:space="0" w:color="385623" w:themeColor="accent6" w:themeShade="80"/>
              <w:left w:val="nil"/>
              <w:bottom w:val="single" w:sz="4" w:space="0" w:color="385623" w:themeColor="accent6" w:themeShade="80"/>
              <w:right w:val="dotted" w:sz="4" w:space="0" w:color="385623" w:themeColor="accent6" w:themeShade="80"/>
            </w:tcBorders>
            <w:shd w:val="clear" w:color="000000" w:fill="FFFFFF"/>
            <w:vAlign w:val="center"/>
            <w:hideMark/>
          </w:tcPr>
          <w:p w14:paraId="38396C68" w14:textId="2249028D" w:rsidR="00E7588B" w:rsidRPr="009259F9" w:rsidRDefault="00E7588B" w:rsidP="00E7588B">
            <w:pPr>
              <w:spacing w:before="60" w:after="60" w:line="240" w:lineRule="auto"/>
              <w:jc w:val="center"/>
              <w:rPr>
                <w:rFonts w:cs="Calibri"/>
                <w:b/>
                <w:bCs/>
                <w:color w:val="000000"/>
                <w:sz w:val="18"/>
                <w:szCs w:val="18"/>
                <w:lang w:val="en-GB"/>
              </w:rPr>
            </w:pPr>
            <w:r w:rsidRPr="00104E7E">
              <w:rPr>
                <w:rFonts w:cs="Calibri"/>
                <w:b/>
                <w:bCs/>
                <w:color w:val="000000"/>
                <w:sz w:val="18"/>
                <w:szCs w:val="18"/>
                <w:lang w:val="en-GB"/>
              </w:rPr>
              <w:t xml:space="preserve">1ο </w:t>
            </w:r>
            <w:proofErr w:type="spellStart"/>
            <w:r w:rsidRPr="00104E7E">
              <w:rPr>
                <w:rFonts w:cs="Calibri"/>
                <w:b/>
                <w:bCs/>
                <w:color w:val="000000"/>
                <w:sz w:val="18"/>
                <w:szCs w:val="18"/>
                <w:lang w:val="en-GB"/>
              </w:rPr>
              <w:t>εξ</w:t>
            </w:r>
            <w:proofErr w:type="spellEnd"/>
            <w:r w:rsidRPr="00104E7E">
              <w:rPr>
                <w:rFonts w:cs="Calibri"/>
                <w:b/>
                <w:bCs/>
                <w:color w:val="000000"/>
                <w:sz w:val="18"/>
                <w:szCs w:val="18"/>
                <w:lang w:val="en-GB"/>
              </w:rPr>
              <w:t xml:space="preserve">.  </w:t>
            </w:r>
            <w:r>
              <w:rPr>
                <w:rFonts w:cs="Calibri"/>
                <w:b/>
                <w:bCs/>
                <w:color w:val="000000"/>
                <w:sz w:val="18"/>
                <w:szCs w:val="18"/>
                <w:lang w:val="en-GB"/>
              </w:rPr>
              <w:t>2022</w:t>
            </w:r>
          </w:p>
        </w:tc>
      </w:tr>
      <w:tr w:rsidR="00E7588B" w:rsidRPr="005B1E2D" w14:paraId="62D276B5" w14:textId="77777777" w:rsidTr="0050101D">
        <w:trPr>
          <w:trHeight w:val="300"/>
        </w:trPr>
        <w:tc>
          <w:tcPr>
            <w:tcW w:w="1440"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hideMark/>
          </w:tcPr>
          <w:p w14:paraId="482FA22E" w14:textId="07EF65C5" w:rsidR="00E7588B" w:rsidRPr="009259F9" w:rsidRDefault="00E7588B" w:rsidP="00E7588B">
            <w:pPr>
              <w:spacing w:after="0" w:line="288" w:lineRule="auto"/>
              <w:rPr>
                <w:rFonts w:eastAsia="Times New Roman" w:cs="Calibri"/>
                <w:bCs/>
                <w:sz w:val="18"/>
                <w:szCs w:val="18"/>
                <w:lang w:val="en-GB" w:eastAsia="el-GR"/>
              </w:rPr>
            </w:pPr>
            <w:r w:rsidRPr="005460AF">
              <w:rPr>
                <w:rFonts w:eastAsia="Times New Roman" w:cs="Calibri"/>
                <w:bCs/>
                <w:sz w:val="18"/>
                <w:szCs w:val="18"/>
                <w:lang w:eastAsia="el-GR"/>
              </w:rPr>
              <w:t xml:space="preserve">Καλώδια </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666D8CDC" w14:textId="50F77E2D"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493</w:t>
            </w:r>
            <w:r>
              <w:rPr>
                <w:rFonts w:cs="Calibri"/>
                <w:color w:val="000000"/>
                <w:sz w:val="18"/>
                <w:szCs w:val="18"/>
              </w:rPr>
              <w:t>.</w:t>
            </w:r>
            <w:r w:rsidRPr="00995152">
              <w:rPr>
                <w:rFonts w:cs="Calibri"/>
                <w:color w:val="000000"/>
                <w:sz w:val="18"/>
                <w:szCs w:val="18"/>
              </w:rPr>
              <w:t>281</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13C1BF13" w14:textId="24767BFE"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466</w:t>
            </w:r>
            <w:r>
              <w:rPr>
                <w:rFonts w:cs="Calibri"/>
                <w:color w:val="000000"/>
                <w:sz w:val="18"/>
                <w:szCs w:val="18"/>
              </w:rPr>
              <w:t>.</w:t>
            </w:r>
            <w:r w:rsidRPr="00995152">
              <w:rPr>
                <w:rFonts w:cs="Calibri"/>
                <w:color w:val="000000"/>
                <w:sz w:val="18"/>
                <w:szCs w:val="18"/>
              </w:rPr>
              <w:t>572</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vAlign w:val="center"/>
          </w:tcPr>
          <w:p w14:paraId="0ACBE5A4" w14:textId="683ED4EE"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52</w:t>
            </w:r>
            <w:r>
              <w:rPr>
                <w:rFonts w:cs="Calibri"/>
                <w:color w:val="000000"/>
                <w:sz w:val="18"/>
                <w:szCs w:val="18"/>
              </w:rPr>
              <w:t>.</w:t>
            </w:r>
            <w:r w:rsidRPr="00995152">
              <w:rPr>
                <w:rFonts w:cs="Calibri"/>
                <w:color w:val="000000"/>
                <w:sz w:val="18"/>
                <w:szCs w:val="18"/>
              </w:rPr>
              <w:t>581</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auto" w:fill="auto"/>
            <w:vAlign w:val="center"/>
          </w:tcPr>
          <w:p w14:paraId="4B357EB9" w14:textId="1D21FED8"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45</w:t>
            </w:r>
            <w:r>
              <w:rPr>
                <w:rFonts w:cs="Calibri"/>
                <w:color w:val="000000"/>
                <w:sz w:val="18"/>
                <w:szCs w:val="18"/>
              </w:rPr>
              <w:t>.</w:t>
            </w:r>
            <w:r w:rsidRPr="00995152">
              <w:rPr>
                <w:rFonts w:cs="Calibri"/>
                <w:color w:val="000000"/>
                <w:sz w:val="18"/>
                <w:szCs w:val="18"/>
              </w:rPr>
              <w:t>051</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5E4B573F" w14:textId="2A20B8FA"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59</w:t>
            </w:r>
            <w:r>
              <w:rPr>
                <w:rFonts w:cs="Calibri"/>
                <w:color w:val="000000"/>
                <w:sz w:val="18"/>
                <w:szCs w:val="18"/>
              </w:rPr>
              <w:t>.</w:t>
            </w:r>
            <w:r w:rsidRPr="00995152">
              <w:rPr>
                <w:rFonts w:cs="Calibri"/>
                <w:color w:val="000000"/>
                <w:sz w:val="18"/>
                <w:szCs w:val="18"/>
              </w:rPr>
              <w:t>446</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0B5EF623" w14:textId="76AABA83"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47</w:t>
            </w:r>
            <w:r>
              <w:rPr>
                <w:rFonts w:cs="Calibri"/>
                <w:color w:val="000000"/>
                <w:sz w:val="18"/>
                <w:szCs w:val="18"/>
              </w:rPr>
              <w:t>.</w:t>
            </w:r>
            <w:r w:rsidRPr="00995152">
              <w:rPr>
                <w:rFonts w:cs="Calibri"/>
                <w:color w:val="000000"/>
                <w:sz w:val="18"/>
                <w:szCs w:val="18"/>
              </w:rPr>
              <w:t>109</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551565EB" w14:textId="4C3579E3"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42</w:t>
            </w:r>
            <w:r>
              <w:rPr>
                <w:rFonts w:cs="Calibri"/>
                <w:color w:val="000000"/>
                <w:sz w:val="18"/>
                <w:szCs w:val="18"/>
              </w:rPr>
              <w:t>.</w:t>
            </w:r>
            <w:r w:rsidRPr="00995152">
              <w:rPr>
                <w:rFonts w:cs="Calibri"/>
                <w:color w:val="000000"/>
                <w:sz w:val="18"/>
                <w:szCs w:val="18"/>
              </w:rPr>
              <w:t>839</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30F3D3F8" w14:textId="0977F116"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36</w:t>
            </w:r>
            <w:r>
              <w:rPr>
                <w:rFonts w:cs="Calibri"/>
                <w:color w:val="000000"/>
                <w:sz w:val="18"/>
                <w:szCs w:val="18"/>
              </w:rPr>
              <w:t>.</w:t>
            </w:r>
            <w:r w:rsidRPr="00995152">
              <w:rPr>
                <w:rFonts w:cs="Calibri"/>
                <w:color w:val="000000"/>
                <w:sz w:val="18"/>
                <w:szCs w:val="18"/>
              </w:rPr>
              <w:t>046</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1517A4A4" w14:textId="1B8B41A3"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21</w:t>
            </w:r>
            <w:r>
              <w:rPr>
                <w:rFonts w:cs="Calibri"/>
                <w:color w:val="000000"/>
                <w:sz w:val="18"/>
                <w:szCs w:val="18"/>
              </w:rPr>
              <w:t>.</w:t>
            </w:r>
            <w:r w:rsidRPr="00995152">
              <w:rPr>
                <w:rFonts w:cs="Calibri"/>
                <w:color w:val="000000"/>
                <w:sz w:val="18"/>
                <w:szCs w:val="18"/>
              </w:rPr>
              <w:t>301</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4713EF5C" w14:textId="6C7435E8"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25</w:t>
            </w:r>
            <w:r>
              <w:rPr>
                <w:rFonts w:cs="Calibri"/>
                <w:color w:val="000000"/>
                <w:sz w:val="18"/>
                <w:szCs w:val="18"/>
              </w:rPr>
              <w:t>.</w:t>
            </w:r>
            <w:r w:rsidRPr="00995152">
              <w:rPr>
                <w:rFonts w:cs="Calibri"/>
                <w:color w:val="000000"/>
                <w:sz w:val="18"/>
                <w:szCs w:val="18"/>
              </w:rPr>
              <w:t>274</w:t>
            </w:r>
          </w:p>
        </w:tc>
      </w:tr>
      <w:tr w:rsidR="00E7588B" w:rsidRPr="009259F9" w14:paraId="58745175" w14:textId="77777777" w:rsidTr="0050101D">
        <w:trPr>
          <w:trHeight w:val="300"/>
        </w:trPr>
        <w:tc>
          <w:tcPr>
            <w:tcW w:w="1440"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000000" w:fill="FFFFFF"/>
            <w:noWrap/>
            <w:vAlign w:val="center"/>
            <w:hideMark/>
          </w:tcPr>
          <w:p w14:paraId="3F20F93C" w14:textId="18E8CDFB" w:rsidR="00E7588B" w:rsidRPr="009259F9" w:rsidRDefault="00E7588B" w:rsidP="00E7588B">
            <w:pPr>
              <w:spacing w:after="0" w:line="288" w:lineRule="auto"/>
              <w:rPr>
                <w:rFonts w:eastAsia="Times New Roman" w:cs="Calibri"/>
                <w:bCs/>
                <w:sz w:val="18"/>
                <w:szCs w:val="18"/>
                <w:lang w:val="en-GB" w:eastAsia="el-GR"/>
              </w:rPr>
            </w:pPr>
            <w:r w:rsidRPr="005460AF">
              <w:rPr>
                <w:rFonts w:eastAsia="Times New Roman" w:cs="Calibri"/>
                <w:bCs/>
                <w:sz w:val="18"/>
                <w:szCs w:val="18"/>
                <w:lang w:eastAsia="el-GR"/>
              </w:rPr>
              <w:t xml:space="preserve">Σωλήνες </w:t>
            </w:r>
            <w:r w:rsidR="0057245D">
              <w:rPr>
                <w:rFonts w:eastAsia="Times New Roman" w:cs="Calibri"/>
                <w:bCs/>
                <w:sz w:val="18"/>
                <w:szCs w:val="18"/>
                <w:lang w:eastAsia="el-GR"/>
              </w:rPr>
              <w:t>Χ</w:t>
            </w:r>
            <w:r w:rsidRPr="005460AF">
              <w:rPr>
                <w:rFonts w:eastAsia="Times New Roman" w:cs="Calibri"/>
                <w:bCs/>
                <w:sz w:val="18"/>
                <w:szCs w:val="18"/>
                <w:lang w:eastAsia="el-GR"/>
              </w:rPr>
              <w:t>άλυβα</w:t>
            </w:r>
          </w:p>
        </w:tc>
        <w:tc>
          <w:tcPr>
            <w:tcW w:w="855" w:type="dxa"/>
            <w:tcBorders>
              <w:top w:val="single" w:sz="4" w:space="0" w:color="385623" w:themeColor="accent6" w:themeShade="80"/>
              <w:left w:val="dotted" w:sz="4" w:space="0" w:color="385623" w:themeColor="accent6" w:themeShade="80"/>
              <w:bottom w:val="single" w:sz="4" w:space="0" w:color="538135" w:themeColor="accent6" w:themeShade="BF"/>
              <w:right w:val="nil"/>
            </w:tcBorders>
            <w:shd w:val="clear" w:color="auto" w:fill="E2EFD9"/>
            <w:noWrap/>
            <w:vAlign w:val="center"/>
          </w:tcPr>
          <w:p w14:paraId="6F0659D2" w14:textId="0B6F8BBB"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304</w:t>
            </w:r>
            <w:r>
              <w:rPr>
                <w:rFonts w:cs="Calibri"/>
                <w:color w:val="000000"/>
                <w:sz w:val="18"/>
                <w:szCs w:val="18"/>
              </w:rPr>
              <w:t>.</w:t>
            </w:r>
            <w:r w:rsidRPr="00995152">
              <w:rPr>
                <w:rFonts w:cs="Calibri"/>
                <w:color w:val="000000"/>
                <w:sz w:val="18"/>
                <w:szCs w:val="18"/>
              </w:rPr>
              <w:t>991</w:t>
            </w:r>
          </w:p>
        </w:tc>
        <w:tc>
          <w:tcPr>
            <w:tcW w:w="855"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000000" w:fill="FFFFFF"/>
            <w:noWrap/>
            <w:vAlign w:val="center"/>
          </w:tcPr>
          <w:p w14:paraId="61B0C420" w14:textId="1006697F"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192</w:t>
            </w:r>
            <w:r>
              <w:rPr>
                <w:rFonts w:cs="Calibri"/>
                <w:color w:val="000000"/>
                <w:sz w:val="18"/>
                <w:szCs w:val="18"/>
              </w:rPr>
              <w:t>.</w:t>
            </w:r>
            <w:r w:rsidRPr="00995152">
              <w:rPr>
                <w:rFonts w:cs="Calibri"/>
                <w:color w:val="000000"/>
                <w:sz w:val="18"/>
                <w:szCs w:val="18"/>
              </w:rPr>
              <w:t>079</w:t>
            </w:r>
          </w:p>
        </w:tc>
        <w:tc>
          <w:tcPr>
            <w:tcW w:w="855" w:type="dxa"/>
            <w:tcBorders>
              <w:top w:val="single" w:sz="4" w:space="0" w:color="385623" w:themeColor="accent6" w:themeShade="80"/>
              <w:left w:val="dotted" w:sz="4" w:space="0" w:color="385623" w:themeColor="accent6" w:themeShade="80"/>
              <w:bottom w:val="single" w:sz="4" w:space="0" w:color="538135" w:themeColor="accent6" w:themeShade="BF"/>
              <w:right w:val="nil"/>
            </w:tcBorders>
            <w:shd w:val="clear" w:color="auto" w:fill="E2EFD9"/>
            <w:vAlign w:val="center"/>
          </w:tcPr>
          <w:p w14:paraId="5560DCC3" w14:textId="55A3FA0E"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27</w:t>
            </w:r>
            <w:r>
              <w:rPr>
                <w:rFonts w:cs="Calibri"/>
                <w:color w:val="000000"/>
                <w:sz w:val="18"/>
                <w:szCs w:val="18"/>
              </w:rPr>
              <w:t>.</w:t>
            </w:r>
            <w:r w:rsidRPr="00995152">
              <w:rPr>
                <w:rFonts w:cs="Calibri"/>
                <w:color w:val="000000"/>
                <w:sz w:val="18"/>
                <w:szCs w:val="18"/>
              </w:rPr>
              <w:t>034</w:t>
            </w:r>
          </w:p>
        </w:tc>
        <w:tc>
          <w:tcPr>
            <w:tcW w:w="855"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auto" w:fill="auto"/>
            <w:vAlign w:val="center"/>
          </w:tcPr>
          <w:p w14:paraId="0001F637" w14:textId="7DE686B8"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w:t>
            </w:r>
            <w:r>
              <w:rPr>
                <w:rFonts w:cs="Calibri"/>
                <w:color w:val="000000"/>
                <w:sz w:val="18"/>
                <w:szCs w:val="18"/>
              </w:rPr>
              <w:t>.</w:t>
            </w:r>
            <w:r w:rsidRPr="00995152">
              <w:rPr>
                <w:rFonts w:cs="Calibri"/>
                <w:color w:val="000000"/>
                <w:sz w:val="18"/>
                <w:szCs w:val="18"/>
              </w:rPr>
              <w:t>949</w:t>
            </w:r>
          </w:p>
        </w:tc>
        <w:tc>
          <w:tcPr>
            <w:tcW w:w="855" w:type="dxa"/>
            <w:tcBorders>
              <w:top w:val="single" w:sz="4" w:space="0" w:color="385623" w:themeColor="accent6" w:themeShade="80"/>
              <w:left w:val="dotted" w:sz="4" w:space="0" w:color="385623" w:themeColor="accent6" w:themeShade="80"/>
              <w:bottom w:val="single" w:sz="4" w:space="0" w:color="538135" w:themeColor="accent6" w:themeShade="BF"/>
              <w:right w:val="nil"/>
            </w:tcBorders>
            <w:shd w:val="clear" w:color="auto" w:fill="E2EFD9"/>
            <w:noWrap/>
            <w:vAlign w:val="center"/>
          </w:tcPr>
          <w:p w14:paraId="664F597F" w14:textId="02D6232F"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27</w:t>
            </w:r>
            <w:r>
              <w:rPr>
                <w:rFonts w:cs="Calibri"/>
                <w:color w:val="000000"/>
                <w:sz w:val="18"/>
                <w:szCs w:val="18"/>
              </w:rPr>
              <w:t>.</w:t>
            </w:r>
            <w:r w:rsidRPr="00995152">
              <w:rPr>
                <w:rFonts w:cs="Calibri"/>
                <w:color w:val="000000"/>
                <w:sz w:val="18"/>
                <w:szCs w:val="18"/>
              </w:rPr>
              <w:t>034</w:t>
            </w:r>
          </w:p>
        </w:tc>
        <w:tc>
          <w:tcPr>
            <w:tcW w:w="855"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000000" w:fill="FFFFFF"/>
            <w:noWrap/>
            <w:vAlign w:val="center"/>
          </w:tcPr>
          <w:p w14:paraId="0D293BDA" w14:textId="4D132410"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w:t>
            </w:r>
            <w:r>
              <w:rPr>
                <w:rFonts w:cs="Calibri"/>
                <w:color w:val="000000"/>
                <w:sz w:val="18"/>
                <w:szCs w:val="18"/>
              </w:rPr>
              <w:t>.</w:t>
            </w:r>
            <w:r w:rsidRPr="00995152">
              <w:rPr>
                <w:rFonts w:cs="Calibri"/>
                <w:color w:val="000000"/>
                <w:sz w:val="18"/>
                <w:szCs w:val="18"/>
              </w:rPr>
              <w:t>449</w:t>
            </w:r>
          </w:p>
        </w:tc>
        <w:tc>
          <w:tcPr>
            <w:tcW w:w="855" w:type="dxa"/>
            <w:tcBorders>
              <w:top w:val="single" w:sz="4" w:space="0" w:color="385623" w:themeColor="accent6" w:themeShade="80"/>
              <w:left w:val="dotted" w:sz="4" w:space="0" w:color="385623" w:themeColor="accent6" w:themeShade="80"/>
              <w:bottom w:val="single" w:sz="4" w:space="0" w:color="538135" w:themeColor="accent6" w:themeShade="BF"/>
              <w:right w:val="nil"/>
            </w:tcBorders>
            <w:shd w:val="clear" w:color="auto" w:fill="E2EFD9"/>
            <w:noWrap/>
            <w:vAlign w:val="center"/>
          </w:tcPr>
          <w:p w14:paraId="01E9CBF4" w14:textId="34BBFE4E"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22</w:t>
            </w:r>
            <w:r>
              <w:rPr>
                <w:rFonts w:cs="Calibri"/>
                <w:color w:val="000000"/>
                <w:sz w:val="18"/>
                <w:szCs w:val="18"/>
              </w:rPr>
              <w:t>.</w:t>
            </w:r>
            <w:r w:rsidRPr="00995152">
              <w:rPr>
                <w:rFonts w:cs="Calibri"/>
                <w:color w:val="000000"/>
                <w:sz w:val="18"/>
                <w:szCs w:val="18"/>
              </w:rPr>
              <w:t>281</w:t>
            </w:r>
          </w:p>
        </w:tc>
        <w:tc>
          <w:tcPr>
            <w:tcW w:w="855"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000000" w:fill="FFFFFF"/>
            <w:noWrap/>
            <w:vAlign w:val="center"/>
          </w:tcPr>
          <w:p w14:paraId="0141F423" w14:textId="61C21B02"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(497)</w:t>
            </w:r>
          </w:p>
        </w:tc>
        <w:tc>
          <w:tcPr>
            <w:tcW w:w="855" w:type="dxa"/>
            <w:tcBorders>
              <w:top w:val="single" w:sz="4" w:space="0" w:color="385623" w:themeColor="accent6" w:themeShade="80"/>
              <w:left w:val="dotted" w:sz="4" w:space="0" w:color="385623" w:themeColor="accent6" w:themeShade="80"/>
              <w:bottom w:val="single" w:sz="4" w:space="0" w:color="538135" w:themeColor="accent6" w:themeShade="BF"/>
              <w:right w:val="nil"/>
            </w:tcBorders>
            <w:shd w:val="clear" w:color="auto" w:fill="E2EFD9"/>
            <w:noWrap/>
            <w:vAlign w:val="center"/>
          </w:tcPr>
          <w:p w14:paraId="5A3F8170" w14:textId="4C5D973A"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9</w:t>
            </w:r>
            <w:r>
              <w:rPr>
                <w:rFonts w:cs="Calibri"/>
                <w:color w:val="000000"/>
                <w:sz w:val="18"/>
                <w:szCs w:val="18"/>
              </w:rPr>
              <w:t>.</w:t>
            </w:r>
            <w:r w:rsidRPr="00995152">
              <w:rPr>
                <w:rFonts w:cs="Calibri"/>
                <w:color w:val="000000"/>
                <w:sz w:val="18"/>
                <w:szCs w:val="18"/>
              </w:rPr>
              <w:t>846</w:t>
            </w:r>
          </w:p>
        </w:tc>
        <w:tc>
          <w:tcPr>
            <w:tcW w:w="855" w:type="dxa"/>
            <w:tcBorders>
              <w:top w:val="single" w:sz="4" w:space="0" w:color="385623" w:themeColor="accent6" w:themeShade="80"/>
              <w:left w:val="nil"/>
              <w:bottom w:val="single" w:sz="4" w:space="0" w:color="538135" w:themeColor="accent6" w:themeShade="BF"/>
              <w:right w:val="dotted" w:sz="4" w:space="0" w:color="385623" w:themeColor="accent6" w:themeShade="80"/>
            </w:tcBorders>
            <w:shd w:val="clear" w:color="000000" w:fill="FFFFFF"/>
            <w:noWrap/>
            <w:vAlign w:val="center"/>
          </w:tcPr>
          <w:p w14:paraId="5155824B" w14:textId="59A3C244"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(4</w:t>
            </w:r>
            <w:r>
              <w:rPr>
                <w:rFonts w:cs="Calibri"/>
                <w:color w:val="000000"/>
                <w:sz w:val="18"/>
                <w:szCs w:val="18"/>
              </w:rPr>
              <w:t>.</w:t>
            </w:r>
            <w:r w:rsidRPr="00995152">
              <w:rPr>
                <w:rFonts w:cs="Calibri"/>
                <w:color w:val="000000"/>
                <w:sz w:val="18"/>
                <w:szCs w:val="18"/>
              </w:rPr>
              <w:t>198)</w:t>
            </w:r>
          </w:p>
        </w:tc>
      </w:tr>
      <w:tr w:rsidR="00E7588B" w:rsidRPr="009259F9" w14:paraId="41DCF138" w14:textId="77777777" w:rsidTr="0050101D">
        <w:trPr>
          <w:trHeight w:val="300"/>
        </w:trPr>
        <w:tc>
          <w:tcPr>
            <w:tcW w:w="1440"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hideMark/>
          </w:tcPr>
          <w:p w14:paraId="0165EA06" w14:textId="459CE5C7" w:rsidR="00E7588B" w:rsidRPr="009259F9" w:rsidRDefault="00E7588B" w:rsidP="00E7588B">
            <w:pPr>
              <w:spacing w:after="0" w:line="288" w:lineRule="auto"/>
              <w:rPr>
                <w:rFonts w:eastAsia="Times New Roman" w:cs="Calibri"/>
                <w:bCs/>
                <w:sz w:val="18"/>
                <w:szCs w:val="18"/>
                <w:lang w:val="en-GB" w:eastAsia="el-GR"/>
              </w:rPr>
            </w:pPr>
            <w:r w:rsidRPr="005460AF">
              <w:rPr>
                <w:rFonts w:eastAsia="Times New Roman" w:cs="Calibri"/>
                <w:bCs/>
                <w:sz w:val="18"/>
                <w:szCs w:val="18"/>
                <w:lang w:eastAsia="el-GR"/>
              </w:rPr>
              <w:t>Λοιπές δραστηριότητες</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3DCF869A" w14:textId="26694582" w:rsidR="00E7588B" w:rsidRPr="00995152" w:rsidRDefault="00E7588B" w:rsidP="00E7588B">
            <w:pPr>
              <w:spacing w:after="0" w:line="288" w:lineRule="auto"/>
              <w:jc w:val="right"/>
              <w:rPr>
                <w:rFonts w:cs="Calibri"/>
                <w:color w:val="000000"/>
                <w:sz w:val="18"/>
                <w:szCs w:val="18"/>
                <w:lang w:val="en-US"/>
              </w:rPr>
            </w:pPr>
            <w:r>
              <w:rPr>
                <w:rFonts w:cs="Calibri"/>
                <w:color w:val="000000"/>
                <w:sz w:val="18"/>
                <w:szCs w:val="18"/>
                <w:lang w:val="en-US"/>
              </w:rPr>
              <w:t>-</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5D6B920B" w14:textId="26E47BAC" w:rsidR="00E7588B" w:rsidRPr="00995152" w:rsidRDefault="00E7588B" w:rsidP="00E7588B">
            <w:pPr>
              <w:spacing w:after="0" w:line="288" w:lineRule="auto"/>
              <w:jc w:val="right"/>
              <w:rPr>
                <w:rFonts w:cs="Calibri"/>
                <w:color w:val="000000"/>
                <w:sz w:val="18"/>
                <w:szCs w:val="18"/>
                <w:lang w:val="en-GB"/>
              </w:rPr>
            </w:pPr>
            <w:r>
              <w:rPr>
                <w:rFonts w:cs="Calibri"/>
                <w:color w:val="000000"/>
                <w:sz w:val="18"/>
                <w:szCs w:val="18"/>
                <w:lang w:val="en-US"/>
              </w:rPr>
              <w:t>-</w:t>
            </w:r>
            <w:r w:rsidRPr="00995152">
              <w:rPr>
                <w:rFonts w:cs="Calibri"/>
                <w:color w:val="000000"/>
                <w:sz w:val="18"/>
                <w:szCs w:val="18"/>
              </w:rPr>
              <w:t> </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vAlign w:val="center"/>
          </w:tcPr>
          <w:p w14:paraId="02CE9BF9" w14:textId="24DE202A"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(367)</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auto" w:fill="auto"/>
            <w:vAlign w:val="center"/>
          </w:tcPr>
          <w:p w14:paraId="4B42491E" w14:textId="167379D0"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67</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48FBDD71" w14:textId="24E95760"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(367)</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016B04DB" w14:textId="26B62C8E"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67</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01A60002" w14:textId="39C36BC3"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(373)</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585AF3EA" w14:textId="2A19D975"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61</w:t>
            </w:r>
          </w:p>
        </w:tc>
        <w:tc>
          <w:tcPr>
            <w:tcW w:w="855" w:type="dxa"/>
            <w:tcBorders>
              <w:top w:val="single" w:sz="4" w:space="0" w:color="538135" w:themeColor="accent6" w:themeShade="BF"/>
              <w:left w:val="dotted" w:sz="4" w:space="0" w:color="385623" w:themeColor="accent6" w:themeShade="80"/>
              <w:bottom w:val="single" w:sz="4" w:space="0" w:color="538135" w:themeColor="accent6" w:themeShade="BF"/>
              <w:right w:val="nil"/>
            </w:tcBorders>
            <w:shd w:val="clear" w:color="auto" w:fill="E2EFD9"/>
            <w:noWrap/>
            <w:vAlign w:val="center"/>
          </w:tcPr>
          <w:p w14:paraId="344C3D46" w14:textId="016105F5"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(294)</w:t>
            </w:r>
          </w:p>
        </w:tc>
        <w:tc>
          <w:tcPr>
            <w:tcW w:w="855" w:type="dxa"/>
            <w:tcBorders>
              <w:top w:val="single" w:sz="4" w:space="0" w:color="538135" w:themeColor="accent6" w:themeShade="BF"/>
              <w:left w:val="nil"/>
              <w:bottom w:val="single" w:sz="4" w:space="0" w:color="538135" w:themeColor="accent6" w:themeShade="BF"/>
              <w:right w:val="dotted" w:sz="4" w:space="0" w:color="385623" w:themeColor="accent6" w:themeShade="80"/>
            </w:tcBorders>
            <w:shd w:val="clear" w:color="000000" w:fill="FFFFFF"/>
            <w:noWrap/>
            <w:vAlign w:val="center"/>
          </w:tcPr>
          <w:p w14:paraId="6BD768D0" w14:textId="411481B9" w:rsidR="00E7588B" w:rsidRPr="00995152" w:rsidRDefault="00E7588B" w:rsidP="00E7588B">
            <w:pPr>
              <w:spacing w:after="0" w:line="288" w:lineRule="auto"/>
              <w:jc w:val="right"/>
              <w:rPr>
                <w:rFonts w:cs="Calibri"/>
                <w:color w:val="000000"/>
                <w:sz w:val="18"/>
                <w:szCs w:val="18"/>
                <w:lang w:val="en-GB"/>
              </w:rPr>
            </w:pPr>
            <w:r w:rsidRPr="00995152">
              <w:rPr>
                <w:rFonts w:cs="Calibri"/>
                <w:color w:val="000000"/>
                <w:sz w:val="18"/>
                <w:szCs w:val="18"/>
              </w:rPr>
              <w:t>106</w:t>
            </w:r>
          </w:p>
        </w:tc>
      </w:tr>
      <w:tr w:rsidR="00E7588B" w:rsidRPr="009259F9" w14:paraId="319F5953" w14:textId="77777777" w:rsidTr="0050101D">
        <w:trPr>
          <w:trHeight w:val="300"/>
        </w:trPr>
        <w:tc>
          <w:tcPr>
            <w:tcW w:w="1440"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noWrap/>
            <w:vAlign w:val="center"/>
            <w:hideMark/>
          </w:tcPr>
          <w:p w14:paraId="541EBC59" w14:textId="282A29B7" w:rsidR="00E7588B" w:rsidRPr="009259F9" w:rsidRDefault="00E7588B" w:rsidP="00E7588B">
            <w:pPr>
              <w:spacing w:after="0" w:line="288" w:lineRule="auto"/>
              <w:rPr>
                <w:rFonts w:eastAsia="Times New Roman" w:cs="Calibri"/>
                <w:b/>
                <w:bCs/>
                <w:sz w:val="18"/>
                <w:szCs w:val="18"/>
                <w:lang w:val="en-GB" w:eastAsia="el-GR"/>
              </w:rPr>
            </w:pPr>
            <w:r w:rsidRPr="005460AF">
              <w:rPr>
                <w:rFonts w:eastAsia="Times New Roman" w:cs="Calibri"/>
                <w:b/>
                <w:bCs/>
                <w:sz w:val="18"/>
                <w:szCs w:val="18"/>
                <w:lang w:eastAsia="el-GR"/>
              </w:rPr>
              <w:t>Σύνολο</w:t>
            </w:r>
          </w:p>
        </w:tc>
        <w:tc>
          <w:tcPr>
            <w:tcW w:w="855" w:type="dxa"/>
            <w:tcBorders>
              <w:top w:val="single" w:sz="4" w:space="0" w:color="538135" w:themeColor="accent6" w:themeShade="BF"/>
              <w:left w:val="dotted" w:sz="4" w:space="0" w:color="385623" w:themeColor="accent6" w:themeShade="80"/>
              <w:bottom w:val="single" w:sz="4" w:space="0" w:color="385623" w:themeColor="accent6" w:themeShade="80"/>
              <w:right w:val="nil"/>
            </w:tcBorders>
            <w:shd w:val="clear" w:color="auto" w:fill="E2EFD9"/>
            <w:noWrap/>
            <w:vAlign w:val="center"/>
          </w:tcPr>
          <w:p w14:paraId="3A2C755A" w14:textId="6608804D"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798</w:t>
            </w:r>
            <w:r>
              <w:rPr>
                <w:rFonts w:cs="Calibri"/>
                <w:b/>
                <w:bCs/>
                <w:color w:val="000000"/>
                <w:sz w:val="18"/>
                <w:szCs w:val="18"/>
              </w:rPr>
              <w:t>.</w:t>
            </w:r>
            <w:r w:rsidRPr="00995152">
              <w:rPr>
                <w:rFonts w:cs="Calibri"/>
                <w:b/>
                <w:bCs/>
                <w:color w:val="000000"/>
                <w:sz w:val="18"/>
                <w:szCs w:val="18"/>
              </w:rPr>
              <w:t>272</w:t>
            </w:r>
          </w:p>
        </w:tc>
        <w:tc>
          <w:tcPr>
            <w:tcW w:w="855"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noWrap/>
            <w:vAlign w:val="center"/>
          </w:tcPr>
          <w:p w14:paraId="569EE16C" w14:textId="77D1D29B"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658</w:t>
            </w:r>
            <w:r>
              <w:rPr>
                <w:rFonts w:cs="Calibri"/>
                <w:b/>
                <w:bCs/>
                <w:color w:val="000000"/>
                <w:sz w:val="18"/>
                <w:szCs w:val="18"/>
              </w:rPr>
              <w:t>.</w:t>
            </w:r>
            <w:r w:rsidRPr="00995152">
              <w:rPr>
                <w:rFonts w:cs="Calibri"/>
                <w:b/>
                <w:bCs/>
                <w:color w:val="000000"/>
                <w:sz w:val="18"/>
                <w:szCs w:val="18"/>
              </w:rPr>
              <w:t>651</w:t>
            </w:r>
          </w:p>
        </w:tc>
        <w:tc>
          <w:tcPr>
            <w:tcW w:w="855" w:type="dxa"/>
            <w:tcBorders>
              <w:top w:val="single" w:sz="4" w:space="0" w:color="538135" w:themeColor="accent6" w:themeShade="BF"/>
              <w:left w:val="dotted" w:sz="4" w:space="0" w:color="385623" w:themeColor="accent6" w:themeShade="80"/>
              <w:bottom w:val="single" w:sz="4" w:space="0" w:color="385623" w:themeColor="accent6" w:themeShade="80"/>
              <w:right w:val="nil"/>
            </w:tcBorders>
            <w:shd w:val="clear" w:color="auto" w:fill="E2EFD9"/>
            <w:vAlign w:val="center"/>
          </w:tcPr>
          <w:p w14:paraId="283AE35F" w14:textId="02096334"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79</w:t>
            </w:r>
            <w:r>
              <w:rPr>
                <w:rFonts w:cs="Calibri"/>
                <w:b/>
                <w:bCs/>
                <w:color w:val="000000"/>
                <w:sz w:val="18"/>
                <w:szCs w:val="18"/>
              </w:rPr>
              <w:t>.</w:t>
            </w:r>
            <w:r w:rsidRPr="00995152">
              <w:rPr>
                <w:rFonts w:cs="Calibri"/>
                <w:b/>
                <w:bCs/>
                <w:color w:val="000000"/>
                <w:sz w:val="18"/>
                <w:szCs w:val="18"/>
              </w:rPr>
              <w:t>249</w:t>
            </w:r>
          </w:p>
        </w:tc>
        <w:tc>
          <w:tcPr>
            <w:tcW w:w="855"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vAlign w:val="center"/>
          </w:tcPr>
          <w:p w14:paraId="76318601" w14:textId="5F2C9A8A"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49</w:t>
            </w:r>
            <w:r>
              <w:rPr>
                <w:rFonts w:cs="Calibri"/>
                <w:b/>
                <w:bCs/>
                <w:color w:val="000000"/>
                <w:sz w:val="18"/>
                <w:szCs w:val="18"/>
              </w:rPr>
              <w:t>.</w:t>
            </w:r>
            <w:r w:rsidRPr="00995152">
              <w:rPr>
                <w:rFonts w:cs="Calibri"/>
                <w:b/>
                <w:bCs/>
                <w:color w:val="000000"/>
                <w:sz w:val="18"/>
                <w:szCs w:val="18"/>
              </w:rPr>
              <w:t>067</w:t>
            </w:r>
          </w:p>
        </w:tc>
        <w:tc>
          <w:tcPr>
            <w:tcW w:w="855" w:type="dxa"/>
            <w:tcBorders>
              <w:top w:val="single" w:sz="4" w:space="0" w:color="538135" w:themeColor="accent6" w:themeShade="BF"/>
              <w:left w:val="dotted" w:sz="4" w:space="0" w:color="385623" w:themeColor="accent6" w:themeShade="80"/>
              <w:bottom w:val="single" w:sz="4" w:space="0" w:color="385623" w:themeColor="accent6" w:themeShade="80"/>
              <w:right w:val="nil"/>
            </w:tcBorders>
            <w:shd w:val="clear" w:color="auto" w:fill="E2EFD9"/>
            <w:noWrap/>
            <w:vAlign w:val="center"/>
          </w:tcPr>
          <w:p w14:paraId="64EED40A" w14:textId="7FE182F3" w:rsidR="00E7588B" w:rsidRPr="00995152" w:rsidRDefault="00E7588B" w:rsidP="00E7588B">
            <w:pPr>
              <w:spacing w:after="0" w:line="288" w:lineRule="auto"/>
              <w:jc w:val="right"/>
              <w:rPr>
                <w:rFonts w:cs="Calibri"/>
                <w:b/>
                <w:bCs/>
                <w:color w:val="000000"/>
                <w:sz w:val="18"/>
                <w:szCs w:val="18"/>
                <w:lang w:val="en-US"/>
              </w:rPr>
            </w:pPr>
            <w:r w:rsidRPr="00995152">
              <w:rPr>
                <w:rFonts w:cs="Calibri"/>
                <w:b/>
                <w:bCs/>
                <w:color w:val="000000"/>
                <w:sz w:val="18"/>
                <w:szCs w:val="18"/>
              </w:rPr>
              <w:t>86</w:t>
            </w:r>
            <w:r>
              <w:rPr>
                <w:rFonts w:cs="Calibri"/>
                <w:b/>
                <w:bCs/>
                <w:color w:val="000000"/>
                <w:sz w:val="18"/>
                <w:szCs w:val="18"/>
              </w:rPr>
              <w:t>.</w:t>
            </w:r>
            <w:r w:rsidRPr="00995152">
              <w:rPr>
                <w:rFonts w:cs="Calibri"/>
                <w:b/>
                <w:bCs/>
                <w:color w:val="000000"/>
                <w:sz w:val="18"/>
                <w:szCs w:val="18"/>
              </w:rPr>
              <w:t>113</w:t>
            </w:r>
          </w:p>
        </w:tc>
        <w:tc>
          <w:tcPr>
            <w:tcW w:w="855"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noWrap/>
            <w:vAlign w:val="center"/>
          </w:tcPr>
          <w:p w14:paraId="39497141" w14:textId="362B052C"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51</w:t>
            </w:r>
            <w:r>
              <w:rPr>
                <w:rFonts w:cs="Calibri"/>
                <w:b/>
                <w:bCs/>
                <w:color w:val="000000"/>
                <w:sz w:val="18"/>
                <w:szCs w:val="18"/>
              </w:rPr>
              <w:t>.</w:t>
            </w:r>
            <w:r w:rsidRPr="00995152">
              <w:rPr>
                <w:rFonts w:cs="Calibri"/>
                <w:b/>
                <w:bCs/>
                <w:color w:val="000000"/>
                <w:sz w:val="18"/>
                <w:szCs w:val="18"/>
              </w:rPr>
              <w:t>626</w:t>
            </w:r>
          </w:p>
        </w:tc>
        <w:tc>
          <w:tcPr>
            <w:tcW w:w="855" w:type="dxa"/>
            <w:tcBorders>
              <w:top w:val="single" w:sz="4" w:space="0" w:color="538135" w:themeColor="accent6" w:themeShade="BF"/>
              <w:left w:val="dotted" w:sz="4" w:space="0" w:color="385623" w:themeColor="accent6" w:themeShade="80"/>
              <w:bottom w:val="single" w:sz="4" w:space="0" w:color="385623" w:themeColor="accent6" w:themeShade="80"/>
              <w:right w:val="nil"/>
            </w:tcBorders>
            <w:shd w:val="clear" w:color="auto" w:fill="E2EFD9"/>
            <w:noWrap/>
            <w:vAlign w:val="center"/>
          </w:tcPr>
          <w:p w14:paraId="518A9A7C" w14:textId="5691EBD2"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64</w:t>
            </w:r>
            <w:r>
              <w:rPr>
                <w:rFonts w:cs="Calibri"/>
                <w:b/>
                <w:bCs/>
                <w:color w:val="000000"/>
                <w:sz w:val="18"/>
                <w:szCs w:val="18"/>
              </w:rPr>
              <w:t>.</w:t>
            </w:r>
            <w:r w:rsidRPr="00995152">
              <w:rPr>
                <w:rFonts w:cs="Calibri"/>
                <w:b/>
                <w:bCs/>
                <w:color w:val="000000"/>
                <w:sz w:val="18"/>
                <w:szCs w:val="18"/>
              </w:rPr>
              <w:t>746</w:t>
            </w:r>
          </w:p>
        </w:tc>
        <w:tc>
          <w:tcPr>
            <w:tcW w:w="855"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noWrap/>
            <w:vAlign w:val="center"/>
          </w:tcPr>
          <w:p w14:paraId="4D557903" w14:textId="15513D35"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35</w:t>
            </w:r>
            <w:r>
              <w:rPr>
                <w:rFonts w:cs="Calibri"/>
                <w:b/>
                <w:bCs/>
                <w:color w:val="000000"/>
                <w:sz w:val="18"/>
                <w:szCs w:val="18"/>
              </w:rPr>
              <w:t>.</w:t>
            </w:r>
            <w:r w:rsidRPr="00995152">
              <w:rPr>
                <w:rFonts w:cs="Calibri"/>
                <w:b/>
                <w:bCs/>
                <w:color w:val="000000"/>
                <w:sz w:val="18"/>
                <w:szCs w:val="18"/>
              </w:rPr>
              <w:t>611</w:t>
            </w:r>
          </w:p>
        </w:tc>
        <w:tc>
          <w:tcPr>
            <w:tcW w:w="855" w:type="dxa"/>
            <w:tcBorders>
              <w:top w:val="single" w:sz="4" w:space="0" w:color="538135" w:themeColor="accent6" w:themeShade="BF"/>
              <w:left w:val="dotted" w:sz="4" w:space="0" w:color="385623" w:themeColor="accent6" w:themeShade="80"/>
              <w:bottom w:val="single" w:sz="4" w:space="0" w:color="385623" w:themeColor="accent6" w:themeShade="80"/>
              <w:right w:val="nil"/>
            </w:tcBorders>
            <w:shd w:val="clear" w:color="auto" w:fill="E2EFD9"/>
            <w:noWrap/>
            <w:vAlign w:val="center"/>
          </w:tcPr>
          <w:p w14:paraId="63104C7E" w14:textId="3E2B1594"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30</w:t>
            </w:r>
            <w:r>
              <w:rPr>
                <w:rFonts w:cs="Calibri"/>
                <w:b/>
                <w:bCs/>
                <w:color w:val="000000"/>
                <w:sz w:val="18"/>
                <w:szCs w:val="18"/>
              </w:rPr>
              <w:t>.</w:t>
            </w:r>
            <w:r w:rsidRPr="00995152">
              <w:rPr>
                <w:rFonts w:cs="Calibri"/>
                <w:b/>
                <w:bCs/>
                <w:color w:val="000000"/>
                <w:sz w:val="18"/>
                <w:szCs w:val="18"/>
              </w:rPr>
              <w:t>852</w:t>
            </w:r>
          </w:p>
        </w:tc>
        <w:tc>
          <w:tcPr>
            <w:tcW w:w="855" w:type="dxa"/>
            <w:tcBorders>
              <w:top w:val="single" w:sz="4" w:space="0" w:color="538135" w:themeColor="accent6" w:themeShade="BF"/>
              <w:left w:val="nil"/>
              <w:bottom w:val="single" w:sz="4" w:space="0" w:color="385623" w:themeColor="accent6" w:themeShade="80"/>
              <w:right w:val="dotted" w:sz="4" w:space="0" w:color="385623" w:themeColor="accent6" w:themeShade="80"/>
            </w:tcBorders>
            <w:shd w:val="clear" w:color="auto" w:fill="auto"/>
            <w:noWrap/>
            <w:vAlign w:val="center"/>
          </w:tcPr>
          <w:p w14:paraId="035366E7" w14:textId="7092D2A1" w:rsidR="00E7588B" w:rsidRPr="00995152" w:rsidRDefault="00E7588B" w:rsidP="00E7588B">
            <w:pPr>
              <w:spacing w:after="0" w:line="288" w:lineRule="auto"/>
              <w:jc w:val="right"/>
              <w:rPr>
                <w:rFonts w:cs="Calibri"/>
                <w:b/>
                <w:bCs/>
                <w:color w:val="000000"/>
                <w:sz w:val="18"/>
                <w:szCs w:val="18"/>
                <w:lang w:val="en-GB"/>
              </w:rPr>
            </w:pPr>
            <w:r w:rsidRPr="00995152">
              <w:rPr>
                <w:rFonts w:cs="Calibri"/>
                <w:b/>
                <w:bCs/>
                <w:color w:val="000000"/>
                <w:sz w:val="18"/>
                <w:szCs w:val="18"/>
              </w:rPr>
              <w:t>21</w:t>
            </w:r>
            <w:r>
              <w:rPr>
                <w:rFonts w:cs="Calibri"/>
                <w:b/>
                <w:bCs/>
                <w:color w:val="000000"/>
                <w:sz w:val="18"/>
                <w:szCs w:val="18"/>
              </w:rPr>
              <w:t>.</w:t>
            </w:r>
            <w:r w:rsidRPr="00995152">
              <w:rPr>
                <w:rFonts w:cs="Calibri"/>
                <w:b/>
                <w:bCs/>
                <w:color w:val="000000"/>
                <w:sz w:val="18"/>
                <w:szCs w:val="18"/>
              </w:rPr>
              <w:t>181</w:t>
            </w:r>
          </w:p>
        </w:tc>
      </w:tr>
    </w:tbl>
    <w:p w14:paraId="2F33ABDD" w14:textId="77777777" w:rsidR="00E7588B" w:rsidRPr="005F6732" w:rsidRDefault="00E7588B" w:rsidP="00E7588B">
      <w:pPr>
        <w:spacing w:after="120" w:line="240" w:lineRule="auto"/>
        <w:rPr>
          <w:rFonts w:eastAsia="SimSun" w:cs="Calibri"/>
          <w:b/>
          <w:bCs/>
          <w:color w:val="4F6228"/>
          <w:sz w:val="24"/>
          <w:szCs w:val="24"/>
        </w:rPr>
      </w:pPr>
      <w:r w:rsidRPr="005F6732">
        <w:rPr>
          <w:rFonts w:eastAsia="SimSun" w:cs="Calibri"/>
          <w:i/>
          <w:color w:val="000000"/>
          <w:sz w:val="16"/>
          <w:szCs w:val="20"/>
        </w:rPr>
        <w:t xml:space="preserve">Πηγή: Συνοπτική Ενοποιημένη Κατάσταση Αποτελεσμάτων (Παράρτημα </w:t>
      </w:r>
      <w:r w:rsidRPr="005F6732">
        <w:rPr>
          <w:rFonts w:eastAsia="SimSun" w:cs="Calibri"/>
          <w:i/>
          <w:color w:val="000000"/>
          <w:sz w:val="16"/>
          <w:szCs w:val="20"/>
          <w:lang w:val="en-GB"/>
        </w:rPr>
        <w:t>A</w:t>
      </w:r>
      <w:r w:rsidRPr="005F6732">
        <w:rPr>
          <w:rFonts w:eastAsia="SimSun" w:cs="Calibri"/>
          <w:i/>
          <w:color w:val="000000"/>
          <w:sz w:val="16"/>
          <w:szCs w:val="20"/>
        </w:rPr>
        <w:t>) και ΕΜΑ (Παράρτημα Γ)</w:t>
      </w:r>
    </w:p>
    <w:p w14:paraId="01E9CCC5" w14:textId="230EE9D3" w:rsidR="000D234C" w:rsidRPr="00772E7E" w:rsidRDefault="00842C5E" w:rsidP="006B321F">
      <w:pPr>
        <w:keepNext/>
        <w:keepLines/>
        <w:spacing w:after="120" w:line="240" w:lineRule="auto"/>
        <w:jc w:val="both"/>
        <w:outlineLvl w:val="1"/>
        <w:rPr>
          <w:rFonts w:eastAsia="SimSun" w:cs="Calibri"/>
          <w:b/>
          <w:bCs/>
          <w:color w:val="4F6228"/>
          <w:sz w:val="24"/>
          <w:szCs w:val="24"/>
        </w:rPr>
      </w:pPr>
      <w:r w:rsidRPr="002558CC">
        <w:rPr>
          <w:rFonts w:eastAsia="SimSun" w:cs="Calibri"/>
          <w:b/>
          <w:bCs/>
          <w:color w:val="4F6228"/>
          <w:sz w:val="24"/>
          <w:szCs w:val="24"/>
        </w:rPr>
        <w:t>Καλώδια</w:t>
      </w:r>
    </w:p>
    <w:p w14:paraId="49E868CD" w14:textId="4C33FC83" w:rsidR="0081314C" w:rsidRPr="0081314C" w:rsidRDefault="0081314C" w:rsidP="005D378E">
      <w:pPr>
        <w:spacing w:after="120" w:line="240" w:lineRule="auto"/>
        <w:jc w:val="both"/>
        <w:rPr>
          <w:highlight w:val="yellow"/>
        </w:rPr>
      </w:pPr>
      <w:r>
        <w:t>Οι πωλήσεις</w:t>
      </w:r>
      <w:r w:rsidRPr="0081314C">
        <w:t xml:space="preserve"> </w:t>
      </w:r>
      <w:r>
        <w:t xml:space="preserve">στον </w:t>
      </w:r>
      <w:r w:rsidR="00B80DE8">
        <w:t>τομέα</w:t>
      </w:r>
      <w:r w:rsidRPr="0081314C">
        <w:t xml:space="preserve"> καλωδίων ανήλθαν σε 493 εκατ. ευρώ (+6% σε σχέση με το α’ εξάμηνο του 2022), με την αύξηση να οφείλεται κυρίως </w:t>
      </w:r>
      <w:r w:rsidR="00B80DE8">
        <w:t>στα</w:t>
      </w:r>
      <w:r w:rsidR="002558CC">
        <w:t xml:space="preserve"> </w:t>
      </w:r>
      <w:r w:rsidR="00B80DE8">
        <w:t>μεγάλα έργα υποδομής</w:t>
      </w:r>
      <w:r w:rsidRPr="0081314C">
        <w:t xml:space="preserve"> (+15% αύξηση εσόδων </w:t>
      </w:r>
      <w:r w:rsidR="00526E7D" w:rsidRPr="0081314C">
        <w:t>σε σχέση με το α’ εξάμηνο του 2022</w:t>
      </w:r>
      <w:r w:rsidRPr="0081314C">
        <w:t xml:space="preserve">). </w:t>
      </w:r>
      <w:r w:rsidR="00B80DE8">
        <w:t xml:space="preserve"> </w:t>
      </w:r>
      <w:r w:rsidRPr="0081314C">
        <w:t xml:space="preserve">Η σταθερή ζήτηση για προϊόντα καλωδίων σε όλες τις </w:t>
      </w:r>
      <w:r w:rsidR="00281CFA">
        <w:t>κύριες αγορές</w:t>
      </w:r>
      <w:r w:rsidRPr="0081314C">
        <w:t xml:space="preserve"> (δηλ</w:t>
      </w:r>
      <w:r w:rsidR="002558CC">
        <w:t>αδή</w:t>
      </w:r>
      <w:r w:rsidRPr="0081314C">
        <w:t xml:space="preserve"> Κεντρική Ευρώπη, Ηνωμένο Βασίλειο, Βαλκάνια, Νοτιοανατολική Μεσόγειος) </w:t>
      </w:r>
      <w:r w:rsidR="002558CC">
        <w:t xml:space="preserve">συνέβαλε στη βελτίωση των περιθωρίων κέρδους ανά τόνο </w:t>
      </w:r>
      <w:proofErr w:type="spellStart"/>
      <w:r w:rsidR="002558CC">
        <w:t>πωληθέντος</w:t>
      </w:r>
      <w:proofErr w:type="spellEnd"/>
      <w:r w:rsidR="002558CC">
        <w:t xml:space="preserve"> προϊόντος για </w:t>
      </w:r>
      <w:r w:rsidR="00B80DE8">
        <w:t>ηλεκτρικά και τηλεφωνικά</w:t>
      </w:r>
      <w:r w:rsidR="002558CC">
        <w:t xml:space="preserve"> καλώδια.</w:t>
      </w:r>
      <w:r w:rsidR="00B80DE8">
        <w:t xml:space="preserve"> </w:t>
      </w:r>
      <w:r w:rsidR="002558CC">
        <w:t xml:space="preserve"> Το γεγονός αυτό σε συνδυασμό με</w:t>
      </w:r>
      <w:r w:rsidRPr="0081314C">
        <w:t xml:space="preserve"> </w:t>
      </w:r>
      <w:r w:rsidR="002558CC">
        <w:t>το</w:t>
      </w:r>
      <w:r w:rsidRPr="0081314C">
        <w:t xml:space="preserve"> πλήρες πρόγραμμα παραγωγής, </w:t>
      </w:r>
      <w:r w:rsidR="002558CC">
        <w:t>το</w:t>
      </w:r>
      <w:r w:rsidRPr="0081314C">
        <w:t xml:space="preserve"> βελτιωμένο μείγμα πωλήσεων και </w:t>
      </w:r>
      <w:r w:rsidR="002558CC">
        <w:t xml:space="preserve">τα </w:t>
      </w:r>
      <w:r w:rsidRPr="0081314C">
        <w:t xml:space="preserve">σταθερά υψηλά περιθώρια κέρδους στα </w:t>
      </w:r>
      <w:r w:rsidR="002558CC">
        <w:t xml:space="preserve">καλωδιακά </w:t>
      </w:r>
      <w:r w:rsidRPr="0081314C">
        <w:t>έργα</w:t>
      </w:r>
      <w:r w:rsidR="002558CC">
        <w:t xml:space="preserve"> αύξησαν το αναπροσαρμοσμένο </w:t>
      </w:r>
      <w:r w:rsidR="002558CC">
        <w:rPr>
          <w:lang w:val="en-US"/>
        </w:rPr>
        <w:t>EBITDA</w:t>
      </w:r>
      <w:r w:rsidR="002558CC" w:rsidRPr="002558CC">
        <w:t xml:space="preserve"> </w:t>
      </w:r>
      <w:r w:rsidR="002558CC">
        <w:t>κατά</w:t>
      </w:r>
      <w:r w:rsidRPr="0081314C">
        <w:t xml:space="preserve"> 26%</w:t>
      </w:r>
      <w:r w:rsidR="002558CC">
        <w:t xml:space="preserve"> </w:t>
      </w:r>
      <w:r w:rsidR="002558CC" w:rsidRPr="0081314C">
        <w:t>(+12,3 εκατ. ευρώ)</w:t>
      </w:r>
      <w:r w:rsidRPr="0081314C">
        <w:t xml:space="preserve"> σε </w:t>
      </w:r>
      <w:r w:rsidR="002558CC" w:rsidRPr="0081314C">
        <w:t>σχέση με το α’ εξάμηνο του 2022</w:t>
      </w:r>
      <w:r w:rsidRPr="0081314C">
        <w:t>.</w:t>
      </w:r>
    </w:p>
    <w:p w14:paraId="124917AC" w14:textId="016B13B9" w:rsidR="002558CC" w:rsidRPr="00752DDE" w:rsidRDefault="002558CC" w:rsidP="005D378E">
      <w:pPr>
        <w:spacing w:after="120" w:line="240" w:lineRule="auto"/>
        <w:jc w:val="both"/>
      </w:pPr>
      <w:r w:rsidRPr="00752DDE">
        <w:rPr>
          <w:rFonts w:eastAsia="MS Mincho"/>
          <w:szCs w:val="24"/>
        </w:rPr>
        <w:t xml:space="preserve">Το πρώτο εξάμηνο του έτους, η Hellenic Cables συμμετείχε ενεργά σε διαγωνισμούς και ανέλαβε αρκετά </w:t>
      </w:r>
      <w:r w:rsidRPr="00752DDE">
        <w:rPr>
          <w:rFonts w:eastAsia="MS Mincho"/>
          <w:b/>
          <w:bCs/>
          <w:szCs w:val="24"/>
        </w:rPr>
        <w:t xml:space="preserve">νέα </w:t>
      </w:r>
      <w:r w:rsidRPr="00752DDE">
        <w:rPr>
          <w:rFonts w:eastAsia="MS Mincho"/>
          <w:b/>
          <w:bCs/>
          <w:i/>
          <w:iCs/>
          <w:szCs w:val="24"/>
        </w:rPr>
        <w:t>έργα</w:t>
      </w:r>
      <w:r w:rsidRPr="00752DDE">
        <w:rPr>
          <w:rFonts w:eastAsia="MS Mincho"/>
          <w:szCs w:val="24"/>
        </w:rPr>
        <w:t xml:space="preserve"> τόσο σε υπεράκτια αιολικά πάρκα, όσο και στην αγορά των</w:t>
      </w:r>
      <w:r w:rsidR="00273122">
        <w:rPr>
          <w:rFonts w:eastAsia="MS Mincho"/>
          <w:szCs w:val="24"/>
        </w:rPr>
        <w:t xml:space="preserve"> </w:t>
      </w:r>
      <w:r w:rsidR="006E2E68">
        <w:rPr>
          <w:rFonts w:eastAsia="MS Mincho"/>
          <w:szCs w:val="24"/>
        </w:rPr>
        <w:t>δια</w:t>
      </w:r>
      <w:r w:rsidR="00273122">
        <w:rPr>
          <w:rFonts w:eastAsia="MS Mincho"/>
          <w:szCs w:val="24"/>
        </w:rPr>
        <w:t>συνδέσεων δικτύων</w:t>
      </w:r>
      <w:r w:rsidRPr="00752DDE">
        <w:rPr>
          <w:rFonts w:eastAsia="MS Mincho"/>
          <w:szCs w:val="24"/>
        </w:rPr>
        <w:t xml:space="preserve">. </w:t>
      </w:r>
      <w:r w:rsidR="00B80DE8">
        <w:rPr>
          <w:rFonts w:eastAsia="MS Mincho"/>
          <w:szCs w:val="24"/>
        </w:rPr>
        <w:t xml:space="preserve"> </w:t>
      </w:r>
      <w:r w:rsidRPr="00752DDE">
        <w:rPr>
          <w:rFonts w:eastAsia="MS Mincho"/>
          <w:szCs w:val="24"/>
        </w:rPr>
        <w:t>Πιο συγκεκριμένα:</w:t>
      </w:r>
    </w:p>
    <w:p w14:paraId="1AEDD58A" w14:textId="1C2409F7" w:rsidR="00EE3B90" w:rsidRPr="00B97625" w:rsidRDefault="00CF02B4" w:rsidP="005D378E">
      <w:pPr>
        <w:numPr>
          <w:ilvl w:val="0"/>
          <w:numId w:val="1"/>
        </w:numPr>
        <w:spacing w:after="120" w:line="240" w:lineRule="auto"/>
        <w:ind w:left="567" w:hanging="425"/>
        <w:jc w:val="both"/>
        <w:rPr>
          <w:rFonts w:asciiTheme="minorHAnsi" w:hAnsiTheme="minorHAnsi" w:cstheme="minorHAnsi"/>
        </w:rPr>
      </w:pPr>
      <w:r w:rsidRPr="00B97625">
        <w:rPr>
          <w:rFonts w:asciiTheme="minorHAnsi" w:hAnsiTheme="minorHAnsi" w:cstheme="minorHAnsi"/>
        </w:rPr>
        <w:t xml:space="preserve">Στην </w:t>
      </w:r>
      <w:r w:rsidR="008142F5" w:rsidRPr="00B97625">
        <w:rPr>
          <w:rFonts w:asciiTheme="minorHAnsi" w:hAnsiTheme="minorHAnsi" w:cstheme="minorHAnsi"/>
        </w:rPr>
        <w:t xml:space="preserve">αγορά των υποβρυχίων </w:t>
      </w:r>
      <w:r w:rsidR="008142F5" w:rsidRPr="00B97625">
        <w:rPr>
          <w:rFonts w:asciiTheme="minorHAnsi" w:hAnsiTheme="minorHAnsi" w:cstheme="minorHAnsi"/>
          <w:lang w:val="en-US"/>
        </w:rPr>
        <w:t>export</w:t>
      </w:r>
      <w:r w:rsidR="008142F5" w:rsidRPr="00B97625">
        <w:rPr>
          <w:rFonts w:asciiTheme="minorHAnsi" w:hAnsiTheme="minorHAnsi" w:cstheme="minorHAnsi"/>
        </w:rPr>
        <w:t xml:space="preserve"> καλωδίων</w:t>
      </w:r>
      <w:r w:rsidR="005D378E" w:rsidRPr="00B97625">
        <w:rPr>
          <w:rFonts w:asciiTheme="minorHAnsi" w:hAnsiTheme="minorHAnsi" w:cstheme="minorHAnsi"/>
        </w:rPr>
        <w:t>,</w:t>
      </w:r>
      <w:r w:rsidR="008142F5" w:rsidRPr="00B97625">
        <w:rPr>
          <w:rFonts w:asciiTheme="minorHAnsi" w:hAnsiTheme="minorHAnsi" w:cstheme="minorHAnsi"/>
        </w:rPr>
        <w:t xml:space="preserve"> οι νέες αναθέσεις έργων περιλαμβάνουν</w:t>
      </w:r>
      <w:r w:rsidR="00027FB0" w:rsidRPr="00B97625">
        <w:rPr>
          <w:rFonts w:asciiTheme="minorHAnsi" w:hAnsiTheme="minorHAnsi" w:cstheme="minorHAnsi"/>
        </w:rPr>
        <w:t>:</w:t>
      </w:r>
    </w:p>
    <w:p w14:paraId="651969FE" w14:textId="0C6AE7C7" w:rsidR="00EE3B90" w:rsidRPr="00B97625" w:rsidRDefault="008142F5" w:rsidP="00EE3B90">
      <w:pPr>
        <w:numPr>
          <w:ilvl w:val="1"/>
          <w:numId w:val="1"/>
        </w:numPr>
        <w:spacing w:after="120" w:line="240" w:lineRule="auto"/>
        <w:ind w:left="851" w:hanging="284"/>
        <w:jc w:val="both"/>
        <w:rPr>
          <w:rFonts w:asciiTheme="minorHAnsi" w:hAnsiTheme="minorHAnsi" w:cstheme="minorHAnsi"/>
        </w:rPr>
      </w:pPr>
      <w:r w:rsidRPr="00B97625">
        <w:rPr>
          <w:rFonts w:asciiTheme="minorHAnsi" w:hAnsiTheme="minorHAnsi"/>
          <w:lang w:eastAsia="en-GB"/>
        </w:rPr>
        <w:t xml:space="preserve">Το έργο με </w:t>
      </w:r>
      <w:r w:rsidR="00871FE2">
        <w:rPr>
          <w:rFonts w:asciiTheme="minorHAnsi" w:hAnsiTheme="minorHAnsi"/>
          <w:lang w:eastAsia="en-GB"/>
        </w:rPr>
        <w:t>«</w:t>
      </w:r>
      <w:r w:rsidRPr="00B97625">
        <w:rPr>
          <w:rFonts w:asciiTheme="minorHAnsi" w:hAnsiTheme="minorHAnsi"/>
          <w:lang w:eastAsia="en-GB"/>
        </w:rPr>
        <w:t>το κλειδί στο χέρι</w:t>
      </w:r>
      <w:r w:rsidR="00871FE2">
        <w:rPr>
          <w:rFonts w:asciiTheme="minorHAnsi" w:hAnsiTheme="minorHAnsi"/>
          <w:lang w:eastAsia="en-GB"/>
        </w:rPr>
        <w:t>»</w:t>
      </w:r>
      <w:r w:rsidR="00E4439C">
        <w:rPr>
          <w:rFonts w:asciiTheme="minorHAnsi" w:hAnsiTheme="minorHAnsi"/>
          <w:lang w:eastAsia="en-GB"/>
        </w:rPr>
        <w:t xml:space="preserve"> </w:t>
      </w:r>
      <w:r w:rsidR="00E4439C" w:rsidRPr="00B97625">
        <w:rPr>
          <w:rFonts w:asciiTheme="minorHAnsi" w:hAnsiTheme="minorHAnsi"/>
          <w:lang w:eastAsia="en-GB"/>
        </w:rPr>
        <w:t xml:space="preserve">το οποίο ανατέθηκε από την </w:t>
      </w:r>
      <w:r w:rsidR="00E4439C" w:rsidRPr="00B97625">
        <w:rPr>
          <w:rFonts w:asciiTheme="minorHAnsi" w:hAnsiTheme="minorHAnsi"/>
          <w:lang w:val="en-US" w:eastAsia="en-GB"/>
        </w:rPr>
        <w:t>RWE</w:t>
      </w:r>
      <w:r w:rsidR="00E4439C" w:rsidRPr="00B97625">
        <w:rPr>
          <w:rFonts w:asciiTheme="minorHAnsi" w:hAnsiTheme="minorHAnsi"/>
          <w:lang w:eastAsia="en-GB"/>
        </w:rPr>
        <w:t xml:space="preserve"> στην κοινοπραξία Jan de Nul</w:t>
      </w:r>
      <w:r w:rsidR="00E4439C">
        <w:rPr>
          <w:rFonts w:asciiTheme="minorHAnsi" w:hAnsiTheme="minorHAnsi"/>
          <w:lang w:eastAsia="en-GB"/>
        </w:rPr>
        <w:t xml:space="preserve"> και</w:t>
      </w:r>
      <w:r w:rsidRPr="00B97625">
        <w:rPr>
          <w:rFonts w:asciiTheme="minorHAnsi" w:hAnsiTheme="minorHAnsi"/>
          <w:lang w:eastAsia="en-GB"/>
        </w:rPr>
        <w:t xml:space="preserve"> </w:t>
      </w:r>
      <w:r w:rsidR="00E4439C">
        <w:rPr>
          <w:rFonts w:asciiTheme="minorHAnsi" w:hAnsiTheme="minorHAnsi"/>
          <w:lang w:eastAsia="en-GB"/>
        </w:rPr>
        <w:t>αφορά</w:t>
      </w:r>
      <w:r w:rsidRPr="00B97625">
        <w:rPr>
          <w:rFonts w:asciiTheme="minorHAnsi" w:hAnsiTheme="minorHAnsi"/>
          <w:lang w:eastAsia="en-GB"/>
        </w:rPr>
        <w:t xml:space="preserve"> τη διασύνδεση του καλωδιακού συστήματος </w:t>
      </w:r>
      <w:bookmarkStart w:id="8" w:name="_Hlk144971406"/>
      <w:r w:rsidRPr="00B97625">
        <w:rPr>
          <w:rFonts w:asciiTheme="minorHAnsi" w:hAnsiTheme="minorHAnsi"/>
          <w:lang w:eastAsia="en-GB"/>
        </w:rPr>
        <w:t xml:space="preserve">μεταφοράς εναλλασσόμενου ρεύματος υπό τάση </w:t>
      </w:r>
      <w:bookmarkEnd w:id="8"/>
      <w:r w:rsidRPr="00B97625">
        <w:rPr>
          <w:rFonts w:asciiTheme="minorHAnsi" w:hAnsiTheme="minorHAnsi"/>
          <w:lang w:eastAsia="en-GB"/>
        </w:rPr>
        <w:t>(</w:t>
      </w:r>
      <w:r w:rsidRPr="00B97625">
        <w:rPr>
          <w:rFonts w:asciiTheme="minorHAnsi" w:hAnsiTheme="minorHAnsi"/>
          <w:lang w:val="en-US" w:eastAsia="en-GB"/>
        </w:rPr>
        <w:t>HVAC</w:t>
      </w:r>
      <w:r w:rsidRPr="00B97625">
        <w:rPr>
          <w:rFonts w:asciiTheme="minorHAnsi" w:hAnsiTheme="minorHAnsi"/>
          <w:lang w:eastAsia="en-GB"/>
        </w:rPr>
        <w:t>) 275</w:t>
      </w:r>
      <w:r w:rsidRPr="00B97625">
        <w:rPr>
          <w:rFonts w:asciiTheme="minorHAnsi" w:hAnsiTheme="minorHAnsi"/>
          <w:lang w:val="en-US" w:eastAsia="en-GB"/>
        </w:rPr>
        <w:t>kV</w:t>
      </w:r>
      <w:r w:rsidRPr="00B97625">
        <w:rPr>
          <w:rFonts w:asciiTheme="minorHAnsi" w:hAnsiTheme="minorHAnsi"/>
          <w:lang w:eastAsia="en-GB"/>
        </w:rPr>
        <w:t xml:space="preserve"> για το υπεράκτιο αιολικό πάρκο </w:t>
      </w:r>
      <w:proofErr w:type="spellStart"/>
      <w:r w:rsidR="00752DDE" w:rsidRPr="00B97625">
        <w:rPr>
          <w:rFonts w:asciiTheme="minorHAnsi" w:hAnsiTheme="minorHAnsi"/>
          <w:lang w:eastAsia="en-GB"/>
        </w:rPr>
        <w:t>Thor</w:t>
      </w:r>
      <w:proofErr w:type="spellEnd"/>
      <w:r w:rsidR="00752DDE" w:rsidRPr="00B97625">
        <w:rPr>
          <w:rFonts w:asciiTheme="minorHAnsi" w:hAnsiTheme="minorHAnsi"/>
          <w:lang w:eastAsia="en-GB"/>
        </w:rPr>
        <w:t xml:space="preserve"> της Δανίας,</w:t>
      </w:r>
    </w:p>
    <w:p w14:paraId="4186C61C" w14:textId="7FAE3E52" w:rsidR="005D378E" w:rsidRPr="00B97625" w:rsidRDefault="00B97625" w:rsidP="00EE3B90">
      <w:pPr>
        <w:numPr>
          <w:ilvl w:val="1"/>
          <w:numId w:val="1"/>
        </w:numPr>
        <w:spacing w:after="120" w:line="240" w:lineRule="auto"/>
        <w:ind w:left="851" w:hanging="284"/>
        <w:jc w:val="both"/>
        <w:rPr>
          <w:rFonts w:asciiTheme="minorHAnsi" w:hAnsiTheme="minorHAnsi" w:cstheme="minorHAnsi"/>
        </w:rPr>
      </w:pPr>
      <w:r w:rsidRPr="00B97625">
        <w:rPr>
          <w:rFonts w:asciiTheme="minorHAnsi" w:hAnsiTheme="minorHAnsi" w:cstheme="minorHAnsi"/>
        </w:rPr>
        <w:t xml:space="preserve">Τη σύμβαση με τον ανάδοχο Όμιλο </w:t>
      </w:r>
      <w:r w:rsidRPr="00B97625">
        <w:rPr>
          <w:rFonts w:asciiTheme="minorHAnsi" w:hAnsiTheme="minorHAnsi" w:cstheme="minorHAnsi"/>
          <w:lang w:val="en-US"/>
        </w:rPr>
        <w:t>Kon</w:t>
      </w:r>
      <w:r w:rsidRPr="00B97625">
        <w:rPr>
          <w:rFonts w:asciiTheme="minorHAnsi" w:hAnsiTheme="minorHAnsi" w:cstheme="minorHAnsi"/>
        </w:rPr>
        <w:t>č</w:t>
      </w:r>
      <w:proofErr w:type="spellStart"/>
      <w:r w:rsidRPr="00B97625">
        <w:rPr>
          <w:rFonts w:asciiTheme="minorHAnsi" w:hAnsiTheme="minorHAnsi" w:cstheme="minorHAnsi"/>
          <w:lang w:val="en-US"/>
        </w:rPr>
        <w:t>ar</w:t>
      </w:r>
      <w:proofErr w:type="spellEnd"/>
      <w:r w:rsidRPr="00B97625">
        <w:rPr>
          <w:rFonts w:asciiTheme="minorHAnsi" w:hAnsiTheme="minorHAnsi" w:cstheme="minorHAnsi"/>
        </w:rPr>
        <w:t xml:space="preserve"> για την προμήθεια περίπου 30 χιλιομέτρων</w:t>
      </w:r>
      <w:r w:rsidR="005434BC">
        <w:rPr>
          <w:rFonts w:asciiTheme="minorHAnsi" w:hAnsiTheme="minorHAnsi" w:cstheme="minorHAnsi"/>
        </w:rPr>
        <w:t xml:space="preserve"> </w:t>
      </w:r>
      <w:r w:rsidR="00C53441" w:rsidRPr="00B97625">
        <w:rPr>
          <w:rFonts w:asciiTheme="minorHAnsi" w:hAnsiTheme="minorHAnsi" w:cstheme="minorHAnsi"/>
        </w:rPr>
        <w:t xml:space="preserve">υποβρύχιων καλωδίων </w:t>
      </w:r>
      <w:r w:rsidR="00C53441">
        <w:rPr>
          <w:rFonts w:asciiTheme="minorHAnsi" w:hAnsiTheme="minorHAnsi" w:cstheme="minorHAnsi"/>
        </w:rPr>
        <w:t xml:space="preserve">τάσης </w:t>
      </w:r>
      <w:r w:rsidRPr="00B97625">
        <w:rPr>
          <w:rFonts w:asciiTheme="minorHAnsi" w:hAnsiTheme="minorHAnsi" w:cstheme="minorHAnsi"/>
        </w:rPr>
        <w:t>110</w:t>
      </w:r>
      <w:r w:rsidRPr="00B97625">
        <w:rPr>
          <w:rFonts w:asciiTheme="minorHAnsi" w:hAnsiTheme="minorHAnsi" w:cstheme="minorHAnsi"/>
          <w:lang w:val="en-US"/>
        </w:rPr>
        <w:t>kV</w:t>
      </w:r>
      <w:r w:rsidRPr="00B97625">
        <w:rPr>
          <w:rFonts w:asciiTheme="minorHAnsi" w:hAnsiTheme="minorHAnsi" w:cstheme="minorHAnsi"/>
        </w:rPr>
        <w:t xml:space="preserve"> για την αντικατάσταση παλαιών καλωδιακών γραμμών στην Αδριατική Θάλασσα</w:t>
      </w:r>
      <w:r w:rsidR="00CC097D">
        <w:rPr>
          <w:rFonts w:asciiTheme="minorHAnsi" w:hAnsiTheme="minorHAnsi" w:cstheme="minorHAnsi"/>
        </w:rPr>
        <w:t xml:space="preserve"> και</w:t>
      </w:r>
    </w:p>
    <w:p w14:paraId="6F500403" w14:textId="2AFA6CE7" w:rsidR="00EE3B90" w:rsidRPr="005834D8" w:rsidRDefault="005834D8" w:rsidP="00EE3B90">
      <w:pPr>
        <w:numPr>
          <w:ilvl w:val="1"/>
          <w:numId w:val="1"/>
        </w:numPr>
        <w:spacing w:after="120" w:line="240" w:lineRule="auto"/>
        <w:ind w:left="851" w:hanging="284"/>
        <w:jc w:val="both"/>
        <w:rPr>
          <w:rFonts w:asciiTheme="minorHAnsi" w:hAnsiTheme="minorHAnsi" w:cstheme="minorHAnsi"/>
        </w:rPr>
      </w:pPr>
      <w:r w:rsidRPr="005834D8">
        <w:rPr>
          <w:rFonts w:asciiTheme="minorHAnsi" w:hAnsiTheme="minorHAnsi" w:cstheme="minorHAnsi"/>
        </w:rPr>
        <w:t xml:space="preserve">Το έργο με </w:t>
      </w:r>
      <w:r w:rsidR="00871FE2">
        <w:rPr>
          <w:rFonts w:asciiTheme="minorHAnsi" w:hAnsiTheme="minorHAnsi" w:cstheme="minorHAnsi"/>
        </w:rPr>
        <w:t>«</w:t>
      </w:r>
      <w:r w:rsidRPr="005834D8">
        <w:rPr>
          <w:rFonts w:asciiTheme="minorHAnsi" w:hAnsiTheme="minorHAnsi" w:cstheme="minorHAnsi"/>
        </w:rPr>
        <w:t>το κλειδί στο χέρι</w:t>
      </w:r>
      <w:r w:rsidR="00871FE2">
        <w:rPr>
          <w:rFonts w:asciiTheme="minorHAnsi" w:hAnsiTheme="minorHAnsi" w:cstheme="minorHAnsi"/>
        </w:rPr>
        <w:t>»</w:t>
      </w:r>
      <w:r w:rsidRPr="005834D8">
        <w:rPr>
          <w:rFonts w:asciiTheme="minorHAnsi" w:hAnsiTheme="minorHAnsi" w:cstheme="minorHAnsi"/>
        </w:rPr>
        <w:t xml:space="preserve"> που ανατέθηκε από τη </w:t>
      </w:r>
      <w:r w:rsidRPr="005834D8">
        <w:rPr>
          <w:rFonts w:asciiTheme="minorHAnsi" w:hAnsiTheme="minorHAnsi" w:cstheme="minorHAnsi"/>
          <w:lang w:val="en-US"/>
        </w:rPr>
        <w:t>TenneT</w:t>
      </w:r>
      <w:r w:rsidRPr="005834D8">
        <w:rPr>
          <w:rFonts w:asciiTheme="minorHAnsi" w:hAnsiTheme="minorHAnsi" w:cstheme="minorHAnsi"/>
        </w:rPr>
        <w:t xml:space="preserve"> στην κοινοπραξία που συστάθηκε από τη Jan de Nul και την Ελληνικά Καλώδια για τη διασύνδεση</w:t>
      </w:r>
      <w:r w:rsidR="00E4439C">
        <w:rPr>
          <w:rFonts w:asciiTheme="minorHAnsi" w:hAnsiTheme="minorHAnsi" w:cstheme="minorHAnsi"/>
        </w:rPr>
        <w:t xml:space="preserve"> </w:t>
      </w:r>
      <w:r w:rsidR="00E4439C" w:rsidRPr="00E4439C">
        <w:rPr>
          <w:rFonts w:asciiTheme="minorHAnsi" w:hAnsiTheme="minorHAnsi" w:cstheme="minorHAnsi"/>
        </w:rPr>
        <w:t>το</w:t>
      </w:r>
      <w:r w:rsidR="00E4439C">
        <w:rPr>
          <w:rFonts w:asciiTheme="minorHAnsi" w:hAnsiTheme="minorHAnsi" w:cstheme="minorHAnsi"/>
        </w:rPr>
        <w:t>υ</w:t>
      </w:r>
      <w:r w:rsidR="00E4439C" w:rsidRPr="00E4439C">
        <w:rPr>
          <w:rFonts w:asciiTheme="minorHAnsi" w:hAnsiTheme="minorHAnsi" w:cstheme="minorHAnsi"/>
        </w:rPr>
        <w:t xml:space="preserve"> υποσταθμ</w:t>
      </w:r>
      <w:r w:rsidR="00E4439C">
        <w:rPr>
          <w:rFonts w:asciiTheme="minorHAnsi" w:hAnsiTheme="minorHAnsi" w:cstheme="minorHAnsi"/>
        </w:rPr>
        <w:t>ού</w:t>
      </w:r>
      <w:r w:rsidR="00E4439C" w:rsidRPr="00E4439C">
        <w:rPr>
          <w:rFonts w:asciiTheme="minorHAnsi" w:hAnsiTheme="minorHAnsi" w:cstheme="minorHAnsi"/>
        </w:rPr>
        <w:t xml:space="preserve"> μετατροπής ρεύματος της πλατφόρμας DolWin </w:t>
      </w:r>
      <w:proofErr w:type="spellStart"/>
      <w:r w:rsidR="00E4439C" w:rsidRPr="00E4439C">
        <w:rPr>
          <w:rFonts w:asciiTheme="minorHAnsi" w:hAnsiTheme="minorHAnsi" w:cstheme="minorHAnsi"/>
        </w:rPr>
        <w:t>Kappa</w:t>
      </w:r>
      <w:proofErr w:type="spellEnd"/>
      <w:r w:rsidR="00E4439C" w:rsidRPr="00E4439C">
        <w:rPr>
          <w:rFonts w:asciiTheme="minorHAnsi" w:hAnsiTheme="minorHAnsi" w:cstheme="minorHAnsi"/>
        </w:rPr>
        <w:t xml:space="preserve"> στη Γερμανία</w:t>
      </w:r>
      <w:r w:rsidR="00E4439C">
        <w:rPr>
          <w:rFonts w:asciiTheme="minorHAnsi" w:hAnsiTheme="minorHAnsi" w:cstheme="minorHAnsi"/>
        </w:rPr>
        <w:t xml:space="preserve"> με αιολικά πάρκα μ</w:t>
      </w:r>
      <w:r w:rsidR="00B80DE8">
        <w:rPr>
          <w:rFonts w:asciiTheme="minorHAnsi" w:hAnsiTheme="minorHAnsi" w:cstheme="minorHAnsi"/>
        </w:rPr>
        <w:t xml:space="preserve">έσω </w:t>
      </w:r>
      <w:r w:rsidR="00E4439C">
        <w:rPr>
          <w:rFonts w:asciiTheme="minorHAnsi" w:hAnsiTheme="minorHAnsi" w:cstheme="minorHAnsi"/>
        </w:rPr>
        <w:t>τριών</w:t>
      </w:r>
      <w:r w:rsidRPr="005834D8">
        <w:rPr>
          <w:rFonts w:asciiTheme="minorHAnsi" w:hAnsiTheme="minorHAnsi" w:cstheme="minorHAnsi"/>
        </w:rPr>
        <w:t xml:space="preserve"> καλ</w:t>
      </w:r>
      <w:r w:rsidR="00E4439C">
        <w:rPr>
          <w:rFonts w:asciiTheme="minorHAnsi" w:hAnsiTheme="minorHAnsi" w:cstheme="minorHAnsi"/>
        </w:rPr>
        <w:t>ωδίων</w:t>
      </w:r>
      <w:r w:rsidRPr="005834D8">
        <w:rPr>
          <w:rFonts w:asciiTheme="minorHAnsi" w:hAnsiTheme="minorHAnsi" w:cstheme="minorHAnsi"/>
        </w:rPr>
        <w:t xml:space="preserve"> μεταφοράς εναλλασσόμενου ρεύματος υπό τάση (HVAC).</w:t>
      </w:r>
    </w:p>
    <w:p w14:paraId="66F29DC0" w14:textId="10CDDB65" w:rsidR="00EE3B90" w:rsidRPr="00E4439C" w:rsidRDefault="00E4439C" w:rsidP="005D378E">
      <w:pPr>
        <w:numPr>
          <w:ilvl w:val="0"/>
          <w:numId w:val="1"/>
        </w:numPr>
        <w:spacing w:after="120" w:line="240" w:lineRule="auto"/>
        <w:ind w:left="567" w:hanging="425"/>
        <w:jc w:val="both"/>
        <w:rPr>
          <w:rFonts w:asciiTheme="minorHAnsi" w:hAnsiTheme="minorHAnsi" w:cstheme="minorHAnsi"/>
        </w:rPr>
      </w:pPr>
      <w:r w:rsidRPr="00E4439C">
        <w:rPr>
          <w:rFonts w:asciiTheme="minorHAnsi" w:hAnsiTheme="minorHAnsi" w:cstheme="minorHAnsi"/>
        </w:rPr>
        <w:t xml:space="preserve">Στην αγορά των </w:t>
      </w:r>
      <w:r w:rsidRPr="00E4439C">
        <w:rPr>
          <w:rFonts w:asciiTheme="minorHAnsi" w:hAnsiTheme="minorHAnsi" w:cstheme="minorHAnsi"/>
          <w:lang w:val="en-US"/>
        </w:rPr>
        <w:t>inter</w:t>
      </w:r>
      <w:r w:rsidRPr="00E4439C">
        <w:rPr>
          <w:rFonts w:asciiTheme="minorHAnsi" w:hAnsiTheme="minorHAnsi" w:cstheme="minorHAnsi"/>
        </w:rPr>
        <w:t>-</w:t>
      </w:r>
      <w:r w:rsidRPr="00E4439C">
        <w:rPr>
          <w:rFonts w:asciiTheme="minorHAnsi" w:hAnsiTheme="minorHAnsi" w:cstheme="minorHAnsi"/>
          <w:lang w:val="en-US"/>
        </w:rPr>
        <w:t>array</w:t>
      </w:r>
      <w:r w:rsidRPr="00E4439C">
        <w:rPr>
          <w:rFonts w:asciiTheme="minorHAnsi" w:hAnsiTheme="minorHAnsi" w:cstheme="minorHAnsi"/>
        </w:rPr>
        <w:t xml:space="preserve"> καλωδίων, η Ελληνικά Καλώδια διατήρησε την ηγετική της θέση, εξασφαλίζοντας</w:t>
      </w:r>
      <w:r w:rsidR="00EE3B90" w:rsidRPr="00E4439C">
        <w:rPr>
          <w:rFonts w:asciiTheme="minorHAnsi" w:hAnsiTheme="minorHAnsi" w:cstheme="minorHAnsi"/>
        </w:rPr>
        <w:t>:</w:t>
      </w:r>
    </w:p>
    <w:p w14:paraId="6A6B009A" w14:textId="6EFC1DF7" w:rsidR="005D378E" w:rsidRPr="005624B4" w:rsidRDefault="00E4439C" w:rsidP="00EE3B90">
      <w:pPr>
        <w:numPr>
          <w:ilvl w:val="1"/>
          <w:numId w:val="1"/>
        </w:numPr>
        <w:spacing w:after="120" w:line="240" w:lineRule="auto"/>
        <w:ind w:left="851" w:hanging="284"/>
        <w:jc w:val="both"/>
        <w:rPr>
          <w:rFonts w:asciiTheme="minorHAnsi" w:hAnsiTheme="minorHAnsi" w:cstheme="minorHAnsi"/>
        </w:rPr>
      </w:pPr>
      <w:r w:rsidRPr="00E4439C">
        <w:rPr>
          <w:rFonts w:asciiTheme="minorHAnsi" w:hAnsiTheme="minorHAnsi" w:cstheme="minorHAnsi"/>
        </w:rPr>
        <w:t xml:space="preserve">Την προμήθεια </w:t>
      </w:r>
      <w:r w:rsidR="005434BC">
        <w:rPr>
          <w:rFonts w:asciiTheme="minorHAnsi" w:hAnsiTheme="minorHAnsi" w:cstheme="minorHAnsi"/>
        </w:rPr>
        <w:t xml:space="preserve">υποβρυχίων </w:t>
      </w:r>
      <w:r w:rsidR="005434BC">
        <w:rPr>
          <w:rFonts w:asciiTheme="minorHAnsi" w:hAnsiTheme="minorHAnsi" w:cstheme="minorHAnsi"/>
          <w:lang w:val="en-US"/>
        </w:rPr>
        <w:t>inter</w:t>
      </w:r>
      <w:r w:rsidR="005434BC" w:rsidRPr="005434BC">
        <w:rPr>
          <w:rFonts w:asciiTheme="minorHAnsi" w:hAnsiTheme="minorHAnsi" w:cstheme="minorHAnsi"/>
        </w:rPr>
        <w:t>-</w:t>
      </w:r>
      <w:r w:rsidR="005434BC">
        <w:rPr>
          <w:rFonts w:asciiTheme="minorHAnsi" w:hAnsiTheme="minorHAnsi" w:cstheme="minorHAnsi"/>
          <w:lang w:val="en-US"/>
        </w:rPr>
        <w:t>array</w:t>
      </w:r>
      <w:r w:rsidR="005434BC" w:rsidRPr="005434BC">
        <w:rPr>
          <w:rFonts w:asciiTheme="minorHAnsi" w:hAnsiTheme="minorHAnsi" w:cstheme="minorHAnsi"/>
        </w:rPr>
        <w:t xml:space="preserve"> </w:t>
      </w:r>
      <w:r w:rsidR="00B80DE8" w:rsidRPr="00E4439C">
        <w:rPr>
          <w:rFonts w:asciiTheme="minorHAnsi" w:hAnsiTheme="minorHAnsi" w:cstheme="minorHAnsi"/>
          <w:lang w:val="en-US"/>
        </w:rPr>
        <w:t>XLPE</w:t>
      </w:r>
      <w:r w:rsidR="00B80DE8" w:rsidRPr="00E4439C">
        <w:rPr>
          <w:rFonts w:asciiTheme="minorHAnsi" w:hAnsiTheme="minorHAnsi" w:cstheme="minorHAnsi"/>
        </w:rPr>
        <w:t xml:space="preserve"> </w:t>
      </w:r>
      <w:r w:rsidR="005434BC">
        <w:rPr>
          <w:rFonts w:asciiTheme="minorHAnsi" w:hAnsiTheme="minorHAnsi" w:cstheme="minorHAnsi"/>
        </w:rPr>
        <w:t xml:space="preserve">καλωδίων </w:t>
      </w:r>
      <w:r w:rsidRPr="00E4439C">
        <w:rPr>
          <w:rFonts w:asciiTheme="minorHAnsi" w:hAnsiTheme="minorHAnsi" w:cstheme="minorHAnsi"/>
        </w:rPr>
        <w:t>260 χιλιομέτρων</w:t>
      </w:r>
      <w:r w:rsidR="00B80DE8">
        <w:rPr>
          <w:rFonts w:asciiTheme="minorHAnsi" w:hAnsiTheme="minorHAnsi" w:cstheme="minorHAnsi"/>
        </w:rPr>
        <w:t xml:space="preserve"> </w:t>
      </w:r>
      <w:r w:rsidR="00C53441">
        <w:rPr>
          <w:rFonts w:asciiTheme="minorHAnsi" w:hAnsiTheme="minorHAnsi" w:cstheme="minorHAnsi"/>
        </w:rPr>
        <w:t xml:space="preserve">τάσης </w:t>
      </w:r>
      <w:r w:rsidRPr="00E4439C">
        <w:rPr>
          <w:rFonts w:asciiTheme="minorHAnsi" w:hAnsiTheme="minorHAnsi" w:cstheme="minorHAnsi"/>
        </w:rPr>
        <w:t>66</w:t>
      </w:r>
      <w:r w:rsidRPr="00E4439C">
        <w:rPr>
          <w:rFonts w:asciiTheme="minorHAnsi" w:hAnsiTheme="minorHAnsi" w:cstheme="minorHAnsi"/>
          <w:lang w:val="en-US"/>
        </w:rPr>
        <w:t>kV</w:t>
      </w:r>
      <w:r w:rsidRPr="00E4439C">
        <w:rPr>
          <w:rFonts w:asciiTheme="minorHAnsi" w:hAnsiTheme="minorHAnsi" w:cstheme="minorHAnsi"/>
        </w:rPr>
        <w:t xml:space="preserve"> και όλων τ</w:t>
      </w:r>
      <w:r w:rsidR="00B80DE8">
        <w:rPr>
          <w:rFonts w:asciiTheme="minorHAnsi" w:hAnsiTheme="minorHAnsi" w:cstheme="minorHAnsi"/>
        </w:rPr>
        <w:t xml:space="preserve">ων </w:t>
      </w:r>
      <w:r w:rsidRPr="00E4439C">
        <w:rPr>
          <w:rFonts w:asciiTheme="minorHAnsi" w:hAnsiTheme="minorHAnsi" w:cstheme="minorHAnsi"/>
        </w:rPr>
        <w:t xml:space="preserve">σχετικών εξαρτημάτων για τα έργα </w:t>
      </w:r>
      <w:r w:rsidRPr="00E4439C">
        <w:rPr>
          <w:rFonts w:asciiTheme="minorHAnsi" w:hAnsiTheme="minorHAnsi" w:cstheme="minorHAnsi"/>
          <w:lang w:val="en-US"/>
        </w:rPr>
        <w:t>South</w:t>
      </w:r>
      <w:r w:rsidRPr="00E4439C">
        <w:rPr>
          <w:rFonts w:asciiTheme="minorHAnsi" w:hAnsiTheme="minorHAnsi" w:cstheme="minorHAnsi"/>
        </w:rPr>
        <w:t xml:space="preserve"> </w:t>
      </w:r>
      <w:r w:rsidRPr="00E4439C">
        <w:rPr>
          <w:rFonts w:asciiTheme="minorHAnsi" w:hAnsiTheme="minorHAnsi" w:cstheme="minorHAnsi"/>
          <w:lang w:val="en-US"/>
        </w:rPr>
        <w:t>Fork</w:t>
      </w:r>
      <w:r w:rsidRPr="00E4439C">
        <w:rPr>
          <w:rFonts w:asciiTheme="minorHAnsi" w:hAnsiTheme="minorHAnsi" w:cstheme="minorHAnsi"/>
        </w:rPr>
        <w:t xml:space="preserve"> </w:t>
      </w:r>
      <w:r w:rsidRPr="005624B4">
        <w:rPr>
          <w:rFonts w:asciiTheme="minorHAnsi" w:hAnsiTheme="minorHAnsi" w:cstheme="minorHAnsi"/>
          <w:lang w:val="en-US"/>
        </w:rPr>
        <w:t>Wind</w:t>
      </w:r>
      <w:r w:rsidRPr="005624B4">
        <w:rPr>
          <w:rFonts w:asciiTheme="minorHAnsi" w:hAnsiTheme="minorHAnsi" w:cstheme="minorHAnsi"/>
        </w:rPr>
        <w:t xml:space="preserve"> και </w:t>
      </w:r>
      <w:r w:rsidRPr="005624B4">
        <w:rPr>
          <w:rFonts w:asciiTheme="minorHAnsi" w:hAnsiTheme="minorHAnsi" w:cstheme="minorHAnsi"/>
          <w:lang w:val="en-US"/>
        </w:rPr>
        <w:t>Revolution</w:t>
      </w:r>
      <w:r w:rsidRPr="005624B4">
        <w:rPr>
          <w:rFonts w:asciiTheme="minorHAnsi" w:hAnsiTheme="minorHAnsi" w:cstheme="minorHAnsi"/>
        </w:rPr>
        <w:t xml:space="preserve"> </w:t>
      </w:r>
      <w:r w:rsidRPr="005624B4">
        <w:rPr>
          <w:rFonts w:asciiTheme="minorHAnsi" w:hAnsiTheme="minorHAnsi" w:cstheme="minorHAnsi"/>
          <w:lang w:val="en-US"/>
        </w:rPr>
        <w:t>Wind</w:t>
      </w:r>
      <w:r w:rsidRPr="005624B4">
        <w:rPr>
          <w:rFonts w:asciiTheme="minorHAnsi" w:hAnsiTheme="minorHAnsi" w:cstheme="minorHAnsi"/>
        </w:rPr>
        <w:t xml:space="preserve"> στις βορειοανατολικές πολιτείες των ΗΠΑ για δύο υπεράκτια αιολικά έργα που </w:t>
      </w:r>
      <w:r w:rsidR="005624B4" w:rsidRPr="005624B4">
        <w:rPr>
          <w:rFonts w:asciiTheme="minorHAnsi" w:hAnsiTheme="minorHAnsi" w:cstheme="minorHAnsi"/>
        </w:rPr>
        <w:t xml:space="preserve">αναπτύχθηκαν από </w:t>
      </w:r>
      <w:r w:rsidRPr="005624B4">
        <w:rPr>
          <w:rFonts w:asciiTheme="minorHAnsi" w:hAnsiTheme="minorHAnsi" w:cstheme="minorHAnsi"/>
        </w:rPr>
        <w:t xml:space="preserve">την Ørsted και την </w:t>
      </w:r>
      <w:proofErr w:type="spellStart"/>
      <w:r w:rsidRPr="005624B4">
        <w:rPr>
          <w:rFonts w:asciiTheme="minorHAnsi" w:hAnsiTheme="minorHAnsi" w:cstheme="minorHAnsi"/>
        </w:rPr>
        <w:t>Eversource</w:t>
      </w:r>
      <w:proofErr w:type="spellEnd"/>
      <w:r w:rsidRPr="005624B4">
        <w:rPr>
          <w:rFonts w:asciiTheme="minorHAnsi" w:hAnsiTheme="minorHAnsi" w:cstheme="minorHAnsi"/>
        </w:rPr>
        <w:t>.</w:t>
      </w:r>
    </w:p>
    <w:p w14:paraId="6406CFD1" w14:textId="0153521D" w:rsidR="005624B4" w:rsidRPr="00281CFA" w:rsidRDefault="005624B4" w:rsidP="00281CFA">
      <w:pPr>
        <w:numPr>
          <w:ilvl w:val="1"/>
          <w:numId w:val="1"/>
        </w:numPr>
        <w:spacing w:after="120" w:line="240" w:lineRule="auto"/>
        <w:ind w:left="851" w:hanging="284"/>
        <w:jc w:val="both"/>
        <w:rPr>
          <w:rFonts w:asciiTheme="minorHAnsi" w:hAnsiTheme="minorHAnsi" w:cstheme="minorHAnsi"/>
        </w:rPr>
      </w:pPr>
      <w:r w:rsidRPr="005624B4">
        <w:rPr>
          <w:rFonts w:asciiTheme="minorHAnsi" w:hAnsiTheme="minorHAnsi" w:cstheme="minorHAnsi"/>
        </w:rPr>
        <w:t>Την προμήθεια περίπου 185 χλμ. καλωδίων τάσης 66</w:t>
      </w:r>
      <w:r w:rsidRPr="005624B4">
        <w:rPr>
          <w:rFonts w:asciiTheme="minorHAnsi" w:hAnsiTheme="minorHAnsi" w:cstheme="minorHAnsi"/>
          <w:lang w:val="en-US"/>
        </w:rPr>
        <w:t>kV</w:t>
      </w:r>
      <w:r w:rsidRPr="005624B4">
        <w:rPr>
          <w:rFonts w:asciiTheme="minorHAnsi" w:hAnsiTheme="minorHAnsi" w:cstheme="minorHAnsi"/>
        </w:rPr>
        <w:t xml:space="preserve"> με αγωγούς αλουμινίου και χαλκού για τη σύνδεση τεσσάρων υπεράκτιων εγκαταστάσεων αιολικών πάρκων στη γερμανική Βόρεια Θάλασσα που αναπτύχθηκαν από τις RWE και </w:t>
      </w:r>
      <w:proofErr w:type="spellStart"/>
      <w:r w:rsidRPr="005624B4">
        <w:rPr>
          <w:rFonts w:asciiTheme="minorHAnsi" w:hAnsiTheme="minorHAnsi" w:cstheme="minorHAnsi"/>
        </w:rPr>
        <w:t>Northland</w:t>
      </w:r>
      <w:proofErr w:type="spellEnd"/>
      <w:r w:rsidRPr="005624B4">
        <w:rPr>
          <w:rFonts w:asciiTheme="minorHAnsi" w:hAnsiTheme="minorHAnsi" w:cstheme="minorHAnsi"/>
        </w:rPr>
        <w:t xml:space="preserve"> </w:t>
      </w:r>
      <w:proofErr w:type="spellStart"/>
      <w:r w:rsidRPr="005624B4">
        <w:rPr>
          <w:rFonts w:asciiTheme="minorHAnsi" w:hAnsiTheme="minorHAnsi" w:cstheme="minorHAnsi"/>
        </w:rPr>
        <w:t>Power</w:t>
      </w:r>
      <w:proofErr w:type="spellEnd"/>
      <w:r w:rsidR="005434BC">
        <w:rPr>
          <w:rFonts w:asciiTheme="minorHAnsi" w:hAnsiTheme="minorHAnsi" w:cstheme="minorHAnsi"/>
        </w:rPr>
        <w:t>,</w:t>
      </w:r>
    </w:p>
    <w:p w14:paraId="011452DA" w14:textId="27E88FAE" w:rsidR="00742180" w:rsidRPr="005434BC" w:rsidRDefault="00742180" w:rsidP="00742180">
      <w:pPr>
        <w:numPr>
          <w:ilvl w:val="1"/>
          <w:numId w:val="1"/>
        </w:numPr>
        <w:spacing w:after="120" w:line="240" w:lineRule="auto"/>
        <w:ind w:left="851" w:hanging="284"/>
        <w:jc w:val="both"/>
        <w:rPr>
          <w:rFonts w:asciiTheme="minorHAnsi" w:hAnsiTheme="minorHAnsi" w:cstheme="minorHAnsi"/>
        </w:rPr>
      </w:pPr>
      <w:r w:rsidRPr="005434BC">
        <w:rPr>
          <w:rFonts w:asciiTheme="minorHAnsi" w:hAnsiTheme="minorHAnsi"/>
          <w:lang w:eastAsia="en-GB"/>
        </w:rPr>
        <w:t xml:space="preserve">Το έργο με </w:t>
      </w:r>
      <w:r w:rsidR="00871FE2">
        <w:rPr>
          <w:rFonts w:asciiTheme="minorHAnsi" w:hAnsiTheme="minorHAnsi"/>
          <w:lang w:eastAsia="en-GB"/>
        </w:rPr>
        <w:t>«</w:t>
      </w:r>
      <w:r w:rsidRPr="005434BC">
        <w:rPr>
          <w:rFonts w:asciiTheme="minorHAnsi" w:hAnsiTheme="minorHAnsi"/>
          <w:lang w:eastAsia="en-GB"/>
        </w:rPr>
        <w:t>το κλειδί στο χέρι</w:t>
      </w:r>
      <w:r w:rsidR="00871FE2">
        <w:rPr>
          <w:rFonts w:asciiTheme="minorHAnsi" w:hAnsiTheme="minorHAnsi"/>
          <w:lang w:eastAsia="en-GB"/>
        </w:rPr>
        <w:t>»</w:t>
      </w:r>
      <w:r w:rsidRPr="005434BC">
        <w:rPr>
          <w:rFonts w:asciiTheme="minorHAnsi" w:hAnsiTheme="minorHAnsi"/>
          <w:lang w:eastAsia="en-GB"/>
        </w:rPr>
        <w:t xml:space="preserve"> το οποίο ανατέθηκε από την </w:t>
      </w:r>
      <w:r w:rsidRPr="005434BC">
        <w:rPr>
          <w:rFonts w:asciiTheme="minorHAnsi" w:hAnsiTheme="minorHAnsi"/>
          <w:lang w:val="en-US" w:eastAsia="en-GB"/>
        </w:rPr>
        <w:t>RWE</w:t>
      </w:r>
      <w:r w:rsidRPr="005434BC">
        <w:rPr>
          <w:rFonts w:asciiTheme="minorHAnsi" w:hAnsiTheme="minorHAnsi"/>
          <w:lang w:eastAsia="en-GB"/>
        </w:rPr>
        <w:t xml:space="preserve"> στην κοινοπραξία που συστάθηκε από τις Jan de Nul και Ελληνικά Καλώδια για την παράδοση καλωδιακού (</w:t>
      </w:r>
      <w:r w:rsidRPr="005434BC">
        <w:rPr>
          <w:rFonts w:asciiTheme="minorHAnsi" w:hAnsiTheme="minorHAnsi"/>
          <w:lang w:val="en-US" w:eastAsia="en-GB"/>
        </w:rPr>
        <w:t>inter</w:t>
      </w:r>
      <w:r w:rsidRPr="005434BC">
        <w:rPr>
          <w:rFonts w:asciiTheme="minorHAnsi" w:hAnsiTheme="minorHAnsi"/>
          <w:lang w:eastAsia="en-GB"/>
        </w:rPr>
        <w:t>-</w:t>
      </w:r>
      <w:r w:rsidRPr="005434BC">
        <w:rPr>
          <w:rFonts w:asciiTheme="minorHAnsi" w:hAnsiTheme="minorHAnsi"/>
          <w:lang w:val="en-US" w:eastAsia="en-GB"/>
        </w:rPr>
        <w:t>array</w:t>
      </w:r>
      <w:r w:rsidRPr="005434BC">
        <w:rPr>
          <w:rFonts w:asciiTheme="minorHAnsi" w:hAnsiTheme="minorHAnsi"/>
          <w:lang w:eastAsia="en-GB"/>
        </w:rPr>
        <w:t xml:space="preserve">) συστήματος </w:t>
      </w:r>
      <w:r w:rsidR="00EB3021" w:rsidRPr="005434BC">
        <w:rPr>
          <w:rFonts w:asciiTheme="minorHAnsi" w:hAnsiTheme="minorHAnsi"/>
          <w:lang w:eastAsia="en-GB"/>
        </w:rPr>
        <w:t xml:space="preserve">το </w:t>
      </w:r>
      <w:r w:rsidR="00EB3021" w:rsidRPr="005434BC">
        <w:rPr>
          <w:rFonts w:asciiTheme="minorHAnsi" w:hAnsiTheme="minorHAnsi"/>
          <w:lang w:eastAsia="en-GB"/>
        </w:rPr>
        <w:lastRenderedPageBreak/>
        <w:t>οποίο αποτελείται</w:t>
      </w:r>
      <w:r w:rsidR="005434BC" w:rsidRPr="005434BC">
        <w:rPr>
          <w:rFonts w:asciiTheme="minorHAnsi" w:hAnsiTheme="minorHAnsi"/>
          <w:lang w:eastAsia="en-GB"/>
        </w:rPr>
        <w:t xml:space="preserve"> </w:t>
      </w:r>
      <w:r w:rsidR="00EB3021" w:rsidRPr="005434BC">
        <w:rPr>
          <w:rFonts w:asciiTheme="minorHAnsi" w:hAnsiTheme="minorHAnsi"/>
          <w:lang w:eastAsia="en-GB"/>
        </w:rPr>
        <w:t xml:space="preserve">από </w:t>
      </w:r>
      <w:r w:rsidR="005434BC" w:rsidRPr="005434BC">
        <w:rPr>
          <w:rFonts w:asciiTheme="minorHAnsi" w:hAnsiTheme="minorHAnsi"/>
          <w:lang w:eastAsia="en-GB"/>
        </w:rPr>
        <w:t xml:space="preserve">περίπου </w:t>
      </w:r>
      <w:r w:rsidRPr="005434BC">
        <w:rPr>
          <w:rFonts w:asciiTheme="minorHAnsi" w:hAnsiTheme="minorHAnsi"/>
          <w:lang w:eastAsia="en-GB"/>
        </w:rPr>
        <w:t>200 χιλι</w:t>
      </w:r>
      <w:r w:rsidR="00EB3021" w:rsidRPr="005434BC">
        <w:rPr>
          <w:rFonts w:asciiTheme="minorHAnsi" w:hAnsiTheme="minorHAnsi"/>
          <w:lang w:eastAsia="en-GB"/>
        </w:rPr>
        <w:t>όμετρα</w:t>
      </w:r>
      <w:r w:rsidRPr="005434BC">
        <w:rPr>
          <w:rFonts w:asciiTheme="minorHAnsi" w:hAnsiTheme="minorHAnsi"/>
          <w:lang w:eastAsia="en-GB"/>
        </w:rPr>
        <w:t xml:space="preserve"> υποβρ</w:t>
      </w:r>
      <w:r w:rsidR="00EB3021" w:rsidRPr="005434BC">
        <w:rPr>
          <w:rFonts w:asciiTheme="minorHAnsi" w:hAnsiTheme="minorHAnsi"/>
          <w:lang w:eastAsia="en-GB"/>
        </w:rPr>
        <w:t>ύχιου</w:t>
      </w:r>
      <w:r w:rsidRPr="005434BC">
        <w:rPr>
          <w:rFonts w:asciiTheme="minorHAnsi" w:hAnsiTheme="minorHAnsi"/>
          <w:lang w:eastAsia="en-GB"/>
        </w:rPr>
        <w:t xml:space="preserve"> καλωδ</w:t>
      </w:r>
      <w:r w:rsidR="00EB3021" w:rsidRPr="005434BC">
        <w:rPr>
          <w:rFonts w:asciiTheme="minorHAnsi" w:hAnsiTheme="minorHAnsi"/>
          <w:lang w:eastAsia="en-GB"/>
        </w:rPr>
        <w:t>ίου</w:t>
      </w:r>
      <w:r w:rsidRPr="005434BC">
        <w:rPr>
          <w:rFonts w:asciiTheme="minorHAnsi" w:hAnsiTheme="minorHAnsi"/>
          <w:lang w:eastAsia="en-GB"/>
        </w:rPr>
        <w:t xml:space="preserve"> και συναφών εξαρτημάτων για το υπεράκτιο αιολικό πάρκο </w:t>
      </w:r>
      <w:proofErr w:type="spellStart"/>
      <w:r w:rsidRPr="005434BC">
        <w:rPr>
          <w:rFonts w:asciiTheme="minorHAnsi" w:hAnsiTheme="minorHAnsi"/>
          <w:lang w:eastAsia="en-GB"/>
        </w:rPr>
        <w:t>Thor</w:t>
      </w:r>
      <w:proofErr w:type="spellEnd"/>
      <w:r w:rsidRPr="005434BC">
        <w:rPr>
          <w:rFonts w:asciiTheme="minorHAnsi" w:hAnsiTheme="minorHAnsi"/>
          <w:lang w:eastAsia="en-GB"/>
        </w:rPr>
        <w:t xml:space="preserve"> στη Δανία</w:t>
      </w:r>
      <w:r w:rsidR="005434BC" w:rsidRPr="005434BC">
        <w:rPr>
          <w:rFonts w:asciiTheme="minorHAnsi" w:hAnsiTheme="minorHAnsi"/>
          <w:lang w:eastAsia="en-GB"/>
        </w:rPr>
        <w:t>,</w:t>
      </w:r>
    </w:p>
    <w:p w14:paraId="29771170" w14:textId="659B7DA8" w:rsidR="00027FB0" w:rsidRPr="005434BC" w:rsidRDefault="005434BC" w:rsidP="00EE3B90">
      <w:pPr>
        <w:numPr>
          <w:ilvl w:val="1"/>
          <w:numId w:val="1"/>
        </w:numPr>
        <w:spacing w:after="120" w:line="240" w:lineRule="auto"/>
        <w:ind w:left="851" w:hanging="284"/>
        <w:jc w:val="both"/>
        <w:rPr>
          <w:rFonts w:asciiTheme="minorHAnsi" w:hAnsiTheme="minorHAnsi" w:cstheme="minorHAnsi"/>
        </w:rPr>
      </w:pPr>
      <w:r w:rsidRPr="005434BC">
        <w:rPr>
          <w:rFonts w:asciiTheme="minorHAnsi" w:hAnsiTheme="minorHAnsi" w:cstheme="minorHAnsi"/>
        </w:rPr>
        <w:t>Τη σύμβαση με την Ø</w:t>
      </w:r>
      <w:r w:rsidRPr="005434BC">
        <w:rPr>
          <w:rFonts w:asciiTheme="minorHAnsi" w:hAnsiTheme="minorHAnsi" w:cstheme="minorHAnsi"/>
          <w:lang w:val="en-US"/>
        </w:rPr>
        <w:t>rsted</w:t>
      </w:r>
      <w:r w:rsidRPr="005434BC">
        <w:rPr>
          <w:rFonts w:asciiTheme="minorHAnsi" w:hAnsiTheme="minorHAnsi" w:cstheme="minorHAnsi"/>
        </w:rPr>
        <w:t xml:space="preserve"> για την προμήθεια </w:t>
      </w:r>
      <w:r w:rsidRPr="005434BC">
        <w:rPr>
          <w:rFonts w:asciiTheme="minorHAnsi" w:hAnsiTheme="minorHAnsi" w:cstheme="minorHAnsi"/>
          <w:lang w:val="en-US"/>
        </w:rPr>
        <w:t>inter</w:t>
      </w:r>
      <w:r w:rsidRPr="005434BC">
        <w:rPr>
          <w:rFonts w:asciiTheme="minorHAnsi" w:hAnsiTheme="minorHAnsi" w:cstheme="minorHAnsi"/>
        </w:rPr>
        <w:t>-</w:t>
      </w:r>
      <w:r w:rsidRPr="005434BC">
        <w:rPr>
          <w:rFonts w:asciiTheme="minorHAnsi" w:hAnsiTheme="minorHAnsi" w:cstheme="minorHAnsi"/>
          <w:lang w:val="en-US"/>
        </w:rPr>
        <w:t>array</w:t>
      </w:r>
      <w:r w:rsidRPr="005434BC">
        <w:rPr>
          <w:rFonts w:asciiTheme="minorHAnsi" w:hAnsiTheme="minorHAnsi" w:cstheme="minorHAnsi"/>
        </w:rPr>
        <w:t xml:space="preserve"> καλωδίων για το υπεράκτιο αιολικό πάρκο </w:t>
      </w:r>
      <w:r w:rsidRPr="005434BC">
        <w:rPr>
          <w:rFonts w:asciiTheme="minorHAnsi" w:hAnsiTheme="minorHAnsi" w:cstheme="minorHAnsi"/>
          <w:lang w:val="en-US"/>
        </w:rPr>
        <w:t>Hornsea</w:t>
      </w:r>
      <w:r w:rsidRPr="005434BC">
        <w:rPr>
          <w:rFonts w:asciiTheme="minorHAnsi" w:hAnsiTheme="minorHAnsi" w:cstheme="minorHAnsi"/>
        </w:rPr>
        <w:t xml:space="preserve"> 3 στο Ηνωμένο Βασίλειο και</w:t>
      </w:r>
    </w:p>
    <w:p w14:paraId="26030B62" w14:textId="62F11491" w:rsidR="005D378E" w:rsidRPr="005E6062" w:rsidRDefault="005434BC" w:rsidP="005E6062">
      <w:pPr>
        <w:numPr>
          <w:ilvl w:val="1"/>
          <w:numId w:val="1"/>
        </w:numPr>
        <w:spacing w:after="120" w:line="240" w:lineRule="auto"/>
        <w:ind w:left="851" w:hanging="284"/>
        <w:jc w:val="both"/>
        <w:rPr>
          <w:rFonts w:asciiTheme="minorHAnsi" w:hAnsiTheme="minorHAnsi" w:cstheme="minorHAnsi"/>
        </w:rPr>
      </w:pPr>
      <w:r w:rsidRPr="005E6062">
        <w:rPr>
          <w:rFonts w:asciiTheme="minorHAnsi" w:hAnsiTheme="minorHAnsi" w:cstheme="minorHAnsi"/>
        </w:rPr>
        <w:t xml:space="preserve">Τη συμφωνία με τη Vattenfall για την προμήθεια </w:t>
      </w:r>
      <w:r w:rsidR="00DF63B9" w:rsidRPr="005E6062">
        <w:rPr>
          <w:rFonts w:asciiTheme="minorHAnsi" w:hAnsiTheme="minorHAnsi" w:cstheme="minorHAnsi"/>
        </w:rPr>
        <w:t xml:space="preserve">inter-array </w:t>
      </w:r>
      <w:r w:rsidRPr="005E6062">
        <w:rPr>
          <w:rFonts w:asciiTheme="minorHAnsi" w:hAnsiTheme="minorHAnsi" w:cstheme="minorHAnsi"/>
        </w:rPr>
        <w:t xml:space="preserve">καλωδίων για την υπεράκτια αιολική ζώνη του </w:t>
      </w:r>
      <w:proofErr w:type="spellStart"/>
      <w:r w:rsidRPr="005E6062">
        <w:rPr>
          <w:rFonts w:asciiTheme="minorHAnsi" w:hAnsiTheme="minorHAnsi" w:cstheme="minorHAnsi"/>
        </w:rPr>
        <w:t>Norfolk</w:t>
      </w:r>
      <w:proofErr w:type="spellEnd"/>
      <w:r w:rsidRPr="005E6062">
        <w:rPr>
          <w:rFonts w:asciiTheme="minorHAnsi" w:hAnsiTheme="minorHAnsi" w:cstheme="minorHAnsi"/>
        </w:rPr>
        <w:t xml:space="preserve"> στο Ηνωμένο Βασίλειο.</w:t>
      </w:r>
      <w:r w:rsidR="00EE3B90" w:rsidRPr="005E6062">
        <w:rPr>
          <w:rFonts w:asciiTheme="minorHAnsi" w:hAnsiTheme="minorHAnsi" w:cstheme="minorHAnsi"/>
        </w:rPr>
        <w:t xml:space="preserve"> </w:t>
      </w:r>
    </w:p>
    <w:p w14:paraId="7418370B" w14:textId="4ECC045A" w:rsidR="005E6062" w:rsidRPr="005E6062" w:rsidRDefault="005E6062" w:rsidP="005D378E">
      <w:pPr>
        <w:numPr>
          <w:ilvl w:val="0"/>
          <w:numId w:val="1"/>
        </w:numPr>
        <w:spacing w:after="120" w:line="240" w:lineRule="auto"/>
        <w:ind w:left="567" w:hanging="425"/>
        <w:jc w:val="both"/>
        <w:rPr>
          <w:rFonts w:asciiTheme="minorHAnsi" w:hAnsiTheme="minorHAnsi" w:cstheme="minorHAnsi"/>
        </w:rPr>
      </w:pPr>
      <w:r w:rsidRPr="005E6062">
        <w:rPr>
          <w:rFonts w:asciiTheme="minorHAnsi" w:hAnsiTheme="minorHAnsi" w:cstheme="minorHAnsi"/>
        </w:rPr>
        <w:t>Στον τομέα των χερσαίων καλωδίων</w:t>
      </w:r>
      <w:r w:rsidRPr="005E6062">
        <w:t xml:space="preserve">, η Ελληνικά Καλώδια </w:t>
      </w:r>
      <w:r w:rsidRPr="005E6062">
        <w:rPr>
          <w:rFonts w:asciiTheme="minorHAnsi" w:hAnsiTheme="minorHAnsi" w:cstheme="minorHAnsi"/>
        </w:rPr>
        <w:t xml:space="preserve">ανέλαβε δύο έργα </w:t>
      </w:r>
      <w:r w:rsidR="00E563B6">
        <w:rPr>
          <w:rFonts w:asciiTheme="minorHAnsi" w:hAnsiTheme="minorHAnsi" w:cstheme="minorHAnsi"/>
        </w:rPr>
        <w:t>«</w:t>
      </w:r>
      <w:r w:rsidRPr="005E6062">
        <w:rPr>
          <w:rFonts w:asciiTheme="minorHAnsi" w:hAnsiTheme="minorHAnsi" w:cstheme="minorHAnsi"/>
        </w:rPr>
        <w:t>με το κλειδί στο χέρι</w:t>
      </w:r>
      <w:r w:rsidR="00E563B6">
        <w:rPr>
          <w:rFonts w:asciiTheme="minorHAnsi" w:hAnsiTheme="minorHAnsi" w:cstheme="minorHAnsi"/>
        </w:rPr>
        <w:t>»</w:t>
      </w:r>
      <w:r w:rsidRPr="005E6062">
        <w:rPr>
          <w:rFonts w:asciiTheme="minorHAnsi" w:hAnsiTheme="minorHAnsi" w:cstheme="minorHAnsi"/>
        </w:rPr>
        <w:t xml:space="preserve"> από τον Ανεξάρτητο Διαχειριστή Μεταφοράς Ηλεκτρικής Ενέργειας της Ελλάδας (ΑΔΜΗΕ-ΔΕΗ) που αφορούν </w:t>
      </w:r>
      <w:r w:rsidR="00E563B6">
        <w:rPr>
          <w:rFonts w:asciiTheme="minorHAnsi" w:hAnsiTheme="minorHAnsi" w:cstheme="minorHAnsi"/>
        </w:rPr>
        <w:t xml:space="preserve">την εκτροπή </w:t>
      </w:r>
      <w:r w:rsidRPr="005E6062">
        <w:rPr>
          <w:rFonts w:asciiTheme="minorHAnsi" w:hAnsiTheme="minorHAnsi" w:cstheme="minorHAnsi"/>
        </w:rPr>
        <w:t xml:space="preserve">και </w:t>
      </w:r>
      <w:r w:rsidR="00E563B6">
        <w:rPr>
          <w:rFonts w:asciiTheme="minorHAnsi" w:hAnsiTheme="minorHAnsi" w:cstheme="minorHAnsi"/>
        </w:rPr>
        <w:t xml:space="preserve">την </w:t>
      </w:r>
      <w:r w:rsidRPr="005E6062">
        <w:rPr>
          <w:rFonts w:asciiTheme="minorHAnsi" w:hAnsiTheme="minorHAnsi" w:cstheme="minorHAnsi"/>
        </w:rPr>
        <w:t>υπογειοπο</w:t>
      </w:r>
      <w:r w:rsidR="00E563B6">
        <w:rPr>
          <w:rFonts w:asciiTheme="minorHAnsi" w:hAnsiTheme="minorHAnsi" w:cstheme="minorHAnsi"/>
        </w:rPr>
        <w:t xml:space="preserve">ίηση </w:t>
      </w:r>
      <w:r w:rsidRPr="005E6062">
        <w:rPr>
          <w:rFonts w:asciiTheme="minorHAnsi" w:hAnsiTheme="minorHAnsi" w:cstheme="minorHAnsi"/>
        </w:rPr>
        <w:t xml:space="preserve">εναέριων γραμμών μεταφοράς στην Εύβοια και στην περιοχή της </w:t>
      </w:r>
      <w:proofErr w:type="spellStart"/>
      <w:r w:rsidRPr="005E6062">
        <w:rPr>
          <w:rFonts w:asciiTheme="minorHAnsi" w:hAnsiTheme="minorHAnsi" w:cstheme="minorHAnsi"/>
        </w:rPr>
        <w:t>Μεσσάτιδας</w:t>
      </w:r>
      <w:proofErr w:type="spellEnd"/>
      <w:r w:rsidRPr="005E6062">
        <w:rPr>
          <w:rFonts w:asciiTheme="minorHAnsi" w:hAnsiTheme="minorHAnsi" w:cstheme="minorHAnsi"/>
        </w:rPr>
        <w:t xml:space="preserve"> στη Βόρεια Πελοπόννησο.</w:t>
      </w:r>
    </w:p>
    <w:p w14:paraId="0D3B4C52" w14:textId="17E516E8" w:rsidR="00B63AD7" w:rsidRPr="00B63AD7" w:rsidRDefault="00B63AD7" w:rsidP="000B6869">
      <w:pPr>
        <w:spacing w:after="120" w:line="240" w:lineRule="auto"/>
        <w:jc w:val="both"/>
        <w:rPr>
          <w:bCs/>
        </w:rPr>
      </w:pPr>
      <w:r>
        <w:t xml:space="preserve">Οι παραπάνω αναθέσεις συνολικής αξίας 900 εκατ. ευρώ διαμόρφωσαν το </w:t>
      </w:r>
      <w:r>
        <w:rPr>
          <w:b/>
        </w:rPr>
        <w:t xml:space="preserve">ανεκτέλεστο υπόλοιπο παραγγελιών </w:t>
      </w:r>
      <w:r>
        <w:rPr>
          <w:bCs/>
        </w:rPr>
        <w:t xml:space="preserve">στα </w:t>
      </w:r>
      <w:r>
        <w:rPr>
          <w:b/>
        </w:rPr>
        <w:t xml:space="preserve">1,85 δισ. ευρώ </w:t>
      </w:r>
      <w:r>
        <w:t>στις 30 Ιουνίου 2023</w:t>
      </w:r>
      <w:r w:rsidR="00CD2229">
        <w:t xml:space="preserve">, καταγράφοντας </w:t>
      </w:r>
      <w:r>
        <w:t>το</w:t>
      </w:r>
      <w:r w:rsidR="00CD2229">
        <w:t xml:space="preserve"> ιστορικά</w:t>
      </w:r>
      <w:r>
        <w:t xml:space="preserve"> υψηλότερο ανεκτέλεστο υπόλοιπο παραγγελιών </w:t>
      </w:r>
      <w:r w:rsidR="00DF63B9">
        <w:t xml:space="preserve">για τον </w:t>
      </w:r>
      <w:r w:rsidR="00B80DE8">
        <w:t>τομέα</w:t>
      </w:r>
      <w:r w:rsidR="00DF63B9">
        <w:t xml:space="preserve"> καλωδίων </w:t>
      </w:r>
      <w:r>
        <w:t>(1,35 δισ. ευρώ στις 31.12.22).</w:t>
      </w:r>
    </w:p>
    <w:p w14:paraId="5D6BA89E" w14:textId="03CFCA2A" w:rsidR="005D378E" w:rsidRPr="00950D24" w:rsidRDefault="00CD2229" w:rsidP="005D378E">
      <w:pPr>
        <w:spacing w:after="120" w:line="240" w:lineRule="auto"/>
        <w:jc w:val="both"/>
      </w:pPr>
      <w:r w:rsidRPr="00950D24">
        <w:t xml:space="preserve">Ταυτόχρονα, πολλά έργα εκτελέστηκαν με επιτυχία, εξ ολοκλήρου ή τμηματικά. </w:t>
      </w:r>
      <w:r w:rsidR="00E563B6">
        <w:t xml:space="preserve"> </w:t>
      </w:r>
      <w:r w:rsidRPr="00950D24">
        <w:t>Ενδεικτικά:</w:t>
      </w:r>
    </w:p>
    <w:p w14:paraId="7F6D2B5F" w14:textId="2D6D3F99" w:rsidR="00950D24" w:rsidRDefault="00950D24" w:rsidP="00950D24">
      <w:pPr>
        <w:numPr>
          <w:ilvl w:val="0"/>
          <w:numId w:val="1"/>
        </w:numPr>
        <w:spacing w:after="120" w:line="240" w:lineRule="auto"/>
        <w:ind w:left="567" w:hanging="425"/>
        <w:jc w:val="both"/>
        <w:rPr>
          <w:rFonts w:cs="Calibri"/>
          <w:szCs w:val="20"/>
        </w:rPr>
      </w:pPr>
      <w:r w:rsidRPr="00950D24">
        <w:t>Στο  πρώτο εξάμηνο του 2023</w:t>
      </w:r>
      <w:r>
        <w:t>,</w:t>
      </w:r>
      <w:r w:rsidRPr="00950D24">
        <w:t xml:space="preserve"> ξεκίνησε η</w:t>
      </w:r>
      <w:r w:rsidR="00871FE2" w:rsidRPr="00950D24">
        <w:rPr>
          <w:rFonts w:cs="Calibri"/>
          <w:szCs w:val="20"/>
        </w:rPr>
        <w:t xml:space="preserve"> παραγωγή για τα έργα διασύνδεσης </w:t>
      </w:r>
      <w:r w:rsidR="00E563B6">
        <w:rPr>
          <w:rFonts w:cs="Calibri"/>
          <w:szCs w:val="20"/>
        </w:rPr>
        <w:t>«</w:t>
      </w:r>
      <w:r w:rsidR="00871FE2" w:rsidRPr="00950D24">
        <w:rPr>
          <w:rFonts w:cs="Calibri"/>
          <w:szCs w:val="20"/>
        </w:rPr>
        <w:t>με το κλειδί στο χέρι</w:t>
      </w:r>
      <w:r w:rsidR="00E563B6">
        <w:rPr>
          <w:rFonts w:cs="Calibri"/>
          <w:szCs w:val="20"/>
        </w:rPr>
        <w:t>»</w:t>
      </w:r>
      <w:r w:rsidR="00871FE2" w:rsidRPr="00950D24">
        <w:rPr>
          <w:rFonts w:cs="Calibri"/>
          <w:szCs w:val="20"/>
        </w:rPr>
        <w:t xml:space="preserve"> </w:t>
      </w:r>
      <w:r>
        <w:rPr>
          <w:rFonts w:cs="Calibri"/>
          <w:szCs w:val="20"/>
        </w:rPr>
        <w:t>που αφορούν</w:t>
      </w:r>
      <w:r w:rsidRPr="00950D24">
        <w:rPr>
          <w:rFonts w:cs="Calibri"/>
          <w:szCs w:val="20"/>
        </w:rPr>
        <w:t xml:space="preserve"> </w:t>
      </w:r>
      <w:r w:rsidR="00871FE2" w:rsidRPr="00950D24">
        <w:rPr>
          <w:rFonts w:cs="Calibri"/>
          <w:szCs w:val="20"/>
        </w:rPr>
        <w:t>τη διασύνδεση Λαυρίου - Σερίφου / Σερίφου - Μήλου (φάση 4 της διασύνδεσης των Κυκλάδων στην Ελλάδα, με συνολικό μήκος καλωδίου 170 χλμ.)</w:t>
      </w:r>
      <w:r w:rsidRPr="00950D24">
        <w:rPr>
          <w:rFonts w:cs="Calibri"/>
          <w:szCs w:val="20"/>
        </w:rPr>
        <w:t>.</w:t>
      </w:r>
    </w:p>
    <w:p w14:paraId="1218F022" w14:textId="469176F5" w:rsidR="005D378E" w:rsidRPr="00950D24" w:rsidRDefault="00950D24" w:rsidP="00950D24">
      <w:pPr>
        <w:numPr>
          <w:ilvl w:val="0"/>
          <w:numId w:val="1"/>
        </w:numPr>
        <w:spacing w:after="120" w:line="240" w:lineRule="auto"/>
        <w:ind w:left="567" w:hanging="425"/>
        <w:jc w:val="both"/>
        <w:rPr>
          <w:rFonts w:cs="Calibri"/>
          <w:szCs w:val="20"/>
        </w:rPr>
      </w:pPr>
      <w:r w:rsidRPr="00950D24">
        <w:rPr>
          <w:rFonts w:cs="Calibri"/>
          <w:szCs w:val="20"/>
        </w:rPr>
        <w:t>Στο</w:t>
      </w:r>
      <w:r w:rsidR="00DF63B9">
        <w:rPr>
          <w:rFonts w:cs="Calibri"/>
          <w:szCs w:val="20"/>
        </w:rPr>
        <w:t xml:space="preserve"> </w:t>
      </w:r>
      <w:r w:rsidRPr="00950D24">
        <w:rPr>
          <w:rFonts w:cs="Calibri"/>
          <w:szCs w:val="20"/>
        </w:rPr>
        <w:t xml:space="preserve">πρώτο εξάμηνο του 2023, ολοκληρώθηκε η παραγωγή των τελευταίων παρτίδων για </w:t>
      </w:r>
      <w:r w:rsidRPr="00950D24">
        <w:rPr>
          <w:rFonts w:cs="Calibri"/>
          <w:szCs w:val="20"/>
          <w:lang w:val="en-US"/>
        </w:rPr>
        <w:t>inter</w:t>
      </w:r>
      <w:r w:rsidRPr="00950D24">
        <w:rPr>
          <w:rFonts w:cs="Calibri"/>
          <w:szCs w:val="20"/>
        </w:rPr>
        <w:t>-</w:t>
      </w:r>
      <w:r w:rsidRPr="00950D24">
        <w:rPr>
          <w:rFonts w:cs="Calibri"/>
          <w:szCs w:val="20"/>
          <w:lang w:val="en-US"/>
        </w:rPr>
        <w:t>array</w:t>
      </w:r>
      <w:r w:rsidRPr="00950D24">
        <w:rPr>
          <w:rFonts w:cs="Calibri"/>
          <w:szCs w:val="20"/>
        </w:rPr>
        <w:t xml:space="preserve"> καλώδια 66kV για τις φάσεις Α &amp; Β του υπεράκτιου αιολικού πάρκου Doggerbank στο Ηνωμένο Βασίλειο, ενώ ξεκίνησε η παραγωγή για την προμήθεια 360 χιλιομέτρων καλωδίων 66kV και συναφών εξαρτημάτων για το υπεράκτιο αιολικό πάρκο Sofia στο Ηνωμένο Βασίλειο.</w:t>
      </w:r>
    </w:p>
    <w:p w14:paraId="64CFA8BF" w14:textId="558D5FDB" w:rsidR="000B6869" w:rsidRPr="00950D24" w:rsidRDefault="00950D24" w:rsidP="000B6869">
      <w:pPr>
        <w:numPr>
          <w:ilvl w:val="0"/>
          <w:numId w:val="1"/>
        </w:numPr>
        <w:spacing w:after="120" w:line="240" w:lineRule="auto"/>
        <w:ind w:left="567" w:hanging="425"/>
        <w:jc w:val="both"/>
      </w:pPr>
      <w:r w:rsidRPr="00950D24">
        <w:rPr>
          <w:rFonts w:cs="Calibri"/>
          <w:szCs w:val="20"/>
        </w:rPr>
        <w:t>Στο πρώτο εξάμηνο του 2023, ηλεκτροδοτήθηκε με επιτυχία η αναβαθμισμένη ηλεκτρική διασύνδεση μεταξύ Κ</w:t>
      </w:r>
      <w:r w:rsidR="00503688">
        <w:rPr>
          <w:rFonts w:cs="Calibri"/>
          <w:szCs w:val="20"/>
        </w:rPr>
        <w:t>υ</w:t>
      </w:r>
      <w:r w:rsidRPr="00950D24">
        <w:rPr>
          <w:rFonts w:cs="Calibri"/>
          <w:szCs w:val="20"/>
        </w:rPr>
        <w:t>λ</w:t>
      </w:r>
      <w:r w:rsidR="00503688">
        <w:rPr>
          <w:rFonts w:cs="Calibri"/>
          <w:szCs w:val="20"/>
        </w:rPr>
        <w:t>λή</w:t>
      </w:r>
      <w:r w:rsidRPr="00950D24">
        <w:rPr>
          <w:rFonts w:cs="Calibri"/>
          <w:szCs w:val="20"/>
        </w:rPr>
        <w:t>νης και Ζακύνθου εξασφαλίζοντας την ενεργειακή τροφοδοσία των Ιονίων Νήσων.</w:t>
      </w:r>
    </w:p>
    <w:p w14:paraId="73BBAC3F" w14:textId="39CCFAA4" w:rsidR="00050A31" w:rsidRPr="00050A31" w:rsidRDefault="00050A31" w:rsidP="000B6869">
      <w:pPr>
        <w:spacing w:after="120" w:line="240" w:lineRule="auto"/>
        <w:jc w:val="both"/>
      </w:pPr>
      <w:r>
        <w:t xml:space="preserve">Η σταθερή ζήτηση σε όλες τις κύριες αγορές σε συνδυασμό με το βελτιωμένο μείγμα πωλήσεων αύξησαν τα </w:t>
      </w:r>
      <w:r w:rsidRPr="00050A31">
        <w:t>περιθώρια κέρδους</w:t>
      </w:r>
      <w:r>
        <w:t xml:space="preserve"> στ</w:t>
      </w:r>
      <w:r w:rsidR="00E563B6">
        <w:t>α</w:t>
      </w:r>
      <w:r>
        <w:t xml:space="preserve"> </w:t>
      </w:r>
      <w:r w:rsidRPr="00050A31">
        <w:rPr>
          <w:b/>
          <w:bCs/>
        </w:rPr>
        <w:t>καλωδιακ</w:t>
      </w:r>
      <w:r w:rsidR="00E563B6">
        <w:rPr>
          <w:b/>
          <w:bCs/>
        </w:rPr>
        <w:t>ά</w:t>
      </w:r>
      <w:r w:rsidRPr="00050A31">
        <w:rPr>
          <w:b/>
          <w:bCs/>
        </w:rPr>
        <w:t xml:space="preserve"> προϊόντ</w:t>
      </w:r>
      <w:r w:rsidR="00E563B6">
        <w:rPr>
          <w:b/>
          <w:bCs/>
        </w:rPr>
        <w:t>α</w:t>
      </w:r>
      <w:r>
        <w:rPr>
          <w:b/>
          <w:bCs/>
        </w:rPr>
        <w:t xml:space="preserve"> </w:t>
      </w:r>
      <w:r>
        <w:t>και</w:t>
      </w:r>
      <w:r w:rsidR="00E563B6">
        <w:t>,</w:t>
      </w:r>
      <w:r>
        <w:t xml:space="preserve"> κατά συνέπεια</w:t>
      </w:r>
      <w:r w:rsidR="00E563B6">
        <w:t>,</w:t>
      </w:r>
      <w:r>
        <w:t xml:space="preserve"> συνέβαλαν περαιτέρω στην κερδοφορία του </w:t>
      </w:r>
      <w:r w:rsidR="00B80DE8">
        <w:t>τομέα</w:t>
      </w:r>
      <w:r w:rsidR="007A7693">
        <w:t xml:space="preserve"> καλωδίων.</w:t>
      </w:r>
    </w:p>
    <w:p w14:paraId="46808820" w14:textId="713875ED" w:rsidR="007A7693" w:rsidRPr="007A7693" w:rsidRDefault="007A7693" w:rsidP="005D378E">
      <w:pPr>
        <w:spacing w:after="120" w:line="240" w:lineRule="auto"/>
        <w:jc w:val="both"/>
      </w:pPr>
      <w:r>
        <w:t xml:space="preserve">Ως απόρροια όλων των παραπάνω, το αναπροσαρμοσμένο </w:t>
      </w:r>
      <w:r>
        <w:rPr>
          <w:lang w:val="en-US"/>
        </w:rPr>
        <w:t>EBITDA</w:t>
      </w:r>
      <w:r w:rsidRPr="007A7693">
        <w:t xml:space="preserve"> </w:t>
      </w:r>
      <w:r>
        <w:t xml:space="preserve">για τον </w:t>
      </w:r>
      <w:r w:rsidR="00B80DE8">
        <w:t>τομέα</w:t>
      </w:r>
      <w:r>
        <w:t xml:space="preserve"> καλωδίων ανήλθε σε </w:t>
      </w:r>
      <w:r w:rsidRPr="007A7693">
        <w:t>59,5</w:t>
      </w:r>
      <w:r w:rsidR="00E563B6">
        <w:t> </w:t>
      </w:r>
      <w:r w:rsidRPr="007A7693">
        <w:t>εκατ.</w:t>
      </w:r>
      <w:r w:rsidR="00E563B6">
        <w:t> </w:t>
      </w:r>
      <w:r w:rsidRPr="007A7693">
        <w:t xml:space="preserve">ευρώ το α' εξάμηνο του 2023, αυξημένο κατά 12,3 εκατ. ευρώ </w:t>
      </w:r>
      <w:r>
        <w:t>σε σχέση με</w:t>
      </w:r>
      <w:r w:rsidRPr="007A7693">
        <w:t xml:space="preserve"> το </w:t>
      </w:r>
      <w:r>
        <w:t>αντίστοιχο</w:t>
      </w:r>
      <w:r w:rsidRPr="007A7693">
        <w:t xml:space="preserve"> εξάμηνο του 2022.</w:t>
      </w:r>
      <w:r>
        <w:t xml:space="preserve"> </w:t>
      </w:r>
      <w:r w:rsidR="00E563B6">
        <w:t xml:space="preserve"> </w:t>
      </w:r>
      <w:r w:rsidRPr="007A7693">
        <w:t xml:space="preserve">Η αύξηση αυτή </w:t>
      </w:r>
      <w:r w:rsidR="00E563B6">
        <w:t>υπερκάλυψε</w:t>
      </w:r>
      <w:r w:rsidRPr="007A7693">
        <w:t xml:space="preserve"> την αύξηση του καθαρού χρηματοοικονομικού κόστους (+10,8 εκατ. ευρώ έναντι του α΄ εξαμήνου 2022). </w:t>
      </w:r>
      <w:r w:rsidR="00E563B6">
        <w:t xml:space="preserve"> </w:t>
      </w:r>
      <w:r w:rsidRPr="007A7693">
        <w:t>Τα αντίστοιχα κέρδη προ φόρων ανήλθαν σε 21,3</w:t>
      </w:r>
      <w:r w:rsidR="00E563B6">
        <w:t> </w:t>
      </w:r>
      <w:r w:rsidRPr="007A7693">
        <w:t>εκατ.</w:t>
      </w:r>
      <w:r w:rsidR="00E563B6">
        <w:t> </w:t>
      </w:r>
      <w:r w:rsidRPr="007A7693">
        <w:t>ευρώ, έναντι 25,3</w:t>
      </w:r>
      <w:r w:rsidR="00E563B6">
        <w:t> </w:t>
      </w:r>
      <w:r w:rsidRPr="007A7693">
        <w:t>εκατ.</w:t>
      </w:r>
      <w:r w:rsidR="00E563B6">
        <w:t> </w:t>
      </w:r>
      <w:r w:rsidRPr="007A7693">
        <w:t xml:space="preserve">ευρώ το 2022, επηρεασμένα αρνητικά από την υστέρηση </w:t>
      </w:r>
      <w:r w:rsidR="00E563B6">
        <w:t xml:space="preserve">στις </w:t>
      </w:r>
      <w:r w:rsidRPr="007A7693">
        <w:t>τιμ</w:t>
      </w:r>
      <w:r w:rsidR="00E563B6">
        <w:t>ές</w:t>
      </w:r>
      <w:r w:rsidRPr="007A7693">
        <w:t xml:space="preserve"> μετάλλ</w:t>
      </w:r>
      <w:r>
        <w:t>ου</w:t>
      </w:r>
      <w:r w:rsidRPr="007A7693">
        <w:t xml:space="preserve">. </w:t>
      </w:r>
      <w:r w:rsidR="00E563B6">
        <w:t xml:space="preserve"> </w:t>
      </w:r>
      <w:r w:rsidRPr="007A7693">
        <w:t>Τα καθαρά κέρδη μετά από φόρους ακολούθησαν την ίδια τάση και ανήλθαν σε 16,6</w:t>
      </w:r>
      <w:r w:rsidR="00E563B6">
        <w:t> </w:t>
      </w:r>
      <w:r w:rsidRPr="007A7693">
        <w:t>εκατ.</w:t>
      </w:r>
      <w:r w:rsidR="00E563B6">
        <w:t> </w:t>
      </w:r>
      <w:r w:rsidRPr="007A7693">
        <w:t>ευρώ (19,8</w:t>
      </w:r>
      <w:r w:rsidR="00E563B6">
        <w:t> </w:t>
      </w:r>
      <w:r w:rsidRPr="007A7693">
        <w:t>εκατ.</w:t>
      </w:r>
      <w:r w:rsidR="00E563B6">
        <w:t> </w:t>
      </w:r>
      <w:r w:rsidRPr="007A7693">
        <w:t>ευρώ στο H1 2022).</w:t>
      </w:r>
    </w:p>
    <w:p w14:paraId="51E67871" w14:textId="053356A5" w:rsidR="00D14535" w:rsidRDefault="00F934E0" w:rsidP="008B7C6A">
      <w:pPr>
        <w:spacing w:after="120" w:line="240" w:lineRule="auto"/>
        <w:jc w:val="both"/>
        <w:rPr>
          <w:rFonts w:eastAsia="SimSun" w:cs="Calibri"/>
        </w:rPr>
      </w:pPr>
      <w:r>
        <w:t xml:space="preserve">Ο καθαρός δανεισμός του </w:t>
      </w:r>
      <w:r w:rsidR="00B80DE8">
        <w:t>τομέα</w:t>
      </w:r>
      <w:r>
        <w:t xml:space="preserve"> καλωδίων</w:t>
      </w:r>
      <w:r w:rsidRPr="00F934E0">
        <w:t xml:space="preserve"> αυξήθηκε κατά 21 εκατ. ευρώ</w:t>
      </w:r>
      <w:r w:rsidR="001A15D2" w:rsidRPr="001A15D2">
        <w:t xml:space="preserve"> </w:t>
      </w:r>
      <w:r w:rsidR="00281CFA">
        <w:t>κυρίως</w:t>
      </w:r>
      <w:r w:rsidR="001A15D2">
        <w:t xml:space="preserve"> λόγ</w:t>
      </w:r>
      <w:r w:rsidR="00281CFA">
        <w:t>ω</w:t>
      </w:r>
      <w:r w:rsidR="001A15D2">
        <w:t xml:space="preserve"> του </w:t>
      </w:r>
      <w:r w:rsidR="001A15D2" w:rsidRPr="00F934E0">
        <w:t>επενδυτικ</w:t>
      </w:r>
      <w:r w:rsidR="001A15D2">
        <w:t>ού</w:t>
      </w:r>
      <w:r w:rsidR="001A15D2" w:rsidRPr="00F934E0">
        <w:t xml:space="preserve"> προγράμμα</w:t>
      </w:r>
      <w:r w:rsidR="001A15D2">
        <w:t>τος</w:t>
      </w:r>
      <w:r w:rsidR="001A15D2" w:rsidRPr="00F934E0">
        <w:t xml:space="preserve"> </w:t>
      </w:r>
      <w:r w:rsidR="001A15D2">
        <w:t xml:space="preserve">για την </w:t>
      </w:r>
      <w:r w:rsidR="001A15D2" w:rsidRPr="001D7BB6">
        <w:rPr>
          <w:rFonts w:eastAsia="SimSun" w:cs="Calibri"/>
        </w:rPr>
        <w:t xml:space="preserve">επέκταση του εργοστασίου υποβρυχίων καλωδίων </w:t>
      </w:r>
      <w:r w:rsidR="001A15D2">
        <w:rPr>
          <w:rFonts w:eastAsia="SimSun" w:cs="Calibri"/>
        </w:rPr>
        <w:t>στην Κόρινθο</w:t>
      </w:r>
      <w:r w:rsidRPr="00F934E0">
        <w:t xml:space="preserve"> και </w:t>
      </w:r>
      <w:r>
        <w:t>ανήλθε σ</w:t>
      </w:r>
      <w:r w:rsidRPr="00F934E0">
        <w:t>τα 357</w:t>
      </w:r>
      <w:r w:rsidR="00E563B6">
        <w:t> </w:t>
      </w:r>
      <w:r w:rsidRPr="00F934E0">
        <w:t>εκατ.</w:t>
      </w:r>
      <w:r w:rsidR="00E563B6">
        <w:t> </w:t>
      </w:r>
      <w:r w:rsidRPr="00F934E0">
        <w:t>ευρώ στις 30.06.2023</w:t>
      </w:r>
      <w:r w:rsidR="00D14535">
        <w:t>,</w:t>
      </w:r>
      <w:r w:rsidR="00D14535">
        <w:rPr>
          <w:rFonts w:eastAsia="SimSun" w:cs="Calibri"/>
        </w:rPr>
        <w:t>.</w:t>
      </w:r>
    </w:p>
    <w:p w14:paraId="5B0022A7" w14:textId="02C15688" w:rsidR="00D14535" w:rsidRPr="00D14535" w:rsidRDefault="00D14535" w:rsidP="00D14535">
      <w:pPr>
        <w:spacing w:after="120" w:line="240" w:lineRule="auto"/>
        <w:jc w:val="both"/>
      </w:pPr>
      <w:r>
        <w:t>Οι κεφαλαιουχικές δαπάνες κατά το πρώτο εξάμηνο του 2023 ανήλθαν σε 54,7</w:t>
      </w:r>
      <w:r w:rsidR="00E563B6">
        <w:t> </w:t>
      </w:r>
      <w:r>
        <w:t>εκατ.</w:t>
      </w:r>
      <w:r w:rsidR="00E563B6">
        <w:t> </w:t>
      </w:r>
      <w:r>
        <w:t xml:space="preserve">ευρώ και αφορούσαν κυρίως </w:t>
      </w:r>
      <w:r w:rsidR="001A15D2">
        <w:t>σε</w:t>
      </w:r>
      <w:r>
        <w:t>:</w:t>
      </w:r>
    </w:p>
    <w:p w14:paraId="62702BE0" w14:textId="38C939BB" w:rsidR="00D14535" w:rsidRPr="00D14535" w:rsidRDefault="00D14535" w:rsidP="005D378E">
      <w:pPr>
        <w:numPr>
          <w:ilvl w:val="0"/>
          <w:numId w:val="1"/>
        </w:numPr>
        <w:spacing w:after="120" w:line="240" w:lineRule="auto"/>
        <w:ind w:left="567" w:hanging="425"/>
        <w:contextualSpacing/>
        <w:jc w:val="both"/>
        <w:rPr>
          <w:rFonts w:cs="Calibri"/>
          <w:szCs w:val="20"/>
        </w:rPr>
      </w:pPr>
      <w:r w:rsidRPr="00D14535">
        <w:rPr>
          <w:rFonts w:cs="Calibri"/>
          <w:szCs w:val="20"/>
        </w:rPr>
        <w:t>δαπάνες 36,6 εκατ. ευρώ</w:t>
      </w:r>
      <w:r w:rsidR="00DF63B9">
        <w:rPr>
          <w:rFonts w:cs="Calibri"/>
          <w:szCs w:val="20"/>
        </w:rPr>
        <w:t xml:space="preserve"> </w:t>
      </w:r>
      <w:r w:rsidRPr="00D14535">
        <w:rPr>
          <w:rFonts w:cs="Calibri"/>
          <w:szCs w:val="20"/>
        </w:rPr>
        <w:t xml:space="preserve">για το εργοστάσιο </w:t>
      </w:r>
      <w:r w:rsidR="00E563B6" w:rsidRPr="00D14535">
        <w:rPr>
          <w:rFonts w:cs="Calibri"/>
          <w:szCs w:val="20"/>
        </w:rPr>
        <w:t>υ</w:t>
      </w:r>
      <w:r w:rsidR="00E563B6">
        <w:rPr>
          <w:rFonts w:cs="Calibri"/>
          <w:szCs w:val="20"/>
        </w:rPr>
        <w:t>ποβρυχίων</w:t>
      </w:r>
      <w:r w:rsidR="00E563B6" w:rsidRPr="00D14535">
        <w:rPr>
          <w:rFonts w:cs="Calibri"/>
          <w:szCs w:val="20"/>
        </w:rPr>
        <w:t xml:space="preserve"> καλωδίων </w:t>
      </w:r>
      <w:r w:rsidRPr="00D14535">
        <w:rPr>
          <w:rFonts w:cs="Calibri"/>
          <w:szCs w:val="20"/>
        </w:rPr>
        <w:t xml:space="preserve">της Κορίνθου, κυρίως για την υλοποίηση της προγραμματισμένης επέκτασης της </w:t>
      </w:r>
      <w:r w:rsidR="0086243B" w:rsidRPr="0086243B">
        <w:rPr>
          <w:rFonts w:cs="Calibri"/>
          <w:szCs w:val="20"/>
        </w:rPr>
        <w:t>παραγωγικής ικανότητας</w:t>
      </w:r>
      <w:r w:rsidRPr="00D14535">
        <w:rPr>
          <w:rFonts w:cs="Calibri"/>
          <w:szCs w:val="20"/>
        </w:rPr>
        <w:t xml:space="preserve"> </w:t>
      </w:r>
      <w:r w:rsidR="00E563B6">
        <w:rPr>
          <w:rFonts w:cs="Calibri"/>
          <w:szCs w:val="20"/>
        </w:rPr>
        <w:t>του</w:t>
      </w:r>
      <w:r>
        <w:rPr>
          <w:rFonts w:cs="Calibri"/>
          <w:szCs w:val="20"/>
        </w:rPr>
        <w:t>,</w:t>
      </w:r>
    </w:p>
    <w:p w14:paraId="07EE68FF" w14:textId="3DDAA56D" w:rsidR="00162420" w:rsidRDefault="00D14535" w:rsidP="005D378E">
      <w:pPr>
        <w:numPr>
          <w:ilvl w:val="0"/>
          <w:numId w:val="1"/>
        </w:numPr>
        <w:spacing w:after="120" w:line="240" w:lineRule="auto"/>
        <w:ind w:left="567" w:hanging="425"/>
        <w:contextualSpacing/>
        <w:jc w:val="both"/>
        <w:rPr>
          <w:rFonts w:cs="Calibri"/>
          <w:szCs w:val="20"/>
        </w:rPr>
      </w:pPr>
      <w:r w:rsidRPr="00D14535">
        <w:rPr>
          <w:rFonts w:cs="Calibri"/>
          <w:szCs w:val="20"/>
        </w:rPr>
        <w:t>δαπάνες 5,6 εκατ. ευρώ για επιλεκτικές επενδύσεις για την αύξηση της παραγωγικής ικανότητας στο εργοστάσιο χερσαίων καλωδίων της Θήβας,</w:t>
      </w:r>
    </w:p>
    <w:p w14:paraId="63D30E32" w14:textId="1AB882A5" w:rsidR="00D14535" w:rsidRPr="00D14535" w:rsidRDefault="00D14535" w:rsidP="007F60C2">
      <w:pPr>
        <w:numPr>
          <w:ilvl w:val="0"/>
          <w:numId w:val="1"/>
        </w:numPr>
        <w:spacing w:after="120" w:line="240" w:lineRule="auto"/>
        <w:ind w:left="567" w:hanging="425"/>
        <w:contextualSpacing/>
        <w:jc w:val="both"/>
        <w:rPr>
          <w:rFonts w:cs="Calibri"/>
          <w:szCs w:val="20"/>
        </w:rPr>
      </w:pPr>
      <w:r w:rsidRPr="00D14535">
        <w:rPr>
          <w:rFonts w:cs="Calibri"/>
          <w:szCs w:val="20"/>
        </w:rPr>
        <w:t xml:space="preserve">δαπάνες </w:t>
      </w:r>
      <w:r>
        <w:t>5,5 εκατ. ευρώ για το εργοστάσιο στο Βουκουρέστι</w:t>
      </w:r>
      <w:r w:rsidR="00281CFA">
        <w:t xml:space="preserve">, συμπεριλαμβανομένης </w:t>
      </w:r>
      <w:r>
        <w:t>τη</w:t>
      </w:r>
      <w:r w:rsidR="00281CFA">
        <w:t>ς</w:t>
      </w:r>
      <w:r>
        <w:t xml:space="preserve"> απόκτηση</w:t>
      </w:r>
      <w:r w:rsidR="00281CFA">
        <w:t>ς</w:t>
      </w:r>
      <w:r>
        <w:t xml:space="preserve"> ακινήτου όμορου του εργοστασίου</w:t>
      </w:r>
      <w:r w:rsidR="00E563B6">
        <w:t>,</w:t>
      </w:r>
      <w:r>
        <w:t xml:space="preserve"> και</w:t>
      </w:r>
    </w:p>
    <w:p w14:paraId="0655A11C" w14:textId="33BA1A4F" w:rsidR="00174E83" w:rsidRPr="00D14535" w:rsidRDefault="00D14535" w:rsidP="00627E93">
      <w:pPr>
        <w:numPr>
          <w:ilvl w:val="0"/>
          <w:numId w:val="1"/>
        </w:numPr>
        <w:spacing w:after="0" w:line="240" w:lineRule="auto"/>
        <w:ind w:left="567" w:hanging="425"/>
        <w:contextualSpacing/>
        <w:jc w:val="both"/>
        <w:rPr>
          <w:rFonts w:eastAsia="SimSun" w:cs="Calibri"/>
          <w:b/>
          <w:bCs/>
          <w:color w:val="4F6228"/>
          <w:sz w:val="24"/>
          <w:szCs w:val="24"/>
        </w:rPr>
      </w:pPr>
      <w:r w:rsidRPr="00D14535">
        <w:rPr>
          <w:rFonts w:cs="Calibri"/>
          <w:szCs w:val="20"/>
        </w:rPr>
        <w:t xml:space="preserve">δαπάνες </w:t>
      </w:r>
      <w:r w:rsidR="00ED1559" w:rsidRPr="00BD1140">
        <w:rPr>
          <w:rFonts w:cs="Calibri"/>
          <w:szCs w:val="20"/>
        </w:rPr>
        <w:t>3,2</w:t>
      </w:r>
      <w:r w:rsidRPr="00D14535">
        <w:rPr>
          <w:rFonts w:cs="Calibri"/>
          <w:szCs w:val="20"/>
        </w:rPr>
        <w:t xml:space="preserve"> εκατ. ευρώ, απαραίτητες για την υποστήριξη της κατασκευής εργοστασίου υποβρυχίων καλωδίων στις ΗΠΑ.</w:t>
      </w:r>
    </w:p>
    <w:p w14:paraId="6530D9FF" w14:textId="6D915897" w:rsidR="00340869" w:rsidRPr="009152DC" w:rsidRDefault="00842C5E" w:rsidP="006B321F">
      <w:pPr>
        <w:keepNext/>
        <w:keepLines/>
        <w:spacing w:after="120" w:line="240" w:lineRule="auto"/>
        <w:jc w:val="both"/>
        <w:outlineLvl w:val="1"/>
        <w:rPr>
          <w:rFonts w:eastAsia="SimSun" w:cs="Calibri"/>
          <w:b/>
          <w:bCs/>
          <w:color w:val="4F6228"/>
          <w:sz w:val="24"/>
          <w:szCs w:val="24"/>
        </w:rPr>
      </w:pPr>
      <w:r w:rsidRPr="009152DC">
        <w:rPr>
          <w:rFonts w:eastAsia="SimSun" w:cs="Calibri"/>
          <w:b/>
          <w:bCs/>
          <w:color w:val="4F6228"/>
          <w:sz w:val="24"/>
          <w:szCs w:val="24"/>
        </w:rPr>
        <w:lastRenderedPageBreak/>
        <w:t>Σωλήνες Χάλυβα</w:t>
      </w:r>
    </w:p>
    <w:p w14:paraId="037A998F" w14:textId="2C410712" w:rsidR="009A3E53" w:rsidRPr="009A3E53" w:rsidRDefault="009A3E53" w:rsidP="00BB0AEF">
      <w:pPr>
        <w:autoSpaceDE w:val="0"/>
        <w:autoSpaceDN w:val="0"/>
        <w:adjustRightInd w:val="0"/>
        <w:spacing w:after="120" w:line="240" w:lineRule="auto"/>
        <w:jc w:val="both"/>
        <w:rPr>
          <w:rFonts w:cs="Calibri"/>
          <w:szCs w:val="20"/>
          <w:highlight w:val="yellow"/>
        </w:rPr>
      </w:pPr>
      <w:r>
        <w:rPr>
          <w:rFonts w:cs="Calibri"/>
          <w:szCs w:val="20"/>
        </w:rPr>
        <w:t>Ήδη από τ</w:t>
      </w:r>
      <w:r w:rsidRPr="009A3E53">
        <w:rPr>
          <w:rFonts w:cs="Calibri"/>
          <w:szCs w:val="20"/>
        </w:rPr>
        <w:t>ο τέλος του 2022</w:t>
      </w:r>
      <w:r>
        <w:rPr>
          <w:rFonts w:cs="Calibri"/>
          <w:szCs w:val="20"/>
        </w:rPr>
        <w:t xml:space="preserve">, ο </w:t>
      </w:r>
      <w:r w:rsidR="00B80DE8">
        <w:rPr>
          <w:rFonts w:cs="Calibri"/>
          <w:szCs w:val="20"/>
        </w:rPr>
        <w:t>τομέα</w:t>
      </w:r>
      <w:r>
        <w:rPr>
          <w:rFonts w:cs="Calibri"/>
          <w:szCs w:val="20"/>
        </w:rPr>
        <w:t>ς σωλήνων χάλυβα είχε αποδείξει</w:t>
      </w:r>
      <w:r w:rsidRPr="009A3E53">
        <w:rPr>
          <w:rFonts w:cs="Calibri"/>
          <w:szCs w:val="20"/>
        </w:rPr>
        <w:t xml:space="preserve"> ότι βρισκόταν σε πορεία ανάκαμψης</w:t>
      </w:r>
      <w:r>
        <w:rPr>
          <w:rFonts w:cs="Calibri"/>
          <w:szCs w:val="20"/>
        </w:rPr>
        <w:t xml:space="preserve">, </w:t>
      </w:r>
      <w:r w:rsidR="00E563B6">
        <w:rPr>
          <w:rFonts w:cs="Calibri"/>
          <w:szCs w:val="20"/>
        </w:rPr>
        <w:t xml:space="preserve">τάση που </w:t>
      </w:r>
      <w:r w:rsidRPr="009A3E53">
        <w:rPr>
          <w:rFonts w:cs="Calibri"/>
          <w:szCs w:val="20"/>
        </w:rPr>
        <w:t xml:space="preserve">επιβεβαιώθηκε το πρώτο εξάμηνο του τρέχοντος έτους, καθώς </w:t>
      </w:r>
      <w:r>
        <w:rPr>
          <w:rFonts w:cs="Calibri"/>
          <w:szCs w:val="20"/>
        </w:rPr>
        <w:t>οι πωλήσεις</w:t>
      </w:r>
      <w:r w:rsidRPr="009A3E53">
        <w:rPr>
          <w:rFonts w:cs="Calibri"/>
          <w:szCs w:val="20"/>
        </w:rPr>
        <w:t xml:space="preserve"> </w:t>
      </w:r>
      <w:r w:rsidR="00E563B6">
        <w:rPr>
          <w:rFonts w:cs="Calibri"/>
          <w:szCs w:val="20"/>
        </w:rPr>
        <w:t xml:space="preserve">του </w:t>
      </w:r>
      <w:r w:rsidRPr="009A3E53">
        <w:rPr>
          <w:rFonts w:cs="Calibri"/>
          <w:szCs w:val="20"/>
        </w:rPr>
        <w:t>αυξήθηκαν κατά 59% σε σύγκριση με το αντίστοιχο εξάμηνο του προηγούμενου έτους (305 εκατ. ευρώ έναντι 192 εκατ. ευρώ)</w:t>
      </w:r>
      <w:r>
        <w:rPr>
          <w:rFonts w:cs="Calibri"/>
          <w:szCs w:val="20"/>
        </w:rPr>
        <w:t xml:space="preserve">. </w:t>
      </w:r>
      <w:r w:rsidR="00E563B6">
        <w:rPr>
          <w:rFonts w:cs="Calibri"/>
          <w:szCs w:val="20"/>
        </w:rPr>
        <w:t xml:space="preserve"> </w:t>
      </w:r>
      <w:r w:rsidRPr="009A3E53">
        <w:rPr>
          <w:rFonts w:cs="Calibri"/>
          <w:szCs w:val="20"/>
        </w:rPr>
        <w:t>Η κερδοφορία ακολούθησε την ίδια πορεία, με τα κέρδη προ φόρων να ανέρχονται στα 9,8</w:t>
      </w:r>
      <w:r w:rsidR="00E563B6">
        <w:rPr>
          <w:rFonts w:cs="Calibri"/>
          <w:szCs w:val="20"/>
        </w:rPr>
        <w:t> </w:t>
      </w:r>
      <w:r w:rsidRPr="009A3E53">
        <w:rPr>
          <w:rFonts w:cs="Calibri"/>
          <w:szCs w:val="20"/>
        </w:rPr>
        <w:t>εκατ.</w:t>
      </w:r>
      <w:r w:rsidR="00E563B6">
        <w:rPr>
          <w:rFonts w:cs="Calibri"/>
          <w:szCs w:val="20"/>
        </w:rPr>
        <w:t> </w:t>
      </w:r>
      <w:r w:rsidRPr="009A3E53">
        <w:rPr>
          <w:rFonts w:cs="Calibri"/>
          <w:szCs w:val="20"/>
        </w:rPr>
        <w:t>ευρώ έναντι ζημιάς 4,2 εκατ. ευρώ το πρώτο εξάμηνο του 2022</w:t>
      </w:r>
    </w:p>
    <w:p w14:paraId="39D9AD5F" w14:textId="5F9DB94D" w:rsidR="00F849AD" w:rsidRPr="0011328F" w:rsidRDefault="00F849AD" w:rsidP="00F849AD">
      <w:pPr>
        <w:autoSpaceDE w:val="0"/>
        <w:autoSpaceDN w:val="0"/>
        <w:adjustRightInd w:val="0"/>
        <w:spacing w:after="120" w:line="240" w:lineRule="auto"/>
        <w:jc w:val="both"/>
      </w:pPr>
      <w:r>
        <w:t xml:space="preserve">Στις αρχές του 2023, ανέκαμψε η αγορά μεταφοράς </w:t>
      </w:r>
      <w:r w:rsidR="00E563B6">
        <w:t>αερίων</w:t>
      </w:r>
      <w:r>
        <w:t xml:space="preserve"> καυσίμων</w:t>
      </w:r>
      <w:r w:rsidR="00E563B6">
        <w:t>,</w:t>
      </w:r>
      <w:r>
        <w:t xml:space="preserve"> πρωτίστως λόγω των σταθερά υψηλών τιμών ενέργειας και δευτερευόντως</w:t>
      </w:r>
      <w:r w:rsidR="00E563B6">
        <w:t>,</w:t>
      </w:r>
      <w:r>
        <w:t xml:space="preserve"> λόγω του επιτακτικού ζητήματος ενεργειακής ασφάλειας που αντιμετωπίζουν πολλές ευρωπαϊκές χώρες. </w:t>
      </w:r>
      <w:r w:rsidR="00E563B6">
        <w:t xml:space="preserve"> </w:t>
      </w:r>
      <w:r>
        <w:t>Η αύξηση της ζήτησης είχ</w:t>
      </w:r>
      <w:r w:rsidR="009152DC">
        <w:t>ε</w:t>
      </w:r>
      <w:r>
        <w:t xml:space="preserve"> ως αποτέλεσμα πολλά έργα αγωγών, </w:t>
      </w:r>
      <w:r w:rsidR="00E563B6">
        <w:t xml:space="preserve">που </w:t>
      </w:r>
      <w:r>
        <w:t>είχαν προηγουμένως ανασταλεί, να επανέλθουν σε τροχιά υλοποίησης εντός του 2023.</w:t>
      </w:r>
      <w:r>
        <w:rPr>
          <w:rFonts w:cs="Calibri"/>
          <w:szCs w:val="20"/>
        </w:rPr>
        <w:t xml:space="preserve"> </w:t>
      </w:r>
      <w:r w:rsidR="00E563B6">
        <w:rPr>
          <w:rFonts w:cs="Calibri"/>
          <w:szCs w:val="20"/>
        </w:rPr>
        <w:t xml:space="preserve"> </w:t>
      </w:r>
      <w:r>
        <w:t>Σε αυτό το βελτιωμένο</w:t>
      </w:r>
      <w:r w:rsidR="009152DC">
        <w:t xml:space="preserve"> εμπορικό</w:t>
      </w:r>
      <w:r>
        <w:t xml:space="preserve"> περιβάλλον, η Σωληνουργεία Κορίνθου εδραίωσε τη θέση της στην αγορά ως κατασκευαστής σωλήνων </w:t>
      </w:r>
      <w:r w:rsidR="00E563B6">
        <w:t>«</w:t>
      </w:r>
      <w:r>
        <w:t>πρώτης τάξεως</w:t>
      </w:r>
      <w:r w:rsidR="00E563B6">
        <w:t>»</w:t>
      </w:r>
      <w:r>
        <w:t xml:space="preserve"> και ηγέτιδα </w:t>
      </w:r>
      <w:r w:rsidR="00E563B6">
        <w:t xml:space="preserve">εταιρεία </w:t>
      </w:r>
      <w:r>
        <w:t xml:space="preserve">στις νέες τεχνολογίες ενεργειακής μετάβασης, όπως είναι οι αγωγοί υδρογόνου και οι αγωγοί </w:t>
      </w:r>
      <w:r w:rsidRPr="00E540C6">
        <w:t>δέσμευση</w:t>
      </w:r>
      <w:r>
        <w:t>ς</w:t>
      </w:r>
      <w:r w:rsidRPr="00E540C6">
        <w:t xml:space="preserve"> και αποθήκευση</w:t>
      </w:r>
      <w:r>
        <w:t>ς</w:t>
      </w:r>
      <w:r w:rsidRPr="00E540C6">
        <w:t xml:space="preserve"> </w:t>
      </w:r>
      <w:r>
        <w:t xml:space="preserve">διοξειδίου του </w:t>
      </w:r>
      <w:r w:rsidRPr="00E540C6">
        <w:t xml:space="preserve">άνθρακα </w:t>
      </w:r>
      <w:r>
        <w:t xml:space="preserve">(CCS). </w:t>
      </w:r>
      <w:r w:rsidRPr="00237FF8">
        <w:t xml:space="preserve">Εντός του </w:t>
      </w:r>
      <w:r w:rsidRPr="0011328F">
        <w:t>έτους, εκτελέστηκαν με επιτυχία πολλά έργα αγωγών και έγινε ανάθεση νέων, που περιλ</w:t>
      </w:r>
      <w:r w:rsidR="00B06F5E">
        <w:t>ά</w:t>
      </w:r>
      <w:r w:rsidRPr="0011328F">
        <w:t>μβ</w:t>
      </w:r>
      <w:r w:rsidR="00B06F5E">
        <w:t>α</w:t>
      </w:r>
      <w:r w:rsidRPr="0011328F">
        <w:t>ναν ορισμένες από αυτές τις νέες τεχνολογίες</w:t>
      </w:r>
      <w:r w:rsidR="009152DC" w:rsidRPr="0011328F">
        <w:t xml:space="preserve">. </w:t>
      </w:r>
      <w:r w:rsidR="00E563B6">
        <w:t xml:space="preserve"> </w:t>
      </w:r>
      <w:r w:rsidR="009152DC" w:rsidRPr="0011328F">
        <w:t>Ενδεικτικά:</w:t>
      </w:r>
    </w:p>
    <w:p w14:paraId="00568123" w14:textId="1F5CC368" w:rsidR="00383F42" w:rsidRPr="00307754" w:rsidRDefault="00383F42" w:rsidP="00383F42">
      <w:pPr>
        <w:numPr>
          <w:ilvl w:val="0"/>
          <w:numId w:val="1"/>
        </w:numPr>
        <w:spacing w:after="120" w:line="240" w:lineRule="auto"/>
        <w:ind w:left="567" w:hanging="425"/>
        <w:jc w:val="both"/>
      </w:pPr>
      <w:r w:rsidRPr="0011328F">
        <w:t xml:space="preserve">Τον Ιανουάριο, </w:t>
      </w:r>
      <w:r w:rsidR="0011328F" w:rsidRPr="0011328F">
        <w:t xml:space="preserve">η </w:t>
      </w:r>
      <w:proofErr w:type="spellStart"/>
      <w:r w:rsidR="0011328F" w:rsidRPr="0011328F">
        <w:t>Chevron</w:t>
      </w:r>
      <w:proofErr w:type="spellEnd"/>
      <w:r w:rsidR="0011328F" w:rsidRPr="0011328F">
        <w:t xml:space="preserve"> </w:t>
      </w:r>
      <w:proofErr w:type="spellStart"/>
      <w:r w:rsidR="0011328F" w:rsidRPr="0011328F">
        <w:t>Mediterranean</w:t>
      </w:r>
      <w:proofErr w:type="spellEnd"/>
      <w:r w:rsidR="0011328F" w:rsidRPr="0011328F">
        <w:t xml:space="preserve"> Ltd ανέθεσε στη Σωληνουργεία Κορίνθου την προμήθεια 155 </w:t>
      </w:r>
      <w:r w:rsidR="0011328F" w:rsidRPr="00307754">
        <w:t xml:space="preserve">χιλιομέτρων αγωγού σωλήνων χάλυβα για τον αγωγό φυσικού αερίου </w:t>
      </w:r>
      <w:proofErr w:type="spellStart"/>
      <w:r w:rsidR="0011328F" w:rsidRPr="00307754">
        <w:t>Tamar</w:t>
      </w:r>
      <w:proofErr w:type="spellEnd"/>
      <w:r w:rsidR="0011328F" w:rsidRPr="00307754">
        <w:t xml:space="preserve"> στη Νοτιοανατολική Μεσόγειο</w:t>
      </w:r>
      <w:r w:rsidR="004C103D" w:rsidRPr="00307754">
        <w:t>.</w:t>
      </w:r>
    </w:p>
    <w:p w14:paraId="4F54E68D" w14:textId="3DAB040E" w:rsidR="0092549D" w:rsidRPr="00307754" w:rsidRDefault="004C103D" w:rsidP="0092549D">
      <w:pPr>
        <w:numPr>
          <w:ilvl w:val="0"/>
          <w:numId w:val="1"/>
        </w:numPr>
        <w:spacing w:after="120" w:line="240" w:lineRule="auto"/>
        <w:ind w:left="567" w:hanging="425"/>
        <w:jc w:val="both"/>
      </w:pPr>
      <w:r w:rsidRPr="00307754">
        <w:t xml:space="preserve">Μέσα στο έτος, η </w:t>
      </w:r>
      <w:r w:rsidRPr="00307754">
        <w:rPr>
          <w:lang w:val="en-US"/>
        </w:rPr>
        <w:t>Equinor</w:t>
      </w:r>
      <w:r w:rsidRPr="00307754">
        <w:t xml:space="preserve"> ανέθεσε την προμήθεια σωλήνων χάλυβα 15 χιλιομέτρων για το </w:t>
      </w:r>
      <w:r w:rsidRPr="00307754">
        <w:rPr>
          <w:lang w:val="en-US"/>
        </w:rPr>
        <w:t>IRPA</w:t>
      </w:r>
      <w:r w:rsidRPr="00307754">
        <w:t xml:space="preserve"> στη νορβηγική θάλασσα.</w:t>
      </w:r>
    </w:p>
    <w:p w14:paraId="071D9308" w14:textId="45674B45" w:rsidR="0092549D" w:rsidRPr="00307754" w:rsidRDefault="00751422" w:rsidP="0092549D">
      <w:pPr>
        <w:numPr>
          <w:ilvl w:val="0"/>
          <w:numId w:val="1"/>
        </w:numPr>
        <w:spacing w:after="120" w:line="240" w:lineRule="auto"/>
        <w:ind w:left="567" w:hanging="425"/>
        <w:jc w:val="both"/>
      </w:pPr>
      <w:r w:rsidRPr="00307754">
        <w:t>Τον Μάρτιο ανατέθηκε από την ONE-</w:t>
      </w:r>
      <w:proofErr w:type="spellStart"/>
      <w:r w:rsidRPr="00307754">
        <w:t>Dyas</w:t>
      </w:r>
      <w:proofErr w:type="spellEnd"/>
      <w:r w:rsidRPr="00307754">
        <w:t xml:space="preserve"> B.V νέα σύμβαση για την προμήθεια σωλήνων χάλυβα πιστοποιημένων για υδρογόνο</w:t>
      </w:r>
      <w:r w:rsidR="00E563B6">
        <w:t xml:space="preserve"> μήκους</w:t>
      </w:r>
      <w:r w:rsidRPr="00307754">
        <w:t xml:space="preserve"> 16 χιλιομέτρων για την πλατφόρμα N05-A στη Βόρεια Θάλασσα.</w:t>
      </w:r>
    </w:p>
    <w:p w14:paraId="149E4B49" w14:textId="26BF6F3C" w:rsidR="0092549D" w:rsidRPr="00307754" w:rsidRDefault="00751422" w:rsidP="0092549D">
      <w:pPr>
        <w:numPr>
          <w:ilvl w:val="0"/>
          <w:numId w:val="1"/>
        </w:numPr>
        <w:spacing w:after="120" w:line="240" w:lineRule="auto"/>
        <w:ind w:left="567" w:hanging="425"/>
        <w:jc w:val="both"/>
      </w:pPr>
      <w:r w:rsidRPr="00307754">
        <w:t>Μέσα στο έτος</w:t>
      </w:r>
      <w:r w:rsidR="00E563B6">
        <w:t>,</w:t>
      </w:r>
      <w:r w:rsidRPr="00307754">
        <w:t xml:space="preserve"> η </w:t>
      </w:r>
      <w:proofErr w:type="spellStart"/>
      <w:r w:rsidRPr="00307754">
        <w:t>Chevron</w:t>
      </w:r>
      <w:proofErr w:type="spellEnd"/>
      <w:r w:rsidRPr="00307754">
        <w:t xml:space="preserve"> </w:t>
      </w:r>
      <w:proofErr w:type="spellStart"/>
      <w:r w:rsidRPr="00307754">
        <w:t>Mediterranean</w:t>
      </w:r>
      <w:proofErr w:type="spellEnd"/>
      <w:r w:rsidRPr="00307754">
        <w:t xml:space="preserve"> Ltd ανέθεσε την προμήθεια 118 χιλιομέτρων για τη γραμμή συλλογής τρίτου κοιτάσματος φυσικού αερίου </w:t>
      </w:r>
      <w:r w:rsidRPr="00307754">
        <w:rPr>
          <w:lang w:val="en-US"/>
        </w:rPr>
        <w:t>Leviathan</w:t>
      </w:r>
      <w:r w:rsidRPr="00307754">
        <w:t>, στη Νοτιοανατολική Μεσόγειο.</w:t>
      </w:r>
    </w:p>
    <w:p w14:paraId="4065A5F5" w14:textId="5BE88865" w:rsidR="009152DC" w:rsidRDefault="009152DC" w:rsidP="001A12E5">
      <w:pPr>
        <w:autoSpaceDE w:val="0"/>
        <w:autoSpaceDN w:val="0"/>
        <w:adjustRightInd w:val="0"/>
        <w:spacing w:after="120" w:line="240" w:lineRule="auto"/>
        <w:jc w:val="both"/>
        <w:rPr>
          <w:rFonts w:cs="Calibri"/>
          <w:szCs w:val="20"/>
        </w:rPr>
      </w:pPr>
      <w:r w:rsidRPr="009152DC">
        <w:rPr>
          <w:rFonts w:cs="Calibri"/>
          <w:szCs w:val="20"/>
        </w:rPr>
        <w:t>Πέραν των παραπάνω</w:t>
      </w:r>
      <w:r>
        <w:rPr>
          <w:rFonts w:cs="Calibri"/>
          <w:szCs w:val="20"/>
        </w:rPr>
        <w:t>, έγιναν</w:t>
      </w:r>
      <w:r w:rsidRPr="00370621">
        <w:rPr>
          <w:rFonts w:cs="Calibri"/>
          <w:szCs w:val="20"/>
        </w:rPr>
        <w:t xml:space="preserve"> </w:t>
      </w:r>
      <w:r>
        <w:rPr>
          <w:rFonts w:cs="Calibri"/>
          <w:szCs w:val="20"/>
        </w:rPr>
        <w:t>και</w:t>
      </w:r>
      <w:r w:rsidRPr="00370621">
        <w:rPr>
          <w:rFonts w:cs="Calibri"/>
          <w:szCs w:val="20"/>
        </w:rPr>
        <w:t xml:space="preserve"> </w:t>
      </w:r>
      <w:r>
        <w:rPr>
          <w:rFonts w:cs="Calibri"/>
          <w:szCs w:val="20"/>
        </w:rPr>
        <w:t xml:space="preserve">περαιτέρω αναθέσεις έργων </w:t>
      </w:r>
      <w:r w:rsidRPr="0080334C">
        <w:rPr>
          <w:rFonts w:cs="Calibri"/>
          <w:szCs w:val="20"/>
        </w:rPr>
        <w:t xml:space="preserve">στην Ιταλία, </w:t>
      </w:r>
      <w:r>
        <w:rPr>
          <w:rFonts w:cs="Calibri"/>
          <w:szCs w:val="20"/>
        </w:rPr>
        <w:t>σ</w:t>
      </w:r>
      <w:r w:rsidRPr="0080334C">
        <w:rPr>
          <w:rFonts w:cs="Calibri"/>
          <w:szCs w:val="20"/>
        </w:rPr>
        <w:t xml:space="preserve">την </w:t>
      </w:r>
      <w:r w:rsidR="00C53441">
        <w:rPr>
          <w:rFonts w:cs="Calibri"/>
          <w:szCs w:val="20"/>
        </w:rPr>
        <w:t xml:space="preserve">ευρύτερη </w:t>
      </w:r>
      <w:r w:rsidRPr="0080334C">
        <w:rPr>
          <w:rFonts w:cs="Calibri"/>
          <w:szCs w:val="20"/>
        </w:rPr>
        <w:t xml:space="preserve">περιοχή της Μεσογείου, </w:t>
      </w:r>
      <w:r>
        <w:rPr>
          <w:rFonts w:cs="Calibri"/>
          <w:szCs w:val="20"/>
        </w:rPr>
        <w:t>σ</w:t>
      </w:r>
      <w:r w:rsidRPr="0080334C">
        <w:rPr>
          <w:rFonts w:cs="Calibri"/>
          <w:szCs w:val="20"/>
        </w:rPr>
        <w:t xml:space="preserve">τη Βόρεια και </w:t>
      </w:r>
      <w:r>
        <w:rPr>
          <w:rFonts w:cs="Calibri"/>
          <w:szCs w:val="20"/>
        </w:rPr>
        <w:t>σ</w:t>
      </w:r>
      <w:r w:rsidRPr="0080334C">
        <w:rPr>
          <w:rFonts w:cs="Calibri"/>
          <w:szCs w:val="20"/>
        </w:rPr>
        <w:t xml:space="preserve">τη Νορβηγική Θάλασσα, </w:t>
      </w:r>
      <w:r>
        <w:rPr>
          <w:rFonts w:cs="Calibri"/>
          <w:szCs w:val="20"/>
        </w:rPr>
        <w:t>σ</w:t>
      </w:r>
      <w:r w:rsidRPr="0080334C">
        <w:rPr>
          <w:rFonts w:cs="Calibri"/>
          <w:szCs w:val="20"/>
        </w:rPr>
        <w:t xml:space="preserve">την Αφρική και </w:t>
      </w:r>
      <w:r>
        <w:rPr>
          <w:rFonts w:cs="Calibri"/>
          <w:szCs w:val="20"/>
        </w:rPr>
        <w:t>σ</w:t>
      </w:r>
      <w:r w:rsidRPr="0080334C">
        <w:rPr>
          <w:rFonts w:cs="Calibri"/>
          <w:szCs w:val="20"/>
        </w:rPr>
        <w:t>τις ΗΠΑ</w:t>
      </w:r>
      <w:r w:rsidR="00E563B6">
        <w:rPr>
          <w:rFonts w:cs="Calibri"/>
          <w:szCs w:val="20"/>
        </w:rPr>
        <w:t>,</w:t>
      </w:r>
      <w:r w:rsidRPr="0080334C">
        <w:rPr>
          <w:rFonts w:cs="Calibri"/>
          <w:szCs w:val="20"/>
        </w:rPr>
        <w:t xml:space="preserve"> </w:t>
      </w:r>
      <w:r w:rsidR="00CB0C8E">
        <w:rPr>
          <w:rFonts w:cs="Calibri"/>
          <w:szCs w:val="20"/>
        </w:rPr>
        <w:t>ενισχύοντας</w:t>
      </w:r>
      <w:r w:rsidR="00B06F5E">
        <w:rPr>
          <w:rFonts w:cs="Calibri"/>
          <w:szCs w:val="20"/>
        </w:rPr>
        <w:t xml:space="preserve"> περαιτέρω</w:t>
      </w:r>
      <w:r w:rsidRPr="0080334C">
        <w:rPr>
          <w:rFonts w:cs="Calibri"/>
          <w:szCs w:val="20"/>
        </w:rPr>
        <w:t xml:space="preserve"> την κερδοφορία του </w:t>
      </w:r>
      <w:r w:rsidR="00B80DE8">
        <w:rPr>
          <w:rFonts w:cs="Calibri"/>
          <w:szCs w:val="20"/>
        </w:rPr>
        <w:t>τομέα</w:t>
      </w:r>
      <w:r>
        <w:rPr>
          <w:rFonts w:cs="Calibri"/>
          <w:szCs w:val="20"/>
        </w:rPr>
        <w:t xml:space="preserve"> σωλήνων χάλυβα</w:t>
      </w:r>
      <w:r w:rsidR="00B06F5E">
        <w:rPr>
          <w:rFonts w:cs="Calibri"/>
          <w:szCs w:val="20"/>
        </w:rPr>
        <w:t xml:space="preserve">, </w:t>
      </w:r>
      <w:r w:rsidR="00B06F5E" w:rsidRPr="0080334C">
        <w:rPr>
          <w:rFonts w:cs="Calibri"/>
          <w:szCs w:val="20"/>
        </w:rPr>
        <w:t>παρά το υψηλότερο κόστος χρηματοδότησης</w:t>
      </w:r>
      <w:r>
        <w:rPr>
          <w:rFonts w:cs="Calibri"/>
          <w:szCs w:val="20"/>
        </w:rPr>
        <w:t>.</w:t>
      </w:r>
    </w:p>
    <w:p w14:paraId="07123FA9" w14:textId="6CC5EF13" w:rsidR="009152DC" w:rsidRPr="009152DC" w:rsidRDefault="009152DC" w:rsidP="00BB0AEF">
      <w:pPr>
        <w:autoSpaceDE w:val="0"/>
        <w:autoSpaceDN w:val="0"/>
        <w:adjustRightInd w:val="0"/>
        <w:spacing w:after="120" w:line="240" w:lineRule="auto"/>
        <w:jc w:val="both"/>
        <w:rPr>
          <w:rFonts w:cs="Calibri"/>
          <w:szCs w:val="20"/>
          <w:highlight w:val="yellow"/>
        </w:rPr>
      </w:pPr>
      <w:r w:rsidRPr="009152DC">
        <w:rPr>
          <w:rFonts w:cs="Calibri"/>
          <w:szCs w:val="20"/>
        </w:rPr>
        <w:t xml:space="preserve">Ως αποτέλεσμα των προαναφερθέντων αναθέσεων, το ανεκτέλεστο υπόλοιπο στο τέλος του πρώτου εξαμήνου του 2023 ανήλθε σε </w:t>
      </w:r>
      <w:r w:rsidR="00E563B6">
        <w:rPr>
          <w:rFonts w:cs="Calibri"/>
          <w:szCs w:val="20"/>
        </w:rPr>
        <w:t>€630 εκατ. ευρώ</w:t>
      </w:r>
      <w:r w:rsidR="00B06F5E">
        <w:rPr>
          <w:rFonts w:cs="Calibri"/>
          <w:szCs w:val="20"/>
        </w:rPr>
        <w:t>,</w:t>
      </w:r>
      <w:r w:rsidRPr="009152DC">
        <w:rPr>
          <w:rFonts w:cs="Calibri"/>
          <w:szCs w:val="20"/>
        </w:rPr>
        <w:t xml:space="preserve"> με </w:t>
      </w:r>
      <w:r w:rsidR="00E563B6">
        <w:rPr>
          <w:rFonts w:cs="Calibri"/>
          <w:szCs w:val="20"/>
        </w:rPr>
        <w:t xml:space="preserve">τις </w:t>
      </w:r>
      <w:r w:rsidRPr="009152DC">
        <w:rPr>
          <w:rFonts w:cs="Calibri"/>
          <w:szCs w:val="20"/>
        </w:rPr>
        <w:t xml:space="preserve">νέες </w:t>
      </w:r>
      <w:r w:rsidR="00FD6CF5">
        <w:rPr>
          <w:rFonts w:cs="Calibri"/>
          <w:szCs w:val="20"/>
        </w:rPr>
        <w:t xml:space="preserve">αναθέσεις </w:t>
      </w:r>
      <w:r w:rsidR="00E563B6">
        <w:rPr>
          <w:rFonts w:cs="Calibri"/>
          <w:szCs w:val="20"/>
        </w:rPr>
        <w:t>να ξεπερνούν τα</w:t>
      </w:r>
      <w:r w:rsidRPr="009152DC">
        <w:rPr>
          <w:rFonts w:cs="Calibri"/>
          <w:szCs w:val="20"/>
        </w:rPr>
        <w:t xml:space="preserve"> 220 εκατομμ</w:t>
      </w:r>
      <w:r w:rsidR="00E563B6">
        <w:rPr>
          <w:rFonts w:cs="Calibri"/>
          <w:szCs w:val="20"/>
        </w:rPr>
        <w:t>ύρια</w:t>
      </w:r>
      <w:r w:rsidRPr="009152DC">
        <w:rPr>
          <w:rFonts w:cs="Calibri"/>
          <w:szCs w:val="20"/>
        </w:rPr>
        <w:t>.</w:t>
      </w:r>
    </w:p>
    <w:p w14:paraId="557808FC" w14:textId="78F6B71D" w:rsidR="00FD6CF5" w:rsidRPr="00FD6CF5" w:rsidRDefault="00FD6CF5" w:rsidP="001A12E5">
      <w:pPr>
        <w:autoSpaceDE w:val="0"/>
        <w:autoSpaceDN w:val="0"/>
        <w:adjustRightInd w:val="0"/>
        <w:spacing w:after="120" w:line="240" w:lineRule="auto"/>
        <w:jc w:val="both"/>
        <w:rPr>
          <w:rFonts w:cs="Calibri"/>
        </w:rPr>
      </w:pPr>
      <w:r w:rsidRPr="0032297A">
        <w:rPr>
          <w:rFonts w:cs="Calibri"/>
        </w:rPr>
        <w:t>Η υψηλή</w:t>
      </w:r>
      <w:r>
        <w:rPr>
          <w:rFonts w:cs="Calibri"/>
        </w:rPr>
        <w:t xml:space="preserve"> αξιοποίηση της</w:t>
      </w:r>
      <w:r w:rsidRPr="0032297A">
        <w:rPr>
          <w:rFonts w:cs="Calibri"/>
        </w:rPr>
        <w:t xml:space="preserve"> παραγωγικής ικανότητας σε συνδυασμό με ένα μείγμα έργων υψηλότερου περιθωρίου</w:t>
      </w:r>
      <w:r w:rsidR="00CB0C8E">
        <w:rPr>
          <w:rFonts w:cs="Calibri"/>
        </w:rPr>
        <w:t xml:space="preserve"> κέρδους</w:t>
      </w:r>
      <w:r w:rsidR="00E563B6">
        <w:rPr>
          <w:rFonts w:cs="Calibri"/>
        </w:rPr>
        <w:t>,</w:t>
      </w:r>
      <w:r w:rsidRPr="0032297A">
        <w:rPr>
          <w:rFonts w:cs="Calibri"/>
        </w:rPr>
        <w:t xml:space="preserve"> οδήγησ</w:t>
      </w:r>
      <w:r w:rsidR="00654AAD">
        <w:rPr>
          <w:rFonts w:cs="Calibri"/>
        </w:rPr>
        <w:t>αν</w:t>
      </w:r>
      <w:r w:rsidRPr="0032297A">
        <w:rPr>
          <w:rFonts w:cs="Calibri"/>
        </w:rPr>
        <w:t xml:space="preserve"> σε αξιοσημείωτη βελτίωση της κερδοφορίας με </w:t>
      </w:r>
      <w:r w:rsidR="005C3FD6">
        <w:rPr>
          <w:rFonts w:cs="Calibri"/>
        </w:rPr>
        <w:t xml:space="preserve">το </w:t>
      </w:r>
      <w:r w:rsidRPr="0032297A">
        <w:rPr>
          <w:rFonts w:cs="Calibri"/>
        </w:rPr>
        <w:t xml:space="preserve">μικτό κέρδος </w:t>
      </w:r>
      <w:r w:rsidR="005C3FD6">
        <w:rPr>
          <w:rFonts w:cs="Calibri"/>
        </w:rPr>
        <w:t xml:space="preserve">να ανέρχεται σε </w:t>
      </w:r>
      <w:r w:rsidRPr="0032297A">
        <w:rPr>
          <w:rFonts w:cs="Calibri"/>
        </w:rPr>
        <w:t>31,3 εκατ. ευρώ το πρώτο εξάμηνο του 2023 (</w:t>
      </w:r>
      <w:r w:rsidR="005C3FD6">
        <w:rPr>
          <w:rFonts w:cs="Calibri"/>
        </w:rPr>
        <w:t>έναντι</w:t>
      </w:r>
      <w:r w:rsidRPr="0032297A">
        <w:rPr>
          <w:rFonts w:cs="Calibri"/>
        </w:rPr>
        <w:t xml:space="preserve"> 4,4 εκατ. ευρώ</w:t>
      </w:r>
      <w:r w:rsidR="005C3FD6">
        <w:rPr>
          <w:rFonts w:cs="Calibri"/>
        </w:rPr>
        <w:t>,</w:t>
      </w:r>
      <w:r w:rsidRPr="0032297A">
        <w:rPr>
          <w:rFonts w:cs="Calibri"/>
        </w:rPr>
        <w:t xml:space="preserve"> το πρώτο εξάμηνο του 2022) και </w:t>
      </w:r>
      <w:r w:rsidR="00A62D4B">
        <w:rPr>
          <w:rFonts w:cs="Calibri"/>
        </w:rPr>
        <w:t xml:space="preserve">το </w:t>
      </w:r>
      <w:r>
        <w:rPr>
          <w:rFonts w:cs="Calibri"/>
        </w:rPr>
        <w:t>ανα</w:t>
      </w:r>
      <w:r w:rsidRPr="0032297A">
        <w:rPr>
          <w:rFonts w:cs="Calibri"/>
        </w:rPr>
        <w:t xml:space="preserve">προσαρμοσμένο </w:t>
      </w:r>
      <w:r w:rsidRPr="0032297A">
        <w:rPr>
          <w:rFonts w:cs="Calibri"/>
          <w:lang w:val="en-GB"/>
        </w:rPr>
        <w:t>EBITDA</w:t>
      </w:r>
      <w:r>
        <w:rPr>
          <w:rFonts w:cs="Calibri"/>
        </w:rPr>
        <w:t xml:space="preserve"> </w:t>
      </w:r>
      <w:r w:rsidR="005C3FD6">
        <w:rPr>
          <w:rFonts w:cs="Calibri"/>
        </w:rPr>
        <w:t>να ανέρχεται σε</w:t>
      </w:r>
      <w:r>
        <w:rPr>
          <w:rFonts w:cs="Calibri"/>
        </w:rPr>
        <w:t xml:space="preserve"> 27,0 εκατ. ευρώ, πέντε φορές μεγαλύτερο</w:t>
      </w:r>
      <w:r w:rsidRPr="0032297A">
        <w:rPr>
          <w:rFonts w:cs="Calibri"/>
        </w:rPr>
        <w:t xml:space="preserve"> </w:t>
      </w:r>
      <w:r w:rsidR="00A62D4B">
        <w:rPr>
          <w:rFonts w:cs="Calibri"/>
        </w:rPr>
        <w:t>από τα</w:t>
      </w:r>
      <w:r w:rsidRPr="0032297A">
        <w:rPr>
          <w:rFonts w:cs="Calibri"/>
        </w:rPr>
        <w:t xml:space="preserve"> 4,5 εκατ. ευρώ που </w:t>
      </w:r>
      <w:r>
        <w:rPr>
          <w:rFonts w:cs="Calibri"/>
        </w:rPr>
        <w:t>είχαν σημειωθεί</w:t>
      </w:r>
      <w:r w:rsidRPr="0032297A">
        <w:rPr>
          <w:rFonts w:cs="Calibri"/>
        </w:rPr>
        <w:t xml:space="preserve"> το πρώτο εξάμηνο του 2022. </w:t>
      </w:r>
      <w:r w:rsidR="00E563B6">
        <w:rPr>
          <w:rFonts w:cs="Calibri"/>
        </w:rPr>
        <w:t xml:space="preserve"> </w:t>
      </w:r>
      <w:r w:rsidRPr="0032297A">
        <w:rPr>
          <w:rFonts w:cs="Calibri"/>
        </w:rPr>
        <w:t>Η βελτίωση της λειτουργικής κερδοφορίας μεταφράστηκε σε καθαρά κέρδη</w:t>
      </w:r>
      <w:r w:rsidR="00346149">
        <w:rPr>
          <w:rFonts w:cs="Calibri"/>
        </w:rPr>
        <w:t xml:space="preserve"> μετά από φόρους</w:t>
      </w:r>
      <w:r w:rsidRPr="0032297A">
        <w:rPr>
          <w:rFonts w:cs="Calibri"/>
        </w:rPr>
        <w:t xml:space="preserve"> </w:t>
      </w:r>
      <w:r w:rsidR="00C53441" w:rsidRPr="0032297A">
        <w:rPr>
          <w:rFonts w:cs="Calibri"/>
        </w:rPr>
        <w:t>7,3</w:t>
      </w:r>
      <w:r w:rsidR="00C53441">
        <w:rPr>
          <w:rFonts w:cs="Calibri"/>
        </w:rPr>
        <w:t> </w:t>
      </w:r>
      <w:r w:rsidR="00C53441" w:rsidRPr="0032297A">
        <w:rPr>
          <w:rFonts w:cs="Calibri"/>
        </w:rPr>
        <w:t>εκατ.</w:t>
      </w:r>
      <w:r w:rsidR="00C53441">
        <w:rPr>
          <w:rFonts w:cs="Calibri"/>
        </w:rPr>
        <w:t> </w:t>
      </w:r>
      <w:r w:rsidR="00C53441" w:rsidRPr="0032297A">
        <w:rPr>
          <w:rFonts w:cs="Calibri"/>
        </w:rPr>
        <w:t xml:space="preserve">ευρώ </w:t>
      </w:r>
      <w:r w:rsidRPr="0032297A">
        <w:rPr>
          <w:rFonts w:cs="Calibri"/>
        </w:rPr>
        <w:t xml:space="preserve">για το </w:t>
      </w:r>
      <w:r w:rsidR="00654AAD">
        <w:rPr>
          <w:rFonts w:cs="Calibri"/>
        </w:rPr>
        <w:t xml:space="preserve">πρώτο </w:t>
      </w:r>
      <w:r w:rsidRPr="0032297A">
        <w:rPr>
          <w:rFonts w:cs="Calibri"/>
        </w:rPr>
        <w:t>εξάμηνο</w:t>
      </w:r>
      <w:r w:rsidR="00654AAD">
        <w:rPr>
          <w:rFonts w:cs="Calibri"/>
        </w:rPr>
        <w:t xml:space="preserve"> του 2023 </w:t>
      </w:r>
      <w:r w:rsidRPr="0032297A">
        <w:rPr>
          <w:rFonts w:cs="Calibri"/>
        </w:rPr>
        <w:t xml:space="preserve">έναντι καθαρής ζημίας </w:t>
      </w:r>
      <w:r w:rsidR="00346149">
        <w:rPr>
          <w:rFonts w:cs="Calibri"/>
        </w:rPr>
        <w:t>μετά από φόρους</w:t>
      </w:r>
      <w:r w:rsidR="00654AAD">
        <w:rPr>
          <w:rFonts w:cs="Calibri"/>
        </w:rPr>
        <w:t xml:space="preserve"> ύψους</w:t>
      </w:r>
      <w:r w:rsidR="00346149">
        <w:rPr>
          <w:rFonts w:cs="Calibri"/>
        </w:rPr>
        <w:t xml:space="preserve"> </w:t>
      </w:r>
      <w:r w:rsidRPr="0032297A">
        <w:rPr>
          <w:rFonts w:cs="Calibri"/>
        </w:rPr>
        <w:t>1,5 εκατ. ευρώ το πρώτο εξάμηνο του 2022.</w:t>
      </w:r>
    </w:p>
    <w:p w14:paraId="67ECA0D9" w14:textId="6FEC94A7" w:rsidR="00B6144B" w:rsidRDefault="00B6144B" w:rsidP="009152DC">
      <w:pPr>
        <w:autoSpaceDE w:val="0"/>
        <w:autoSpaceDN w:val="0"/>
        <w:adjustRightInd w:val="0"/>
        <w:spacing w:after="120" w:line="240" w:lineRule="auto"/>
        <w:jc w:val="both"/>
        <w:rPr>
          <w:rFonts w:cs="Calibri"/>
          <w:szCs w:val="20"/>
        </w:rPr>
      </w:pPr>
      <w:r>
        <w:rPr>
          <w:rFonts w:cs="Calibri"/>
          <w:szCs w:val="20"/>
        </w:rPr>
        <w:t>Τ</w:t>
      </w:r>
      <w:r w:rsidRPr="00483269">
        <w:rPr>
          <w:rFonts w:cs="Calibri"/>
          <w:szCs w:val="20"/>
        </w:rPr>
        <w:t xml:space="preserve">ο κεφάλαιο κίνησης για τον </w:t>
      </w:r>
      <w:r w:rsidR="00B80DE8">
        <w:rPr>
          <w:rFonts w:cs="Calibri"/>
          <w:szCs w:val="20"/>
        </w:rPr>
        <w:t>τομέα</w:t>
      </w:r>
      <w:r w:rsidRPr="00483269">
        <w:rPr>
          <w:rFonts w:cs="Calibri"/>
          <w:szCs w:val="20"/>
        </w:rPr>
        <w:t xml:space="preserve"> σωλήνων</w:t>
      </w:r>
      <w:r w:rsidRPr="003D316C">
        <w:rPr>
          <w:rFonts w:cs="Calibri"/>
          <w:szCs w:val="20"/>
        </w:rPr>
        <w:t xml:space="preserve"> </w:t>
      </w:r>
      <w:r>
        <w:rPr>
          <w:rFonts w:cs="Calibri"/>
          <w:szCs w:val="20"/>
        </w:rPr>
        <w:t>χάλυβα</w:t>
      </w:r>
      <w:r w:rsidRPr="00483269">
        <w:rPr>
          <w:rFonts w:cs="Calibri"/>
          <w:szCs w:val="20"/>
        </w:rPr>
        <w:t xml:space="preserve"> </w:t>
      </w:r>
      <w:r>
        <w:rPr>
          <w:rFonts w:cs="Calibri"/>
          <w:szCs w:val="20"/>
        </w:rPr>
        <w:t xml:space="preserve">αυξήθηκε </w:t>
      </w:r>
      <w:r w:rsidRPr="00483269">
        <w:rPr>
          <w:rFonts w:cs="Calibri"/>
          <w:szCs w:val="20"/>
        </w:rPr>
        <w:t>περίπου</w:t>
      </w:r>
      <w:r>
        <w:rPr>
          <w:rFonts w:cs="Calibri"/>
          <w:szCs w:val="20"/>
        </w:rPr>
        <w:t xml:space="preserve"> κατά</w:t>
      </w:r>
      <w:r w:rsidRPr="00483269">
        <w:rPr>
          <w:rFonts w:cs="Calibri"/>
          <w:szCs w:val="20"/>
        </w:rPr>
        <w:t xml:space="preserve"> 78</w:t>
      </w:r>
      <w:r w:rsidR="00E563B6">
        <w:rPr>
          <w:rFonts w:cs="Calibri"/>
          <w:szCs w:val="20"/>
        </w:rPr>
        <w:t> </w:t>
      </w:r>
      <w:r w:rsidRPr="00483269">
        <w:rPr>
          <w:rFonts w:cs="Calibri"/>
          <w:szCs w:val="20"/>
        </w:rPr>
        <w:t>εκατ.</w:t>
      </w:r>
      <w:r w:rsidR="00E563B6">
        <w:rPr>
          <w:rFonts w:cs="Calibri"/>
          <w:szCs w:val="20"/>
        </w:rPr>
        <w:t> </w:t>
      </w:r>
      <w:r w:rsidRPr="00483269">
        <w:rPr>
          <w:rFonts w:cs="Calibri"/>
          <w:szCs w:val="20"/>
        </w:rPr>
        <w:t>ευρώ σε σχέση με το 2022</w:t>
      </w:r>
      <w:r w:rsidR="00E563B6">
        <w:rPr>
          <w:rFonts w:cs="Calibri"/>
          <w:szCs w:val="20"/>
        </w:rPr>
        <w:t>,</w:t>
      </w:r>
      <w:r>
        <w:rPr>
          <w:rFonts w:cs="Calibri"/>
          <w:szCs w:val="20"/>
        </w:rPr>
        <w:t xml:space="preserve"> κυρίως λόγω των υψηλότερων πωλήσεων και των αυξημένων αναγκών για πρώτες </w:t>
      </w:r>
      <w:r w:rsidRPr="00B6144B">
        <w:rPr>
          <w:rFonts w:cs="Calibri"/>
          <w:szCs w:val="20"/>
        </w:rPr>
        <w:t>ύλες που σχετίζονται με έργα που περιλαμβάνονται ήδη στο ανεκτέλεστο υπόλοιπο παραγγελιών και τα οποία θα παραχθούν εντός του δεύτερου εξαμήνου του 2023</w:t>
      </w:r>
      <w:r>
        <w:rPr>
          <w:rFonts w:cs="Calibri"/>
          <w:szCs w:val="20"/>
        </w:rPr>
        <w:t>.</w:t>
      </w:r>
      <w:r w:rsidRPr="00B6144B">
        <w:rPr>
          <w:rFonts w:cs="Calibri"/>
          <w:szCs w:val="20"/>
        </w:rPr>
        <w:t xml:space="preserve"> </w:t>
      </w:r>
      <w:r w:rsidR="00E563B6">
        <w:rPr>
          <w:rFonts w:cs="Calibri"/>
          <w:szCs w:val="20"/>
        </w:rPr>
        <w:t xml:space="preserve"> </w:t>
      </w:r>
      <w:r w:rsidRPr="00483269">
        <w:rPr>
          <w:rFonts w:cs="Calibri"/>
          <w:szCs w:val="20"/>
        </w:rPr>
        <w:t xml:space="preserve">Το υψηλότερο κεφάλαιο κίνησης </w:t>
      </w:r>
      <w:r>
        <w:rPr>
          <w:rFonts w:cs="Calibri"/>
          <w:szCs w:val="20"/>
        </w:rPr>
        <w:t>αύξησε</w:t>
      </w:r>
      <w:r w:rsidRPr="00483269">
        <w:rPr>
          <w:rFonts w:cs="Calibri"/>
          <w:szCs w:val="20"/>
        </w:rPr>
        <w:t xml:space="preserve"> το</w:t>
      </w:r>
      <w:r>
        <w:rPr>
          <w:rFonts w:cs="Calibri"/>
          <w:szCs w:val="20"/>
        </w:rPr>
        <w:t>ν</w:t>
      </w:r>
      <w:r w:rsidRPr="00483269">
        <w:rPr>
          <w:rFonts w:cs="Calibri"/>
          <w:szCs w:val="20"/>
        </w:rPr>
        <w:t xml:space="preserve"> καθαρό δανεισμό κατά 68 εκατ.</w:t>
      </w:r>
      <w:r>
        <w:rPr>
          <w:rFonts w:cs="Calibri"/>
          <w:szCs w:val="20"/>
        </w:rPr>
        <w:t xml:space="preserve"> </w:t>
      </w:r>
      <w:r w:rsidRPr="00483269">
        <w:rPr>
          <w:rFonts w:cs="Calibri"/>
          <w:szCs w:val="20"/>
        </w:rPr>
        <w:t xml:space="preserve">ευρώ </w:t>
      </w:r>
      <w:r w:rsidR="0034258B">
        <w:rPr>
          <w:rFonts w:cs="Calibri"/>
          <w:szCs w:val="20"/>
        </w:rPr>
        <w:t xml:space="preserve">σε σχέση </w:t>
      </w:r>
      <w:r w:rsidR="006E2E68">
        <w:rPr>
          <w:rFonts w:cs="Calibri"/>
          <w:szCs w:val="20"/>
        </w:rPr>
        <w:t xml:space="preserve">με τις </w:t>
      </w:r>
      <w:r w:rsidR="0034258B">
        <w:rPr>
          <w:rFonts w:cs="Calibri"/>
          <w:szCs w:val="20"/>
        </w:rPr>
        <w:t>31.12.</w:t>
      </w:r>
      <w:r w:rsidRPr="00483269">
        <w:rPr>
          <w:rFonts w:cs="Calibri"/>
          <w:szCs w:val="20"/>
        </w:rPr>
        <w:t>2022</w:t>
      </w:r>
      <w:r w:rsidR="0034258B">
        <w:rPr>
          <w:rFonts w:cs="Calibri"/>
          <w:szCs w:val="20"/>
        </w:rPr>
        <w:t xml:space="preserve"> και</w:t>
      </w:r>
      <w:r>
        <w:rPr>
          <w:rFonts w:cs="Calibri"/>
          <w:szCs w:val="20"/>
        </w:rPr>
        <w:t xml:space="preserve"> ανήλθε</w:t>
      </w:r>
      <w:r w:rsidRPr="00483269">
        <w:rPr>
          <w:rFonts w:cs="Calibri"/>
          <w:szCs w:val="20"/>
        </w:rPr>
        <w:t xml:space="preserve"> </w:t>
      </w:r>
      <w:r>
        <w:rPr>
          <w:rFonts w:cs="Calibri"/>
          <w:szCs w:val="20"/>
        </w:rPr>
        <w:t>σ</w:t>
      </w:r>
      <w:r w:rsidRPr="00483269">
        <w:rPr>
          <w:rFonts w:cs="Calibri"/>
          <w:szCs w:val="20"/>
        </w:rPr>
        <w:t>τα 171,5</w:t>
      </w:r>
      <w:r w:rsidR="00E563B6">
        <w:rPr>
          <w:rFonts w:cs="Calibri"/>
          <w:szCs w:val="20"/>
        </w:rPr>
        <w:t> </w:t>
      </w:r>
      <w:r w:rsidRPr="00483269">
        <w:rPr>
          <w:rFonts w:cs="Calibri"/>
          <w:szCs w:val="20"/>
        </w:rPr>
        <w:t>εκατ.</w:t>
      </w:r>
      <w:r w:rsidR="00E563B6">
        <w:rPr>
          <w:rFonts w:cs="Calibri"/>
          <w:szCs w:val="20"/>
        </w:rPr>
        <w:t> </w:t>
      </w:r>
      <w:r w:rsidRPr="00483269">
        <w:rPr>
          <w:rFonts w:cs="Calibri"/>
          <w:szCs w:val="20"/>
        </w:rPr>
        <w:t>ευρώ.</w:t>
      </w:r>
      <w:r w:rsidR="00E563B6">
        <w:rPr>
          <w:rFonts w:cs="Calibri"/>
          <w:szCs w:val="20"/>
        </w:rPr>
        <w:t xml:space="preserve"> </w:t>
      </w:r>
      <w:r w:rsidRPr="00483269">
        <w:rPr>
          <w:rFonts w:cs="Calibri"/>
          <w:szCs w:val="20"/>
        </w:rPr>
        <w:t xml:space="preserve"> Ωστόσο, η αύξηση αυτή αποδίδεται κυρίως </w:t>
      </w:r>
      <w:r w:rsidR="00B06F5E">
        <w:rPr>
          <w:rFonts w:cs="Calibri"/>
          <w:szCs w:val="20"/>
        </w:rPr>
        <w:t>στο χρονισμό</w:t>
      </w:r>
      <w:r w:rsidRPr="00483269">
        <w:rPr>
          <w:rFonts w:cs="Calibri"/>
          <w:szCs w:val="20"/>
        </w:rPr>
        <w:t xml:space="preserve"> </w:t>
      </w:r>
      <w:r w:rsidR="00E563B6">
        <w:rPr>
          <w:rFonts w:cs="Calibri"/>
          <w:szCs w:val="20"/>
        </w:rPr>
        <w:t xml:space="preserve">ορισμένων </w:t>
      </w:r>
      <w:r w:rsidRPr="00483269">
        <w:rPr>
          <w:rFonts w:cs="Calibri"/>
          <w:szCs w:val="20"/>
        </w:rPr>
        <w:t>πληρωμών</w:t>
      </w:r>
      <w:r>
        <w:rPr>
          <w:rFonts w:cs="Calibri"/>
          <w:szCs w:val="20"/>
        </w:rPr>
        <w:t xml:space="preserve"> </w:t>
      </w:r>
      <w:r w:rsidRPr="00483269">
        <w:rPr>
          <w:rFonts w:cs="Calibri"/>
          <w:szCs w:val="20"/>
        </w:rPr>
        <w:t>(</w:t>
      </w:r>
      <w:r w:rsidR="00E563B6" w:rsidRPr="00E563B6">
        <w:rPr>
          <w:rFonts w:cs="Calibri"/>
          <w:szCs w:val="20"/>
        </w:rPr>
        <w:t>“</w:t>
      </w:r>
      <w:r w:rsidRPr="00483269">
        <w:rPr>
          <w:rFonts w:cs="Calibri"/>
          <w:szCs w:val="20"/>
          <w:lang w:val="en-US"/>
        </w:rPr>
        <w:t>milestone</w:t>
      </w:r>
      <w:r w:rsidRPr="00483269">
        <w:rPr>
          <w:rFonts w:cs="Calibri"/>
          <w:szCs w:val="20"/>
        </w:rPr>
        <w:t xml:space="preserve"> </w:t>
      </w:r>
      <w:r w:rsidRPr="00483269">
        <w:rPr>
          <w:rFonts w:cs="Calibri"/>
          <w:szCs w:val="20"/>
          <w:lang w:val="en-US"/>
        </w:rPr>
        <w:t>payments</w:t>
      </w:r>
      <w:r w:rsidR="00E563B6" w:rsidRPr="00E563B6">
        <w:rPr>
          <w:rFonts w:cs="Calibri"/>
          <w:szCs w:val="20"/>
        </w:rPr>
        <w:t>”</w:t>
      </w:r>
      <w:r w:rsidRPr="00483269">
        <w:rPr>
          <w:rFonts w:cs="Calibri"/>
          <w:szCs w:val="20"/>
        </w:rPr>
        <w:t xml:space="preserve">) που σχετίζονται με </w:t>
      </w:r>
      <w:r w:rsidR="00B06F5E">
        <w:rPr>
          <w:rFonts w:cs="Calibri"/>
          <w:szCs w:val="20"/>
        </w:rPr>
        <w:t xml:space="preserve">ενεργειακά έργα </w:t>
      </w:r>
      <w:r w:rsidRPr="00483269">
        <w:rPr>
          <w:rFonts w:cs="Calibri"/>
          <w:szCs w:val="20"/>
        </w:rPr>
        <w:t>και θα αντιστραφεί μέχρι το τέλος του έτους, καθώς προχωρά η εκτέλεση των έργων</w:t>
      </w:r>
      <w:r w:rsidR="00B06F5E">
        <w:rPr>
          <w:rFonts w:cs="Calibri"/>
          <w:szCs w:val="20"/>
        </w:rPr>
        <w:t xml:space="preserve"> αυτών</w:t>
      </w:r>
      <w:r w:rsidRPr="00483269">
        <w:rPr>
          <w:rFonts w:cs="Calibri"/>
          <w:szCs w:val="20"/>
        </w:rPr>
        <w:t>.</w:t>
      </w:r>
    </w:p>
    <w:p w14:paraId="26F82A9B" w14:textId="0B87D604" w:rsidR="00483269" w:rsidRDefault="00483269" w:rsidP="009152DC">
      <w:pPr>
        <w:autoSpaceDE w:val="0"/>
        <w:autoSpaceDN w:val="0"/>
        <w:adjustRightInd w:val="0"/>
        <w:spacing w:after="120" w:line="240" w:lineRule="auto"/>
        <w:jc w:val="both"/>
        <w:rPr>
          <w:rFonts w:cs="Calibri"/>
          <w:szCs w:val="20"/>
        </w:rPr>
      </w:pPr>
      <w:r w:rsidRPr="00483269">
        <w:rPr>
          <w:rFonts w:cs="Calibri"/>
          <w:szCs w:val="20"/>
        </w:rPr>
        <w:t xml:space="preserve">Οι κεφαλαιουχικές δαπάνες στον </w:t>
      </w:r>
      <w:r w:rsidR="00B80DE8">
        <w:rPr>
          <w:rFonts w:cs="Calibri"/>
          <w:szCs w:val="20"/>
        </w:rPr>
        <w:t>τομέα</w:t>
      </w:r>
      <w:r w:rsidRPr="00483269">
        <w:rPr>
          <w:rFonts w:cs="Calibri"/>
          <w:szCs w:val="20"/>
        </w:rPr>
        <w:t xml:space="preserve"> των σωλήνων χάλυβα </w:t>
      </w:r>
      <w:r w:rsidR="003D316C">
        <w:rPr>
          <w:rFonts w:cs="Calibri"/>
          <w:szCs w:val="20"/>
        </w:rPr>
        <w:t xml:space="preserve">ανήλθαν </w:t>
      </w:r>
      <w:r w:rsidR="00E563B6">
        <w:rPr>
          <w:rFonts w:cs="Calibri"/>
          <w:szCs w:val="20"/>
        </w:rPr>
        <w:t xml:space="preserve">μόλις </w:t>
      </w:r>
      <w:r w:rsidR="003D316C">
        <w:rPr>
          <w:rFonts w:cs="Calibri"/>
          <w:szCs w:val="20"/>
        </w:rPr>
        <w:t>σε</w:t>
      </w:r>
      <w:r w:rsidRPr="00483269">
        <w:rPr>
          <w:rFonts w:cs="Calibri"/>
          <w:szCs w:val="20"/>
        </w:rPr>
        <w:t xml:space="preserve"> 3,6 εκατ. ευρώ το 2023 και αφορούσαν κυρίως επιλεγμένες λειτουργικές βελτιώσεις στο εργοστάσιο της Θίσβης.</w:t>
      </w:r>
    </w:p>
    <w:p w14:paraId="2DA5D91B" w14:textId="501D2556" w:rsidR="0093388C" w:rsidRPr="00630264" w:rsidRDefault="00E563B6" w:rsidP="006E2E68">
      <w:pPr>
        <w:autoSpaceDE w:val="0"/>
        <w:autoSpaceDN w:val="0"/>
        <w:adjustRightInd w:val="0"/>
        <w:spacing w:after="120" w:line="240" w:lineRule="auto"/>
        <w:jc w:val="both"/>
        <w:rPr>
          <w:rFonts w:cs="Calibri"/>
          <w:szCs w:val="20"/>
        </w:rPr>
      </w:pPr>
      <w:r>
        <w:rPr>
          <w:rFonts w:cs="Calibri"/>
          <w:szCs w:val="20"/>
        </w:rPr>
        <w:lastRenderedPageBreak/>
        <w:t>Ταυτόχρονα,</w:t>
      </w:r>
      <w:r w:rsidRPr="009152DC">
        <w:rPr>
          <w:rFonts w:cs="Calibri"/>
          <w:szCs w:val="20"/>
        </w:rPr>
        <w:t xml:space="preserve"> </w:t>
      </w:r>
      <w:r>
        <w:rPr>
          <w:rFonts w:cs="Calibri"/>
          <w:szCs w:val="20"/>
        </w:rPr>
        <w:t>η</w:t>
      </w:r>
      <w:r w:rsidR="009152DC" w:rsidRPr="009152DC">
        <w:rPr>
          <w:rFonts w:cs="Calibri"/>
          <w:szCs w:val="20"/>
        </w:rPr>
        <w:t xml:space="preserve"> Σωληνουργεία Κορίνθου</w:t>
      </w:r>
      <w:r w:rsidR="00BE522B">
        <w:rPr>
          <w:rFonts w:cs="Calibri"/>
          <w:szCs w:val="20"/>
        </w:rPr>
        <w:t xml:space="preserve"> </w:t>
      </w:r>
      <w:r w:rsidR="009152DC" w:rsidRPr="009152DC">
        <w:rPr>
          <w:rFonts w:cs="Calibri"/>
          <w:szCs w:val="20"/>
        </w:rPr>
        <w:t xml:space="preserve">συνέχισε το εκτεταμένο </w:t>
      </w:r>
      <w:r w:rsidR="00C457BF" w:rsidRPr="00C457BF">
        <w:rPr>
          <w:rFonts w:cs="Calibri"/>
          <w:szCs w:val="20"/>
        </w:rPr>
        <w:t xml:space="preserve">πρόγραμμα R&amp;D στον τομέα της μεταφοράς </w:t>
      </w:r>
      <w:r w:rsidR="00B06F5E" w:rsidRPr="00C457BF">
        <w:rPr>
          <w:rFonts w:cs="Calibri"/>
          <w:szCs w:val="20"/>
        </w:rPr>
        <w:t>πράσιν</w:t>
      </w:r>
      <w:r w:rsidR="00B06F5E">
        <w:rPr>
          <w:rFonts w:cs="Calibri"/>
          <w:szCs w:val="20"/>
        </w:rPr>
        <w:t>ου</w:t>
      </w:r>
      <w:r w:rsidR="00B06F5E" w:rsidRPr="00C457BF">
        <w:rPr>
          <w:rFonts w:cs="Calibri"/>
          <w:szCs w:val="20"/>
        </w:rPr>
        <w:t xml:space="preserve"> </w:t>
      </w:r>
      <w:r w:rsidR="00C457BF" w:rsidRPr="00C457BF">
        <w:rPr>
          <w:rFonts w:cs="Calibri"/>
          <w:szCs w:val="20"/>
        </w:rPr>
        <w:t>υδρογόνου</w:t>
      </w:r>
      <w:r w:rsidR="009152DC" w:rsidRPr="009152DC">
        <w:rPr>
          <w:rFonts w:cs="Calibri"/>
          <w:szCs w:val="20"/>
        </w:rPr>
        <w:t>, επεκτείνοντας τις εργαστηριακές της δυνατότητες σε εξειδικευμένες δοκιμές υψηλής πίεσης σε</w:t>
      </w:r>
      <w:r w:rsidR="009152DC">
        <w:rPr>
          <w:rFonts w:cs="Calibri"/>
          <w:szCs w:val="20"/>
        </w:rPr>
        <w:t xml:space="preserve"> </w:t>
      </w:r>
      <w:r w:rsidR="009152DC" w:rsidRPr="009152DC">
        <w:rPr>
          <w:rFonts w:cs="Calibri"/>
          <w:szCs w:val="20"/>
        </w:rPr>
        <w:t>περιβάλλον υδρογόνου</w:t>
      </w:r>
      <w:r w:rsidR="00C457BF">
        <w:rPr>
          <w:rFonts w:cs="Calibri"/>
          <w:szCs w:val="20"/>
        </w:rPr>
        <w:t xml:space="preserve">. </w:t>
      </w:r>
      <w:r w:rsidR="00630264">
        <w:rPr>
          <w:rFonts w:cs="Calibri"/>
          <w:szCs w:val="20"/>
        </w:rPr>
        <w:t xml:space="preserve"> </w:t>
      </w:r>
      <w:r w:rsidR="00766479">
        <w:rPr>
          <w:rFonts w:cs="Calibri"/>
          <w:szCs w:val="20"/>
        </w:rPr>
        <w:t>Η</w:t>
      </w:r>
      <w:r w:rsidR="009152DC" w:rsidRPr="009152DC">
        <w:rPr>
          <w:rFonts w:cs="Calibri"/>
          <w:szCs w:val="20"/>
        </w:rPr>
        <w:t xml:space="preserve"> συνεχής καινοτομία και βελτίωση παραμέ</w:t>
      </w:r>
      <w:r w:rsidR="00C457BF">
        <w:rPr>
          <w:rFonts w:cs="Calibri"/>
          <w:szCs w:val="20"/>
        </w:rPr>
        <w:t>νουν</w:t>
      </w:r>
      <w:r w:rsidR="009152DC" w:rsidRPr="009152DC">
        <w:rPr>
          <w:rFonts w:cs="Calibri"/>
          <w:szCs w:val="20"/>
        </w:rPr>
        <w:t xml:space="preserve"> τόσο προϋπόθεση για την ανάπτυξη όσο και </w:t>
      </w:r>
      <w:r w:rsidR="00C53441">
        <w:rPr>
          <w:rFonts w:cs="Calibri"/>
          <w:szCs w:val="20"/>
        </w:rPr>
        <w:t xml:space="preserve">βασική </w:t>
      </w:r>
      <w:r w:rsidR="00C23A53">
        <w:rPr>
          <w:rFonts w:cs="Calibri"/>
          <w:szCs w:val="20"/>
        </w:rPr>
        <w:t>επιδίωξη</w:t>
      </w:r>
      <w:r w:rsidR="009152DC" w:rsidRPr="009152DC">
        <w:rPr>
          <w:rFonts w:cs="Calibri"/>
          <w:szCs w:val="20"/>
        </w:rPr>
        <w:t xml:space="preserve"> της θυγατρικής. </w:t>
      </w:r>
      <w:r w:rsidR="00630264">
        <w:rPr>
          <w:rFonts w:cs="Calibri"/>
          <w:szCs w:val="20"/>
        </w:rPr>
        <w:t xml:space="preserve"> </w:t>
      </w:r>
      <w:r w:rsidR="00C457BF">
        <w:rPr>
          <w:rFonts w:cs="Calibri"/>
          <w:szCs w:val="20"/>
        </w:rPr>
        <w:t>Επιπρόσθετα</w:t>
      </w:r>
      <w:r w:rsidR="00630264">
        <w:rPr>
          <w:rFonts w:cs="Calibri"/>
          <w:szCs w:val="20"/>
        </w:rPr>
        <w:t>,</w:t>
      </w:r>
      <w:r w:rsidR="00C457BF">
        <w:rPr>
          <w:rFonts w:cs="Calibri"/>
          <w:szCs w:val="20"/>
        </w:rPr>
        <w:t xml:space="preserve"> </w:t>
      </w:r>
      <w:r w:rsidR="009152DC" w:rsidRPr="009152DC">
        <w:rPr>
          <w:rFonts w:cs="Calibri"/>
          <w:szCs w:val="20"/>
        </w:rPr>
        <w:t xml:space="preserve">επιδιώχθηκε </w:t>
      </w:r>
      <w:r w:rsidR="00C53441">
        <w:rPr>
          <w:rFonts w:cs="Calibri"/>
          <w:szCs w:val="20"/>
        </w:rPr>
        <w:t>περαιτέρω</w:t>
      </w:r>
      <w:r w:rsidR="00630264">
        <w:rPr>
          <w:rFonts w:cs="Calibri"/>
          <w:szCs w:val="20"/>
        </w:rPr>
        <w:t xml:space="preserve"> βελτίωση</w:t>
      </w:r>
      <w:r w:rsidR="00630264" w:rsidRPr="009152DC">
        <w:rPr>
          <w:rFonts w:cs="Calibri"/>
          <w:szCs w:val="20"/>
        </w:rPr>
        <w:t xml:space="preserve"> </w:t>
      </w:r>
      <w:r w:rsidR="009152DC" w:rsidRPr="009152DC">
        <w:rPr>
          <w:rFonts w:cs="Calibri"/>
          <w:szCs w:val="20"/>
        </w:rPr>
        <w:t xml:space="preserve">μέσω </w:t>
      </w:r>
      <w:r w:rsidR="00C457BF">
        <w:rPr>
          <w:rFonts w:cs="Calibri"/>
          <w:szCs w:val="20"/>
        </w:rPr>
        <w:t>του</w:t>
      </w:r>
      <w:r w:rsidR="009152DC" w:rsidRPr="009152DC">
        <w:rPr>
          <w:rFonts w:cs="Calibri"/>
          <w:szCs w:val="20"/>
        </w:rPr>
        <w:t xml:space="preserve"> οδικού χάρτη ψηφιοποίησης των διαδικασιών και </w:t>
      </w:r>
      <w:r w:rsidR="00766479" w:rsidRPr="00766479">
        <w:rPr>
          <w:rFonts w:cs="Calibri"/>
          <w:szCs w:val="20"/>
        </w:rPr>
        <w:t>τη</w:t>
      </w:r>
      <w:r w:rsidR="00630264">
        <w:rPr>
          <w:rFonts w:cs="Calibri"/>
          <w:szCs w:val="20"/>
        </w:rPr>
        <w:t>ς</w:t>
      </w:r>
      <w:r w:rsidR="00766479" w:rsidRPr="00766479">
        <w:rPr>
          <w:rFonts w:cs="Calibri"/>
          <w:szCs w:val="20"/>
        </w:rPr>
        <w:t xml:space="preserve"> απόκτηση</w:t>
      </w:r>
      <w:r w:rsidR="00630264">
        <w:rPr>
          <w:rFonts w:cs="Calibri"/>
          <w:szCs w:val="20"/>
        </w:rPr>
        <w:t>ς</w:t>
      </w:r>
      <w:r w:rsidR="00766479" w:rsidRPr="00766479">
        <w:rPr>
          <w:rFonts w:cs="Calibri"/>
          <w:szCs w:val="20"/>
        </w:rPr>
        <w:t xml:space="preserve"> </w:t>
      </w:r>
      <w:r w:rsidR="00630264">
        <w:rPr>
          <w:rFonts w:cs="Calibri"/>
          <w:szCs w:val="20"/>
        </w:rPr>
        <w:t xml:space="preserve">περισσότερων </w:t>
      </w:r>
      <w:r w:rsidR="00766479" w:rsidRPr="00766479">
        <w:rPr>
          <w:rFonts w:cs="Calibri"/>
          <w:szCs w:val="20"/>
        </w:rPr>
        <w:t>πιστοποιήσεων</w:t>
      </w:r>
      <w:r w:rsidR="00C53441">
        <w:rPr>
          <w:rFonts w:cs="Calibri"/>
          <w:szCs w:val="20"/>
        </w:rPr>
        <w:t xml:space="preserve"> από διεθνείς εταιρείες στην αγορά της ενέργειας</w:t>
      </w:r>
      <w:r w:rsidR="009152DC" w:rsidRPr="009152DC">
        <w:rPr>
          <w:rFonts w:cs="Calibri"/>
          <w:szCs w:val="20"/>
        </w:rPr>
        <w:t xml:space="preserve">. </w:t>
      </w:r>
      <w:r w:rsidR="00630264">
        <w:rPr>
          <w:rFonts w:cs="Calibri"/>
          <w:szCs w:val="20"/>
        </w:rPr>
        <w:t xml:space="preserve"> </w:t>
      </w:r>
      <w:r w:rsidR="009152DC" w:rsidRPr="009152DC">
        <w:rPr>
          <w:rFonts w:cs="Calibri"/>
          <w:szCs w:val="20"/>
        </w:rPr>
        <w:t xml:space="preserve">Η αναβάθμιση των διαδικασιών και η γεωγραφική διαφοροποίηση </w:t>
      </w:r>
      <w:r w:rsidR="00C53441">
        <w:rPr>
          <w:rFonts w:cs="Calibri"/>
          <w:szCs w:val="20"/>
        </w:rPr>
        <w:t>χαράζουν την πορεία</w:t>
      </w:r>
      <w:r w:rsidR="00350DAB">
        <w:rPr>
          <w:rFonts w:cs="Calibri"/>
          <w:szCs w:val="20"/>
        </w:rPr>
        <w:t xml:space="preserve"> </w:t>
      </w:r>
      <w:r w:rsidR="00C53441">
        <w:rPr>
          <w:rFonts w:cs="Calibri"/>
          <w:szCs w:val="20"/>
        </w:rPr>
        <w:t xml:space="preserve">προς </w:t>
      </w:r>
      <w:r w:rsidR="00350DAB">
        <w:rPr>
          <w:rFonts w:cs="Calibri"/>
          <w:szCs w:val="20"/>
        </w:rPr>
        <w:t>ένα</w:t>
      </w:r>
      <w:r w:rsidR="009152DC" w:rsidRPr="009152DC">
        <w:rPr>
          <w:rFonts w:cs="Calibri"/>
          <w:szCs w:val="20"/>
        </w:rPr>
        <w:t xml:space="preserve"> ισχυρότερο ανταγωνιστικό πλεονέκτημα.</w:t>
      </w:r>
    </w:p>
    <w:p w14:paraId="3F6A2647" w14:textId="763DABB0" w:rsidR="00225FCD" w:rsidRPr="00BE09F4" w:rsidRDefault="00136629" w:rsidP="006B321F">
      <w:pPr>
        <w:keepNext/>
        <w:keepLines/>
        <w:spacing w:after="120" w:line="240" w:lineRule="auto"/>
        <w:jc w:val="both"/>
        <w:outlineLvl w:val="1"/>
        <w:rPr>
          <w:rFonts w:eastAsia="SimSun" w:cs="Calibri"/>
          <w:b/>
          <w:bCs/>
          <w:color w:val="4F6228"/>
          <w:sz w:val="24"/>
          <w:szCs w:val="24"/>
        </w:rPr>
      </w:pPr>
      <w:r w:rsidRPr="00136629">
        <w:rPr>
          <w:rFonts w:eastAsia="SimSun" w:cs="Calibri"/>
          <w:b/>
          <w:bCs/>
          <w:color w:val="4F6228"/>
          <w:sz w:val="24"/>
          <w:szCs w:val="24"/>
        </w:rPr>
        <w:t>Μεταγενέστερα Γεγονότα</w:t>
      </w:r>
    </w:p>
    <w:p w14:paraId="6C775E94" w14:textId="1EF9291D" w:rsidR="00526E7D" w:rsidRPr="00526E7D" w:rsidRDefault="00136629" w:rsidP="00F467F6">
      <w:pPr>
        <w:pStyle w:val="NoSpacing"/>
        <w:jc w:val="both"/>
        <w:rPr>
          <w:rFonts w:eastAsia="Calibri"/>
          <w:sz w:val="22"/>
          <w:szCs w:val="22"/>
          <w:lang w:val="el-GR" w:eastAsia="en-US"/>
        </w:rPr>
      </w:pPr>
      <w:r w:rsidRPr="00526E7D">
        <w:rPr>
          <w:rFonts w:eastAsia="Calibri"/>
          <w:sz w:val="22"/>
          <w:szCs w:val="22"/>
          <w:lang w:val="el-GR" w:eastAsia="en-US"/>
        </w:rPr>
        <w:t>Δεν υπάρχουν μεταγενέστερα γεγονότα που να επηρεάζουν τις Συνοπτικές Ενδιάμεσες Ενοποιημένες Οικονομικές Καταστάσεις.</w:t>
      </w:r>
    </w:p>
    <w:p w14:paraId="7987625A" w14:textId="2BBD7EDA" w:rsidR="00136629" w:rsidRPr="00772E7E" w:rsidRDefault="00136629" w:rsidP="00526E7D">
      <w:pPr>
        <w:pStyle w:val="NoSpacing"/>
        <w:rPr>
          <w:lang w:val="el-GR"/>
        </w:rPr>
      </w:pPr>
    </w:p>
    <w:p w14:paraId="2FC71721" w14:textId="185EAC76" w:rsidR="00716D03" w:rsidRPr="004D1500" w:rsidRDefault="00136629" w:rsidP="006B321F">
      <w:pPr>
        <w:keepNext/>
        <w:keepLines/>
        <w:spacing w:after="120" w:line="240" w:lineRule="auto"/>
        <w:jc w:val="both"/>
        <w:outlineLvl w:val="1"/>
        <w:rPr>
          <w:rFonts w:eastAsia="SimSun" w:cs="Calibri"/>
          <w:b/>
          <w:bCs/>
          <w:color w:val="4F6228"/>
          <w:sz w:val="24"/>
          <w:szCs w:val="24"/>
        </w:rPr>
      </w:pPr>
      <w:r w:rsidRPr="004D1500">
        <w:rPr>
          <w:rFonts w:eastAsia="SimSun" w:cs="Calibri"/>
          <w:b/>
          <w:bCs/>
          <w:color w:val="4F6228"/>
          <w:sz w:val="24"/>
          <w:szCs w:val="24"/>
        </w:rPr>
        <w:t>Προοπτικές</w:t>
      </w:r>
    </w:p>
    <w:p w14:paraId="3340C0E4" w14:textId="6D1CAEDB" w:rsidR="003A0B5C" w:rsidRPr="004D1500" w:rsidRDefault="003A0B5C" w:rsidP="00F467F6">
      <w:pPr>
        <w:spacing w:after="120" w:line="240" w:lineRule="auto"/>
        <w:jc w:val="both"/>
      </w:pPr>
      <w:bookmarkStart w:id="9" w:name="_Hlk111560793"/>
      <w:r w:rsidRPr="004D1500">
        <w:t xml:space="preserve">Ο </w:t>
      </w:r>
      <w:r w:rsidR="00B80DE8">
        <w:rPr>
          <w:b/>
          <w:bCs/>
        </w:rPr>
        <w:t>τομέα</w:t>
      </w:r>
      <w:r w:rsidRPr="004D1500">
        <w:rPr>
          <w:b/>
          <w:bCs/>
        </w:rPr>
        <w:t>ς καλωδίων</w:t>
      </w:r>
      <w:r w:rsidRPr="004D1500">
        <w:t xml:space="preserve"> συνεχίζει δυναμικ</w:t>
      </w:r>
      <w:r w:rsidR="00B06F5E">
        <w:t>ά</w:t>
      </w:r>
      <w:r w:rsidRPr="004D1500">
        <w:t xml:space="preserve"> τ</w:t>
      </w:r>
      <w:r w:rsidR="00B06F5E">
        <w:t>ις</w:t>
      </w:r>
      <w:r w:rsidRPr="004D1500">
        <w:t xml:space="preserve"> επιδόσε</w:t>
      </w:r>
      <w:r w:rsidR="00C35EE4">
        <w:t>ις</w:t>
      </w:r>
      <w:r w:rsidRPr="004D1500">
        <w:t xml:space="preserve"> του </w:t>
      </w:r>
      <w:r w:rsidR="004D1500" w:rsidRPr="004D1500">
        <w:t>τόσο στα προϊόντα</w:t>
      </w:r>
      <w:r w:rsidR="00C35EE4">
        <w:t>,</w:t>
      </w:r>
      <w:r w:rsidR="004D1500" w:rsidRPr="004D1500">
        <w:t xml:space="preserve"> όσο και στα έργα</w:t>
      </w:r>
      <w:r w:rsidRPr="004D1500">
        <w:t xml:space="preserve">, καθώς η ζήτηση για </w:t>
      </w:r>
      <w:r w:rsidR="00C35EE4">
        <w:t>καλώδια</w:t>
      </w:r>
      <w:r w:rsidRPr="004D1500">
        <w:t xml:space="preserve"> παραμένει ισχυρή, ενώ το ανεκτέλεστο υπόλοιπο έργων αυξάνεται.</w:t>
      </w:r>
      <w:r w:rsidR="00140C5A" w:rsidRPr="004D1500">
        <w:t xml:space="preserve"> </w:t>
      </w:r>
      <w:r w:rsidR="00630264">
        <w:t xml:space="preserve"> </w:t>
      </w:r>
      <w:r w:rsidR="000C4F3C" w:rsidRPr="004D1500">
        <w:t>Μ</w:t>
      </w:r>
      <w:r w:rsidR="00140C5A" w:rsidRPr="004D1500">
        <w:t xml:space="preserve">ια σειρά εξασφαλισμένων παραγγελιών για καλωδιακά έργα, καθώς και η υψηλή </w:t>
      </w:r>
      <w:r w:rsidR="004D1500" w:rsidRPr="004D1500">
        <w:t>αξιοποίηση</w:t>
      </w:r>
      <w:r w:rsidR="00140C5A" w:rsidRPr="004D1500">
        <w:t xml:space="preserve"> της παραγωγικής ικανότητας σε όλα τα εργοστάσια </w:t>
      </w:r>
      <w:r w:rsidR="004D1500" w:rsidRPr="004D1500">
        <w:t>κατά</w:t>
      </w:r>
      <w:r w:rsidR="00140C5A" w:rsidRPr="004D1500">
        <w:t xml:space="preserve"> τη διάρκεια του 2023, θα αποτελέσουν τη βάση της κερδοφορίας ολόκληρου του </w:t>
      </w:r>
      <w:r w:rsidR="00B80DE8">
        <w:t>τομέα</w:t>
      </w:r>
      <w:r w:rsidR="00140C5A" w:rsidRPr="004D1500">
        <w:t xml:space="preserve"> για το έτος</w:t>
      </w:r>
      <w:r w:rsidRPr="004D1500">
        <w:t xml:space="preserve">. </w:t>
      </w:r>
      <w:r w:rsidR="00630264">
        <w:t xml:space="preserve"> </w:t>
      </w:r>
      <w:r w:rsidRPr="004D1500">
        <w:t xml:space="preserve">Η </w:t>
      </w:r>
      <w:r w:rsidR="004D1500" w:rsidRPr="004D1500">
        <w:t>δυναμική του εξηλεκτρισμού στην Ευρώπη και η αυξανόμενη ζήτηση για τη διασύνδεση δικτύων ενέργειας αναμένεται να τροφοδοτήσουν περαιτέρω το ανεκτέλεστο υπόλοιπο και για χερσαία καλώδια</w:t>
      </w:r>
      <w:r w:rsidRPr="004D1500">
        <w:t xml:space="preserve">. </w:t>
      </w:r>
      <w:r w:rsidR="004D1500" w:rsidRPr="004D1500">
        <w:t>Π</w:t>
      </w:r>
      <w:r w:rsidRPr="004D1500">
        <w:t xml:space="preserve">ροετοιμαζόμενη </w:t>
      </w:r>
      <w:proofErr w:type="spellStart"/>
      <w:r w:rsidRPr="004D1500">
        <w:t>γι</w:t>
      </w:r>
      <w:r w:rsidR="00630264">
        <w:t>’</w:t>
      </w:r>
      <w:r w:rsidRPr="004D1500">
        <w:t>αυτό</w:t>
      </w:r>
      <w:proofErr w:type="spellEnd"/>
      <w:r w:rsidRPr="004D1500">
        <w:t xml:space="preserve">, η Ελληνικά Καλώδια έχει ήδη αποκτήσει μια βιομηχανική </w:t>
      </w:r>
      <w:r w:rsidR="00C53441">
        <w:t>έκταση</w:t>
      </w:r>
      <w:r w:rsidRPr="004D1500">
        <w:t xml:space="preserve"> κοντά στο εργοστάσιό της στη Θήβα</w:t>
      </w:r>
      <w:r w:rsidR="00630264">
        <w:t xml:space="preserve">, ώστε να επεκταθεί μελλοντικά και να </w:t>
      </w:r>
      <w:r w:rsidRPr="004D1500">
        <w:t xml:space="preserve">εξυπηρετήσει αυτή την αυξανόμενη </w:t>
      </w:r>
      <w:r w:rsidR="00C35EE4" w:rsidRPr="004D1500">
        <w:t xml:space="preserve">ζήτηση </w:t>
      </w:r>
      <w:r w:rsidRPr="004D1500">
        <w:t>χερσαί</w:t>
      </w:r>
      <w:r w:rsidR="00C35EE4">
        <w:t>ων καλωδίων</w:t>
      </w:r>
      <w:r w:rsidRPr="004D1500">
        <w:t>.</w:t>
      </w:r>
      <w:r w:rsidR="004D1500" w:rsidRPr="004D1500">
        <w:t xml:space="preserve"> </w:t>
      </w:r>
      <w:r w:rsidR="00630264">
        <w:t xml:space="preserve"> </w:t>
      </w:r>
      <w:r w:rsidR="004D1500" w:rsidRPr="004D1500">
        <w:t>Τέλος, ό</w:t>
      </w:r>
      <w:r w:rsidRPr="004D1500">
        <w:t xml:space="preserve">σον αφορά </w:t>
      </w:r>
      <w:r w:rsidR="004D1500" w:rsidRPr="004D1500">
        <w:t xml:space="preserve">τα υποβρύχια καλωδιακά </w:t>
      </w:r>
      <w:r w:rsidRPr="004D1500">
        <w:t>έργ</w:t>
      </w:r>
      <w:r w:rsidR="004D1500" w:rsidRPr="004D1500">
        <w:t>α</w:t>
      </w:r>
      <w:r w:rsidRPr="004D1500">
        <w:t xml:space="preserve">, εξασφαλίστηκαν αρκετές αναθέσεις κατά τους τελευταίους μήνες και αναμένεται να ανατεθούν περισσότερα έργα </w:t>
      </w:r>
      <w:r w:rsidR="00C35EE4">
        <w:t>εντός του έτους</w:t>
      </w:r>
      <w:r w:rsidRPr="004D1500">
        <w:t>.</w:t>
      </w:r>
    </w:p>
    <w:p w14:paraId="72BAB669" w14:textId="5CEECC08" w:rsidR="003A0B5C" w:rsidRPr="00630264" w:rsidRDefault="003A0B5C" w:rsidP="00F467F6">
      <w:pPr>
        <w:spacing w:after="120" w:line="240" w:lineRule="auto"/>
        <w:jc w:val="both"/>
      </w:pPr>
      <w:r w:rsidRPr="003A0B5C">
        <w:t>Η Ελληνικά Καλώδια, μέσω του διετούς επενδυτικού της προγράμματος στο εργοστάσιο της Κορίνθου, στοχεύει στην περαιτέρω ενίσχυση του ρόλου της ως βασικού παράγοντα για τη μετάβαση στην πράσινη ενέργεια.</w:t>
      </w:r>
      <w:r w:rsidR="00630264">
        <w:t xml:space="preserve"> </w:t>
      </w:r>
      <w:r w:rsidRPr="003A0B5C">
        <w:t xml:space="preserve"> </w:t>
      </w:r>
      <w:r w:rsidR="009058F3" w:rsidRPr="009058F3">
        <w:t xml:space="preserve">Όλες αυτές οι επενδύσεις θα επιτρέψουν στον </w:t>
      </w:r>
      <w:r w:rsidR="00B80DE8">
        <w:t>τομέα</w:t>
      </w:r>
      <w:r w:rsidR="009058F3" w:rsidRPr="009058F3">
        <w:t xml:space="preserve"> </w:t>
      </w:r>
      <w:r w:rsidR="009058F3" w:rsidRPr="006B5B06">
        <w:t>να εκτελέσει αποτελεσματικά το ιστορικά υψηλό ανεκτέλεστο υπόλοιπο παραγγελιών και να ανταποκριθεί στην αυξανόμενη ζήτηση</w:t>
      </w:r>
      <w:r w:rsidR="00C35EE4" w:rsidRPr="006B5B06">
        <w:t>,</w:t>
      </w:r>
      <w:r w:rsidR="009058F3" w:rsidRPr="006B5B06">
        <w:t xml:space="preserve"> καθώς και στις μεγαλύτερες προσδοκίες των πελατών του, αλλά και όλων των ενδιαφερομένων μερών</w:t>
      </w:r>
      <w:r w:rsidRPr="006B5B06">
        <w:t xml:space="preserve">. </w:t>
      </w:r>
      <w:r w:rsidR="00630264" w:rsidRPr="006B5B06">
        <w:t xml:space="preserve"> </w:t>
      </w:r>
      <w:r w:rsidR="009058F3" w:rsidRPr="006B5B06">
        <w:t xml:space="preserve">Τέλος, οι συζητήσεις για τη συνεργασία με την Ørsted γύρω από την κατασκευή εργοστασίου υποβρυχίων </w:t>
      </w:r>
      <w:proofErr w:type="spellStart"/>
      <w:r w:rsidR="009058F3" w:rsidRPr="006B5B06">
        <w:t>inter</w:t>
      </w:r>
      <w:proofErr w:type="spellEnd"/>
      <w:r w:rsidR="009058F3" w:rsidRPr="006B5B06">
        <w:t xml:space="preserve"> </w:t>
      </w:r>
      <w:proofErr w:type="spellStart"/>
      <w:r w:rsidR="009058F3" w:rsidRPr="006B5B06">
        <w:t>array</w:t>
      </w:r>
      <w:proofErr w:type="spellEnd"/>
      <w:r w:rsidR="009058F3" w:rsidRPr="006B5B06">
        <w:t xml:space="preserve"> καλωδίων στο </w:t>
      </w:r>
      <w:proofErr w:type="spellStart"/>
      <w:r w:rsidR="009058F3" w:rsidRPr="006B5B06">
        <w:t>Maryland</w:t>
      </w:r>
      <w:proofErr w:type="spellEnd"/>
      <w:r w:rsidR="009058F3" w:rsidRPr="006B5B06">
        <w:t xml:space="preserve"> των ΗΠΑ</w:t>
      </w:r>
      <w:r w:rsidR="00630264" w:rsidRPr="006B5B06">
        <w:t xml:space="preserve"> συνεχίζονται</w:t>
      </w:r>
      <w:r w:rsidRPr="006B5B06">
        <w:t>.</w:t>
      </w:r>
    </w:p>
    <w:p w14:paraId="530B62B6" w14:textId="15573169" w:rsidR="003A0B5C" w:rsidRPr="003A0B5C" w:rsidRDefault="003A0B5C" w:rsidP="00F467F6">
      <w:pPr>
        <w:spacing w:after="120" w:line="240" w:lineRule="auto"/>
        <w:jc w:val="both"/>
        <w:rPr>
          <w:highlight w:val="yellow"/>
        </w:rPr>
      </w:pPr>
      <w:bookmarkStart w:id="10" w:name="_Hlk112854582"/>
      <w:r w:rsidRPr="003A0B5C">
        <w:t xml:space="preserve">Ο </w:t>
      </w:r>
      <w:r w:rsidR="00B80DE8">
        <w:rPr>
          <w:b/>
          <w:bCs/>
        </w:rPr>
        <w:t>τομέα</w:t>
      </w:r>
      <w:r w:rsidRPr="003A0B5C">
        <w:rPr>
          <w:b/>
          <w:bCs/>
        </w:rPr>
        <w:t>ς σωλήνων χάλυβα</w:t>
      </w:r>
      <w:r w:rsidRPr="003A0B5C">
        <w:t xml:space="preserve"> </w:t>
      </w:r>
      <w:r w:rsidR="00C53441">
        <w:t>ενισχύει τη θέση του</w:t>
      </w:r>
      <w:r w:rsidR="00AA723D">
        <w:t xml:space="preserve">, διατηρώντας την ανάπτυξη </w:t>
      </w:r>
      <w:r w:rsidRPr="003A0B5C">
        <w:t>της κερδοφορίας του</w:t>
      </w:r>
      <w:r w:rsidR="00630264">
        <w:t xml:space="preserve">, βάσει </w:t>
      </w:r>
      <w:r w:rsidR="00C35EE4">
        <w:t>της</w:t>
      </w:r>
      <w:r w:rsidRPr="003A0B5C">
        <w:t xml:space="preserve"> υψηλή</w:t>
      </w:r>
      <w:r w:rsidR="00C35EE4">
        <w:t>ς</w:t>
      </w:r>
      <w:r w:rsidRPr="003A0B5C">
        <w:t xml:space="preserve"> </w:t>
      </w:r>
      <w:r w:rsidR="007A5441">
        <w:t>αξιοποίηση</w:t>
      </w:r>
      <w:r w:rsidR="00C35EE4">
        <w:t>ς</w:t>
      </w:r>
      <w:r w:rsidRPr="003A0B5C">
        <w:t xml:space="preserve"> της παραγωγικής </w:t>
      </w:r>
      <w:r w:rsidR="00C35EE4">
        <w:t xml:space="preserve">του </w:t>
      </w:r>
      <w:r w:rsidRPr="003A0B5C">
        <w:t>ικανότητας</w:t>
      </w:r>
      <w:r w:rsidR="00AA723D">
        <w:t xml:space="preserve"> </w:t>
      </w:r>
      <w:r w:rsidR="00AA723D" w:rsidRPr="003A0B5C">
        <w:t>μέχρι το τέλος του έτους</w:t>
      </w:r>
      <w:r w:rsidRPr="003A0B5C">
        <w:t xml:space="preserve">. </w:t>
      </w:r>
      <w:r w:rsidR="00630264">
        <w:t xml:space="preserve"> </w:t>
      </w:r>
      <w:r w:rsidR="0014421A">
        <w:t xml:space="preserve">Η αύξηση στο κεφάλαιο κίνησης που παρατηρήθηκε </w:t>
      </w:r>
      <w:r w:rsidR="0014421A" w:rsidRPr="003A0B5C">
        <w:t>κατά τη διάρκεια του εξαμήνου</w:t>
      </w:r>
      <w:r w:rsidR="0014421A">
        <w:t xml:space="preserve"> αναμένεται να </w:t>
      </w:r>
      <w:r w:rsidR="00630264">
        <w:t>αντιστραφεί</w:t>
      </w:r>
      <w:r w:rsidR="0014421A">
        <w:t xml:space="preserve"> λόγω των ισχυρών λειτουργικών επιδόσεων</w:t>
      </w:r>
      <w:r w:rsidR="00AA723D">
        <w:t xml:space="preserve"> στο μέλλον</w:t>
      </w:r>
      <w:r w:rsidR="0014421A">
        <w:t xml:space="preserve">, </w:t>
      </w:r>
      <w:r w:rsidR="00630264">
        <w:t>που</w:t>
      </w:r>
      <w:r w:rsidR="0014421A">
        <w:t xml:space="preserve"> </w:t>
      </w:r>
      <w:r w:rsidR="00AA723D">
        <w:t>θ</w:t>
      </w:r>
      <w:r w:rsidR="0014421A">
        <w:t xml:space="preserve">α ομαλοποιήσουν </w:t>
      </w:r>
      <w:r w:rsidR="00630264">
        <w:t xml:space="preserve">και </w:t>
      </w:r>
      <w:r w:rsidR="0014421A">
        <w:t>τα επίπεδα μόχλευσης.</w:t>
      </w:r>
      <w:r w:rsidRPr="003A0B5C">
        <w:t xml:space="preserve"> </w:t>
      </w:r>
      <w:r w:rsidR="00AA723D">
        <w:t xml:space="preserve"> </w:t>
      </w:r>
      <w:r w:rsidR="00C35EE4">
        <w:t>Η</w:t>
      </w:r>
      <w:r w:rsidR="0014421A" w:rsidRPr="0014421A">
        <w:t xml:space="preserve"> Σωληνουργεία Κορίνθου αναμένει ότι </w:t>
      </w:r>
      <w:r w:rsidR="00630264">
        <w:t xml:space="preserve">ο κλάδος </w:t>
      </w:r>
      <w:r w:rsidR="0014421A" w:rsidRPr="0014421A">
        <w:t xml:space="preserve">των </w:t>
      </w:r>
      <w:r w:rsidR="00630264">
        <w:t xml:space="preserve">αεριών </w:t>
      </w:r>
      <w:r w:rsidR="0014421A" w:rsidRPr="0014421A">
        <w:t>καυσίμων θα συνεχίσει τη δυναμική του ανάπτυξη, ως ένας από τους σημαντικούς πυλώνες της ενεργειακής μετάβασης.</w:t>
      </w:r>
      <w:r w:rsidR="0014421A">
        <w:t xml:space="preserve"> </w:t>
      </w:r>
      <w:r w:rsidR="00630264">
        <w:t xml:space="preserve"> </w:t>
      </w:r>
      <w:r w:rsidR="0014421A" w:rsidRPr="0014421A">
        <w:t xml:space="preserve">Η βελτίωση των συνθηκών αγοράς συμβάλλει </w:t>
      </w:r>
      <w:r w:rsidR="00630264">
        <w:t xml:space="preserve">και </w:t>
      </w:r>
      <w:r w:rsidR="0014421A" w:rsidRPr="0014421A">
        <w:t>στην ενίσχυση του ανεκτέλεστου υπολοίπου, τροφοδοτώντας θετικές προοπτικές για το επόμενο έτος.</w:t>
      </w:r>
    </w:p>
    <w:bookmarkEnd w:id="10"/>
    <w:p w14:paraId="66A5F141" w14:textId="2DD936BE" w:rsidR="003A0B5C" w:rsidRPr="00A63185" w:rsidRDefault="007A5441" w:rsidP="00F467F6">
      <w:pPr>
        <w:spacing w:after="120" w:line="240" w:lineRule="auto"/>
        <w:jc w:val="both"/>
      </w:pPr>
      <w:r w:rsidRPr="007A5441">
        <w:t xml:space="preserve">Με δεδομένο το ισχυρό ανεκτέλεστο υπόλοιπο παραγγελιών και για τους δύο τομείς και την αυξανόμενη ζήτηση για προϊόντα ενεργειακών υποδομών παγκοσμίως, η Cenergy Holdings </w:t>
      </w:r>
      <w:r w:rsidR="003A0B5C" w:rsidRPr="003A0B5C">
        <w:t xml:space="preserve">επιβεβαιώνει τις προβλέψεις της για το οικονομικό έτος 2023 που είχε δημοσιεύσει </w:t>
      </w:r>
      <w:r w:rsidR="00A63185">
        <w:t>σε προηγούμενα δελτία τύπου</w:t>
      </w:r>
      <w:r w:rsidR="003A0B5C" w:rsidRPr="003A0B5C">
        <w:t xml:space="preserve"> και αναμένει </w:t>
      </w:r>
      <w:r>
        <w:t>ανα</w:t>
      </w:r>
      <w:r w:rsidR="003A0B5C" w:rsidRPr="003A0B5C">
        <w:t>προσαρμοσμέν</w:t>
      </w:r>
      <w:r w:rsidR="00A63185">
        <w:t>ο</w:t>
      </w:r>
      <w:r w:rsidR="003A0B5C" w:rsidRPr="003A0B5C">
        <w:t xml:space="preserve"> EBITDA της τάξης των 180-200 εκατ. ευρώ για το οικονομικό έτος 2023. </w:t>
      </w:r>
      <w:r w:rsidR="00630264">
        <w:t xml:space="preserve"> </w:t>
      </w:r>
      <w:r w:rsidR="003A0B5C" w:rsidRPr="003A0B5C">
        <w:t xml:space="preserve">Οι </w:t>
      </w:r>
      <w:r>
        <w:t>υποθέσεις</w:t>
      </w:r>
      <w:r w:rsidR="003A0B5C" w:rsidRPr="003A0B5C">
        <w:t xml:space="preserve"> που δημοσιεύθηκαν στ</w:t>
      </w:r>
      <w:r w:rsidR="00C35EE4">
        <w:t>ο</w:t>
      </w:r>
      <w:r w:rsidR="003A0B5C" w:rsidRPr="003A0B5C">
        <w:t xml:space="preserve"> </w:t>
      </w:r>
      <w:r w:rsidR="00C35EE4">
        <w:t>Δελτίο Τύπου για τα αποτελέσματα</w:t>
      </w:r>
      <w:r w:rsidR="003A0B5C" w:rsidRPr="003A0B5C">
        <w:t xml:space="preserve"> το</w:t>
      </w:r>
      <w:r w:rsidR="00C35EE4">
        <w:t>υ</w:t>
      </w:r>
      <w:r w:rsidR="003A0B5C" w:rsidRPr="003A0B5C">
        <w:t xml:space="preserve"> α' τρίμηνο του 2023 εξακολουθούν να ισχύουν.</w:t>
      </w:r>
    </w:p>
    <w:bookmarkEnd w:id="9"/>
    <w:p w14:paraId="20BFB3C9" w14:textId="0115EC39" w:rsidR="007A5441" w:rsidRDefault="007A5441" w:rsidP="00F467F6">
      <w:pPr>
        <w:spacing w:after="120" w:line="240" w:lineRule="auto"/>
        <w:jc w:val="both"/>
      </w:pPr>
      <w:r>
        <w:t>Όπως έχουμε ήδη αναφέρει</w:t>
      </w:r>
      <w:r w:rsidR="003A0B5C" w:rsidRPr="003A0B5C">
        <w:t xml:space="preserve"> </w:t>
      </w:r>
      <w:r w:rsidR="00E2523C">
        <w:t>σ</w:t>
      </w:r>
      <w:r w:rsidR="003A0B5C" w:rsidRPr="003A0B5C">
        <w:t xml:space="preserve">ε προηγούμενες ανακοινώσεις οικονομικών αποτελεσμάτων, </w:t>
      </w:r>
      <w:r w:rsidRPr="007A5441">
        <w:t>η Cenergy Holdings συνεχίζει να επικεντρώνει την προσοχή της στην αύξηση της προστιθέμενης αξίας έναντι της αύξησης του όγκου πωλήσεων</w:t>
      </w:r>
      <w:r w:rsidR="003A0B5C" w:rsidRPr="003A0B5C">
        <w:t>.</w:t>
      </w:r>
      <w:r w:rsidR="00630264">
        <w:t xml:space="preserve"> </w:t>
      </w:r>
      <w:r w:rsidR="003A0B5C" w:rsidRPr="003A0B5C">
        <w:t xml:space="preserve"> Η στρατηγική μας είναι να συνεχίσουμε να δημιουργούμε κέρδη από τον μοναδικό μας ρόλο στο νέο παγκόσμιο ενεργειακό πλαίσιο και να επενδύουμε στην παραγωγική μας ικανότητα</w:t>
      </w:r>
      <w:r w:rsidR="00C35EE4">
        <w:t>,</w:t>
      </w:r>
      <w:r w:rsidR="003A0B5C" w:rsidRPr="003A0B5C">
        <w:t xml:space="preserve"> </w:t>
      </w:r>
      <w:r w:rsidRPr="007A5441">
        <w:t>ώστε να εξυπηρετήσ</w:t>
      </w:r>
      <w:r>
        <w:t>ουμε</w:t>
      </w:r>
      <w:r w:rsidRPr="007A5441">
        <w:t xml:space="preserve"> όσο το</w:t>
      </w:r>
      <w:r>
        <w:t xml:space="preserve"> </w:t>
      </w:r>
      <w:r w:rsidRPr="007A5441">
        <w:t>δυνατόν καλύτερα την αναπτυσσόμενη</w:t>
      </w:r>
      <w:r>
        <w:t xml:space="preserve"> αγορά των ενεργειακών υποδομών</w:t>
      </w:r>
      <w:r w:rsidR="00E2523C">
        <w:t>.</w:t>
      </w:r>
    </w:p>
    <w:p w14:paraId="17B1305F" w14:textId="77777777" w:rsidR="00ED1559" w:rsidRDefault="00ED1559">
      <w:pPr>
        <w:spacing w:after="0" w:line="240" w:lineRule="auto"/>
        <w:rPr>
          <w:rFonts w:eastAsia="SimSun" w:cs="Calibri"/>
          <w:b/>
          <w:bCs/>
          <w:color w:val="4F6228"/>
          <w:sz w:val="24"/>
          <w:szCs w:val="24"/>
        </w:rPr>
      </w:pPr>
      <w:r>
        <w:rPr>
          <w:rFonts w:eastAsia="SimSun" w:cs="Calibri"/>
          <w:b/>
          <w:bCs/>
          <w:color w:val="4F6228"/>
          <w:sz w:val="24"/>
          <w:szCs w:val="24"/>
        </w:rPr>
        <w:br w:type="page"/>
      </w:r>
    </w:p>
    <w:p w14:paraId="09736E31" w14:textId="62A965BF" w:rsidR="00B23F13" w:rsidRPr="00136629" w:rsidRDefault="00136629" w:rsidP="00F467F6">
      <w:pPr>
        <w:spacing w:after="120" w:line="240" w:lineRule="auto"/>
        <w:jc w:val="both"/>
        <w:rPr>
          <w:rFonts w:eastAsia="SimSun" w:cs="Calibri"/>
          <w:b/>
          <w:bCs/>
          <w:color w:val="4F6228"/>
          <w:sz w:val="24"/>
          <w:szCs w:val="24"/>
        </w:rPr>
      </w:pPr>
      <w:r w:rsidRPr="00136629">
        <w:rPr>
          <w:rFonts w:eastAsia="SimSun" w:cs="Calibri"/>
          <w:b/>
          <w:bCs/>
          <w:color w:val="4F6228"/>
          <w:sz w:val="24"/>
          <w:szCs w:val="24"/>
        </w:rPr>
        <w:lastRenderedPageBreak/>
        <w:t>Έκθεση του Ελεγκτή</w:t>
      </w:r>
    </w:p>
    <w:p w14:paraId="369FA35D" w14:textId="7057867A" w:rsidR="005C47EC" w:rsidRDefault="005C47EC" w:rsidP="00630264">
      <w:pPr>
        <w:spacing w:after="120" w:line="240" w:lineRule="auto"/>
        <w:jc w:val="both"/>
      </w:pPr>
      <w:r w:rsidRPr="005C47EC">
        <w:t>Όλα τα στοιχεία και οι πίνακες που περιέχονται στο παρόν δελτίο τύπου έχουν αντληθεί από τις μη ελεγμένες συνοπτικές ενοποιημένες ενδιάμεσες οικονομικές καταστάσεις της Cenergy Holdings για το πρώτο εξάμηνο του 2023, οι οποίες έχουν συνταχθεί σύμφωνα με το ΔΛΠ 34 Ενδιάμεση χρηματοοικονομική πληροφόρηση, όπως έχει υιοθετηθεί από την Ευρωπαϊκή Ένωση.</w:t>
      </w:r>
    </w:p>
    <w:p w14:paraId="254AF40A" w14:textId="0CA38DD8" w:rsidR="005C47EC" w:rsidRDefault="005C47EC" w:rsidP="00630264">
      <w:pPr>
        <w:spacing w:after="120" w:line="240" w:lineRule="auto"/>
        <w:jc w:val="both"/>
      </w:pPr>
      <w:r w:rsidRPr="005C47EC">
        <w:t xml:space="preserve">Ο νόμιμος ελεγκτής, PwC Bedrijfsrevisoren BV / Reviseurs d'Entreprises SRL, εκπροσωπούμενος από τον Marc Daelman, έχει επισκοπήσει αυτές τις συνοπτικές ενοποιημένες ενδιάμεσες οικονομικές καταστάσεις και κατέληξε στο συμπέρασμα ότι με βάση την επισκόπηση, δεν έχει </w:t>
      </w:r>
      <w:r w:rsidR="005F677B">
        <w:t>περιέλθει τίποτα</w:t>
      </w:r>
      <w:r w:rsidRPr="005C47EC">
        <w:t xml:space="preserve"> στην αντίληψή του που </w:t>
      </w:r>
      <w:r w:rsidR="005F677B">
        <w:t>θ</w:t>
      </w:r>
      <w:r w:rsidRPr="005C47EC">
        <w:t xml:space="preserve">α </w:t>
      </w:r>
      <w:r w:rsidR="005F677B">
        <w:t>τους έκανε</w:t>
      </w:r>
      <w:r w:rsidRPr="005C47EC">
        <w:t xml:space="preserve"> να πιστεύουν ότι οι συνοπτικές ενοποιημένες ενδιάμεσες οικονομικές πληροφορίες δεν έχουν καταρτιστεί, από κάθε ουσιώδη άποψη, σύμφωνα με το ΔΛΠ 34, όπως έχει υιοθετηθεί από την Ευρωπαϊκή Ένωση. </w:t>
      </w:r>
    </w:p>
    <w:p w14:paraId="77D54AF1" w14:textId="15F42CC0" w:rsidR="00EE2E33" w:rsidRPr="00630264" w:rsidRDefault="005C47EC" w:rsidP="00630264">
      <w:pPr>
        <w:spacing w:after="120" w:line="240" w:lineRule="auto"/>
        <w:jc w:val="both"/>
        <w:rPr>
          <w:rStyle w:val="Hyperlink"/>
        </w:rPr>
      </w:pPr>
      <w:r w:rsidRPr="005C47EC">
        <w:t xml:space="preserve">Για τις συνοπτικές ενοποιημένες ενδιάμεσες οικονομικές καταστάσεις του πρώτου εξαμήνου του 2023 και την έκθεση επισκόπησης του νόμιμου ελεγκτή, ανατρέξτε στην ιστοσελίδα της Cenergy Holdings </w:t>
      </w:r>
      <w:hyperlink r:id="rId16" w:history="1">
        <w:r w:rsidRPr="00630264">
          <w:rPr>
            <w:rStyle w:val="Hyperlink"/>
          </w:rPr>
          <w:t>www.cenergyholdings.com</w:t>
        </w:r>
      </w:hyperlink>
      <w:r w:rsidRPr="00630264">
        <w:rPr>
          <w:rStyle w:val="Hyperlink"/>
        </w:rPr>
        <w:t>.</w:t>
      </w:r>
    </w:p>
    <w:p w14:paraId="216E4BBE" w14:textId="4A052E04" w:rsidR="003A5991" w:rsidRDefault="00136629" w:rsidP="006B321F">
      <w:pPr>
        <w:keepNext/>
        <w:keepLines/>
        <w:spacing w:after="120" w:line="240" w:lineRule="auto"/>
        <w:jc w:val="both"/>
        <w:outlineLvl w:val="1"/>
        <w:rPr>
          <w:rFonts w:eastAsia="SimSun" w:cs="Calibri"/>
          <w:b/>
          <w:bCs/>
          <w:color w:val="4F6228"/>
          <w:sz w:val="24"/>
          <w:szCs w:val="24"/>
          <w:lang w:val="en-GB"/>
        </w:rPr>
      </w:pPr>
      <w:r w:rsidRPr="00136629">
        <w:rPr>
          <w:rFonts w:eastAsia="SimSun" w:cs="Calibri"/>
          <w:b/>
          <w:bCs/>
          <w:color w:val="4F6228"/>
          <w:sz w:val="24"/>
          <w:szCs w:val="24"/>
        </w:rPr>
        <w:t>Οικονομικό</w:t>
      </w:r>
      <w:r w:rsidRPr="00136629">
        <w:rPr>
          <w:rFonts w:eastAsia="SimSun" w:cs="Calibri"/>
          <w:b/>
          <w:bCs/>
          <w:color w:val="4F6228"/>
          <w:sz w:val="24"/>
          <w:szCs w:val="24"/>
          <w:lang w:val="en-GB"/>
        </w:rPr>
        <w:t xml:space="preserve"> </w:t>
      </w:r>
      <w:r w:rsidRPr="00136629">
        <w:rPr>
          <w:rFonts w:eastAsia="SimSun" w:cs="Calibri"/>
          <w:b/>
          <w:bCs/>
          <w:color w:val="4F6228"/>
          <w:sz w:val="24"/>
          <w:szCs w:val="24"/>
        </w:rPr>
        <w:t>ημερολόγιο</w:t>
      </w:r>
    </w:p>
    <w:tbl>
      <w:tblPr>
        <w:tblStyle w:val="GridTable4-Accent61"/>
        <w:tblW w:w="5000" w:type="pct"/>
        <w:tblLook w:val="04A0" w:firstRow="1" w:lastRow="0" w:firstColumn="1" w:lastColumn="0" w:noHBand="0" w:noVBand="1"/>
      </w:tblPr>
      <w:tblGrid>
        <w:gridCol w:w="7135"/>
        <w:gridCol w:w="2833"/>
      </w:tblGrid>
      <w:tr w:rsidR="00136629" w:rsidRPr="009259F9" w14:paraId="75B02E17" w14:textId="77777777" w:rsidTr="002B5B1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79" w:type="pct"/>
            <w:shd w:val="clear" w:color="auto" w:fill="385623" w:themeFill="accent6" w:themeFillShade="80"/>
            <w:noWrap/>
            <w:vAlign w:val="center"/>
          </w:tcPr>
          <w:p w14:paraId="0049E95A" w14:textId="73F20060" w:rsidR="00136629" w:rsidRPr="00C047CD" w:rsidRDefault="00136629" w:rsidP="002B5B1B">
            <w:pPr>
              <w:spacing w:after="0" w:line="240" w:lineRule="auto"/>
              <w:rPr>
                <w:rFonts w:cs="Calibri"/>
                <w:lang w:val="en-GB"/>
              </w:rPr>
            </w:pPr>
            <w:bookmarkStart w:id="11" w:name="_Hlk111560826"/>
            <w:r w:rsidRPr="009574A7">
              <w:rPr>
                <w:rFonts w:cs="Calibri"/>
              </w:rPr>
              <w:t>Δημοσίευση</w:t>
            </w:r>
            <w:r w:rsidRPr="001E1018">
              <w:rPr>
                <w:rFonts w:cs="Calibri"/>
                <w:lang w:val="en-GB"/>
              </w:rPr>
              <w:t xml:space="preserve"> / </w:t>
            </w:r>
            <w:r w:rsidRPr="009574A7">
              <w:rPr>
                <w:rFonts w:cs="Calibri"/>
              </w:rPr>
              <w:t>Γεγονός</w:t>
            </w:r>
          </w:p>
        </w:tc>
        <w:tc>
          <w:tcPr>
            <w:tcW w:w="1421" w:type="pct"/>
            <w:shd w:val="clear" w:color="auto" w:fill="385623" w:themeFill="accent6" w:themeFillShade="80"/>
            <w:noWrap/>
            <w:vAlign w:val="center"/>
          </w:tcPr>
          <w:p w14:paraId="2E89C0A4" w14:textId="372CCE39" w:rsidR="00136629" w:rsidRPr="00C047CD" w:rsidRDefault="00136629" w:rsidP="002B5B1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Calibri"/>
                <w:lang w:val="en-GB"/>
              </w:rPr>
            </w:pPr>
            <w:r w:rsidRPr="009574A7">
              <w:rPr>
                <w:rFonts w:cs="Calibri"/>
              </w:rPr>
              <w:t>Ημερομηνία</w:t>
            </w:r>
          </w:p>
        </w:tc>
      </w:tr>
      <w:tr w:rsidR="00136629" w:rsidRPr="007C6783" w14:paraId="0BCBD366" w14:textId="77777777" w:rsidTr="002B5B1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02E520C5" w14:textId="33232B26" w:rsidR="00136629" w:rsidRPr="00136629" w:rsidRDefault="00136629" w:rsidP="002B5B1B">
            <w:pPr>
              <w:autoSpaceDE w:val="0"/>
              <w:autoSpaceDN w:val="0"/>
              <w:adjustRightInd w:val="0"/>
              <w:spacing w:after="0" w:line="240" w:lineRule="auto"/>
              <w:rPr>
                <w:rFonts w:cs="Calibri"/>
                <w:b w:val="0"/>
                <w:bCs w:val="0"/>
                <w:iCs/>
                <w:color w:val="000000"/>
              </w:rPr>
            </w:pPr>
            <w:r>
              <w:rPr>
                <w:rFonts w:cs="Calibri"/>
                <w:b w:val="0"/>
                <w:bCs w:val="0"/>
                <w:iCs/>
                <w:color w:val="000000"/>
              </w:rPr>
              <w:t>Ενημέρωση</w:t>
            </w:r>
            <w:r w:rsidRPr="000C6B05">
              <w:rPr>
                <w:rFonts w:cs="Calibri"/>
                <w:b w:val="0"/>
                <w:bCs w:val="0"/>
                <w:iCs/>
                <w:color w:val="000000"/>
              </w:rPr>
              <w:t xml:space="preserve"> </w:t>
            </w:r>
            <w:r>
              <w:rPr>
                <w:rFonts w:cs="Calibri"/>
                <w:b w:val="0"/>
                <w:bCs w:val="0"/>
                <w:iCs/>
                <w:color w:val="000000"/>
              </w:rPr>
              <w:t>αναλυτών</w:t>
            </w:r>
            <w:r w:rsidRPr="000C6B05">
              <w:rPr>
                <w:rFonts w:cs="Calibri"/>
                <w:b w:val="0"/>
                <w:bCs w:val="0"/>
                <w:iCs/>
                <w:color w:val="000000"/>
              </w:rPr>
              <w:t xml:space="preserve"> </w:t>
            </w:r>
            <w:r>
              <w:rPr>
                <w:rFonts w:cs="Calibri"/>
                <w:b w:val="0"/>
                <w:bCs w:val="0"/>
                <w:iCs/>
                <w:color w:val="000000"/>
              </w:rPr>
              <w:t>για</w:t>
            </w:r>
            <w:r w:rsidRPr="000C6B05">
              <w:rPr>
                <w:rFonts w:cs="Calibri"/>
                <w:b w:val="0"/>
                <w:bCs w:val="0"/>
                <w:iCs/>
                <w:color w:val="000000"/>
              </w:rPr>
              <w:t xml:space="preserve"> </w:t>
            </w:r>
            <w:r>
              <w:rPr>
                <w:rFonts w:cs="Calibri"/>
                <w:b w:val="0"/>
                <w:bCs w:val="0"/>
                <w:iCs/>
                <w:color w:val="000000"/>
              </w:rPr>
              <w:t>αποτελέσματα 1</w:t>
            </w:r>
            <w:r w:rsidRPr="00BF6454">
              <w:rPr>
                <w:rFonts w:cs="Calibri"/>
                <w:b w:val="0"/>
                <w:bCs w:val="0"/>
                <w:iCs/>
                <w:color w:val="000000"/>
                <w:vertAlign w:val="superscript"/>
              </w:rPr>
              <w:t>ου</w:t>
            </w:r>
            <w:r>
              <w:rPr>
                <w:rFonts w:cs="Calibri"/>
                <w:b w:val="0"/>
                <w:bCs w:val="0"/>
                <w:iCs/>
                <w:color w:val="000000"/>
              </w:rPr>
              <w:t xml:space="preserve"> εξαμήνου</w:t>
            </w:r>
            <w:r w:rsidRPr="000C6B05">
              <w:rPr>
                <w:rFonts w:cs="Calibri"/>
                <w:b w:val="0"/>
                <w:bCs w:val="0"/>
                <w:iCs/>
                <w:color w:val="000000"/>
              </w:rPr>
              <w:t xml:space="preserve"> 202</w:t>
            </w:r>
            <w:r w:rsidRPr="009F3EBA">
              <w:rPr>
                <w:rFonts w:cs="Calibri"/>
                <w:b w:val="0"/>
                <w:bCs w:val="0"/>
                <w:iCs/>
                <w:color w:val="000000"/>
              </w:rPr>
              <w:t>3</w:t>
            </w:r>
          </w:p>
        </w:tc>
        <w:tc>
          <w:tcPr>
            <w:tcW w:w="1421" w:type="pct"/>
            <w:noWrap/>
            <w:vAlign w:val="center"/>
          </w:tcPr>
          <w:p w14:paraId="2B26D526" w14:textId="6427AA61" w:rsidR="00136629" w:rsidRPr="002B5B1B" w:rsidRDefault="00136629" w:rsidP="002B5B1B">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cs="Calibri"/>
                <w:lang w:val="en-US"/>
              </w:rPr>
            </w:pPr>
            <w:r w:rsidRPr="002B5B1B">
              <w:rPr>
                <w:rFonts w:cs="Calibri"/>
                <w:lang w:val="en-GB"/>
              </w:rPr>
              <w:t xml:space="preserve">21 </w:t>
            </w:r>
            <w:r w:rsidRPr="002B5B1B">
              <w:rPr>
                <w:rFonts w:cs="Calibri"/>
              </w:rPr>
              <w:t>Σεπτεμβρίου</w:t>
            </w:r>
            <w:r w:rsidRPr="002B5B1B">
              <w:rPr>
                <w:rFonts w:cs="Calibri"/>
                <w:lang w:val="en-GB"/>
              </w:rPr>
              <w:t xml:space="preserve"> 2023</w:t>
            </w:r>
          </w:p>
        </w:tc>
      </w:tr>
      <w:tr w:rsidR="00136629" w:rsidRPr="007C6783" w14:paraId="11042AED" w14:textId="77777777" w:rsidTr="002B5B1B">
        <w:trPr>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2579AA33" w14:textId="4818CDE4" w:rsidR="00136629" w:rsidRPr="007C6783" w:rsidRDefault="00136629" w:rsidP="002B5B1B">
            <w:pPr>
              <w:autoSpaceDE w:val="0"/>
              <w:autoSpaceDN w:val="0"/>
              <w:adjustRightInd w:val="0"/>
              <w:spacing w:after="0" w:line="240" w:lineRule="auto"/>
              <w:rPr>
                <w:rFonts w:cs="Calibri"/>
                <w:b w:val="0"/>
                <w:iCs/>
                <w:color w:val="000000"/>
                <w:lang w:val="en-US"/>
              </w:rPr>
            </w:pPr>
            <w:r w:rsidRPr="001E1018">
              <w:rPr>
                <w:b w:val="0"/>
              </w:rPr>
              <w:t xml:space="preserve">Αποτελέσματα 3ου τριμήνου </w:t>
            </w:r>
            <w:r w:rsidRPr="007C6783">
              <w:rPr>
                <w:rFonts w:cs="Calibri"/>
                <w:b w:val="0"/>
                <w:iCs/>
                <w:color w:val="000000"/>
                <w:lang w:val="en-US"/>
              </w:rPr>
              <w:t>202</w:t>
            </w:r>
            <w:r>
              <w:rPr>
                <w:rFonts w:cs="Calibri"/>
                <w:b w:val="0"/>
                <w:iCs/>
                <w:color w:val="000000"/>
                <w:lang w:val="en-US"/>
              </w:rPr>
              <w:t>3</w:t>
            </w:r>
          </w:p>
        </w:tc>
        <w:tc>
          <w:tcPr>
            <w:tcW w:w="1421" w:type="pct"/>
            <w:noWrap/>
            <w:vAlign w:val="center"/>
          </w:tcPr>
          <w:p w14:paraId="47833E91" w14:textId="5596246B" w:rsidR="00136629" w:rsidRPr="002B5B1B" w:rsidRDefault="00136629" w:rsidP="002B5B1B">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bCs/>
                <w:lang w:val="en-US"/>
              </w:rPr>
            </w:pPr>
            <w:r w:rsidRPr="002B5B1B">
              <w:rPr>
                <w:rFonts w:cs="Calibri"/>
                <w:bCs/>
                <w:lang w:val="en-US"/>
              </w:rPr>
              <w:t>16</w:t>
            </w:r>
            <w:r w:rsidRPr="002B5B1B">
              <w:rPr>
                <w:lang w:val="en-GB"/>
              </w:rPr>
              <w:t xml:space="preserve"> </w:t>
            </w:r>
            <w:r w:rsidRPr="002B5B1B">
              <w:t>Νοεμβρίου</w:t>
            </w:r>
            <w:r w:rsidRPr="002B5B1B">
              <w:rPr>
                <w:lang w:val="en-GB"/>
              </w:rPr>
              <w:t xml:space="preserve"> 2023</w:t>
            </w:r>
          </w:p>
        </w:tc>
      </w:tr>
      <w:tr w:rsidR="00136629" w:rsidRPr="00635231" w14:paraId="4BA4755E" w14:textId="77777777" w:rsidTr="002B5B1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68BA40F3" w14:textId="27FE5AE4" w:rsidR="00136629" w:rsidRPr="00136629" w:rsidRDefault="00136629" w:rsidP="002B5B1B">
            <w:pPr>
              <w:autoSpaceDE w:val="0"/>
              <w:autoSpaceDN w:val="0"/>
              <w:adjustRightInd w:val="0"/>
              <w:spacing w:after="0" w:line="240" w:lineRule="auto"/>
            </w:pPr>
            <w:r>
              <w:rPr>
                <w:rFonts w:cs="Calibri"/>
                <w:b w:val="0"/>
                <w:bCs w:val="0"/>
                <w:iCs/>
                <w:color w:val="000000"/>
              </w:rPr>
              <w:t>Ενημέρωση</w:t>
            </w:r>
            <w:r w:rsidRPr="000C6B05">
              <w:rPr>
                <w:rFonts w:cs="Calibri"/>
                <w:b w:val="0"/>
                <w:bCs w:val="0"/>
                <w:iCs/>
                <w:color w:val="000000"/>
              </w:rPr>
              <w:t xml:space="preserve"> </w:t>
            </w:r>
            <w:r>
              <w:rPr>
                <w:rFonts w:cs="Calibri"/>
                <w:b w:val="0"/>
                <w:bCs w:val="0"/>
                <w:iCs/>
                <w:color w:val="000000"/>
              </w:rPr>
              <w:t>αναλυτών</w:t>
            </w:r>
            <w:r w:rsidRPr="000C6B05">
              <w:rPr>
                <w:rFonts w:cs="Calibri"/>
                <w:b w:val="0"/>
                <w:bCs w:val="0"/>
                <w:iCs/>
                <w:color w:val="000000"/>
              </w:rPr>
              <w:t xml:space="preserve"> </w:t>
            </w:r>
            <w:r>
              <w:rPr>
                <w:rFonts w:cs="Calibri"/>
                <w:b w:val="0"/>
                <w:bCs w:val="0"/>
                <w:iCs/>
                <w:color w:val="000000"/>
              </w:rPr>
              <w:t>για</w:t>
            </w:r>
            <w:r w:rsidRPr="000C6B05">
              <w:rPr>
                <w:rFonts w:cs="Calibri"/>
                <w:b w:val="0"/>
                <w:bCs w:val="0"/>
                <w:iCs/>
                <w:color w:val="000000"/>
              </w:rPr>
              <w:t xml:space="preserve"> </w:t>
            </w:r>
            <w:r>
              <w:rPr>
                <w:rFonts w:cs="Calibri"/>
                <w:b w:val="0"/>
                <w:bCs w:val="0"/>
                <w:iCs/>
                <w:color w:val="000000"/>
              </w:rPr>
              <w:t xml:space="preserve">αποτελέσματα </w:t>
            </w:r>
            <w:r w:rsidRPr="001A01EF">
              <w:rPr>
                <w:rFonts w:cs="Calibri"/>
                <w:b w:val="0"/>
                <w:bCs w:val="0"/>
                <w:iCs/>
                <w:color w:val="000000"/>
              </w:rPr>
              <w:t>3</w:t>
            </w:r>
            <w:r w:rsidRPr="00BF6454">
              <w:rPr>
                <w:rFonts w:cs="Calibri"/>
                <w:b w:val="0"/>
                <w:bCs w:val="0"/>
                <w:iCs/>
                <w:color w:val="000000"/>
                <w:vertAlign w:val="superscript"/>
              </w:rPr>
              <w:t>ου</w:t>
            </w:r>
            <w:r>
              <w:rPr>
                <w:rFonts w:cs="Calibri"/>
                <w:b w:val="0"/>
                <w:bCs w:val="0"/>
                <w:iCs/>
                <w:color w:val="000000"/>
              </w:rPr>
              <w:t xml:space="preserve"> τριμήνου</w:t>
            </w:r>
            <w:r w:rsidRPr="000C6B05">
              <w:rPr>
                <w:rFonts w:cs="Calibri"/>
                <w:b w:val="0"/>
                <w:bCs w:val="0"/>
                <w:iCs/>
                <w:color w:val="000000"/>
              </w:rPr>
              <w:t xml:space="preserve"> 202</w:t>
            </w:r>
            <w:r w:rsidRPr="009F3EBA">
              <w:rPr>
                <w:rFonts w:cs="Calibri"/>
                <w:b w:val="0"/>
                <w:bCs w:val="0"/>
                <w:iCs/>
                <w:color w:val="000000"/>
              </w:rPr>
              <w:t>3</w:t>
            </w:r>
          </w:p>
        </w:tc>
        <w:tc>
          <w:tcPr>
            <w:tcW w:w="1421" w:type="pct"/>
            <w:noWrap/>
            <w:vAlign w:val="center"/>
          </w:tcPr>
          <w:p w14:paraId="4C5A9F77" w14:textId="48F42712" w:rsidR="00136629" w:rsidRPr="002B5B1B" w:rsidRDefault="00136629" w:rsidP="002B5B1B">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lang w:val="en-GB"/>
              </w:rPr>
            </w:pPr>
            <w:r w:rsidRPr="002B5B1B">
              <w:rPr>
                <w:rFonts w:cs="Calibri"/>
                <w:bCs/>
                <w:lang w:val="en-US"/>
              </w:rPr>
              <w:t>17</w:t>
            </w:r>
            <w:r w:rsidRPr="002B5B1B">
              <w:rPr>
                <w:lang w:val="en-GB"/>
              </w:rPr>
              <w:t xml:space="preserve"> </w:t>
            </w:r>
            <w:r w:rsidRPr="002B5B1B">
              <w:t>Νοεμβρίου</w:t>
            </w:r>
            <w:r w:rsidRPr="002B5B1B">
              <w:rPr>
                <w:lang w:val="en-GB"/>
              </w:rPr>
              <w:t xml:space="preserve"> 2023</w:t>
            </w:r>
          </w:p>
        </w:tc>
      </w:tr>
      <w:tr w:rsidR="00136629" w:rsidRPr="007C6783" w14:paraId="3D0D7C96" w14:textId="77777777" w:rsidTr="002B5B1B">
        <w:trPr>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67EF8F4D" w14:textId="61E40071" w:rsidR="00136629" w:rsidRPr="007C6783" w:rsidRDefault="00136629" w:rsidP="002B5B1B">
            <w:pPr>
              <w:autoSpaceDE w:val="0"/>
              <w:autoSpaceDN w:val="0"/>
              <w:adjustRightInd w:val="0"/>
              <w:spacing w:after="0" w:line="240" w:lineRule="auto"/>
              <w:rPr>
                <w:rFonts w:cs="Calibri"/>
                <w:b w:val="0"/>
                <w:iCs/>
                <w:color w:val="000000"/>
                <w:lang w:val="en-US"/>
              </w:rPr>
            </w:pPr>
            <w:r w:rsidRPr="001E1018">
              <w:rPr>
                <w:b w:val="0"/>
              </w:rPr>
              <w:t xml:space="preserve">Ετήσια αποτελέσματα </w:t>
            </w:r>
            <w:r w:rsidRPr="00600875">
              <w:rPr>
                <w:b w:val="0"/>
              </w:rPr>
              <w:t>202</w:t>
            </w:r>
            <w:r>
              <w:rPr>
                <w:b w:val="0"/>
                <w:lang w:val="en-US"/>
              </w:rPr>
              <w:t>3</w:t>
            </w:r>
            <w:r w:rsidRPr="00600875">
              <w:rPr>
                <w:b w:val="0"/>
              </w:rPr>
              <w:t xml:space="preserve"> </w:t>
            </w:r>
            <w:r>
              <w:rPr>
                <w:b w:val="0"/>
                <w:lang w:val="en-ZA"/>
              </w:rPr>
              <w:t xml:space="preserve"> - </w:t>
            </w:r>
            <w:r>
              <w:rPr>
                <w:b w:val="0"/>
              </w:rPr>
              <w:t>Δελτίο Τύπου</w:t>
            </w:r>
          </w:p>
        </w:tc>
        <w:tc>
          <w:tcPr>
            <w:tcW w:w="1421" w:type="pct"/>
            <w:noWrap/>
            <w:vAlign w:val="center"/>
          </w:tcPr>
          <w:p w14:paraId="6C596891" w14:textId="119A9A28" w:rsidR="00136629" w:rsidRPr="002B5B1B" w:rsidRDefault="00136629" w:rsidP="002B5B1B">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bCs/>
                <w:lang w:val="en-US"/>
              </w:rPr>
            </w:pPr>
            <w:r w:rsidRPr="002B5B1B">
              <w:rPr>
                <w:lang w:val="en-GB"/>
              </w:rPr>
              <w:t xml:space="preserve">6 </w:t>
            </w:r>
            <w:r w:rsidRPr="002B5B1B">
              <w:t>Μαρτίου</w:t>
            </w:r>
            <w:r w:rsidRPr="002B5B1B">
              <w:rPr>
                <w:lang w:val="en-GB"/>
              </w:rPr>
              <w:t xml:space="preserve"> 2024</w:t>
            </w:r>
          </w:p>
        </w:tc>
      </w:tr>
      <w:tr w:rsidR="00136629" w:rsidRPr="007C6783" w14:paraId="57401C38" w14:textId="77777777" w:rsidTr="002B5B1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29401FA3" w14:textId="47300E93" w:rsidR="00136629" w:rsidRPr="000C2BB6" w:rsidRDefault="000C2BB6" w:rsidP="002B5B1B">
            <w:pPr>
              <w:autoSpaceDE w:val="0"/>
              <w:autoSpaceDN w:val="0"/>
              <w:adjustRightInd w:val="0"/>
              <w:spacing w:after="0" w:line="240" w:lineRule="auto"/>
            </w:pPr>
            <w:r w:rsidRPr="000C2BB6">
              <w:rPr>
                <w:b w:val="0"/>
              </w:rPr>
              <w:t xml:space="preserve">Ενημέρωση αναλυτών για </w:t>
            </w:r>
            <w:r>
              <w:rPr>
                <w:b w:val="0"/>
              </w:rPr>
              <w:t>αποτελέσματα χρήσης 2023</w:t>
            </w:r>
          </w:p>
        </w:tc>
        <w:tc>
          <w:tcPr>
            <w:tcW w:w="1421" w:type="pct"/>
            <w:noWrap/>
            <w:vAlign w:val="center"/>
          </w:tcPr>
          <w:p w14:paraId="1C0A6E8F" w14:textId="741B24E6" w:rsidR="00136629" w:rsidRPr="002B5B1B" w:rsidRDefault="00136629" w:rsidP="002B5B1B">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lang w:val="en-GB"/>
              </w:rPr>
            </w:pPr>
            <w:r w:rsidRPr="002B5B1B">
              <w:rPr>
                <w:lang w:val="en-GB"/>
              </w:rPr>
              <w:t xml:space="preserve">7 </w:t>
            </w:r>
            <w:r w:rsidRPr="002B5B1B">
              <w:t>Μαρτίου</w:t>
            </w:r>
            <w:r w:rsidRPr="002B5B1B">
              <w:rPr>
                <w:lang w:val="en-GB"/>
              </w:rPr>
              <w:t xml:space="preserve"> 2024</w:t>
            </w:r>
          </w:p>
        </w:tc>
      </w:tr>
      <w:tr w:rsidR="00136629" w:rsidRPr="007C6783" w14:paraId="5A5FAADA" w14:textId="77777777" w:rsidTr="002B5B1B">
        <w:trPr>
          <w:trHeight w:val="385"/>
        </w:trPr>
        <w:tc>
          <w:tcPr>
            <w:cnfStyle w:val="001000000000" w:firstRow="0" w:lastRow="0" w:firstColumn="1" w:lastColumn="0" w:oddVBand="0" w:evenVBand="0" w:oddHBand="0" w:evenHBand="0" w:firstRowFirstColumn="0" w:firstRowLastColumn="0" w:lastRowFirstColumn="0" w:lastRowLastColumn="0"/>
            <w:tcW w:w="3579" w:type="pct"/>
            <w:noWrap/>
            <w:vAlign w:val="center"/>
          </w:tcPr>
          <w:p w14:paraId="49714E59" w14:textId="15D8A485" w:rsidR="00136629" w:rsidRPr="007C6783" w:rsidRDefault="00136629" w:rsidP="002B5B1B">
            <w:pPr>
              <w:autoSpaceDE w:val="0"/>
              <w:autoSpaceDN w:val="0"/>
              <w:adjustRightInd w:val="0"/>
              <w:spacing w:after="0" w:line="240" w:lineRule="auto"/>
              <w:rPr>
                <w:rFonts w:cs="Calibri"/>
                <w:b w:val="0"/>
                <w:iCs/>
                <w:color w:val="000000"/>
                <w:lang w:val="en-US"/>
              </w:rPr>
            </w:pPr>
            <w:r>
              <w:rPr>
                <w:b w:val="0"/>
              </w:rPr>
              <w:t>Τακτική Γενική Συνέλευση</w:t>
            </w:r>
            <w:r w:rsidRPr="007C6783">
              <w:rPr>
                <w:b w:val="0"/>
                <w:lang w:val="en-US"/>
              </w:rPr>
              <w:t xml:space="preserve"> 202</w:t>
            </w:r>
            <w:r>
              <w:rPr>
                <w:b w:val="0"/>
                <w:lang w:val="en-US"/>
              </w:rPr>
              <w:t>4</w:t>
            </w:r>
          </w:p>
        </w:tc>
        <w:tc>
          <w:tcPr>
            <w:tcW w:w="1421" w:type="pct"/>
            <w:noWrap/>
            <w:vAlign w:val="center"/>
          </w:tcPr>
          <w:p w14:paraId="1AD78D97" w14:textId="437FCE41" w:rsidR="00136629" w:rsidRPr="002B5B1B" w:rsidRDefault="00136629" w:rsidP="002B5B1B">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cs="Calibri"/>
                <w:bCs/>
                <w:lang w:val="en-US"/>
              </w:rPr>
            </w:pPr>
            <w:r w:rsidRPr="002B5B1B">
              <w:rPr>
                <w:lang w:val="en-GB"/>
              </w:rPr>
              <w:t xml:space="preserve">28 </w:t>
            </w:r>
            <w:r w:rsidRPr="002B5B1B">
              <w:t>Μαΐου</w:t>
            </w:r>
            <w:r w:rsidRPr="002B5B1B">
              <w:rPr>
                <w:lang w:val="en-GB"/>
              </w:rPr>
              <w:t xml:space="preserve"> 2024</w:t>
            </w:r>
          </w:p>
        </w:tc>
      </w:tr>
    </w:tbl>
    <w:bookmarkEnd w:id="11"/>
    <w:p w14:paraId="3582E59E" w14:textId="7EE4C79B" w:rsidR="00136629" w:rsidRPr="00136629" w:rsidRDefault="00136629" w:rsidP="006B321F">
      <w:pPr>
        <w:keepNext/>
        <w:keepLines/>
        <w:spacing w:after="120" w:line="240" w:lineRule="auto"/>
        <w:jc w:val="both"/>
        <w:outlineLvl w:val="1"/>
        <w:rPr>
          <w:sz w:val="20"/>
          <w:szCs w:val="20"/>
        </w:rPr>
      </w:pPr>
      <w:r w:rsidRPr="00136629">
        <w:rPr>
          <w:sz w:val="20"/>
          <w:szCs w:val="20"/>
        </w:rPr>
        <w:lastRenderedPageBreak/>
        <w:t xml:space="preserve">ΔΗΛΩΣΗ ΑΠΟΠΟΙΗΣΗΣ ΕΥΘΥΝΗΣ: Τυχόν δηλώσεις για μελλοντικές εκτιμήσεις που ενδεχομένως συμπεριλαμβάνονται στο παρόν δελτίο τύπου αφορούν ή βασίζονται στις τρέχουσες προσδοκίες, στον σχεδιασμό και στην αντίληψη της διοίκησης της εταιρείας μας σχετικά, μεταξύ άλλων, με τα μελλοντικά αποτελέσματα των δραστηριοτήτων της </w:t>
      </w:r>
      <w:r w:rsidRPr="00136629">
        <w:rPr>
          <w:sz w:val="20"/>
          <w:szCs w:val="20"/>
          <w:lang w:val="en-GB"/>
        </w:rPr>
        <w:t>Cenergy</w:t>
      </w:r>
      <w:r w:rsidRPr="00136629">
        <w:rPr>
          <w:sz w:val="20"/>
          <w:szCs w:val="20"/>
        </w:rPr>
        <w:t xml:space="preserve"> </w:t>
      </w:r>
      <w:r w:rsidRPr="00136629">
        <w:rPr>
          <w:sz w:val="20"/>
          <w:szCs w:val="20"/>
          <w:lang w:val="en-GB"/>
        </w:rPr>
        <w:t>Holdings</w:t>
      </w:r>
      <w:r w:rsidRPr="00136629">
        <w:rPr>
          <w:sz w:val="20"/>
          <w:szCs w:val="20"/>
        </w:rPr>
        <w:t xml:space="preserve">, την οικονομική θέση, την ρευστότητα, τις προοπτικές, την ανάπτυξη, την στρατηγική ή τις εξελίξεις σχετικά με τις αγορές στις οποίες δραστηριοποιούνται οι θυγατρικές της. Τέτοιες δηλώσεις για μελλοντικές εκτιμήσεις θα πρέπει να αντιμετωπίζονται ως απεικόνιση των πληροφοριών, των στοιχείων και των αντιλήψεων κατά την ημερομηνία δημοσίευσης του παρόντος δελτίου τύπου. Ως εκ τούτου, σας προτρέπουμε να μην βασίζεστε υπέρ του δέοντος σε αυτές, δεδομένου ότι εκ φύσεως, οι δηλώσεις για μελλοντικές εκτιμήσεις υπόκεινται σε κινδύνους, αβεβαιότητες και υποθέσεις που θα μπορούσαν ουσιωδώς να μεταβάλλουν τα πραγματικά αποτελέσματα ή τα μελλοντικά γεγονότα σε σύγκριση με όσα διατυπώνονται ή υπονοούνται με αυτές. Το αποτέλεσμα και οι χρηματοοικονομικές επιπτώσεις από τις αντιλήψεις, τις προθέσεις και τα γεγονότα που περιγράφονται στο παρόν μπορεί να επηρεαστούν αρνητικά από αυτούς τους κινδύνους, τις αβεβαιότητες και τις υποθέσεις. Οι δηλώσεις για μελλοντικές εκτιμήσεις που περιέχονται στο παρόν δελτίο τύπου και σχετίζονται με τάσεις ή τρέχουσες δραστηριότητες, δεν θα πρέπει να θεωρούνται ως έκθεση της μελλοντικής θέσης των τάσεων και των δραστηριοτήτων αυτών. Ουδεμία υποχρέωση αναλαμβάνουμε για να ενημερώσουμε ή να αναθεωρήσουμε τυχόν δηλώσεις για μελλοντικές εκτιμήσεις, είτε ως αποτέλεσμα νέων πληροφοριών είτε ως αποτέλεσμα εξελίξεων, μελλοντικών γεγονότων ή άλλων. Οι πληροφορίες που περιλαμβάνονται στο παρόν δελτίο τύπου μπορεί να μεταβληθούν χωρίς ειδοποίηση. Ο αναγνώστης δεν θα πρέπει να βασίσει παράγωγη αναφορά στη βάση των πληροφοριών που περιέχονται στο παρόν, οι οποίες δεν καλύπτονται από έμμεση ή ευθεία εγγύηση σχετικά με το δίκαιο, ακριβές, εύλογο και πλήρες αυτών. Το παρόν δελτίο τύπου συντάχθηκε στην αγγλική γλώσσα και έχει μεταφραστεί στην γαλλική και την ελληνική γλώσσα.  Σε περίπτωση αποκλίσεων μεταξύ των εκδόσεων, επικρατούσα θεωρείται η αγγλική έκδοση. </w:t>
      </w:r>
    </w:p>
    <w:p w14:paraId="38CEAA67" w14:textId="06058C3E" w:rsidR="003A5991" w:rsidRPr="00136629" w:rsidRDefault="00136629" w:rsidP="006B321F">
      <w:pPr>
        <w:keepNext/>
        <w:keepLines/>
        <w:spacing w:after="120" w:line="240" w:lineRule="auto"/>
        <w:jc w:val="both"/>
        <w:outlineLvl w:val="1"/>
        <w:rPr>
          <w:rFonts w:eastAsia="SimSun" w:cs="Calibri"/>
          <w:b/>
          <w:bCs/>
          <w:color w:val="4F6228"/>
          <w:sz w:val="24"/>
          <w:szCs w:val="24"/>
        </w:rPr>
      </w:pPr>
      <w:r w:rsidRPr="00136629">
        <w:rPr>
          <w:rFonts w:eastAsia="SimSun" w:cs="Calibri"/>
          <w:b/>
          <w:bCs/>
          <w:color w:val="4F6228"/>
          <w:sz w:val="24"/>
          <w:szCs w:val="24"/>
        </w:rPr>
        <w:t xml:space="preserve">Σχετικά με τη </w:t>
      </w:r>
      <w:r w:rsidRPr="00136629">
        <w:rPr>
          <w:rFonts w:eastAsia="SimSun" w:cs="Calibri"/>
          <w:b/>
          <w:bCs/>
          <w:color w:val="4F6228"/>
          <w:sz w:val="24"/>
          <w:szCs w:val="24"/>
          <w:lang w:val="en-GB"/>
        </w:rPr>
        <w:t>Cenergy</w:t>
      </w:r>
      <w:r w:rsidRPr="00136629">
        <w:rPr>
          <w:rFonts w:eastAsia="SimSun" w:cs="Calibri"/>
          <w:b/>
          <w:bCs/>
          <w:color w:val="4F6228"/>
          <w:sz w:val="24"/>
          <w:szCs w:val="24"/>
        </w:rPr>
        <w:t xml:space="preserve"> </w:t>
      </w:r>
      <w:r w:rsidRPr="00136629">
        <w:rPr>
          <w:rFonts w:eastAsia="SimSun" w:cs="Calibri"/>
          <w:b/>
          <w:bCs/>
          <w:color w:val="4F6228"/>
          <w:sz w:val="24"/>
          <w:szCs w:val="24"/>
          <w:lang w:val="en-GB"/>
        </w:rPr>
        <w:t>Holdings</w:t>
      </w:r>
    </w:p>
    <w:p w14:paraId="2AEA6477" w14:textId="64C0C5BB" w:rsidR="001A12E5" w:rsidRPr="00136629" w:rsidRDefault="00AA723D" w:rsidP="001A12E5">
      <w:pPr>
        <w:keepNext/>
        <w:keepLines/>
        <w:spacing w:after="120" w:line="240" w:lineRule="auto"/>
        <w:jc w:val="both"/>
        <w:outlineLvl w:val="1"/>
        <w:rPr>
          <w:i/>
          <w:iCs/>
          <w:sz w:val="20"/>
          <w:szCs w:val="20"/>
        </w:rPr>
      </w:pPr>
      <w:r w:rsidRPr="00AA723D">
        <w:rPr>
          <w:i/>
          <w:iCs/>
          <w:sz w:val="20"/>
          <w:szCs w:val="20"/>
        </w:rPr>
        <w:t xml:space="preserve">Η Cenergy Holdings είναι μια Βελγική εταιρεία συμμετοχών εισηγμένη τόσο στο Χρηματιστήριο των Βρυξελλών όσο και στο Χρηματιστήριο των Αθηνών, επενδύοντας σε κορυφαίες βιομηχανικές εταιρείες, εστιάζοντας στην αυξανόμενη παγκόσμια ζήτηση μεταφοράς ενέργειας, ανανεώσιμων πηγών ενέργειας και μετάδοσης δεδομένων. Το χαρτοφυλάκιο της Cenergy Holdings αποτελείται από την Σωληνουργεία Κορίνθου και την Hellenic Cables, εταιρείες που βρίσκονται στην πρώτη γραμμή των αντίστοιχων τομέων ανάπτυξης. </w:t>
      </w:r>
      <w:r>
        <w:rPr>
          <w:i/>
          <w:iCs/>
          <w:sz w:val="20"/>
          <w:szCs w:val="20"/>
        </w:rPr>
        <w:t xml:space="preserve"> </w:t>
      </w:r>
      <w:r w:rsidRPr="00AA723D">
        <w:rPr>
          <w:i/>
          <w:iCs/>
          <w:sz w:val="20"/>
          <w:szCs w:val="20"/>
        </w:rPr>
        <w:t xml:space="preserve">Η Hellenic Cables είναι ένας από τους μεγαλύτερους παραγωγούς καλωδίων στην Ευρώπη, κατασκευάζοντας καλώδια ηλεκτρικής ισχύος, τηλεπικοινωνιών καθώς και υποβρύχια καλώδια για πολλές εφαρμογές. </w:t>
      </w:r>
      <w:r>
        <w:rPr>
          <w:i/>
          <w:iCs/>
          <w:sz w:val="20"/>
          <w:szCs w:val="20"/>
        </w:rPr>
        <w:t xml:space="preserve"> </w:t>
      </w:r>
      <w:r w:rsidRPr="00AA723D">
        <w:rPr>
          <w:i/>
          <w:iCs/>
          <w:sz w:val="20"/>
          <w:szCs w:val="20"/>
        </w:rPr>
        <w:t xml:space="preserve">Η Σωληνουργεία Κορίνθου είναι </w:t>
      </w:r>
      <w:bookmarkStart w:id="12" w:name="_Hlk135047181"/>
      <w:r w:rsidRPr="00AA723D">
        <w:rPr>
          <w:i/>
          <w:iCs/>
          <w:sz w:val="20"/>
          <w:szCs w:val="20"/>
        </w:rPr>
        <w:t>παγκόσμιος ηγέτης στην κατασκευή σωλήνων χάλυβα για τον κλάδο της ενέργειας και σημαντικός παραγωγός κοιλοδοκών χάλυβα για τον κατασκευαστικό κλάδο</w:t>
      </w:r>
      <w:bookmarkEnd w:id="12"/>
      <w:r w:rsidRPr="00AA723D">
        <w:rPr>
          <w:i/>
          <w:iCs/>
          <w:sz w:val="20"/>
          <w:szCs w:val="20"/>
        </w:rPr>
        <w:t>.  Για περισσότερες πληροφορίες σχετικά με την εταιρεία μας, παρακαλώ επισκεφθείτε την ιστοσελίδα μας</w:t>
      </w:r>
      <w:r w:rsidR="00136629" w:rsidRPr="00136629">
        <w:rPr>
          <w:i/>
          <w:iCs/>
          <w:sz w:val="20"/>
          <w:szCs w:val="20"/>
        </w:rPr>
        <w:t xml:space="preserve"> </w:t>
      </w:r>
      <w:hyperlink r:id="rId17" w:history="1">
        <w:r w:rsidR="001A12E5" w:rsidRPr="001A12E5">
          <w:rPr>
            <w:rStyle w:val="Hyperlink"/>
            <w:i/>
            <w:iCs/>
            <w:sz w:val="20"/>
            <w:szCs w:val="20"/>
            <w:lang w:val="en-GB"/>
          </w:rPr>
          <w:t>www</w:t>
        </w:r>
        <w:r w:rsidR="001A12E5" w:rsidRPr="00136629">
          <w:rPr>
            <w:rStyle w:val="Hyperlink"/>
            <w:i/>
            <w:iCs/>
            <w:sz w:val="20"/>
            <w:szCs w:val="20"/>
          </w:rPr>
          <w:t>.</w:t>
        </w:r>
        <w:r w:rsidR="001A12E5" w:rsidRPr="001A12E5">
          <w:rPr>
            <w:rStyle w:val="Hyperlink"/>
            <w:i/>
            <w:iCs/>
            <w:sz w:val="20"/>
            <w:szCs w:val="20"/>
            <w:lang w:val="en-GB"/>
          </w:rPr>
          <w:t>cenergyholdings</w:t>
        </w:r>
        <w:r w:rsidR="001A12E5" w:rsidRPr="00136629">
          <w:rPr>
            <w:rStyle w:val="Hyperlink"/>
            <w:i/>
            <w:iCs/>
            <w:sz w:val="20"/>
            <w:szCs w:val="20"/>
          </w:rPr>
          <w:t>.</w:t>
        </w:r>
        <w:r w:rsidR="001A12E5" w:rsidRPr="001A12E5">
          <w:rPr>
            <w:rStyle w:val="Hyperlink"/>
            <w:i/>
            <w:iCs/>
            <w:sz w:val="20"/>
            <w:szCs w:val="20"/>
            <w:lang w:val="en-GB"/>
          </w:rPr>
          <w:t>com</w:t>
        </w:r>
      </w:hyperlink>
      <w:r w:rsidR="001A12E5" w:rsidRPr="00136629">
        <w:rPr>
          <w:i/>
          <w:iCs/>
          <w:sz w:val="20"/>
          <w:szCs w:val="20"/>
        </w:rPr>
        <w:t>.</w:t>
      </w:r>
    </w:p>
    <w:p w14:paraId="27766F55" w14:textId="77777777" w:rsidR="002B5B1B" w:rsidRDefault="002B5B1B" w:rsidP="00136629">
      <w:pPr>
        <w:spacing w:after="120" w:line="240" w:lineRule="auto"/>
        <w:jc w:val="both"/>
        <w:rPr>
          <w:rFonts w:eastAsia="SimSun" w:cs="Calibri"/>
          <w:b/>
          <w:bCs/>
          <w:color w:val="4F6228"/>
          <w:sz w:val="24"/>
          <w:szCs w:val="24"/>
        </w:rPr>
      </w:pPr>
      <w:r w:rsidRPr="002B5B1B">
        <w:rPr>
          <w:rFonts w:eastAsia="SimSun" w:cs="Calibri"/>
          <w:b/>
          <w:bCs/>
          <w:color w:val="4F6228"/>
          <w:sz w:val="24"/>
          <w:szCs w:val="24"/>
        </w:rPr>
        <w:t>Επικοινωνία</w:t>
      </w:r>
    </w:p>
    <w:p w14:paraId="26AA52D7" w14:textId="78E9412E" w:rsidR="00136629" w:rsidRPr="00B715E1" w:rsidRDefault="00136629" w:rsidP="00136629">
      <w:pPr>
        <w:spacing w:after="120" w:line="240" w:lineRule="auto"/>
        <w:jc w:val="both"/>
        <w:rPr>
          <w:sz w:val="20"/>
          <w:szCs w:val="20"/>
        </w:rPr>
      </w:pPr>
      <w:r w:rsidRPr="00B715E1">
        <w:rPr>
          <w:sz w:val="20"/>
          <w:szCs w:val="20"/>
        </w:rPr>
        <w:t xml:space="preserve">Για περισσότερες πληροφορίες, </w:t>
      </w:r>
      <w:bookmarkStart w:id="13" w:name="_Hlk145690048"/>
      <w:r w:rsidRPr="00B715E1">
        <w:rPr>
          <w:sz w:val="20"/>
          <w:szCs w:val="20"/>
        </w:rPr>
        <w:t>μπορείτε να επικοινωνείτε</w:t>
      </w:r>
      <w:bookmarkEnd w:id="13"/>
      <w:r w:rsidRPr="00B715E1">
        <w:rPr>
          <w:sz w:val="20"/>
          <w:szCs w:val="20"/>
        </w:rPr>
        <w:t>:</w:t>
      </w:r>
    </w:p>
    <w:p w14:paraId="6F38B9C6" w14:textId="77777777" w:rsidR="00136629" w:rsidRPr="00771AE5" w:rsidRDefault="00136629" w:rsidP="00136629">
      <w:pPr>
        <w:spacing w:after="0" w:line="240" w:lineRule="auto"/>
        <w:jc w:val="both"/>
        <w:rPr>
          <w:rFonts w:cs="Calibri"/>
          <w:b/>
          <w:color w:val="000000"/>
          <w:sz w:val="20"/>
          <w:szCs w:val="20"/>
        </w:rPr>
      </w:pPr>
      <w:r w:rsidRPr="00B715E1">
        <w:rPr>
          <w:rFonts w:cs="Calibri"/>
          <w:b/>
          <w:color w:val="000000"/>
          <w:sz w:val="20"/>
          <w:szCs w:val="20"/>
        </w:rPr>
        <w:t>Σοφία</w:t>
      </w:r>
      <w:r w:rsidRPr="00771AE5">
        <w:rPr>
          <w:rFonts w:cs="Calibri"/>
          <w:b/>
          <w:color w:val="000000"/>
          <w:sz w:val="20"/>
          <w:szCs w:val="20"/>
        </w:rPr>
        <w:t xml:space="preserve"> </w:t>
      </w:r>
      <w:r w:rsidRPr="00B715E1">
        <w:rPr>
          <w:rFonts w:cs="Calibri"/>
          <w:b/>
          <w:color w:val="000000"/>
          <w:sz w:val="20"/>
          <w:szCs w:val="20"/>
        </w:rPr>
        <w:t>Ζαΐρη</w:t>
      </w:r>
    </w:p>
    <w:p w14:paraId="6E3BDF8E" w14:textId="72DD21FA" w:rsidR="00136629" w:rsidRPr="00B715E1" w:rsidRDefault="00136629" w:rsidP="00136629">
      <w:pPr>
        <w:spacing w:after="0"/>
        <w:jc w:val="both"/>
        <w:rPr>
          <w:rFonts w:cs="Calibri"/>
          <w:b/>
          <w:color w:val="000000"/>
          <w:sz w:val="20"/>
          <w:szCs w:val="20"/>
        </w:rPr>
      </w:pPr>
      <w:r w:rsidRPr="00B715E1">
        <w:rPr>
          <w:b/>
          <w:color w:val="000000"/>
          <w:sz w:val="20"/>
        </w:rPr>
        <w:t>Διευθύντρια Επενδυτικών Σχέσεων</w:t>
      </w:r>
    </w:p>
    <w:p w14:paraId="09FC49E5" w14:textId="1F857F60" w:rsidR="00136629" w:rsidRPr="00771AE5" w:rsidRDefault="00136629" w:rsidP="00136629">
      <w:pPr>
        <w:spacing w:after="0"/>
        <w:jc w:val="both"/>
        <w:rPr>
          <w:rFonts w:cs="Calibri"/>
          <w:color w:val="000000"/>
          <w:sz w:val="20"/>
          <w:szCs w:val="20"/>
        </w:rPr>
      </w:pPr>
      <w:r w:rsidRPr="00B715E1">
        <w:rPr>
          <w:color w:val="000000"/>
          <w:sz w:val="20"/>
        </w:rPr>
        <w:t>Τηλ</w:t>
      </w:r>
      <w:r w:rsidRPr="00771AE5">
        <w:rPr>
          <w:color w:val="000000"/>
          <w:sz w:val="20"/>
        </w:rPr>
        <w:t>: +30 210 678</w:t>
      </w:r>
      <w:r w:rsidR="002B5B1B">
        <w:rPr>
          <w:color w:val="000000"/>
          <w:sz w:val="20"/>
        </w:rPr>
        <w:t xml:space="preserve"> </w:t>
      </w:r>
      <w:r w:rsidRPr="00771AE5">
        <w:rPr>
          <w:color w:val="000000"/>
          <w:sz w:val="20"/>
        </w:rPr>
        <w:t>7111</w:t>
      </w:r>
      <w:r w:rsidR="002B5B1B" w:rsidRPr="002B5B1B">
        <w:rPr>
          <w:color w:val="000000"/>
          <w:sz w:val="20"/>
        </w:rPr>
        <w:t>, +30 210 678</w:t>
      </w:r>
      <w:r w:rsidR="002B5B1B">
        <w:rPr>
          <w:color w:val="000000"/>
          <w:sz w:val="20"/>
        </w:rPr>
        <w:t xml:space="preserve"> </w:t>
      </w:r>
      <w:r w:rsidR="002B5B1B" w:rsidRPr="002B5B1B">
        <w:rPr>
          <w:color w:val="000000"/>
          <w:sz w:val="20"/>
        </w:rPr>
        <w:t>7773</w:t>
      </w:r>
    </w:p>
    <w:p w14:paraId="2EAB7AAF" w14:textId="77777777" w:rsidR="00136629" w:rsidRPr="00771AE5" w:rsidRDefault="00136629" w:rsidP="00136629">
      <w:pPr>
        <w:spacing w:after="0"/>
        <w:jc w:val="both"/>
        <w:rPr>
          <w:rFonts w:cs="Calibri"/>
          <w:color w:val="000000"/>
          <w:sz w:val="20"/>
          <w:szCs w:val="20"/>
        </w:rPr>
      </w:pPr>
      <w:r w:rsidRPr="00B715E1">
        <w:rPr>
          <w:color w:val="000000"/>
          <w:sz w:val="20"/>
          <w:lang w:val="en-US"/>
        </w:rPr>
        <w:t>Email</w:t>
      </w:r>
      <w:r w:rsidRPr="00771AE5">
        <w:rPr>
          <w:color w:val="000000"/>
          <w:sz w:val="20"/>
        </w:rPr>
        <w:t xml:space="preserve">: </w:t>
      </w:r>
      <w:hyperlink r:id="rId18" w:history="1">
        <w:r w:rsidRPr="00B715E1">
          <w:rPr>
            <w:rStyle w:val="Hyperlink"/>
            <w:sz w:val="20"/>
            <w:lang w:val="en-US"/>
          </w:rPr>
          <w:t>ir</w:t>
        </w:r>
        <w:r w:rsidRPr="00771AE5">
          <w:rPr>
            <w:rStyle w:val="Hyperlink"/>
            <w:sz w:val="20"/>
          </w:rPr>
          <w:t>@</w:t>
        </w:r>
        <w:r w:rsidRPr="00B715E1">
          <w:rPr>
            <w:rStyle w:val="Hyperlink"/>
            <w:sz w:val="20"/>
            <w:lang w:val="en-US"/>
          </w:rPr>
          <w:t>cenergyholdings</w:t>
        </w:r>
        <w:r w:rsidRPr="00771AE5">
          <w:rPr>
            <w:rStyle w:val="Hyperlink"/>
            <w:sz w:val="20"/>
          </w:rPr>
          <w:t>.</w:t>
        </w:r>
        <w:r w:rsidRPr="00B715E1">
          <w:rPr>
            <w:rStyle w:val="Hyperlink"/>
            <w:sz w:val="20"/>
            <w:lang w:val="en-US"/>
          </w:rPr>
          <w:t>com</w:t>
        </w:r>
      </w:hyperlink>
    </w:p>
    <w:p w14:paraId="2A22F654" w14:textId="0665ECF3" w:rsidR="004C01D1" w:rsidRPr="00136629" w:rsidRDefault="00733D55" w:rsidP="006B321F">
      <w:pPr>
        <w:keepNext/>
        <w:keepLines/>
        <w:spacing w:after="120" w:line="240" w:lineRule="auto"/>
        <w:jc w:val="both"/>
        <w:outlineLvl w:val="1"/>
        <w:rPr>
          <w:rFonts w:eastAsia="SimSun" w:cs="Calibri"/>
          <w:b/>
          <w:bCs/>
          <w:color w:val="4F6228"/>
          <w:sz w:val="24"/>
          <w:szCs w:val="24"/>
        </w:rPr>
      </w:pPr>
      <w:r w:rsidRPr="00136629">
        <w:rPr>
          <w:rFonts w:cs="Calibri"/>
          <w:sz w:val="20"/>
          <w:szCs w:val="20"/>
        </w:rPr>
        <w:br w:type="page"/>
      </w:r>
      <w:r w:rsidR="00136629" w:rsidRPr="00136629">
        <w:rPr>
          <w:rFonts w:eastAsia="SimSun" w:cs="Calibri"/>
          <w:b/>
          <w:bCs/>
          <w:color w:val="4F6228"/>
          <w:sz w:val="24"/>
          <w:szCs w:val="24"/>
        </w:rPr>
        <w:lastRenderedPageBreak/>
        <w:t xml:space="preserve">Παράρτημα </w:t>
      </w:r>
      <w:r w:rsidR="00136629" w:rsidRPr="00136629">
        <w:rPr>
          <w:rFonts w:eastAsia="SimSun" w:cs="Calibri"/>
          <w:b/>
          <w:bCs/>
          <w:color w:val="4F6228"/>
          <w:sz w:val="24"/>
          <w:szCs w:val="24"/>
          <w:lang w:val="en-GB"/>
        </w:rPr>
        <w:t>A</w:t>
      </w:r>
      <w:r w:rsidR="00136629" w:rsidRPr="00136629">
        <w:rPr>
          <w:rFonts w:eastAsia="SimSun" w:cs="Calibri"/>
          <w:b/>
          <w:bCs/>
          <w:color w:val="4F6228"/>
          <w:sz w:val="24"/>
          <w:szCs w:val="24"/>
        </w:rPr>
        <w:t xml:space="preserve"> – Συνοπτική Ενοποιημένη Κατάσταση Αποτελεσμάτων</w:t>
      </w:r>
    </w:p>
    <w:tbl>
      <w:tblPr>
        <w:tblW w:w="10133" w:type="dxa"/>
        <w:tblLook w:val="04A0" w:firstRow="1" w:lastRow="0" w:firstColumn="1" w:lastColumn="0" w:noHBand="0" w:noVBand="1"/>
      </w:tblPr>
      <w:tblGrid>
        <w:gridCol w:w="6292"/>
        <w:gridCol w:w="1850"/>
        <w:gridCol w:w="266"/>
        <w:gridCol w:w="1725"/>
      </w:tblGrid>
      <w:tr w:rsidR="004C01D1" w:rsidRPr="00136629" w14:paraId="35891F9D" w14:textId="77777777" w:rsidTr="00BB65A0">
        <w:trPr>
          <w:trHeight w:val="300"/>
        </w:trPr>
        <w:tc>
          <w:tcPr>
            <w:tcW w:w="6292" w:type="dxa"/>
            <w:tcBorders>
              <w:top w:val="nil"/>
              <w:left w:val="nil"/>
              <w:bottom w:val="nil"/>
              <w:right w:val="nil"/>
            </w:tcBorders>
            <w:shd w:val="clear" w:color="auto" w:fill="auto"/>
            <w:noWrap/>
            <w:vAlign w:val="bottom"/>
            <w:hideMark/>
          </w:tcPr>
          <w:p w14:paraId="1A50C331" w14:textId="77777777" w:rsidR="004C01D1" w:rsidRPr="00136629" w:rsidRDefault="004C01D1" w:rsidP="004C6AD8">
            <w:pPr>
              <w:spacing w:after="0" w:line="240" w:lineRule="auto"/>
              <w:jc w:val="both"/>
              <w:rPr>
                <w:rFonts w:eastAsia="Times New Roman"/>
                <w:color w:val="000000"/>
                <w:lang w:eastAsia="el-GR"/>
              </w:rPr>
            </w:pPr>
          </w:p>
        </w:tc>
        <w:tc>
          <w:tcPr>
            <w:tcW w:w="3841" w:type="dxa"/>
            <w:gridSpan w:val="3"/>
            <w:tcBorders>
              <w:top w:val="nil"/>
              <w:left w:val="nil"/>
              <w:bottom w:val="nil"/>
              <w:right w:val="nil"/>
            </w:tcBorders>
            <w:shd w:val="clear" w:color="000000" w:fill="FFFFFF"/>
            <w:vAlign w:val="center"/>
            <w:hideMark/>
          </w:tcPr>
          <w:p w14:paraId="275CFE00" w14:textId="3AAFF8B7" w:rsidR="004C01D1" w:rsidRPr="00136629" w:rsidRDefault="00136629" w:rsidP="004C6AD8">
            <w:pPr>
              <w:spacing w:after="0" w:line="240" w:lineRule="auto"/>
              <w:jc w:val="right"/>
              <w:rPr>
                <w:rFonts w:eastAsia="Times New Roman"/>
                <w:b/>
                <w:bCs/>
                <w:color w:val="000000"/>
                <w:u w:val="single"/>
                <w:lang w:eastAsia="el-GR"/>
              </w:rPr>
            </w:pPr>
            <w:r w:rsidRPr="00734618">
              <w:rPr>
                <w:b/>
                <w:color w:val="000000"/>
                <w:sz w:val="20"/>
                <w:szCs w:val="20"/>
                <w:u w:val="single"/>
              </w:rPr>
              <w:t>Για το εξάμηνο που έληξε την 30ή Ιουνίου</w:t>
            </w:r>
          </w:p>
        </w:tc>
      </w:tr>
      <w:tr w:rsidR="00B4712C" w:rsidRPr="009259F9" w14:paraId="029F8A55" w14:textId="77777777" w:rsidTr="00BB65A0">
        <w:trPr>
          <w:trHeight w:val="300"/>
        </w:trPr>
        <w:tc>
          <w:tcPr>
            <w:tcW w:w="6292" w:type="dxa"/>
            <w:tcBorders>
              <w:top w:val="nil"/>
              <w:left w:val="nil"/>
              <w:bottom w:val="nil"/>
              <w:right w:val="nil"/>
            </w:tcBorders>
            <w:shd w:val="clear" w:color="000000" w:fill="FFFFFF"/>
            <w:noWrap/>
            <w:vAlign w:val="center"/>
            <w:hideMark/>
          </w:tcPr>
          <w:p w14:paraId="688EAD2A" w14:textId="13C4B1E3" w:rsidR="00B4712C" w:rsidRPr="009259F9" w:rsidRDefault="00136629" w:rsidP="00B4712C">
            <w:pPr>
              <w:spacing w:after="0" w:line="240" w:lineRule="auto"/>
              <w:jc w:val="both"/>
              <w:rPr>
                <w:rFonts w:eastAsia="Times New Roman"/>
                <w:i/>
                <w:iCs/>
                <w:color w:val="000000"/>
                <w:lang w:val="en-GB" w:eastAsia="el-GR"/>
              </w:rPr>
            </w:pPr>
            <w:r w:rsidRPr="00734618">
              <w:rPr>
                <w:i/>
                <w:color w:val="000000"/>
                <w:sz w:val="20"/>
                <w:szCs w:val="20"/>
              </w:rPr>
              <w:t>Ποσά σε χιλιάδες ευρώ</w:t>
            </w:r>
          </w:p>
        </w:tc>
        <w:tc>
          <w:tcPr>
            <w:tcW w:w="1850" w:type="dxa"/>
            <w:tcBorders>
              <w:top w:val="nil"/>
              <w:left w:val="nil"/>
              <w:bottom w:val="nil"/>
              <w:right w:val="nil"/>
            </w:tcBorders>
            <w:shd w:val="clear" w:color="000000" w:fill="FFFFFF"/>
            <w:noWrap/>
            <w:vAlign w:val="center"/>
            <w:hideMark/>
          </w:tcPr>
          <w:p w14:paraId="44960A03" w14:textId="6FD97F78" w:rsidR="00B4712C" w:rsidRPr="009259F9" w:rsidRDefault="00B4712C" w:rsidP="00B4712C">
            <w:pPr>
              <w:spacing w:after="0" w:line="240" w:lineRule="auto"/>
              <w:jc w:val="right"/>
              <w:rPr>
                <w:rFonts w:eastAsia="Times New Roman"/>
                <w:b/>
                <w:bCs/>
                <w:color w:val="000000"/>
                <w:lang w:val="en-GB" w:eastAsia="el-GR"/>
              </w:rPr>
            </w:pPr>
            <w:r>
              <w:rPr>
                <w:rFonts w:eastAsia="Times New Roman"/>
                <w:b/>
                <w:bCs/>
                <w:color w:val="000000"/>
                <w:lang w:val="en-GB" w:eastAsia="el-GR"/>
              </w:rPr>
              <w:t>2023</w:t>
            </w:r>
          </w:p>
        </w:tc>
        <w:tc>
          <w:tcPr>
            <w:tcW w:w="266" w:type="dxa"/>
            <w:tcBorders>
              <w:top w:val="nil"/>
              <w:left w:val="nil"/>
              <w:bottom w:val="nil"/>
              <w:right w:val="nil"/>
            </w:tcBorders>
            <w:shd w:val="clear" w:color="000000" w:fill="FFFFFF"/>
            <w:vAlign w:val="center"/>
            <w:hideMark/>
          </w:tcPr>
          <w:p w14:paraId="4B0AE231" w14:textId="77777777" w:rsidR="00B4712C" w:rsidRPr="009259F9" w:rsidRDefault="00B4712C" w:rsidP="00B4712C">
            <w:pPr>
              <w:spacing w:after="0" w:line="240" w:lineRule="auto"/>
              <w:jc w:val="right"/>
              <w:rPr>
                <w:rFonts w:eastAsia="Times New Roman"/>
                <w:b/>
                <w:bCs/>
                <w:color w:val="000000"/>
                <w:lang w:val="en-GB" w:eastAsia="el-GR"/>
              </w:rPr>
            </w:pPr>
            <w:r w:rsidRPr="009259F9">
              <w:rPr>
                <w:rFonts w:eastAsia="Times New Roman"/>
                <w:b/>
                <w:bCs/>
                <w:color w:val="000000"/>
                <w:lang w:val="en-GB" w:eastAsia="el-GR"/>
              </w:rPr>
              <w:t> </w:t>
            </w:r>
          </w:p>
        </w:tc>
        <w:tc>
          <w:tcPr>
            <w:tcW w:w="1725" w:type="dxa"/>
            <w:tcBorders>
              <w:top w:val="nil"/>
              <w:left w:val="nil"/>
              <w:bottom w:val="nil"/>
              <w:right w:val="nil"/>
            </w:tcBorders>
            <w:shd w:val="clear" w:color="000000" w:fill="FFFFFF"/>
            <w:noWrap/>
            <w:vAlign w:val="center"/>
            <w:hideMark/>
          </w:tcPr>
          <w:p w14:paraId="7B94481D" w14:textId="34AD44F3" w:rsidR="00B4712C" w:rsidRPr="009259F9" w:rsidRDefault="00B4712C" w:rsidP="00B4712C">
            <w:pPr>
              <w:spacing w:after="0" w:line="240" w:lineRule="auto"/>
              <w:jc w:val="right"/>
              <w:rPr>
                <w:rFonts w:eastAsia="Times New Roman"/>
                <w:b/>
                <w:bCs/>
                <w:color w:val="000000"/>
                <w:lang w:val="en-GB" w:eastAsia="el-GR"/>
              </w:rPr>
            </w:pPr>
            <w:r>
              <w:rPr>
                <w:rFonts w:eastAsia="Times New Roman"/>
                <w:b/>
                <w:bCs/>
                <w:color w:val="000000"/>
                <w:lang w:val="en-GB" w:eastAsia="el-GR"/>
              </w:rPr>
              <w:t>2022</w:t>
            </w:r>
          </w:p>
        </w:tc>
      </w:tr>
      <w:tr w:rsidR="00136629" w:rsidRPr="009259F9" w14:paraId="633A37CD" w14:textId="77777777" w:rsidTr="00F47D11">
        <w:trPr>
          <w:trHeight w:val="300"/>
        </w:trPr>
        <w:tc>
          <w:tcPr>
            <w:tcW w:w="6292" w:type="dxa"/>
            <w:tcBorders>
              <w:top w:val="nil"/>
              <w:left w:val="nil"/>
              <w:bottom w:val="nil"/>
              <w:right w:val="nil"/>
            </w:tcBorders>
            <w:shd w:val="clear" w:color="000000" w:fill="FFFFFF"/>
            <w:noWrap/>
            <w:vAlign w:val="center"/>
            <w:hideMark/>
          </w:tcPr>
          <w:p w14:paraId="3D8A93DB" w14:textId="2F451CF2" w:rsidR="00136629" w:rsidRPr="009259F9" w:rsidRDefault="00136629" w:rsidP="00136629">
            <w:pPr>
              <w:spacing w:after="0" w:line="240" w:lineRule="auto"/>
              <w:jc w:val="both"/>
              <w:rPr>
                <w:rFonts w:eastAsia="Times New Roman"/>
                <w:b/>
                <w:bCs/>
                <w:lang w:val="en-GB" w:eastAsia="el-GR"/>
              </w:rPr>
            </w:pPr>
            <w:r w:rsidRPr="00124F26">
              <w:rPr>
                <w:b/>
                <w:bCs/>
                <w:color w:val="000000"/>
                <w:sz w:val="20"/>
                <w:szCs w:val="20"/>
              </w:rPr>
              <w:t>Πωλήσεις</w:t>
            </w:r>
          </w:p>
        </w:tc>
        <w:tc>
          <w:tcPr>
            <w:tcW w:w="1850" w:type="dxa"/>
            <w:tcBorders>
              <w:top w:val="nil"/>
              <w:left w:val="nil"/>
              <w:bottom w:val="nil"/>
              <w:right w:val="nil"/>
            </w:tcBorders>
            <w:shd w:val="clear" w:color="auto" w:fill="E2EFD9"/>
            <w:noWrap/>
            <w:vAlign w:val="bottom"/>
          </w:tcPr>
          <w:p w14:paraId="0856FC26" w14:textId="299B2553" w:rsidR="00136629" w:rsidRPr="00D43E9A" w:rsidRDefault="00136629" w:rsidP="00136629">
            <w:pPr>
              <w:spacing w:after="0" w:line="240" w:lineRule="auto"/>
              <w:jc w:val="right"/>
              <w:rPr>
                <w:rFonts w:cs="Calibri"/>
                <w:color w:val="000000"/>
                <w:lang w:val="en-GB"/>
              </w:rPr>
            </w:pPr>
            <w:r w:rsidRPr="00D43E9A">
              <w:rPr>
                <w:rFonts w:cs="Calibri"/>
                <w:color w:val="000000"/>
              </w:rPr>
              <w:t>798</w:t>
            </w:r>
            <w:r>
              <w:rPr>
                <w:rFonts w:cs="Calibri"/>
                <w:color w:val="000000"/>
              </w:rPr>
              <w:t>.</w:t>
            </w:r>
            <w:r w:rsidRPr="00D43E9A">
              <w:rPr>
                <w:rFonts w:cs="Calibri"/>
                <w:color w:val="000000"/>
              </w:rPr>
              <w:t>272</w:t>
            </w:r>
          </w:p>
        </w:tc>
        <w:tc>
          <w:tcPr>
            <w:tcW w:w="266" w:type="dxa"/>
            <w:tcBorders>
              <w:top w:val="nil"/>
              <w:left w:val="nil"/>
              <w:bottom w:val="nil"/>
              <w:right w:val="nil"/>
            </w:tcBorders>
            <w:shd w:val="clear" w:color="000000" w:fill="FFFFFF"/>
            <w:noWrap/>
            <w:vAlign w:val="bottom"/>
            <w:hideMark/>
          </w:tcPr>
          <w:p w14:paraId="0C140225" w14:textId="4942366F"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76A2EBBA" w14:textId="025F8AB6" w:rsidR="00136629" w:rsidRPr="00D43E9A" w:rsidRDefault="00136629" w:rsidP="00136629">
            <w:pPr>
              <w:spacing w:after="0" w:line="240" w:lineRule="auto"/>
              <w:jc w:val="right"/>
              <w:rPr>
                <w:rFonts w:cs="Calibri"/>
                <w:color w:val="000000"/>
                <w:lang w:val="en-GB"/>
              </w:rPr>
            </w:pPr>
            <w:r w:rsidRPr="00D43E9A">
              <w:rPr>
                <w:rFonts w:cs="Calibri"/>
                <w:color w:val="000000"/>
              </w:rPr>
              <w:t>658</w:t>
            </w:r>
            <w:r>
              <w:rPr>
                <w:rFonts w:cs="Calibri"/>
                <w:color w:val="000000"/>
              </w:rPr>
              <w:t>.</w:t>
            </w:r>
            <w:r w:rsidRPr="00D43E9A">
              <w:rPr>
                <w:rFonts w:cs="Calibri"/>
                <w:color w:val="000000"/>
              </w:rPr>
              <w:t>651</w:t>
            </w:r>
          </w:p>
        </w:tc>
      </w:tr>
      <w:tr w:rsidR="00136629" w:rsidRPr="009259F9" w14:paraId="3110DAC0" w14:textId="77777777" w:rsidTr="00F47D11">
        <w:trPr>
          <w:trHeight w:val="300"/>
        </w:trPr>
        <w:tc>
          <w:tcPr>
            <w:tcW w:w="6292" w:type="dxa"/>
            <w:tcBorders>
              <w:top w:val="nil"/>
              <w:left w:val="nil"/>
              <w:bottom w:val="nil"/>
              <w:right w:val="nil"/>
            </w:tcBorders>
            <w:shd w:val="clear" w:color="000000" w:fill="FFFFFF"/>
            <w:noWrap/>
            <w:vAlign w:val="center"/>
            <w:hideMark/>
          </w:tcPr>
          <w:p w14:paraId="4B7BAFC7" w14:textId="4BBFF3FC" w:rsidR="00136629" w:rsidRPr="009259F9" w:rsidRDefault="00136629" w:rsidP="00136629">
            <w:pPr>
              <w:spacing w:after="0" w:line="240" w:lineRule="auto"/>
              <w:jc w:val="both"/>
              <w:rPr>
                <w:rFonts w:eastAsia="Times New Roman"/>
                <w:lang w:val="en-GB" w:eastAsia="el-GR"/>
              </w:rPr>
            </w:pPr>
            <w:r w:rsidRPr="00734618">
              <w:rPr>
                <w:color w:val="000000"/>
                <w:sz w:val="20"/>
                <w:szCs w:val="20"/>
              </w:rPr>
              <w:t>Κόστος πωληθέντων</w:t>
            </w:r>
          </w:p>
        </w:tc>
        <w:tc>
          <w:tcPr>
            <w:tcW w:w="1850" w:type="dxa"/>
            <w:tcBorders>
              <w:top w:val="nil"/>
              <w:left w:val="nil"/>
              <w:bottom w:val="nil"/>
              <w:right w:val="nil"/>
            </w:tcBorders>
            <w:shd w:val="clear" w:color="auto" w:fill="E2EFD9"/>
            <w:noWrap/>
            <w:vAlign w:val="bottom"/>
          </w:tcPr>
          <w:p w14:paraId="63134C3E" w14:textId="42E92EE0" w:rsidR="00136629" w:rsidRPr="00D43E9A" w:rsidRDefault="00136629" w:rsidP="00136629">
            <w:pPr>
              <w:spacing w:after="0" w:line="240" w:lineRule="auto"/>
              <w:jc w:val="right"/>
              <w:rPr>
                <w:rFonts w:cs="Calibri"/>
                <w:color w:val="000000"/>
                <w:lang w:val="en-GB"/>
              </w:rPr>
            </w:pPr>
            <w:r w:rsidRPr="00D43E9A">
              <w:rPr>
                <w:rFonts w:cs="Calibri"/>
                <w:color w:val="000000"/>
              </w:rPr>
              <w:t>(706</w:t>
            </w:r>
            <w:r>
              <w:rPr>
                <w:rFonts w:cs="Calibri"/>
                <w:color w:val="000000"/>
              </w:rPr>
              <w:t>.</w:t>
            </w:r>
            <w:r w:rsidRPr="00D43E9A">
              <w:rPr>
                <w:rFonts w:cs="Calibri"/>
                <w:color w:val="000000"/>
              </w:rPr>
              <w:t>591)</w:t>
            </w:r>
          </w:p>
        </w:tc>
        <w:tc>
          <w:tcPr>
            <w:tcW w:w="266" w:type="dxa"/>
            <w:tcBorders>
              <w:top w:val="nil"/>
              <w:left w:val="nil"/>
              <w:bottom w:val="nil"/>
              <w:right w:val="nil"/>
            </w:tcBorders>
            <w:shd w:val="clear" w:color="000000" w:fill="FFFFFF"/>
            <w:noWrap/>
            <w:vAlign w:val="bottom"/>
            <w:hideMark/>
          </w:tcPr>
          <w:p w14:paraId="7660D663" w14:textId="6F56EB88"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7C0D9B6F" w14:textId="631B12EA" w:rsidR="00136629" w:rsidRPr="00D43E9A" w:rsidRDefault="00136629" w:rsidP="00136629">
            <w:pPr>
              <w:spacing w:after="0" w:line="240" w:lineRule="auto"/>
              <w:jc w:val="right"/>
              <w:rPr>
                <w:rFonts w:cs="Calibri"/>
                <w:color w:val="000000"/>
                <w:lang w:val="en-GB"/>
              </w:rPr>
            </w:pPr>
            <w:r w:rsidRPr="00D43E9A">
              <w:rPr>
                <w:rFonts w:cs="Calibri"/>
                <w:color w:val="000000"/>
              </w:rPr>
              <w:t>(603</w:t>
            </w:r>
            <w:r>
              <w:rPr>
                <w:rFonts w:cs="Calibri"/>
                <w:color w:val="000000"/>
              </w:rPr>
              <w:t>.</w:t>
            </w:r>
            <w:r w:rsidRPr="00D43E9A">
              <w:rPr>
                <w:rFonts w:cs="Calibri"/>
                <w:color w:val="000000"/>
              </w:rPr>
              <w:t>711)</w:t>
            </w:r>
          </w:p>
        </w:tc>
      </w:tr>
      <w:tr w:rsidR="00136629" w:rsidRPr="009259F9" w14:paraId="15EAEABB" w14:textId="77777777" w:rsidTr="00F47D11">
        <w:trPr>
          <w:trHeight w:val="300"/>
        </w:trPr>
        <w:tc>
          <w:tcPr>
            <w:tcW w:w="6292" w:type="dxa"/>
            <w:tcBorders>
              <w:top w:val="nil"/>
              <w:left w:val="nil"/>
              <w:bottom w:val="nil"/>
              <w:right w:val="nil"/>
            </w:tcBorders>
            <w:shd w:val="clear" w:color="000000" w:fill="FFFFFF"/>
            <w:noWrap/>
            <w:vAlign w:val="center"/>
            <w:hideMark/>
          </w:tcPr>
          <w:p w14:paraId="6EA4C11A" w14:textId="7E7EC966" w:rsidR="00136629" w:rsidRPr="009259F9" w:rsidRDefault="00136629" w:rsidP="00136629">
            <w:pPr>
              <w:spacing w:after="0" w:line="240" w:lineRule="auto"/>
              <w:jc w:val="both"/>
              <w:rPr>
                <w:rFonts w:eastAsia="Times New Roman"/>
                <w:b/>
                <w:bCs/>
                <w:lang w:val="en-GB" w:eastAsia="el-GR"/>
              </w:rPr>
            </w:pPr>
            <w:r w:rsidRPr="00734618">
              <w:rPr>
                <w:b/>
                <w:color w:val="000000"/>
                <w:sz w:val="20"/>
                <w:szCs w:val="20"/>
              </w:rPr>
              <w:t>Μικτό κέρδος</w:t>
            </w:r>
          </w:p>
        </w:tc>
        <w:tc>
          <w:tcPr>
            <w:tcW w:w="1850" w:type="dxa"/>
            <w:tcBorders>
              <w:top w:val="single" w:sz="4" w:space="0" w:color="auto"/>
              <w:left w:val="nil"/>
              <w:bottom w:val="single" w:sz="4" w:space="0" w:color="auto"/>
              <w:right w:val="nil"/>
            </w:tcBorders>
            <w:shd w:val="clear" w:color="auto" w:fill="E2EFD9"/>
            <w:noWrap/>
            <w:vAlign w:val="bottom"/>
          </w:tcPr>
          <w:p w14:paraId="4190FBFB" w14:textId="56603206"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91</w:t>
            </w:r>
            <w:r>
              <w:rPr>
                <w:rFonts w:cs="Calibri"/>
                <w:b/>
                <w:bCs/>
                <w:color w:val="000000"/>
              </w:rPr>
              <w:t>.</w:t>
            </w:r>
            <w:r w:rsidRPr="00D43E9A">
              <w:rPr>
                <w:rFonts w:cs="Calibri"/>
                <w:b/>
                <w:bCs/>
                <w:color w:val="000000"/>
              </w:rPr>
              <w:t>681</w:t>
            </w:r>
          </w:p>
        </w:tc>
        <w:tc>
          <w:tcPr>
            <w:tcW w:w="266" w:type="dxa"/>
            <w:tcBorders>
              <w:top w:val="nil"/>
              <w:left w:val="nil"/>
              <w:bottom w:val="nil"/>
              <w:right w:val="nil"/>
            </w:tcBorders>
            <w:shd w:val="clear" w:color="000000" w:fill="FFFFFF"/>
            <w:noWrap/>
            <w:vAlign w:val="bottom"/>
            <w:hideMark/>
          </w:tcPr>
          <w:p w14:paraId="721F97A2" w14:textId="77AB864A"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 </w:t>
            </w:r>
          </w:p>
        </w:tc>
        <w:tc>
          <w:tcPr>
            <w:tcW w:w="1725" w:type="dxa"/>
            <w:tcBorders>
              <w:top w:val="single" w:sz="4" w:space="0" w:color="auto"/>
              <w:left w:val="nil"/>
              <w:bottom w:val="single" w:sz="4" w:space="0" w:color="auto"/>
              <w:right w:val="nil"/>
            </w:tcBorders>
            <w:shd w:val="clear" w:color="000000" w:fill="FFFFFF"/>
            <w:noWrap/>
            <w:vAlign w:val="bottom"/>
            <w:hideMark/>
          </w:tcPr>
          <w:p w14:paraId="41091EAF" w14:textId="20171B4E"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54</w:t>
            </w:r>
            <w:r>
              <w:rPr>
                <w:rFonts w:cs="Calibri"/>
                <w:b/>
                <w:bCs/>
                <w:color w:val="000000"/>
              </w:rPr>
              <w:t>.</w:t>
            </w:r>
            <w:r w:rsidRPr="00D43E9A">
              <w:rPr>
                <w:rFonts w:cs="Calibri"/>
                <w:b/>
                <w:bCs/>
                <w:color w:val="000000"/>
              </w:rPr>
              <w:t>940</w:t>
            </w:r>
          </w:p>
        </w:tc>
      </w:tr>
      <w:tr w:rsidR="00136629" w:rsidRPr="009259F9" w14:paraId="2715E45E" w14:textId="77777777" w:rsidTr="00F47D11">
        <w:trPr>
          <w:trHeight w:val="300"/>
        </w:trPr>
        <w:tc>
          <w:tcPr>
            <w:tcW w:w="6292" w:type="dxa"/>
            <w:tcBorders>
              <w:top w:val="nil"/>
              <w:left w:val="nil"/>
              <w:bottom w:val="nil"/>
              <w:right w:val="nil"/>
            </w:tcBorders>
            <w:shd w:val="clear" w:color="000000" w:fill="FFFFFF"/>
            <w:noWrap/>
            <w:vAlign w:val="center"/>
            <w:hideMark/>
          </w:tcPr>
          <w:p w14:paraId="703BC286" w14:textId="093B3647" w:rsidR="00136629" w:rsidRPr="009259F9" w:rsidRDefault="00136629" w:rsidP="00136629">
            <w:pPr>
              <w:spacing w:after="0" w:line="240" w:lineRule="auto"/>
              <w:jc w:val="both"/>
              <w:rPr>
                <w:rFonts w:eastAsia="Times New Roman"/>
                <w:lang w:val="en-GB" w:eastAsia="el-GR"/>
              </w:rPr>
            </w:pPr>
            <w:r w:rsidRPr="00734618">
              <w:rPr>
                <w:color w:val="000000"/>
                <w:sz w:val="20"/>
                <w:szCs w:val="20"/>
              </w:rPr>
              <w:t>Λοιπά έσοδα</w:t>
            </w:r>
          </w:p>
        </w:tc>
        <w:tc>
          <w:tcPr>
            <w:tcW w:w="1850" w:type="dxa"/>
            <w:tcBorders>
              <w:top w:val="nil"/>
              <w:left w:val="nil"/>
              <w:bottom w:val="nil"/>
              <w:right w:val="nil"/>
            </w:tcBorders>
            <w:shd w:val="clear" w:color="auto" w:fill="E2EFD9"/>
            <w:noWrap/>
            <w:vAlign w:val="bottom"/>
          </w:tcPr>
          <w:p w14:paraId="3FA29088" w14:textId="7CFA4B9D" w:rsidR="00136629" w:rsidRPr="00D43E9A" w:rsidRDefault="00136629" w:rsidP="00136629">
            <w:pPr>
              <w:spacing w:after="0" w:line="240" w:lineRule="auto"/>
              <w:jc w:val="right"/>
              <w:rPr>
                <w:rFonts w:cs="Calibri"/>
                <w:color w:val="000000"/>
                <w:lang w:val="en-GB"/>
              </w:rPr>
            </w:pPr>
            <w:r w:rsidRPr="00D43E9A">
              <w:rPr>
                <w:rFonts w:cs="Calibri"/>
                <w:color w:val="000000"/>
              </w:rPr>
              <w:t>2</w:t>
            </w:r>
            <w:r>
              <w:rPr>
                <w:rFonts w:cs="Calibri"/>
                <w:color w:val="000000"/>
              </w:rPr>
              <w:t>.</w:t>
            </w:r>
            <w:r w:rsidRPr="00D43E9A">
              <w:rPr>
                <w:rFonts w:cs="Calibri"/>
                <w:color w:val="000000"/>
              </w:rPr>
              <w:t>103</w:t>
            </w:r>
          </w:p>
        </w:tc>
        <w:tc>
          <w:tcPr>
            <w:tcW w:w="266" w:type="dxa"/>
            <w:tcBorders>
              <w:top w:val="nil"/>
              <w:left w:val="nil"/>
              <w:bottom w:val="nil"/>
              <w:right w:val="nil"/>
            </w:tcBorders>
            <w:shd w:val="clear" w:color="000000" w:fill="FFFFFF"/>
            <w:noWrap/>
            <w:vAlign w:val="bottom"/>
            <w:hideMark/>
          </w:tcPr>
          <w:p w14:paraId="5A8F8300" w14:textId="60BB8017"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4EA18FC9" w14:textId="3F38274A" w:rsidR="00136629" w:rsidRPr="00D43E9A" w:rsidRDefault="00136629" w:rsidP="00136629">
            <w:pPr>
              <w:spacing w:after="0" w:line="240" w:lineRule="auto"/>
              <w:jc w:val="right"/>
              <w:rPr>
                <w:rFonts w:cs="Calibri"/>
                <w:color w:val="000000"/>
                <w:lang w:val="en-GB"/>
              </w:rPr>
            </w:pPr>
            <w:r w:rsidRPr="00D43E9A">
              <w:rPr>
                <w:rFonts w:cs="Calibri"/>
                <w:color w:val="000000"/>
              </w:rPr>
              <w:t>3</w:t>
            </w:r>
            <w:r>
              <w:rPr>
                <w:rFonts w:cs="Calibri"/>
                <w:color w:val="000000"/>
              </w:rPr>
              <w:t>.</w:t>
            </w:r>
            <w:r w:rsidRPr="00D43E9A">
              <w:rPr>
                <w:rFonts w:cs="Calibri"/>
                <w:color w:val="000000"/>
              </w:rPr>
              <w:t>314</w:t>
            </w:r>
          </w:p>
        </w:tc>
      </w:tr>
      <w:tr w:rsidR="00136629" w:rsidRPr="009259F9" w14:paraId="0972BD09" w14:textId="77777777" w:rsidTr="00F47D11">
        <w:trPr>
          <w:trHeight w:val="300"/>
        </w:trPr>
        <w:tc>
          <w:tcPr>
            <w:tcW w:w="6292" w:type="dxa"/>
            <w:tcBorders>
              <w:top w:val="nil"/>
              <w:left w:val="nil"/>
              <w:bottom w:val="nil"/>
              <w:right w:val="nil"/>
            </w:tcBorders>
            <w:shd w:val="clear" w:color="000000" w:fill="FFFFFF"/>
            <w:noWrap/>
            <w:vAlign w:val="center"/>
            <w:hideMark/>
          </w:tcPr>
          <w:p w14:paraId="0DE6B588" w14:textId="2A24C640" w:rsidR="00136629" w:rsidRPr="009259F9" w:rsidRDefault="00136629" w:rsidP="00136629">
            <w:pPr>
              <w:spacing w:after="0" w:line="240" w:lineRule="auto"/>
              <w:jc w:val="both"/>
              <w:rPr>
                <w:rFonts w:eastAsia="Times New Roman"/>
                <w:lang w:val="en-GB" w:eastAsia="el-GR"/>
              </w:rPr>
            </w:pPr>
            <w:r w:rsidRPr="00734618">
              <w:rPr>
                <w:color w:val="000000"/>
                <w:sz w:val="20"/>
                <w:szCs w:val="20"/>
              </w:rPr>
              <w:t>Έξοδα διάθεσης</w:t>
            </w:r>
          </w:p>
        </w:tc>
        <w:tc>
          <w:tcPr>
            <w:tcW w:w="1850" w:type="dxa"/>
            <w:tcBorders>
              <w:top w:val="nil"/>
              <w:left w:val="nil"/>
              <w:bottom w:val="nil"/>
              <w:right w:val="nil"/>
            </w:tcBorders>
            <w:shd w:val="clear" w:color="auto" w:fill="E2EFD9"/>
            <w:noWrap/>
            <w:vAlign w:val="bottom"/>
          </w:tcPr>
          <w:p w14:paraId="66CECB8A" w14:textId="2F820F38" w:rsidR="00136629" w:rsidRPr="00D43E9A" w:rsidRDefault="00136629" w:rsidP="00136629">
            <w:pPr>
              <w:spacing w:after="0" w:line="240" w:lineRule="auto"/>
              <w:jc w:val="right"/>
              <w:rPr>
                <w:rFonts w:cs="Calibri"/>
                <w:color w:val="000000"/>
                <w:lang w:val="en-GB"/>
              </w:rPr>
            </w:pPr>
            <w:r w:rsidRPr="00D43E9A">
              <w:rPr>
                <w:rFonts w:cs="Calibri"/>
                <w:color w:val="000000"/>
              </w:rPr>
              <w:t>(9</w:t>
            </w:r>
            <w:r>
              <w:rPr>
                <w:rFonts w:cs="Calibri"/>
                <w:color w:val="000000"/>
              </w:rPr>
              <w:t>.</w:t>
            </w:r>
            <w:r w:rsidRPr="00D43E9A">
              <w:rPr>
                <w:rFonts w:cs="Calibri"/>
                <w:color w:val="000000"/>
              </w:rPr>
              <w:t>659)</w:t>
            </w:r>
          </w:p>
        </w:tc>
        <w:tc>
          <w:tcPr>
            <w:tcW w:w="266" w:type="dxa"/>
            <w:tcBorders>
              <w:top w:val="nil"/>
              <w:left w:val="nil"/>
              <w:bottom w:val="nil"/>
              <w:right w:val="nil"/>
            </w:tcBorders>
            <w:shd w:val="clear" w:color="000000" w:fill="FFFFFF"/>
            <w:noWrap/>
            <w:vAlign w:val="bottom"/>
            <w:hideMark/>
          </w:tcPr>
          <w:p w14:paraId="2663629F" w14:textId="5515A95A"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4DCB4068" w14:textId="1A899CC2" w:rsidR="00136629" w:rsidRPr="00D43E9A" w:rsidRDefault="00136629" w:rsidP="00136629">
            <w:pPr>
              <w:spacing w:after="0" w:line="240" w:lineRule="auto"/>
              <w:jc w:val="right"/>
              <w:rPr>
                <w:rFonts w:cs="Calibri"/>
                <w:color w:val="000000"/>
                <w:lang w:val="en-GB"/>
              </w:rPr>
            </w:pPr>
            <w:r w:rsidRPr="00D43E9A">
              <w:rPr>
                <w:rFonts w:cs="Calibri"/>
                <w:color w:val="000000"/>
              </w:rPr>
              <w:t>(6</w:t>
            </w:r>
            <w:r>
              <w:rPr>
                <w:rFonts w:cs="Calibri"/>
                <w:color w:val="000000"/>
              </w:rPr>
              <w:t>.</w:t>
            </w:r>
            <w:r w:rsidRPr="00D43E9A">
              <w:rPr>
                <w:rFonts w:cs="Calibri"/>
                <w:color w:val="000000"/>
              </w:rPr>
              <w:t>474)</w:t>
            </w:r>
          </w:p>
        </w:tc>
      </w:tr>
      <w:tr w:rsidR="00136629" w:rsidRPr="009259F9" w14:paraId="32141775" w14:textId="77777777" w:rsidTr="00F47D11">
        <w:trPr>
          <w:trHeight w:val="300"/>
        </w:trPr>
        <w:tc>
          <w:tcPr>
            <w:tcW w:w="6292" w:type="dxa"/>
            <w:tcBorders>
              <w:top w:val="nil"/>
              <w:left w:val="nil"/>
              <w:bottom w:val="nil"/>
              <w:right w:val="nil"/>
            </w:tcBorders>
            <w:shd w:val="clear" w:color="000000" w:fill="FFFFFF"/>
            <w:noWrap/>
            <w:vAlign w:val="center"/>
            <w:hideMark/>
          </w:tcPr>
          <w:p w14:paraId="11CAC14A" w14:textId="38CC636C" w:rsidR="00136629" w:rsidRPr="009259F9" w:rsidRDefault="00136629" w:rsidP="00136629">
            <w:pPr>
              <w:spacing w:after="0" w:line="240" w:lineRule="auto"/>
              <w:jc w:val="both"/>
              <w:rPr>
                <w:rFonts w:eastAsia="Times New Roman"/>
                <w:lang w:val="en-GB" w:eastAsia="el-GR"/>
              </w:rPr>
            </w:pPr>
            <w:r w:rsidRPr="00734618">
              <w:rPr>
                <w:color w:val="000000"/>
                <w:sz w:val="20"/>
                <w:szCs w:val="20"/>
              </w:rPr>
              <w:t>Έξοδα διοίκησης</w:t>
            </w:r>
          </w:p>
        </w:tc>
        <w:tc>
          <w:tcPr>
            <w:tcW w:w="1850" w:type="dxa"/>
            <w:tcBorders>
              <w:top w:val="nil"/>
              <w:left w:val="nil"/>
              <w:bottom w:val="nil"/>
              <w:right w:val="nil"/>
            </w:tcBorders>
            <w:shd w:val="clear" w:color="auto" w:fill="E2EFD9"/>
            <w:noWrap/>
            <w:vAlign w:val="bottom"/>
          </w:tcPr>
          <w:p w14:paraId="2A65DE25" w14:textId="034E5BB7" w:rsidR="00136629" w:rsidRPr="00D43E9A" w:rsidRDefault="00136629" w:rsidP="00136629">
            <w:pPr>
              <w:spacing w:after="0" w:line="240" w:lineRule="auto"/>
              <w:jc w:val="right"/>
              <w:rPr>
                <w:rFonts w:cs="Calibri"/>
                <w:color w:val="000000"/>
                <w:lang w:val="en-GB"/>
              </w:rPr>
            </w:pPr>
            <w:r w:rsidRPr="00D43E9A">
              <w:rPr>
                <w:rFonts w:cs="Calibri"/>
                <w:color w:val="000000"/>
              </w:rPr>
              <w:t>(17</w:t>
            </w:r>
            <w:r>
              <w:rPr>
                <w:rFonts w:cs="Calibri"/>
                <w:color w:val="000000"/>
              </w:rPr>
              <w:t>.</w:t>
            </w:r>
            <w:r w:rsidRPr="00D43E9A">
              <w:rPr>
                <w:rFonts w:cs="Calibri"/>
                <w:color w:val="000000"/>
              </w:rPr>
              <w:t>430)</w:t>
            </w:r>
          </w:p>
        </w:tc>
        <w:tc>
          <w:tcPr>
            <w:tcW w:w="266" w:type="dxa"/>
            <w:tcBorders>
              <w:top w:val="nil"/>
              <w:left w:val="nil"/>
              <w:bottom w:val="nil"/>
              <w:right w:val="nil"/>
            </w:tcBorders>
            <w:shd w:val="clear" w:color="000000" w:fill="FFFFFF"/>
            <w:noWrap/>
            <w:vAlign w:val="bottom"/>
            <w:hideMark/>
          </w:tcPr>
          <w:p w14:paraId="2107F601" w14:textId="78955C3E"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49753F8E" w14:textId="44CE1646" w:rsidR="00136629" w:rsidRPr="00D43E9A" w:rsidRDefault="00136629" w:rsidP="00136629">
            <w:pPr>
              <w:spacing w:after="0" w:line="240" w:lineRule="auto"/>
              <w:jc w:val="right"/>
              <w:rPr>
                <w:rFonts w:cs="Calibri"/>
                <w:color w:val="000000"/>
                <w:lang w:val="en-GB"/>
              </w:rPr>
            </w:pPr>
            <w:r w:rsidRPr="00D43E9A">
              <w:rPr>
                <w:rFonts w:cs="Calibri"/>
                <w:color w:val="000000"/>
              </w:rPr>
              <w:t>(15</w:t>
            </w:r>
            <w:r>
              <w:rPr>
                <w:rFonts w:cs="Calibri"/>
                <w:color w:val="000000"/>
              </w:rPr>
              <w:t>.</w:t>
            </w:r>
            <w:r w:rsidRPr="00D43E9A">
              <w:rPr>
                <w:rFonts w:cs="Calibri"/>
                <w:color w:val="000000"/>
              </w:rPr>
              <w:t>547)</w:t>
            </w:r>
          </w:p>
        </w:tc>
      </w:tr>
      <w:tr w:rsidR="00136629" w:rsidRPr="009259F9" w14:paraId="71B07C39" w14:textId="77777777" w:rsidTr="00F47D11">
        <w:trPr>
          <w:trHeight w:val="300"/>
        </w:trPr>
        <w:tc>
          <w:tcPr>
            <w:tcW w:w="6292" w:type="dxa"/>
            <w:tcBorders>
              <w:top w:val="nil"/>
              <w:left w:val="nil"/>
              <w:bottom w:val="nil"/>
              <w:right w:val="nil"/>
            </w:tcBorders>
            <w:shd w:val="clear" w:color="000000" w:fill="FFFFFF"/>
            <w:noWrap/>
            <w:vAlign w:val="center"/>
          </w:tcPr>
          <w:p w14:paraId="47D4BA6C" w14:textId="7A4F5B19" w:rsidR="00136629" w:rsidRPr="00136629" w:rsidRDefault="00136629" w:rsidP="00136629">
            <w:pPr>
              <w:spacing w:after="0" w:line="240" w:lineRule="auto"/>
              <w:jc w:val="both"/>
              <w:rPr>
                <w:rFonts w:eastAsia="Times New Roman"/>
                <w:lang w:eastAsia="el-GR"/>
              </w:rPr>
            </w:pPr>
            <w:r w:rsidRPr="00734618">
              <w:rPr>
                <w:color w:val="000000"/>
                <w:sz w:val="20"/>
                <w:szCs w:val="20"/>
              </w:rPr>
              <w:t>Ζημ</w:t>
            </w:r>
            <w:r w:rsidR="006F3421">
              <w:rPr>
                <w:color w:val="000000"/>
                <w:sz w:val="20"/>
                <w:szCs w:val="20"/>
              </w:rPr>
              <w:t>ία</w:t>
            </w:r>
            <w:r w:rsidRPr="00734618">
              <w:rPr>
                <w:color w:val="000000"/>
                <w:sz w:val="20"/>
                <w:szCs w:val="20"/>
              </w:rPr>
              <w:t xml:space="preserve"> απομείωσης απαιτήσεων και συμβατικών περιουσιακών στοιχείων</w:t>
            </w:r>
          </w:p>
        </w:tc>
        <w:tc>
          <w:tcPr>
            <w:tcW w:w="1850" w:type="dxa"/>
            <w:tcBorders>
              <w:top w:val="nil"/>
              <w:left w:val="nil"/>
              <w:bottom w:val="nil"/>
              <w:right w:val="nil"/>
            </w:tcBorders>
            <w:shd w:val="clear" w:color="auto" w:fill="E2EFD9"/>
            <w:noWrap/>
            <w:vAlign w:val="bottom"/>
          </w:tcPr>
          <w:p w14:paraId="47008FAF" w14:textId="4CEBF735" w:rsidR="00136629" w:rsidRPr="00D43E9A" w:rsidRDefault="00136629" w:rsidP="00136629">
            <w:pPr>
              <w:spacing w:after="0" w:line="240" w:lineRule="auto"/>
              <w:jc w:val="right"/>
              <w:rPr>
                <w:rFonts w:cs="Calibri"/>
                <w:color w:val="000000"/>
                <w:lang w:val="en-GB"/>
              </w:rPr>
            </w:pPr>
            <w:r w:rsidRPr="00D43E9A">
              <w:rPr>
                <w:rFonts w:cs="Calibri"/>
                <w:color w:val="000000"/>
              </w:rPr>
              <w:t>(333)</w:t>
            </w:r>
          </w:p>
        </w:tc>
        <w:tc>
          <w:tcPr>
            <w:tcW w:w="266" w:type="dxa"/>
            <w:tcBorders>
              <w:top w:val="nil"/>
              <w:left w:val="nil"/>
              <w:bottom w:val="nil"/>
              <w:right w:val="nil"/>
            </w:tcBorders>
            <w:shd w:val="clear" w:color="000000" w:fill="FFFFFF"/>
            <w:noWrap/>
            <w:vAlign w:val="bottom"/>
          </w:tcPr>
          <w:p w14:paraId="7B950D3A" w14:textId="698E6D57"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tcPr>
          <w:p w14:paraId="2029766A" w14:textId="27C2D939" w:rsidR="00136629" w:rsidRPr="00D43E9A" w:rsidRDefault="00136629" w:rsidP="00136629">
            <w:pPr>
              <w:spacing w:after="0" w:line="240" w:lineRule="auto"/>
              <w:jc w:val="right"/>
              <w:rPr>
                <w:rFonts w:cs="Calibri"/>
                <w:color w:val="000000"/>
                <w:lang w:val="en-GB"/>
              </w:rPr>
            </w:pPr>
            <w:r w:rsidRPr="00D43E9A">
              <w:rPr>
                <w:rFonts w:cs="Calibri"/>
                <w:color w:val="000000"/>
              </w:rPr>
              <w:t>(55)</w:t>
            </w:r>
          </w:p>
        </w:tc>
      </w:tr>
      <w:tr w:rsidR="00136629" w:rsidRPr="009259F9" w14:paraId="201D2503" w14:textId="77777777" w:rsidTr="00F47D11">
        <w:trPr>
          <w:trHeight w:val="300"/>
        </w:trPr>
        <w:tc>
          <w:tcPr>
            <w:tcW w:w="6292" w:type="dxa"/>
            <w:tcBorders>
              <w:top w:val="nil"/>
              <w:left w:val="nil"/>
              <w:bottom w:val="nil"/>
              <w:right w:val="nil"/>
            </w:tcBorders>
            <w:shd w:val="clear" w:color="000000" w:fill="FFFFFF"/>
            <w:noWrap/>
            <w:vAlign w:val="center"/>
            <w:hideMark/>
          </w:tcPr>
          <w:p w14:paraId="1A9A8DFF" w14:textId="6ABCD3FD" w:rsidR="00136629" w:rsidRPr="009259F9" w:rsidRDefault="00136629" w:rsidP="00136629">
            <w:pPr>
              <w:spacing w:after="0" w:line="240" w:lineRule="auto"/>
              <w:jc w:val="both"/>
              <w:rPr>
                <w:rFonts w:eastAsia="Times New Roman"/>
                <w:lang w:val="en-GB" w:eastAsia="el-GR"/>
              </w:rPr>
            </w:pPr>
            <w:r w:rsidRPr="00734618">
              <w:rPr>
                <w:color w:val="000000"/>
                <w:sz w:val="20"/>
                <w:szCs w:val="20"/>
              </w:rPr>
              <w:t>Λοιπά έξοδα</w:t>
            </w:r>
          </w:p>
        </w:tc>
        <w:tc>
          <w:tcPr>
            <w:tcW w:w="1850" w:type="dxa"/>
            <w:tcBorders>
              <w:top w:val="nil"/>
              <w:left w:val="nil"/>
              <w:bottom w:val="nil"/>
              <w:right w:val="nil"/>
            </w:tcBorders>
            <w:shd w:val="clear" w:color="auto" w:fill="E2EFD9"/>
            <w:noWrap/>
            <w:vAlign w:val="bottom"/>
          </w:tcPr>
          <w:p w14:paraId="364629B5" w14:textId="7D4463DC" w:rsidR="00136629" w:rsidRPr="00D43E9A" w:rsidRDefault="00136629" w:rsidP="00136629">
            <w:pPr>
              <w:spacing w:after="0" w:line="240" w:lineRule="auto"/>
              <w:jc w:val="right"/>
              <w:rPr>
                <w:rFonts w:cs="Calibri"/>
                <w:color w:val="000000"/>
                <w:lang w:val="en-GB"/>
              </w:rPr>
            </w:pPr>
            <w:r w:rsidRPr="00D43E9A">
              <w:rPr>
                <w:rFonts w:cs="Calibri"/>
                <w:color w:val="000000"/>
              </w:rPr>
              <w:t>(2</w:t>
            </w:r>
            <w:r>
              <w:rPr>
                <w:rFonts w:cs="Calibri"/>
                <w:color w:val="000000"/>
              </w:rPr>
              <w:t>.</w:t>
            </w:r>
            <w:r w:rsidRPr="00D43E9A">
              <w:rPr>
                <w:rFonts w:cs="Calibri"/>
                <w:color w:val="000000"/>
              </w:rPr>
              <w:t>096)</w:t>
            </w:r>
          </w:p>
        </w:tc>
        <w:tc>
          <w:tcPr>
            <w:tcW w:w="266" w:type="dxa"/>
            <w:tcBorders>
              <w:top w:val="nil"/>
              <w:left w:val="nil"/>
              <w:bottom w:val="nil"/>
              <w:right w:val="nil"/>
            </w:tcBorders>
            <w:shd w:val="clear" w:color="000000" w:fill="FFFFFF"/>
            <w:noWrap/>
            <w:vAlign w:val="bottom"/>
            <w:hideMark/>
          </w:tcPr>
          <w:p w14:paraId="3CBAD5D4" w14:textId="16C90792"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66A9EE05" w14:textId="00918511" w:rsidR="00136629" w:rsidRPr="00D43E9A" w:rsidRDefault="00136629" w:rsidP="00136629">
            <w:pPr>
              <w:spacing w:after="0" w:line="240" w:lineRule="auto"/>
              <w:jc w:val="right"/>
              <w:rPr>
                <w:rFonts w:cs="Calibri"/>
                <w:color w:val="000000"/>
                <w:lang w:val="en-GB"/>
              </w:rPr>
            </w:pPr>
            <w:r w:rsidRPr="00D43E9A">
              <w:rPr>
                <w:rFonts w:cs="Calibri"/>
                <w:color w:val="000000"/>
              </w:rPr>
              <w:t>(2</w:t>
            </w:r>
            <w:r>
              <w:rPr>
                <w:rFonts w:cs="Calibri"/>
                <w:color w:val="000000"/>
              </w:rPr>
              <w:t>.</w:t>
            </w:r>
            <w:r w:rsidRPr="00D43E9A">
              <w:rPr>
                <w:rFonts w:cs="Calibri"/>
                <w:color w:val="000000"/>
              </w:rPr>
              <w:t>839)</w:t>
            </w:r>
          </w:p>
        </w:tc>
      </w:tr>
      <w:tr w:rsidR="00136629" w:rsidRPr="009259F9" w14:paraId="55CB4FDF" w14:textId="77777777" w:rsidTr="00F47D11">
        <w:trPr>
          <w:trHeight w:val="300"/>
        </w:trPr>
        <w:tc>
          <w:tcPr>
            <w:tcW w:w="6292" w:type="dxa"/>
            <w:tcBorders>
              <w:top w:val="nil"/>
              <w:left w:val="nil"/>
              <w:bottom w:val="nil"/>
              <w:right w:val="nil"/>
            </w:tcBorders>
            <w:shd w:val="clear" w:color="000000" w:fill="FFFFFF"/>
            <w:noWrap/>
            <w:vAlign w:val="center"/>
            <w:hideMark/>
          </w:tcPr>
          <w:p w14:paraId="1921ACD9" w14:textId="2AC5A034" w:rsidR="00136629" w:rsidRPr="009259F9" w:rsidRDefault="00136629" w:rsidP="00136629">
            <w:pPr>
              <w:spacing w:after="0" w:line="240" w:lineRule="auto"/>
              <w:jc w:val="both"/>
              <w:rPr>
                <w:rFonts w:eastAsia="Times New Roman"/>
                <w:b/>
                <w:bCs/>
                <w:lang w:val="en-GB" w:eastAsia="el-GR"/>
              </w:rPr>
            </w:pPr>
            <w:r w:rsidRPr="00734618">
              <w:rPr>
                <w:b/>
                <w:color w:val="000000"/>
                <w:sz w:val="20"/>
                <w:szCs w:val="20"/>
              </w:rPr>
              <w:t>Λειτουργικά κέρδη</w:t>
            </w:r>
          </w:p>
        </w:tc>
        <w:tc>
          <w:tcPr>
            <w:tcW w:w="1850" w:type="dxa"/>
            <w:tcBorders>
              <w:top w:val="single" w:sz="4" w:space="0" w:color="auto"/>
              <w:left w:val="nil"/>
              <w:bottom w:val="single" w:sz="4" w:space="0" w:color="auto"/>
              <w:right w:val="nil"/>
            </w:tcBorders>
            <w:shd w:val="clear" w:color="auto" w:fill="E2EFD9"/>
            <w:noWrap/>
            <w:vAlign w:val="bottom"/>
          </w:tcPr>
          <w:p w14:paraId="3BF0C29F" w14:textId="518A30AC"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64</w:t>
            </w:r>
            <w:r>
              <w:rPr>
                <w:rFonts w:cs="Calibri"/>
                <w:b/>
                <w:bCs/>
                <w:color w:val="000000"/>
              </w:rPr>
              <w:t>.</w:t>
            </w:r>
            <w:r w:rsidRPr="00D43E9A">
              <w:rPr>
                <w:rFonts w:cs="Calibri"/>
                <w:b/>
                <w:bCs/>
                <w:color w:val="000000"/>
              </w:rPr>
              <w:t>266</w:t>
            </w:r>
          </w:p>
        </w:tc>
        <w:tc>
          <w:tcPr>
            <w:tcW w:w="266" w:type="dxa"/>
            <w:tcBorders>
              <w:top w:val="nil"/>
              <w:left w:val="nil"/>
              <w:bottom w:val="nil"/>
              <w:right w:val="nil"/>
            </w:tcBorders>
            <w:shd w:val="clear" w:color="000000" w:fill="FFFFFF"/>
            <w:noWrap/>
            <w:vAlign w:val="bottom"/>
            <w:hideMark/>
          </w:tcPr>
          <w:p w14:paraId="1E6713AC" w14:textId="3ECD876C"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single" w:sz="4" w:space="0" w:color="auto"/>
              <w:left w:val="nil"/>
              <w:bottom w:val="single" w:sz="4" w:space="0" w:color="auto"/>
              <w:right w:val="nil"/>
            </w:tcBorders>
            <w:shd w:val="clear" w:color="000000" w:fill="FFFFFF"/>
            <w:noWrap/>
            <w:vAlign w:val="bottom"/>
            <w:hideMark/>
          </w:tcPr>
          <w:p w14:paraId="736A7304" w14:textId="126EA82F"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33</w:t>
            </w:r>
            <w:r>
              <w:rPr>
                <w:rFonts w:cs="Calibri"/>
                <w:b/>
                <w:bCs/>
                <w:color w:val="000000"/>
              </w:rPr>
              <w:t>.</w:t>
            </w:r>
            <w:r w:rsidRPr="00D43E9A">
              <w:rPr>
                <w:rFonts w:cs="Calibri"/>
                <w:b/>
                <w:bCs/>
                <w:color w:val="000000"/>
              </w:rPr>
              <w:t>339</w:t>
            </w:r>
          </w:p>
        </w:tc>
      </w:tr>
      <w:tr w:rsidR="00136629" w:rsidRPr="009259F9" w14:paraId="0982F0CC" w14:textId="77777777" w:rsidTr="00F47D11">
        <w:trPr>
          <w:trHeight w:val="300"/>
        </w:trPr>
        <w:tc>
          <w:tcPr>
            <w:tcW w:w="6292" w:type="dxa"/>
            <w:tcBorders>
              <w:top w:val="nil"/>
              <w:left w:val="nil"/>
              <w:bottom w:val="nil"/>
              <w:right w:val="nil"/>
            </w:tcBorders>
            <w:shd w:val="clear" w:color="000000" w:fill="FFFFFF"/>
            <w:noWrap/>
            <w:vAlign w:val="center"/>
            <w:hideMark/>
          </w:tcPr>
          <w:p w14:paraId="73C3FBBF" w14:textId="5E8768E3" w:rsidR="00136629" w:rsidRPr="009259F9" w:rsidRDefault="00136629" w:rsidP="00136629">
            <w:pPr>
              <w:spacing w:after="0" w:line="240" w:lineRule="auto"/>
              <w:jc w:val="both"/>
              <w:rPr>
                <w:rFonts w:eastAsia="Times New Roman"/>
                <w:lang w:val="en-GB" w:eastAsia="el-GR"/>
              </w:rPr>
            </w:pPr>
            <w:r w:rsidRPr="00734618">
              <w:rPr>
                <w:color w:val="000000"/>
                <w:sz w:val="20"/>
                <w:szCs w:val="20"/>
              </w:rPr>
              <w:t>Χρηματοοικονομικά έσοδα</w:t>
            </w:r>
          </w:p>
        </w:tc>
        <w:tc>
          <w:tcPr>
            <w:tcW w:w="1850" w:type="dxa"/>
            <w:tcBorders>
              <w:top w:val="nil"/>
              <w:left w:val="nil"/>
              <w:bottom w:val="nil"/>
              <w:right w:val="nil"/>
            </w:tcBorders>
            <w:shd w:val="clear" w:color="auto" w:fill="E2EFD9"/>
            <w:noWrap/>
            <w:vAlign w:val="bottom"/>
          </w:tcPr>
          <w:p w14:paraId="409DB124" w14:textId="12BC79B4" w:rsidR="00136629" w:rsidRPr="00D43E9A" w:rsidRDefault="00136629" w:rsidP="00136629">
            <w:pPr>
              <w:spacing w:after="0" w:line="240" w:lineRule="auto"/>
              <w:jc w:val="right"/>
              <w:rPr>
                <w:rFonts w:cs="Calibri"/>
                <w:color w:val="000000"/>
                <w:lang w:val="en-GB"/>
              </w:rPr>
            </w:pPr>
            <w:r w:rsidRPr="00D43E9A">
              <w:rPr>
                <w:rFonts w:cs="Calibri"/>
                <w:color w:val="000000"/>
              </w:rPr>
              <w:t>467</w:t>
            </w:r>
          </w:p>
        </w:tc>
        <w:tc>
          <w:tcPr>
            <w:tcW w:w="266" w:type="dxa"/>
            <w:tcBorders>
              <w:top w:val="nil"/>
              <w:left w:val="nil"/>
              <w:bottom w:val="nil"/>
              <w:right w:val="nil"/>
            </w:tcBorders>
            <w:shd w:val="clear" w:color="000000" w:fill="FFFFFF"/>
            <w:noWrap/>
            <w:vAlign w:val="bottom"/>
            <w:hideMark/>
          </w:tcPr>
          <w:p w14:paraId="7CA19B80" w14:textId="7D41C0E5"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5ED76D24" w14:textId="263BEFA6" w:rsidR="00136629" w:rsidRPr="00D43E9A" w:rsidRDefault="00136629" w:rsidP="00136629">
            <w:pPr>
              <w:spacing w:after="0" w:line="240" w:lineRule="auto"/>
              <w:jc w:val="right"/>
              <w:rPr>
                <w:rFonts w:cs="Calibri"/>
                <w:color w:val="000000"/>
                <w:lang w:val="en-GB"/>
              </w:rPr>
            </w:pPr>
            <w:r w:rsidRPr="00D43E9A">
              <w:rPr>
                <w:rFonts w:cs="Calibri"/>
                <w:color w:val="000000"/>
              </w:rPr>
              <w:t>287</w:t>
            </w:r>
          </w:p>
        </w:tc>
      </w:tr>
      <w:tr w:rsidR="00136629" w:rsidRPr="009259F9" w14:paraId="01AD9C66" w14:textId="77777777" w:rsidTr="00F47D11">
        <w:trPr>
          <w:trHeight w:val="300"/>
        </w:trPr>
        <w:tc>
          <w:tcPr>
            <w:tcW w:w="6292" w:type="dxa"/>
            <w:tcBorders>
              <w:top w:val="nil"/>
              <w:left w:val="nil"/>
              <w:bottom w:val="nil"/>
              <w:right w:val="nil"/>
            </w:tcBorders>
            <w:shd w:val="clear" w:color="000000" w:fill="FFFFFF"/>
            <w:noWrap/>
            <w:vAlign w:val="center"/>
            <w:hideMark/>
          </w:tcPr>
          <w:p w14:paraId="7F5C791A" w14:textId="3C649F62" w:rsidR="00136629" w:rsidRPr="009259F9" w:rsidRDefault="00136629" w:rsidP="00136629">
            <w:pPr>
              <w:spacing w:after="0" w:line="240" w:lineRule="auto"/>
              <w:jc w:val="both"/>
              <w:rPr>
                <w:rFonts w:eastAsia="Times New Roman"/>
                <w:lang w:val="en-GB" w:eastAsia="el-GR"/>
              </w:rPr>
            </w:pPr>
            <w:r w:rsidRPr="00734618">
              <w:rPr>
                <w:color w:val="000000"/>
                <w:sz w:val="20"/>
                <w:szCs w:val="20"/>
              </w:rPr>
              <w:t>Χρηματοοικονομικά έξοδα</w:t>
            </w:r>
          </w:p>
        </w:tc>
        <w:tc>
          <w:tcPr>
            <w:tcW w:w="1850" w:type="dxa"/>
            <w:tcBorders>
              <w:top w:val="nil"/>
              <w:left w:val="nil"/>
              <w:bottom w:val="nil"/>
              <w:right w:val="nil"/>
            </w:tcBorders>
            <w:shd w:val="clear" w:color="auto" w:fill="E2EFD9"/>
            <w:noWrap/>
            <w:vAlign w:val="bottom"/>
          </w:tcPr>
          <w:p w14:paraId="199EE717" w14:textId="64B64683" w:rsidR="00136629" w:rsidRPr="00D43E9A" w:rsidRDefault="00136629" w:rsidP="00136629">
            <w:pPr>
              <w:spacing w:after="0" w:line="240" w:lineRule="auto"/>
              <w:jc w:val="right"/>
              <w:rPr>
                <w:rFonts w:cs="Calibri"/>
                <w:color w:val="000000"/>
                <w:lang w:val="en-GB"/>
              </w:rPr>
            </w:pPr>
            <w:r w:rsidRPr="00D43E9A">
              <w:rPr>
                <w:rFonts w:cs="Calibri"/>
                <w:color w:val="000000"/>
              </w:rPr>
              <w:t>(34</w:t>
            </w:r>
            <w:r>
              <w:rPr>
                <w:rFonts w:cs="Calibri"/>
                <w:color w:val="000000"/>
              </w:rPr>
              <w:t>.</w:t>
            </w:r>
            <w:r w:rsidRPr="00D43E9A">
              <w:rPr>
                <w:rFonts w:cs="Calibri"/>
                <w:color w:val="000000"/>
              </w:rPr>
              <w:t>361)</w:t>
            </w:r>
          </w:p>
        </w:tc>
        <w:tc>
          <w:tcPr>
            <w:tcW w:w="266" w:type="dxa"/>
            <w:tcBorders>
              <w:top w:val="nil"/>
              <w:left w:val="nil"/>
              <w:bottom w:val="nil"/>
              <w:right w:val="nil"/>
            </w:tcBorders>
            <w:shd w:val="clear" w:color="000000" w:fill="FFFFFF"/>
            <w:noWrap/>
            <w:vAlign w:val="bottom"/>
            <w:hideMark/>
          </w:tcPr>
          <w:p w14:paraId="00140E96" w14:textId="7DC766B4"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1C8050EF" w14:textId="27642DB8" w:rsidR="00136629" w:rsidRPr="00D43E9A" w:rsidRDefault="00136629" w:rsidP="00136629">
            <w:pPr>
              <w:spacing w:after="0" w:line="240" w:lineRule="auto"/>
              <w:jc w:val="right"/>
              <w:rPr>
                <w:rFonts w:cs="Calibri"/>
                <w:color w:val="000000"/>
                <w:lang w:val="en-GB"/>
              </w:rPr>
            </w:pPr>
            <w:r w:rsidRPr="00D43E9A">
              <w:rPr>
                <w:rFonts w:cs="Calibri"/>
                <w:color w:val="000000"/>
              </w:rPr>
              <w:t>(14</w:t>
            </w:r>
            <w:r>
              <w:rPr>
                <w:rFonts w:cs="Calibri"/>
                <w:color w:val="000000"/>
              </w:rPr>
              <w:t>.</w:t>
            </w:r>
            <w:r w:rsidRPr="00D43E9A">
              <w:rPr>
                <w:rFonts w:cs="Calibri"/>
                <w:color w:val="000000"/>
              </w:rPr>
              <w:t>716)</w:t>
            </w:r>
          </w:p>
        </w:tc>
      </w:tr>
      <w:tr w:rsidR="00136629" w:rsidRPr="009259F9" w14:paraId="3D3DFFA6" w14:textId="77777777" w:rsidTr="00F47D11">
        <w:trPr>
          <w:trHeight w:val="300"/>
        </w:trPr>
        <w:tc>
          <w:tcPr>
            <w:tcW w:w="6292" w:type="dxa"/>
            <w:tcBorders>
              <w:top w:val="nil"/>
              <w:left w:val="nil"/>
              <w:bottom w:val="nil"/>
              <w:right w:val="nil"/>
            </w:tcBorders>
            <w:shd w:val="clear" w:color="000000" w:fill="FFFFFF"/>
            <w:noWrap/>
            <w:vAlign w:val="center"/>
            <w:hideMark/>
          </w:tcPr>
          <w:p w14:paraId="7C559F50" w14:textId="5D88375D" w:rsidR="00136629" w:rsidRPr="009259F9" w:rsidRDefault="00136629" w:rsidP="00136629">
            <w:pPr>
              <w:spacing w:after="0" w:line="240" w:lineRule="auto"/>
              <w:jc w:val="both"/>
              <w:rPr>
                <w:rFonts w:eastAsia="Times New Roman"/>
                <w:b/>
                <w:bCs/>
                <w:lang w:val="en-GB" w:eastAsia="el-GR"/>
              </w:rPr>
            </w:pPr>
            <w:r w:rsidRPr="00734618">
              <w:rPr>
                <w:b/>
                <w:color w:val="000000"/>
                <w:sz w:val="20"/>
                <w:szCs w:val="20"/>
              </w:rPr>
              <w:t>Καθαρά χρηματοοικονομικά έξοδα</w:t>
            </w:r>
          </w:p>
        </w:tc>
        <w:tc>
          <w:tcPr>
            <w:tcW w:w="1850" w:type="dxa"/>
            <w:tcBorders>
              <w:top w:val="single" w:sz="4" w:space="0" w:color="auto"/>
              <w:left w:val="nil"/>
              <w:bottom w:val="single" w:sz="4" w:space="0" w:color="auto"/>
              <w:right w:val="nil"/>
            </w:tcBorders>
            <w:shd w:val="clear" w:color="auto" w:fill="E2EFD9"/>
            <w:noWrap/>
            <w:vAlign w:val="bottom"/>
          </w:tcPr>
          <w:p w14:paraId="7BCDAAFC" w14:textId="6E34A274"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(33</w:t>
            </w:r>
            <w:r>
              <w:rPr>
                <w:rFonts w:cs="Calibri"/>
                <w:b/>
                <w:bCs/>
                <w:color w:val="000000"/>
              </w:rPr>
              <w:t>.</w:t>
            </w:r>
            <w:r w:rsidRPr="00D43E9A">
              <w:rPr>
                <w:rFonts w:cs="Calibri"/>
                <w:b/>
                <w:bCs/>
                <w:color w:val="000000"/>
              </w:rPr>
              <w:t>894)</w:t>
            </w:r>
          </w:p>
        </w:tc>
        <w:tc>
          <w:tcPr>
            <w:tcW w:w="266" w:type="dxa"/>
            <w:tcBorders>
              <w:top w:val="nil"/>
              <w:left w:val="nil"/>
              <w:bottom w:val="nil"/>
              <w:right w:val="nil"/>
            </w:tcBorders>
            <w:shd w:val="clear" w:color="000000" w:fill="FFFFFF"/>
            <w:noWrap/>
            <w:vAlign w:val="bottom"/>
            <w:hideMark/>
          </w:tcPr>
          <w:p w14:paraId="1C257E1C" w14:textId="11CE4812"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single" w:sz="4" w:space="0" w:color="auto"/>
              <w:left w:val="nil"/>
              <w:bottom w:val="single" w:sz="4" w:space="0" w:color="auto"/>
              <w:right w:val="nil"/>
            </w:tcBorders>
            <w:shd w:val="clear" w:color="000000" w:fill="FFFFFF"/>
            <w:noWrap/>
            <w:vAlign w:val="bottom"/>
            <w:hideMark/>
          </w:tcPr>
          <w:p w14:paraId="6563B5B0" w14:textId="33B1C65D"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(14</w:t>
            </w:r>
            <w:r>
              <w:rPr>
                <w:rFonts w:cs="Calibri"/>
                <w:b/>
                <w:bCs/>
                <w:color w:val="000000"/>
              </w:rPr>
              <w:t>.</w:t>
            </w:r>
            <w:r w:rsidRPr="00D43E9A">
              <w:rPr>
                <w:rFonts w:cs="Calibri"/>
                <w:b/>
                <w:bCs/>
                <w:color w:val="000000"/>
              </w:rPr>
              <w:t>429)</w:t>
            </w:r>
          </w:p>
        </w:tc>
      </w:tr>
      <w:tr w:rsidR="00136629" w:rsidRPr="009259F9" w14:paraId="70204027" w14:textId="77777777" w:rsidTr="00F47D11">
        <w:trPr>
          <w:trHeight w:val="300"/>
        </w:trPr>
        <w:tc>
          <w:tcPr>
            <w:tcW w:w="6292" w:type="dxa"/>
            <w:tcBorders>
              <w:top w:val="nil"/>
              <w:left w:val="nil"/>
              <w:bottom w:val="nil"/>
              <w:right w:val="nil"/>
            </w:tcBorders>
            <w:shd w:val="clear" w:color="000000" w:fill="FFFFFF"/>
            <w:noWrap/>
            <w:vAlign w:val="center"/>
            <w:hideMark/>
          </w:tcPr>
          <w:p w14:paraId="0E854D90" w14:textId="77F07809" w:rsidR="00136629" w:rsidRPr="00136629" w:rsidRDefault="00136629" w:rsidP="00136629">
            <w:pPr>
              <w:spacing w:after="0" w:line="240" w:lineRule="auto"/>
              <w:jc w:val="both"/>
              <w:rPr>
                <w:rFonts w:eastAsia="Times New Roman"/>
                <w:lang w:eastAsia="el-GR"/>
              </w:rPr>
            </w:pPr>
            <w:r w:rsidRPr="00734618">
              <w:rPr>
                <w:color w:val="000000"/>
                <w:sz w:val="20"/>
                <w:szCs w:val="20"/>
              </w:rPr>
              <w:t>Κέρδη από συγγενείς επιχειρήσεις, καθαρά από φόρους</w:t>
            </w:r>
          </w:p>
        </w:tc>
        <w:tc>
          <w:tcPr>
            <w:tcW w:w="1850" w:type="dxa"/>
            <w:tcBorders>
              <w:top w:val="nil"/>
              <w:left w:val="nil"/>
              <w:bottom w:val="nil"/>
              <w:right w:val="nil"/>
            </w:tcBorders>
            <w:shd w:val="clear" w:color="auto" w:fill="E2EFD9"/>
            <w:noWrap/>
            <w:vAlign w:val="bottom"/>
          </w:tcPr>
          <w:p w14:paraId="2AFD4104" w14:textId="3D1F0405" w:rsidR="00136629" w:rsidRPr="00F400A9" w:rsidRDefault="00136629" w:rsidP="00136629">
            <w:pPr>
              <w:spacing w:after="0" w:line="240" w:lineRule="auto"/>
              <w:jc w:val="right"/>
              <w:rPr>
                <w:rFonts w:cs="Calibri"/>
                <w:color w:val="000000"/>
                <w:lang w:val="en-GB"/>
              </w:rPr>
            </w:pPr>
            <w:r w:rsidRPr="00F400A9">
              <w:rPr>
                <w:rFonts w:cs="Calibri"/>
                <w:color w:val="000000"/>
              </w:rPr>
              <w:t>480</w:t>
            </w:r>
          </w:p>
        </w:tc>
        <w:tc>
          <w:tcPr>
            <w:tcW w:w="266" w:type="dxa"/>
            <w:tcBorders>
              <w:top w:val="nil"/>
              <w:left w:val="nil"/>
              <w:bottom w:val="nil"/>
              <w:right w:val="nil"/>
            </w:tcBorders>
            <w:shd w:val="clear" w:color="000000" w:fill="FFFFFF"/>
            <w:noWrap/>
            <w:vAlign w:val="bottom"/>
            <w:hideMark/>
          </w:tcPr>
          <w:p w14:paraId="50B3F6AA" w14:textId="57890D50"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230ACB26" w14:textId="79003A44" w:rsidR="00136629" w:rsidRPr="00D43E9A" w:rsidRDefault="00136629" w:rsidP="00136629">
            <w:pPr>
              <w:spacing w:after="0" w:line="240" w:lineRule="auto"/>
              <w:jc w:val="right"/>
              <w:rPr>
                <w:rFonts w:cs="Calibri"/>
                <w:color w:val="000000"/>
                <w:lang w:val="en-GB"/>
              </w:rPr>
            </w:pPr>
            <w:r w:rsidRPr="00D43E9A">
              <w:rPr>
                <w:rFonts w:cs="Calibri"/>
                <w:color w:val="000000"/>
              </w:rPr>
              <w:t>2</w:t>
            </w:r>
            <w:r>
              <w:rPr>
                <w:rFonts w:cs="Calibri"/>
                <w:color w:val="000000"/>
              </w:rPr>
              <w:t>.</w:t>
            </w:r>
            <w:r w:rsidRPr="00D43E9A">
              <w:rPr>
                <w:rFonts w:cs="Calibri"/>
                <w:color w:val="000000"/>
              </w:rPr>
              <w:t>271</w:t>
            </w:r>
          </w:p>
        </w:tc>
      </w:tr>
      <w:tr w:rsidR="00136629" w:rsidRPr="009259F9" w14:paraId="71E44542" w14:textId="77777777" w:rsidTr="00F47D11">
        <w:trPr>
          <w:trHeight w:val="300"/>
        </w:trPr>
        <w:tc>
          <w:tcPr>
            <w:tcW w:w="6292" w:type="dxa"/>
            <w:tcBorders>
              <w:top w:val="nil"/>
              <w:left w:val="nil"/>
              <w:bottom w:val="nil"/>
              <w:right w:val="nil"/>
            </w:tcBorders>
            <w:shd w:val="clear" w:color="000000" w:fill="FFFFFF"/>
            <w:noWrap/>
            <w:vAlign w:val="center"/>
            <w:hideMark/>
          </w:tcPr>
          <w:p w14:paraId="2049FFB9" w14:textId="4A50DEF7" w:rsidR="00136629" w:rsidRPr="009259F9" w:rsidRDefault="00136629" w:rsidP="00136629">
            <w:pPr>
              <w:spacing w:after="0" w:line="240" w:lineRule="auto"/>
              <w:jc w:val="both"/>
              <w:rPr>
                <w:rFonts w:eastAsia="Times New Roman"/>
                <w:b/>
                <w:bCs/>
                <w:lang w:val="en-GB" w:eastAsia="el-GR"/>
              </w:rPr>
            </w:pPr>
            <w:r w:rsidRPr="00734618">
              <w:rPr>
                <w:b/>
                <w:color w:val="000000"/>
                <w:sz w:val="20"/>
                <w:szCs w:val="20"/>
              </w:rPr>
              <w:t>Κέρδη προ φόρων</w:t>
            </w:r>
          </w:p>
        </w:tc>
        <w:tc>
          <w:tcPr>
            <w:tcW w:w="1850" w:type="dxa"/>
            <w:tcBorders>
              <w:top w:val="single" w:sz="4" w:space="0" w:color="auto"/>
              <w:left w:val="nil"/>
              <w:bottom w:val="single" w:sz="4" w:space="0" w:color="auto"/>
              <w:right w:val="nil"/>
            </w:tcBorders>
            <w:shd w:val="clear" w:color="auto" w:fill="E2EFD9"/>
            <w:noWrap/>
            <w:vAlign w:val="bottom"/>
          </w:tcPr>
          <w:p w14:paraId="51E410E1" w14:textId="54402119" w:rsidR="00136629" w:rsidRPr="00F400A9" w:rsidRDefault="00136629" w:rsidP="00136629">
            <w:pPr>
              <w:spacing w:after="0" w:line="240" w:lineRule="auto"/>
              <w:jc w:val="right"/>
              <w:rPr>
                <w:rFonts w:cs="Calibri"/>
                <w:b/>
                <w:bCs/>
                <w:color w:val="000000"/>
                <w:lang w:val="en-GB"/>
              </w:rPr>
            </w:pPr>
            <w:r w:rsidRPr="00F400A9">
              <w:rPr>
                <w:rFonts w:cs="Calibri"/>
                <w:b/>
                <w:bCs/>
                <w:color w:val="000000"/>
              </w:rPr>
              <w:t>30</w:t>
            </w:r>
            <w:r>
              <w:rPr>
                <w:rFonts w:cs="Calibri"/>
                <w:b/>
                <w:bCs/>
                <w:color w:val="000000"/>
                <w:lang w:val="en-US"/>
              </w:rPr>
              <w:t>.</w:t>
            </w:r>
            <w:r w:rsidRPr="00F400A9">
              <w:rPr>
                <w:rFonts w:cs="Calibri"/>
                <w:b/>
                <w:bCs/>
                <w:color w:val="000000"/>
              </w:rPr>
              <w:t>852</w:t>
            </w:r>
          </w:p>
        </w:tc>
        <w:tc>
          <w:tcPr>
            <w:tcW w:w="266" w:type="dxa"/>
            <w:tcBorders>
              <w:top w:val="nil"/>
              <w:left w:val="nil"/>
              <w:bottom w:val="nil"/>
              <w:right w:val="nil"/>
            </w:tcBorders>
            <w:shd w:val="clear" w:color="000000" w:fill="FFFFFF"/>
            <w:noWrap/>
            <w:vAlign w:val="bottom"/>
            <w:hideMark/>
          </w:tcPr>
          <w:p w14:paraId="35687C2E" w14:textId="311EDBF1"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single" w:sz="4" w:space="0" w:color="auto"/>
              <w:left w:val="nil"/>
              <w:bottom w:val="single" w:sz="4" w:space="0" w:color="auto"/>
              <w:right w:val="nil"/>
            </w:tcBorders>
            <w:shd w:val="clear" w:color="000000" w:fill="FFFFFF"/>
            <w:noWrap/>
            <w:vAlign w:val="bottom"/>
            <w:hideMark/>
          </w:tcPr>
          <w:p w14:paraId="0470AE88" w14:textId="0680D943"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21</w:t>
            </w:r>
            <w:r>
              <w:rPr>
                <w:rFonts w:cs="Calibri"/>
                <w:b/>
                <w:bCs/>
                <w:color w:val="000000"/>
              </w:rPr>
              <w:t>.</w:t>
            </w:r>
            <w:r w:rsidRPr="00D43E9A">
              <w:rPr>
                <w:rFonts w:cs="Calibri"/>
                <w:b/>
                <w:bCs/>
                <w:color w:val="000000"/>
              </w:rPr>
              <w:t>181</w:t>
            </w:r>
          </w:p>
        </w:tc>
      </w:tr>
      <w:tr w:rsidR="00136629" w:rsidRPr="009259F9" w14:paraId="09A5F674" w14:textId="77777777" w:rsidTr="00F47D11">
        <w:trPr>
          <w:trHeight w:val="300"/>
        </w:trPr>
        <w:tc>
          <w:tcPr>
            <w:tcW w:w="6292" w:type="dxa"/>
            <w:tcBorders>
              <w:top w:val="nil"/>
              <w:left w:val="nil"/>
              <w:bottom w:val="nil"/>
              <w:right w:val="nil"/>
            </w:tcBorders>
            <w:shd w:val="clear" w:color="000000" w:fill="FFFFFF"/>
            <w:noWrap/>
            <w:vAlign w:val="center"/>
            <w:hideMark/>
          </w:tcPr>
          <w:p w14:paraId="5D41FB79" w14:textId="14359569" w:rsidR="00136629" w:rsidRPr="009259F9" w:rsidRDefault="00136629" w:rsidP="00136629">
            <w:pPr>
              <w:spacing w:after="0" w:line="240" w:lineRule="auto"/>
              <w:jc w:val="both"/>
              <w:rPr>
                <w:rFonts w:eastAsia="Times New Roman"/>
                <w:lang w:val="en-GB" w:eastAsia="el-GR"/>
              </w:rPr>
            </w:pPr>
            <w:r w:rsidRPr="00734618">
              <w:rPr>
                <w:color w:val="000000"/>
                <w:sz w:val="20"/>
                <w:szCs w:val="20"/>
              </w:rPr>
              <w:t xml:space="preserve">Φόρος εισοδήματος </w:t>
            </w:r>
          </w:p>
        </w:tc>
        <w:tc>
          <w:tcPr>
            <w:tcW w:w="1850" w:type="dxa"/>
            <w:tcBorders>
              <w:top w:val="nil"/>
              <w:left w:val="nil"/>
              <w:bottom w:val="nil"/>
              <w:right w:val="nil"/>
            </w:tcBorders>
            <w:shd w:val="clear" w:color="auto" w:fill="E2EFD9"/>
            <w:noWrap/>
            <w:vAlign w:val="bottom"/>
          </w:tcPr>
          <w:p w14:paraId="47592C98" w14:textId="737A9D80" w:rsidR="00136629" w:rsidRPr="00F400A9" w:rsidRDefault="00136629" w:rsidP="00136629">
            <w:pPr>
              <w:spacing w:after="0" w:line="240" w:lineRule="auto"/>
              <w:jc w:val="right"/>
              <w:rPr>
                <w:rFonts w:cs="Calibri"/>
                <w:color w:val="000000"/>
                <w:lang w:val="en-GB"/>
              </w:rPr>
            </w:pPr>
            <w:r w:rsidRPr="00F400A9">
              <w:rPr>
                <w:rFonts w:cs="Calibri"/>
                <w:color w:val="000000"/>
              </w:rPr>
              <w:t>(7</w:t>
            </w:r>
            <w:r>
              <w:rPr>
                <w:rFonts w:cs="Calibri"/>
                <w:color w:val="000000"/>
                <w:lang w:val="en-US"/>
              </w:rPr>
              <w:t>.</w:t>
            </w:r>
            <w:r w:rsidRPr="00F400A9">
              <w:rPr>
                <w:rFonts w:cs="Calibri"/>
                <w:color w:val="000000"/>
              </w:rPr>
              <w:t>221)</w:t>
            </w:r>
          </w:p>
        </w:tc>
        <w:tc>
          <w:tcPr>
            <w:tcW w:w="266" w:type="dxa"/>
            <w:tcBorders>
              <w:top w:val="nil"/>
              <w:left w:val="nil"/>
              <w:bottom w:val="nil"/>
              <w:right w:val="nil"/>
            </w:tcBorders>
            <w:shd w:val="clear" w:color="000000" w:fill="FFFFFF"/>
            <w:noWrap/>
            <w:vAlign w:val="bottom"/>
            <w:hideMark/>
          </w:tcPr>
          <w:p w14:paraId="4310A2AD" w14:textId="665A2DED" w:rsidR="00136629" w:rsidRPr="00D43E9A" w:rsidRDefault="00136629" w:rsidP="00136629">
            <w:pPr>
              <w:spacing w:after="0" w:line="240" w:lineRule="auto"/>
              <w:jc w:val="right"/>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703DB06B" w14:textId="1202D8E5" w:rsidR="00136629" w:rsidRPr="00D43E9A" w:rsidRDefault="00136629" w:rsidP="00136629">
            <w:pPr>
              <w:spacing w:after="0" w:line="240" w:lineRule="auto"/>
              <w:jc w:val="right"/>
              <w:rPr>
                <w:rFonts w:cs="Calibri"/>
                <w:color w:val="000000"/>
                <w:lang w:val="en-GB"/>
              </w:rPr>
            </w:pPr>
            <w:r w:rsidRPr="00D43E9A">
              <w:rPr>
                <w:rFonts w:cs="Calibri"/>
                <w:color w:val="000000"/>
              </w:rPr>
              <w:t>(2</w:t>
            </w:r>
            <w:r>
              <w:rPr>
                <w:rFonts w:cs="Calibri"/>
                <w:color w:val="000000"/>
              </w:rPr>
              <w:t>.</w:t>
            </w:r>
            <w:r w:rsidRPr="00D43E9A">
              <w:rPr>
                <w:rFonts w:cs="Calibri"/>
                <w:color w:val="000000"/>
              </w:rPr>
              <w:t>723)</w:t>
            </w:r>
          </w:p>
        </w:tc>
      </w:tr>
      <w:tr w:rsidR="00136629" w:rsidRPr="009259F9" w14:paraId="66DC59DE" w14:textId="77777777" w:rsidTr="00F47D11">
        <w:trPr>
          <w:trHeight w:val="315"/>
        </w:trPr>
        <w:tc>
          <w:tcPr>
            <w:tcW w:w="6292" w:type="dxa"/>
            <w:tcBorders>
              <w:top w:val="nil"/>
              <w:left w:val="nil"/>
              <w:bottom w:val="nil"/>
              <w:right w:val="nil"/>
            </w:tcBorders>
            <w:shd w:val="clear" w:color="000000" w:fill="FFFFFF"/>
            <w:vAlign w:val="center"/>
            <w:hideMark/>
          </w:tcPr>
          <w:p w14:paraId="3EEC841A" w14:textId="45BB0D49" w:rsidR="00136629" w:rsidRPr="009259F9" w:rsidRDefault="00136629" w:rsidP="00136629">
            <w:pPr>
              <w:spacing w:after="0" w:line="240" w:lineRule="auto"/>
              <w:jc w:val="both"/>
              <w:rPr>
                <w:rFonts w:eastAsia="Times New Roman"/>
                <w:b/>
                <w:bCs/>
                <w:lang w:val="en-GB" w:eastAsia="el-GR"/>
              </w:rPr>
            </w:pPr>
            <w:r w:rsidRPr="00734618">
              <w:rPr>
                <w:b/>
                <w:color w:val="000000"/>
                <w:sz w:val="20"/>
                <w:szCs w:val="20"/>
              </w:rPr>
              <w:t>Κέρδη περιόδου</w:t>
            </w:r>
          </w:p>
        </w:tc>
        <w:tc>
          <w:tcPr>
            <w:tcW w:w="1850" w:type="dxa"/>
            <w:tcBorders>
              <w:top w:val="single" w:sz="4" w:space="0" w:color="auto"/>
              <w:left w:val="nil"/>
              <w:bottom w:val="single" w:sz="8" w:space="0" w:color="auto"/>
              <w:right w:val="nil"/>
            </w:tcBorders>
            <w:shd w:val="clear" w:color="auto" w:fill="E2EFD9"/>
            <w:noWrap/>
            <w:vAlign w:val="bottom"/>
          </w:tcPr>
          <w:p w14:paraId="1294A99F" w14:textId="5D2D0AC8" w:rsidR="00136629" w:rsidRPr="00F400A9" w:rsidRDefault="00136629" w:rsidP="00136629">
            <w:pPr>
              <w:spacing w:after="0" w:line="240" w:lineRule="auto"/>
              <w:jc w:val="right"/>
              <w:rPr>
                <w:rFonts w:cs="Calibri"/>
                <w:b/>
                <w:bCs/>
                <w:color w:val="000000"/>
                <w:lang w:val="en-GB"/>
              </w:rPr>
            </w:pPr>
            <w:r w:rsidRPr="00F400A9">
              <w:rPr>
                <w:rFonts w:cs="Calibri"/>
                <w:b/>
                <w:bCs/>
                <w:color w:val="000000"/>
              </w:rPr>
              <w:t>23</w:t>
            </w:r>
            <w:r>
              <w:rPr>
                <w:rFonts w:cs="Calibri"/>
                <w:b/>
                <w:bCs/>
                <w:color w:val="000000"/>
                <w:lang w:val="en-US"/>
              </w:rPr>
              <w:t>.</w:t>
            </w:r>
            <w:r w:rsidRPr="00F400A9">
              <w:rPr>
                <w:rFonts w:cs="Calibri"/>
                <w:b/>
                <w:bCs/>
                <w:color w:val="000000"/>
              </w:rPr>
              <w:t>631</w:t>
            </w:r>
          </w:p>
        </w:tc>
        <w:tc>
          <w:tcPr>
            <w:tcW w:w="266" w:type="dxa"/>
            <w:tcBorders>
              <w:top w:val="nil"/>
              <w:left w:val="nil"/>
              <w:bottom w:val="nil"/>
              <w:right w:val="nil"/>
            </w:tcBorders>
            <w:shd w:val="clear" w:color="000000" w:fill="FFFFFF"/>
            <w:noWrap/>
            <w:vAlign w:val="bottom"/>
            <w:hideMark/>
          </w:tcPr>
          <w:p w14:paraId="6C3BF9DF" w14:textId="1BCC3A9D"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 </w:t>
            </w:r>
          </w:p>
        </w:tc>
        <w:tc>
          <w:tcPr>
            <w:tcW w:w="1725" w:type="dxa"/>
            <w:tcBorders>
              <w:top w:val="single" w:sz="4" w:space="0" w:color="auto"/>
              <w:left w:val="nil"/>
              <w:bottom w:val="single" w:sz="8" w:space="0" w:color="auto"/>
              <w:right w:val="nil"/>
            </w:tcBorders>
            <w:shd w:val="clear" w:color="000000" w:fill="FFFFFF"/>
            <w:noWrap/>
            <w:vAlign w:val="bottom"/>
            <w:hideMark/>
          </w:tcPr>
          <w:p w14:paraId="53EDDA4B" w14:textId="34BB50BF" w:rsidR="00136629" w:rsidRPr="00D43E9A" w:rsidRDefault="00136629" w:rsidP="00136629">
            <w:pPr>
              <w:spacing w:after="0" w:line="240" w:lineRule="auto"/>
              <w:jc w:val="right"/>
              <w:rPr>
                <w:rFonts w:cs="Calibri"/>
                <w:b/>
                <w:bCs/>
                <w:color w:val="000000"/>
                <w:lang w:val="en-GB"/>
              </w:rPr>
            </w:pPr>
            <w:r w:rsidRPr="00D43E9A">
              <w:rPr>
                <w:rFonts w:cs="Calibri"/>
                <w:b/>
                <w:bCs/>
                <w:color w:val="000000"/>
              </w:rPr>
              <w:t>18</w:t>
            </w:r>
            <w:r>
              <w:rPr>
                <w:rFonts w:cs="Calibri"/>
                <w:b/>
                <w:bCs/>
                <w:color w:val="000000"/>
              </w:rPr>
              <w:t>.</w:t>
            </w:r>
            <w:r w:rsidRPr="00D43E9A">
              <w:rPr>
                <w:rFonts w:cs="Calibri"/>
                <w:b/>
                <w:bCs/>
                <w:color w:val="000000"/>
              </w:rPr>
              <w:t>458</w:t>
            </w:r>
          </w:p>
        </w:tc>
      </w:tr>
      <w:tr w:rsidR="00136629" w:rsidRPr="009259F9" w14:paraId="79665169" w14:textId="77777777" w:rsidTr="001A12E5">
        <w:trPr>
          <w:trHeight w:val="300"/>
        </w:trPr>
        <w:tc>
          <w:tcPr>
            <w:tcW w:w="6292" w:type="dxa"/>
            <w:tcBorders>
              <w:top w:val="nil"/>
              <w:left w:val="nil"/>
              <w:bottom w:val="nil"/>
              <w:right w:val="nil"/>
            </w:tcBorders>
            <w:shd w:val="clear" w:color="000000" w:fill="FFFFFF"/>
            <w:vAlign w:val="center"/>
            <w:hideMark/>
          </w:tcPr>
          <w:p w14:paraId="2E7085B2" w14:textId="0776037C" w:rsidR="00136629" w:rsidRPr="009259F9" w:rsidRDefault="00136629" w:rsidP="00136629">
            <w:pPr>
              <w:spacing w:after="0" w:line="240" w:lineRule="auto"/>
              <w:jc w:val="both"/>
              <w:rPr>
                <w:rFonts w:eastAsia="Times New Roman"/>
                <w:b/>
                <w:bCs/>
                <w:color w:val="000000"/>
                <w:lang w:val="en-GB" w:eastAsia="el-GR"/>
              </w:rPr>
            </w:pPr>
            <w:r w:rsidRPr="00734618">
              <w:rPr>
                <w:b/>
                <w:color w:val="000000"/>
                <w:sz w:val="20"/>
                <w:szCs w:val="20"/>
              </w:rPr>
              <w:t>Κέρδη/Ζημιές αποδιδόμενα σε:</w:t>
            </w:r>
          </w:p>
        </w:tc>
        <w:tc>
          <w:tcPr>
            <w:tcW w:w="1850" w:type="dxa"/>
            <w:tcBorders>
              <w:top w:val="nil"/>
              <w:left w:val="nil"/>
              <w:bottom w:val="nil"/>
              <w:right w:val="nil"/>
            </w:tcBorders>
            <w:shd w:val="clear" w:color="auto" w:fill="E2EFD9"/>
            <w:noWrap/>
            <w:vAlign w:val="bottom"/>
          </w:tcPr>
          <w:p w14:paraId="2DC5D4A8" w14:textId="7D9977C8" w:rsidR="00136629" w:rsidRPr="00D43E9A" w:rsidRDefault="00136629" w:rsidP="00136629">
            <w:pPr>
              <w:spacing w:after="0" w:line="240" w:lineRule="auto"/>
              <w:rPr>
                <w:rFonts w:cs="Calibri"/>
                <w:color w:val="000000"/>
                <w:lang w:val="en-GB"/>
              </w:rPr>
            </w:pPr>
          </w:p>
        </w:tc>
        <w:tc>
          <w:tcPr>
            <w:tcW w:w="266" w:type="dxa"/>
            <w:tcBorders>
              <w:top w:val="nil"/>
              <w:left w:val="nil"/>
              <w:bottom w:val="nil"/>
              <w:right w:val="nil"/>
            </w:tcBorders>
            <w:shd w:val="clear" w:color="auto" w:fill="auto"/>
            <w:noWrap/>
            <w:vAlign w:val="bottom"/>
            <w:hideMark/>
          </w:tcPr>
          <w:p w14:paraId="197C0674" w14:textId="77777777" w:rsidR="00136629" w:rsidRPr="00D43E9A" w:rsidRDefault="00136629" w:rsidP="00136629">
            <w:pPr>
              <w:spacing w:after="0" w:line="240" w:lineRule="auto"/>
              <w:jc w:val="right"/>
              <w:rPr>
                <w:rFonts w:cs="Calibri"/>
                <w:color w:val="000000"/>
                <w:lang w:val="en-GB"/>
              </w:rPr>
            </w:pPr>
            <w:r w:rsidRPr="00D43E9A">
              <w:rPr>
                <w:rFonts w:cs="Calibri"/>
                <w:color w:val="000000"/>
                <w:lang w:val="en-GB"/>
              </w:rPr>
              <w:t> </w:t>
            </w:r>
          </w:p>
        </w:tc>
        <w:tc>
          <w:tcPr>
            <w:tcW w:w="1725" w:type="dxa"/>
            <w:tcBorders>
              <w:top w:val="nil"/>
              <w:left w:val="nil"/>
              <w:bottom w:val="nil"/>
              <w:right w:val="nil"/>
            </w:tcBorders>
            <w:shd w:val="clear" w:color="000000" w:fill="FFFFFF"/>
            <w:noWrap/>
            <w:vAlign w:val="bottom"/>
            <w:hideMark/>
          </w:tcPr>
          <w:p w14:paraId="46104650" w14:textId="7197A0FC" w:rsidR="00136629" w:rsidRPr="00D43E9A" w:rsidRDefault="00136629" w:rsidP="00136629">
            <w:pPr>
              <w:spacing w:after="0" w:line="240" w:lineRule="auto"/>
              <w:jc w:val="right"/>
              <w:rPr>
                <w:rFonts w:cs="Calibri"/>
                <w:color w:val="000000"/>
                <w:lang w:val="en-GB"/>
              </w:rPr>
            </w:pPr>
            <w:r w:rsidRPr="00D43E9A">
              <w:rPr>
                <w:rFonts w:cs="Calibri"/>
                <w:b/>
                <w:bCs/>
                <w:color w:val="000000"/>
              </w:rPr>
              <w:t> </w:t>
            </w:r>
          </w:p>
        </w:tc>
      </w:tr>
      <w:tr w:rsidR="00136629" w:rsidRPr="009259F9" w14:paraId="15A76F72" w14:textId="77777777" w:rsidTr="001A12E5">
        <w:trPr>
          <w:trHeight w:val="300"/>
        </w:trPr>
        <w:tc>
          <w:tcPr>
            <w:tcW w:w="6292" w:type="dxa"/>
            <w:tcBorders>
              <w:top w:val="nil"/>
              <w:left w:val="nil"/>
              <w:bottom w:val="nil"/>
              <w:right w:val="nil"/>
            </w:tcBorders>
            <w:shd w:val="clear" w:color="000000" w:fill="FFFFFF"/>
            <w:vAlign w:val="center"/>
            <w:hideMark/>
          </w:tcPr>
          <w:p w14:paraId="654E2DFE" w14:textId="5230134F" w:rsidR="00136629" w:rsidRPr="009259F9" w:rsidRDefault="00136629" w:rsidP="00136629">
            <w:pPr>
              <w:spacing w:after="0" w:line="240" w:lineRule="auto"/>
              <w:jc w:val="both"/>
              <w:rPr>
                <w:rFonts w:eastAsia="Times New Roman"/>
                <w:color w:val="000000"/>
                <w:lang w:val="en-GB" w:eastAsia="el-GR"/>
              </w:rPr>
            </w:pPr>
            <w:r w:rsidRPr="00734618">
              <w:rPr>
                <w:color w:val="000000"/>
                <w:sz w:val="20"/>
                <w:szCs w:val="20"/>
              </w:rPr>
              <w:t>Μετόχους της Εταιρείας</w:t>
            </w:r>
          </w:p>
        </w:tc>
        <w:tc>
          <w:tcPr>
            <w:tcW w:w="1850" w:type="dxa"/>
            <w:tcBorders>
              <w:top w:val="nil"/>
              <w:left w:val="nil"/>
              <w:bottom w:val="nil"/>
              <w:right w:val="nil"/>
            </w:tcBorders>
            <w:shd w:val="clear" w:color="auto" w:fill="E2EFD9"/>
            <w:noWrap/>
            <w:vAlign w:val="bottom"/>
          </w:tcPr>
          <w:p w14:paraId="03474511" w14:textId="030A5E90" w:rsidR="00136629" w:rsidRPr="00F400A9" w:rsidRDefault="00136629" w:rsidP="00136629">
            <w:pPr>
              <w:spacing w:after="0" w:line="240" w:lineRule="auto"/>
              <w:jc w:val="right"/>
              <w:rPr>
                <w:rFonts w:cs="Calibri"/>
                <w:color w:val="000000"/>
                <w:lang w:val="en-US"/>
              </w:rPr>
            </w:pPr>
            <w:r w:rsidRPr="00D43E9A">
              <w:rPr>
                <w:rFonts w:cs="Calibri"/>
                <w:color w:val="000000"/>
              </w:rPr>
              <w:t>23</w:t>
            </w:r>
            <w:r>
              <w:rPr>
                <w:rFonts w:cs="Calibri"/>
                <w:color w:val="000000"/>
              </w:rPr>
              <w:t>.</w:t>
            </w:r>
            <w:r>
              <w:rPr>
                <w:rFonts w:cs="Calibri"/>
                <w:color w:val="000000"/>
                <w:lang w:val="en-US"/>
              </w:rPr>
              <w:t>634</w:t>
            </w:r>
          </w:p>
        </w:tc>
        <w:tc>
          <w:tcPr>
            <w:tcW w:w="266" w:type="dxa"/>
            <w:tcBorders>
              <w:top w:val="nil"/>
              <w:left w:val="nil"/>
              <w:bottom w:val="nil"/>
              <w:right w:val="nil"/>
            </w:tcBorders>
            <w:shd w:val="clear" w:color="auto" w:fill="auto"/>
            <w:noWrap/>
            <w:vAlign w:val="bottom"/>
            <w:hideMark/>
          </w:tcPr>
          <w:p w14:paraId="60313DD8" w14:textId="490B51FA" w:rsidR="00136629" w:rsidRPr="00D43E9A" w:rsidRDefault="00136629" w:rsidP="00136629">
            <w:pPr>
              <w:spacing w:after="0" w:line="240" w:lineRule="auto"/>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5C1E68CD" w14:textId="3BC67822" w:rsidR="00136629" w:rsidRPr="00D43E9A" w:rsidRDefault="00136629" w:rsidP="00136629">
            <w:pPr>
              <w:spacing w:after="0" w:line="240" w:lineRule="auto"/>
              <w:jc w:val="right"/>
              <w:rPr>
                <w:rFonts w:cs="Calibri"/>
                <w:color w:val="000000"/>
                <w:lang w:val="en-GB"/>
              </w:rPr>
            </w:pPr>
            <w:r w:rsidRPr="00D43E9A">
              <w:rPr>
                <w:rFonts w:cs="Calibri"/>
                <w:color w:val="000000"/>
              </w:rPr>
              <w:t>18</w:t>
            </w:r>
            <w:r>
              <w:rPr>
                <w:rFonts w:cs="Calibri"/>
                <w:color w:val="000000"/>
              </w:rPr>
              <w:t>.</w:t>
            </w:r>
            <w:r w:rsidRPr="00D43E9A">
              <w:rPr>
                <w:rFonts w:cs="Calibri"/>
                <w:color w:val="000000"/>
              </w:rPr>
              <w:t>456</w:t>
            </w:r>
          </w:p>
        </w:tc>
      </w:tr>
      <w:tr w:rsidR="00136629" w:rsidRPr="009259F9" w14:paraId="42A304AF" w14:textId="77777777" w:rsidTr="001A12E5">
        <w:trPr>
          <w:trHeight w:val="300"/>
        </w:trPr>
        <w:tc>
          <w:tcPr>
            <w:tcW w:w="6292" w:type="dxa"/>
            <w:tcBorders>
              <w:top w:val="nil"/>
              <w:left w:val="nil"/>
              <w:bottom w:val="nil"/>
              <w:right w:val="nil"/>
            </w:tcBorders>
            <w:shd w:val="clear" w:color="000000" w:fill="FFFFFF"/>
            <w:vAlign w:val="center"/>
            <w:hideMark/>
          </w:tcPr>
          <w:p w14:paraId="536B1C43" w14:textId="517DA99B" w:rsidR="00136629" w:rsidRPr="009259F9" w:rsidRDefault="00136629" w:rsidP="00136629">
            <w:pPr>
              <w:spacing w:after="0" w:line="240" w:lineRule="auto"/>
              <w:jc w:val="both"/>
              <w:rPr>
                <w:rFonts w:eastAsia="Times New Roman"/>
                <w:color w:val="000000"/>
                <w:lang w:val="en-GB" w:eastAsia="el-GR"/>
              </w:rPr>
            </w:pPr>
            <w:r w:rsidRPr="00734618">
              <w:rPr>
                <w:color w:val="000000"/>
                <w:sz w:val="20"/>
                <w:szCs w:val="20"/>
              </w:rPr>
              <w:t>Δικαιώματα μειοψηφίας</w:t>
            </w:r>
          </w:p>
        </w:tc>
        <w:tc>
          <w:tcPr>
            <w:tcW w:w="1850" w:type="dxa"/>
            <w:tcBorders>
              <w:top w:val="nil"/>
              <w:left w:val="nil"/>
              <w:bottom w:val="nil"/>
              <w:right w:val="nil"/>
            </w:tcBorders>
            <w:shd w:val="clear" w:color="auto" w:fill="E2EFD9"/>
            <w:noWrap/>
            <w:vAlign w:val="bottom"/>
          </w:tcPr>
          <w:p w14:paraId="4F282ADA" w14:textId="77840E1E" w:rsidR="00136629" w:rsidRPr="00D43E9A" w:rsidRDefault="00136629" w:rsidP="00136629">
            <w:pPr>
              <w:spacing w:after="0" w:line="240" w:lineRule="auto"/>
              <w:jc w:val="right"/>
              <w:rPr>
                <w:rFonts w:cs="Calibri"/>
                <w:color w:val="000000"/>
                <w:lang w:val="en-ZA"/>
              </w:rPr>
            </w:pPr>
            <w:r w:rsidRPr="00D43E9A">
              <w:rPr>
                <w:rFonts w:cs="Calibri"/>
                <w:color w:val="000000"/>
              </w:rPr>
              <w:t>(3)</w:t>
            </w:r>
          </w:p>
        </w:tc>
        <w:tc>
          <w:tcPr>
            <w:tcW w:w="266" w:type="dxa"/>
            <w:tcBorders>
              <w:top w:val="nil"/>
              <w:left w:val="nil"/>
              <w:bottom w:val="nil"/>
              <w:right w:val="nil"/>
            </w:tcBorders>
            <w:shd w:val="clear" w:color="auto" w:fill="auto"/>
            <w:noWrap/>
            <w:vAlign w:val="bottom"/>
            <w:hideMark/>
          </w:tcPr>
          <w:p w14:paraId="5300D858" w14:textId="51254E5D" w:rsidR="00136629" w:rsidRPr="00D43E9A" w:rsidRDefault="00136629" w:rsidP="00136629">
            <w:pPr>
              <w:spacing w:after="0" w:line="240" w:lineRule="auto"/>
              <w:rPr>
                <w:rFonts w:cs="Calibri"/>
                <w:color w:val="000000"/>
                <w:lang w:val="en-GB"/>
              </w:rPr>
            </w:pPr>
            <w:r w:rsidRPr="00D43E9A">
              <w:rPr>
                <w:rFonts w:cs="Calibri"/>
                <w:color w:val="000000"/>
              </w:rPr>
              <w:t> </w:t>
            </w:r>
          </w:p>
        </w:tc>
        <w:tc>
          <w:tcPr>
            <w:tcW w:w="1725" w:type="dxa"/>
            <w:tcBorders>
              <w:top w:val="nil"/>
              <w:left w:val="nil"/>
              <w:bottom w:val="nil"/>
              <w:right w:val="nil"/>
            </w:tcBorders>
            <w:shd w:val="clear" w:color="000000" w:fill="FFFFFF"/>
            <w:noWrap/>
            <w:vAlign w:val="bottom"/>
            <w:hideMark/>
          </w:tcPr>
          <w:p w14:paraId="62787811" w14:textId="609EAE68" w:rsidR="00136629" w:rsidRPr="00D43E9A" w:rsidRDefault="00136629" w:rsidP="00136629">
            <w:pPr>
              <w:spacing w:after="0" w:line="240" w:lineRule="auto"/>
              <w:jc w:val="right"/>
              <w:rPr>
                <w:rFonts w:cs="Calibri"/>
                <w:color w:val="000000"/>
                <w:lang w:val="en-GB"/>
              </w:rPr>
            </w:pPr>
            <w:r w:rsidRPr="00D43E9A">
              <w:rPr>
                <w:rFonts w:cs="Calibri"/>
                <w:color w:val="000000"/>
              </w:rPr>
              <w:t>2</w:t>
            </w:r>
          </w:p>
        </w:tc>
      </w:tr>
      <w:tr w:rsidR="00D43E9A" w:rsidRPr="009259F9" w14:paraId="1A83C9AE" w14:textId="77777777" w:rsidTr="001A12E5">
        <w:trPr>
          <w:trHeight w:val="315"/>
        </w:trPr>
        <w:tc>
          <w:tcPr>
            <w:tcW w:w="6292" w:type="dxa"/>
            <w:tcBorders>
              <w:top w:val="nil"/>
              <w:left w:val="nil"/>
              <w:bottom w:val="nil"/>
              <w:right w:val="nil"/>
            </w:tcBorders>
            <w:shd w:val="clear" w:color="000000" w:fill="FFFFFF"/>
            <w:vAlign w:val="bottom"/>
            <w:hideMark/>
          </w:tcPr>
          <w:p w14:paraId="02F7859E" w14:textId="77777777" w:rsidR="00D43E9A" w:rsidRPr="009259F9" w:rsidRDefault="00D43E9A" w:rsidP="00D43E9A">
            <w:pPr>
              <w:spacing w:after="0" w:line="240" w:lineRule="auto"/>
              <w:jc w:val="both"/>
              <w:rPr>
                <w:rFonts w:ascii="Times New Roman" w:eastAsia="Times New Roman" w:hAnsi="Times New Roman"/>
                <w:color w:val="000000"/>
                <w:lang w:val="en-GB" w:eastAsia="el-GR"/>
              </w:rPr>
            </w:pPr>
          </w:p>
        </w:tc>
        <w:tc>
          <w:tcPr>
            <w:tcW w:w="1850" w:type="dxa"/>
            <w:tcBorders>
              <w:top w:val="single" w:sz="4" w:space="0" w:color="auto"/>
              <w:left w:val="nil"/>
              <w:bottom w:val="single" w:sz="8" w:space="0" w:color="auto"/>
              <w:right w:val="nil"/>
            </w:tcBorders>
            <w:shd w:val="clear" w:color="auto" w:fill="E2EFD9"/>
            <w:noWrap/>
            <w:vAlign w:val="bottom"/>
          </w:tcPr>
          <w:p w14:paraId="6CCDC248" w14:textId="164D9E5B" w:rsidR="00D43E9A" w:rsidRPr="00D43E9A" w:rsidRDefault="00F400A9" w:rsidP="00D43E9A">
            <w:pPr>
              <w:spacing w:after="0" w:line="240" w:lineRule="auto"/>
              <w:jc w:val="right"/>
              <w:rPr>
                <w:rFonts w:cs="Calibri"/>
                <w:b/>
                <w:bCs/>
                <w:color w:val="000000"/>
                <w:lang w:val="en-GB"/>
              </w:rPr>
            </w:pPr>
            <w:r w:rsidRPr="00F400A9">
              <w:rPr>
                <w:rFonts w:cs="Calibri"/>
                <w:b/>
                <w:bCs/>
                <w:color w:val="000000"/>
              </w:rPr>
              <w:t>23</w:t>
            </w:r>
            <w:r w:rsidR="00136629">
              <w:rPr>
                <w:rFonts w:cs="Calibri"/>
                <w:b/>
                <w:bCs/>
                <w:color w:val="000000"/>
                <w:lang w:val="en-US"/>
              </w:rPr>
              <w:t>.</w:t>
            </w:r>
            <w:r w:rsidRPr="00F400A9">
              <w:rPr>
                <w:rFonts w:cs="Calibri"/>
                <w:b/>
                <w:bCs/>
                <w:color w:val="000000"/>
              </w:rPr>
              <w:t>631</w:t>
            </w:r>
          </w:p>
        </w:tc>
        <w:tc>
          <w:tcPr>
            <w:tcW w:w="266" w:type="dxa"/>
            <w:tcBorders>
              <w:top w:val="nil"/>
              <w:left w:val="nil"/>
              <w:bottom w:val="nil"/>
              <w:right w:val="nil"/>
            </w:tcBorders>
            <w:shd w:val="clear" w:color="auto" w:fill="auto"/>
            <w:noWrap/>
            <w:vAlign w:val="bottom"/>
            <w:hideMark/>
          </w:tcPr>
          <w:p w14:paraId="2CA333BA" w14:textId="2906066E" w:rsidR="00D43E9A" w:rsidRPr="00D43E9A" w:rsidRDefault="00D43E9A" w:rsidP="00D43E9A">
            <w:pPr>
              <w:spacing w:after="0" w:line="240" w:lineRule="auto"/>
              <w:rPr>
                <w:rFonts w:cs="Calibri"/>
                <w:color w:val="000000"/>
                <w:lang w:val="en-GB"/>
              </w:rPr>
            </w:pPr>
            <w:r w:rsidRPr="00D43E9A">
              <w:rPr>
                <w:rFonts w:cs="Calibri"/>
                <w:color w:val="000000"/>
              </w:rPr>
              <w:t> </w:t>
            </w:r>
          </w:p>
        </w:tc>
        <w:tc>
          <w:tcPr>
            <w:tcW w:w="1725" w:type="dxa"/>
            <w:tcBorders>
              <w:top w:val="single" w:sz="4" w:space="0" w:color="auto"/>
              <w:left w:val="nil"/>
              <w:bottom w:val="single" w:sz="8" w:space="0" w:color="auto"/>
              <w:right w:val="nil"/>
            </w:tcBorders>
            <w:shd w:val="clear" w:color="000000" w:fill="FFFFFF"/>
            <w:noWrap/>
            <w:vAlign w:val="bottom"/>
            <w:hideMark/>
          </w:tcPr>
          <w:p w14:paraId="0C0442CF" w14:textId="12EA78F5" w:rsidR="00D43E9A" w:rsidRPr="00D43E9A" w:rsidRDefault="00D43E9A" w:rsidP="00D43E9A">
            <w:pPr>
              <w:spacing w:after="0" w:line="240" w:lineRule="auto"/>
              <w:jc w:val="right"/>
              <w:rPr>
                <w:rFonts w:cs="Calibri"/>
                <w:b/>
                <w:bCs/>
                <w:color w:val="000000"/>
                <w:lang w:val="en-GB"/>
              </w:rPr>
            </w:pPr>
            <w:r w:rsidRPr="00D43E9A">
              <w:rPr>
                <w:rFonts w:cs="Calibri"/>
                <w:b/>
                <w:bCs/>
                <w:color w:val="000000"/>
              </w:rPr>
              <w:t>18</w:t>
            </w:r>
            <w:r w:rsidR="00136629">
              <w:rPr>
                <w:rFonts w:cs="Calibri"/>
                <w:b/>
                <w:bCs/>
                <w:color w:val="000000"/>
              </w:rPr>
              <w:t>.</w:t>
            </w:r>
            <w:r w:rsidRPr="00D43E9A">
              <w:rPr>
                <w:rFonts w:cs="Calibri"/>
                <w:b/>
                <w:bCs/>
                <w:color w:val="000000"/>
              </w:rPr>
              <w:t>458</w:t>
            </w:r>
          </w:p>
        </w:tc>
      </w:tr>
    </w:tbl>
    <w:p w14:paraId="4CDCE0D1" w14:textId="77777777" w:rsidR="005657FD" w:rsidRDefault="005657FD" w:rsidP="005657FD">
      <w:pPr>
        <w:autoSpaceDE w:val="0"/>
        <w:autoSpaceDN w:val="0"/>
        <w:adjustRightInd w:val="0"/>
        <w:spacing w:after="240" w:line="240" w:lineRule="auto"/>
        <w:contextualSpacing/>
        <w:jc w:val="both"/>
        <w:rPr>
          <w:sz w:val="20"/>
          <w:szCs w:val="20"/>
          <w:lang w:val="en-GB"/>
        </w:rPr>
      </w:pPr>
    </w:p>
    <w:p w14:paraId="0748811A" w14:textId="5BE7868D" w:rsidR="00C33291" w:rsidRPr="00136629" w:rsidRDefault="00136629" w:rsidP="006B321F">
      <w:pPr>
        <w:keepNext/>
        <w:keepLines/>
        <w:spacing w:after="120" w:line="240" w:lineRule="auto"/>
        <w:jc w:val="both"/>
        <w:outlineLvl w:val="1"/>
        <w:rPr>
          <w:rFonts w:eastAsia="SimSun" w:cs="Calibri"/>
          <w:b/>
          <w:bCs/>
          <w:color w:val="4F6228"/>
          <w:sz w:val="24"/>
          <w:szCs w:val="24"/>
        </w:rPr>
      </w:pPr>
      <w:r w:rsidRPr="00136629">
        <w:rPr>
          <w:rFonts w:eastAsia="SimSun" w:cs="Calibri"/>
          <w:b/>
          <w:bCs/>
          <w:color w:val="4F6228"/>
          <w:sz w:val="24"/>
          <w:szCs w:val="24"/>
        </w:rPr>
        <w:t xml:space="preserve">Χρηματοοικονομική Πληροφόρηση ανά </w:t>
      </w:r>
      <w:r w:rsidR="00B80DE8">
        <w:rPr>
          <w:rFonts w:eastAsia="SimSun" w:cs="Calibri"/>
          <w:b/>
          <w:bCs/>
          <w:color w:val="4F6228"/>
          <w:sz w:val="24"/>
          <w:szCs w:val="24"/>
        </w:rPr>
        <w:t>τομέα</w:t>
      </w:r>
    </w:p>
    <w:tbl>
      <w:tblPr>
        <w:tblW w:w="11070" w:type="dxa"/>
        <w:tblInd w:w="-702" w:type="dxa"/>
        <w:tblLayout w:type="fixed"/>
        <w:tblLook w:val="04A0" w:firstRow="1" w:lastRow="0" w:firstColumn="1" w:lastColumn="0" w:noHBand="0" w:noVBand="1"/>
      </w:tblPr>
      <w:tblGrid>
        <w:gridCol w:w="2829"/>
        <w:gridCol w:w="1030"/>
        <w:gridCol w:w="1030"/>
        <w:gridCol w:w="1030"/>
        <w:gridCol w:w="1030"/>
        <w:gridCol w:w="983"/>
        <w:gridCol w:w="992"/>
        <w:gridCol w:w="992"/>
        <w:gridCol w:w="1154"/>
      </w:tblGrid>
      <w:tr w:rsidR="00136629" w:rsidRPr="009259F9" w14:paraId="42D65A10" w14:textId="77777777" w:rsidTr="00B4712C">
        <w:trPr>
          <w:trHeight w:val="495"/>
        </w:trPr>
        <w:tc>
          <w:tcPr>
            <w:tcW w:w="2829" w:type="dxa"/>
            <w:tcBorders>
              <w:top w:val="nil"/>
              <w:left w:val="nil"/>
              <w:bottom w:val="nil"/>
              <w:right w:val="nil"/>
            </w:tcBorders>
            <w:shd w:val="clear" w:color="000000" w:fill="FFFFFF"/>
            <w:noWrap/>
            <w:vAlign w:val="bottom"/>
            <w:hideMark/>
          </w:tcPr>
          <w:p w14:paraId="038D87AF" w14:textId="4D6FF739" w:rsidR="00136629" w:rsidRPr="009259F9" w:rsidRDefault="00136629" w:rsidP="00136629">
            <w:pPr>
              <w:spacing w:after="0" w:line="240" w:lineRule="auto"/>
              <w:jc w:val="both"/>
              <w:rPr>
                <w:rFonts w:eastAsia="Times New Roman"/>
                <w:i/>
                <w:sz w:val="20"/>
                <w:szCs w:val="20"/>
                <w:lang w:val="en-GB" w:eastAsia="el-GR"/>
              </w:rPr>
            </w:pPr>
            <w:r w:rsidRPr="00734618">
              <w:rPr>
                <w:i/>
                <w:color w:val="000000"/>
                <w:sz w:val="20"/>
                <w:szCs w:val="20"/>
              </w:rPr>
              <w:t>Ποσά σε χιλιάδες ευρώ</w:t>
            </w:r>
          </w:p>
        </w:tc>
        <w:tc>
          <w:tcPr>
            <w:tcW w:w="2060" w:type="dxa"/>
            <w:gridSpan w:val="2"/>
            <w:tcBorders>
              <w:top w:val="nil"/>
              <w:left w:val="nil"/>
              <w:bottom w:val="nil"/>
              <w:right w:val="nil"/>
            </w:tcBorders>
            <w:shd w:val="clear" w:color="000000" w:fill="FFFFFF"/>
            <w:vAlign w:val="center"/>
            <w:hideMark/>
          </w:tcPr>
          <w:p w14:paraId="679B08BF" w14:textId="7719196B" w:rsidR="00136629" w:rsidRPr="009259F9" w:rsidRDefault="00136629" w:rsidP="00136629">
            <w:pPr>
              <w:spacing w:after="0" w:line="240" w:lineRule="auto"/>
              <w:jc w:val="center"/>
              <w:rPr>
                <w:rFonts w:eastAsia="Times New Roman"/>
                <w:b/>
                <w:bCs/>
                <w:color w:val="000000"/>
                <w:sz w:val="20"/>
                <w:szCs w:val="20"/>
                <w:u w:val="single"/>
                <w:lang w:val="en-GB" w:eastAsia="el-GR"/>
              </w:rPr>
            </w:pPr>
            <w:r w:rsidRPr="008B7319">
              <w:rPr>
                <w:rFonts w:eastAsia="Times New Roman"/>
                <w:b/>
                <w:bCs/>
                <w:color w:val="000000"/>
                <w:sz w:val="20"/>
                <w:szCs w:val="20"/>
                <w:u w:val="single"/>
                <w:lang w:eastAsia="el-GR"/>
              </w:rPr>
              <w:t>Καλώδια</w:t>
            </w:r>
          </w:p>
        </w:tc>
        <w:tc>
          <w:tcPr>
            <w:tcW w:w="2060" w:type="dxa"/>
            <w:gridSpan w:val="2"/>
            <w:tcBorders>
              <w:top w:val="nil"/>
              <w:left w:val="nil"/>
              <w:bottom w:val="nil"/>
              <w:right w:val="nil"/>
            </w:tcBorders>
            <w:shd w:val="clear" w:color="000000" w:fill="FFFFFF"/>
            <w:vAlign w:val="center"/>
            <w:hideMark/>
          </w:tcPr>
          <w:p w14:paraId="41AB8392" w14:textId="74D9738C" w:rsidR="00136629" w:rsidRPr="009259F9" w:rsidRDefault="00136629" w:rsidP="00136629">
            <w:pPr>
              <w:spacing w:after="0" w:line="240" w:lineRule="auto"/>
              <w:jc w:val="center"/>
              <w:rPr>
                <w:rFonts w:eastAsia="Times New Roman"/>
                <w:b/>
                <w:bCs/>
                <w:color w:val="000000"/>
                <w:sz w:val="20"/>
                <w:szCs w:val="20"/>
                <w:u w:val="single"/>
                <w:lang w:val="en-GB" w:eastAsia="el-GR"/>
              </w:rPr>
            </w:pPr>
            <w:r w:rsidRPr="008B7319">
              <w:rPr>
                <w:rFonts w:eastAsia="Times New Roman"/>
                <w:b/>
                <w:bCs/>
                <w:color w:val="000000"/>
                <w:sz w:val="20"/>
                <w:szCs w:val="20"/>
                <w:u w:val="single"/>
                <w:lang w:eastAsia="el-GR"/>
              </w:rPr>
              <w:t>Σωλήνες Χάλυβα</w:t>
            </w:r>
          </w:p>
        </w:tc>
        <w:tc>
          <w:tcPr>
            <w:tcW w:w="1975" w:type="dxa"/>
            <w:gridSpan w:val="2"/>
            <w:tcBorders>
              <w:top w:val="nil"/>
              <w:left w:val="nil"/>
              <w:bottom w:val="nil"/>
              <w:right w:val="nil"/>
            </w:tcBorders>
            <w:shd w:val="clear" w:color="000000" w:fill="FFFFFF"/>
            <w:vAlign w:val="center"/>
            <w:hideMark/>
          </w:tcPr>
          <w:p w14:paraId="6BE35878" w14:textId="142F7576" w:rsidR="00136629" w:rsidRPr="009259F9" w:rsidRDefault="00136629" w:rsidP="00136629">
            <w:pPr>
              <w:spacing w:after="0" w:line="240" w:lineRule="auto"/>
              <w:jc w:val="center"/>
              <w:rPr>
                <w:rFonts w:eastAsia="Times New Roman"/>
                <w:b/>
                <w:bCs/>
                <w:color w:val="000000"/>
                <w:sz w:val="20"/>
                <w:szCs w:val="20"/>
                <w:u w:val="single"/>
                <w:lang w:val="en-GB" w:eastAsia="el-GR"/>
              </w:rPr>
            </w:pPr>
            <w:r w:rsidRPr="008B7319">
              <w:rPr>
                <w:rFonts w:eastAsia="Times New Roman"/>
                <w:b/>
                <w:bCs/>
                <w:color w:val="000000"/>
                <w:sz w:val="20"/>
                <w:szCs w:val="20"/>
                <w:u w:val="single"/>
                <w:lang w:eastAsia="el-GR"/>
              </w:rPr>
              <w:t>Λοιπές δραστηριότητες</w:t>
            </w:r>
          </w:p>
        </w:tc>
        <w:tc>
          <w:tcPr>
            <w:tcW w:w="2146" w:type="dxa"/>
            <w:gridSpan w:val="2"/>
            <w:tcBorders>
              <w:top w:val="nil"/>
              <w:left w:val="nil"/>
              <w:bottom w:val="nil"/>
              <w:right w:val="nil"/>
            </w:tcBorders>
            <w:shd w:val="clear" w:color="000000" w:fill="FFFFFF"/>
            <w:vAlign w:val="center"/>
            <w:hideMark/>
          </w:tcPr>
          <w:p w14:paraId="0BC5EB08" w14:textId="25F19188" w:rsidR="00136629" w:rsidRPr="009259F9" w:rsidRDefault="00136629" w:rsidP="00136629">
            <w:pPr>
              <w:spacing w:after="0" w:line="240" w:lineRule="auto"/>
              <w:jc w:val="center"/>
              <w:rPr>
                <w:rFonts w:eastAsia="Times New Roman"/>
                <w:b/>
                <w:bCs/>
                <w:color w:val="000000"/>
                <w:sz w:val="20"/>
                <w:szCs w:val="20"/>
                <w:u w:val="single"/>
                <w:lang w:val="en-GB" w:eastAsia="el-GR"/>
              </w:rPr>
            </w:pPr>
            <w:r w:rsidRPr="008B7319">
              <w:rPr>
                <w:rFonts w:eastAsia="Times New Roman"/>
                <w:b/>
                <w:bCs/>
                <w:color w:val="000000"/>
                <w:sz w:val="20"/>
                <w:szCs w:val="20"/>
                <w:u w:val="single"/>
                <w:lang w:eastAsia="el-GR"/>
              </w:rPr>
              <w:t>Σύνολο</w:t>
            </w:r>
          </w:p>
        </w:tc>
      </w:tr>
      <w:tr w:rsidR="00136629" w:rsidRPr="009259F9" w14:paraId="2DEDBBBB" w14:textId="77777777" w:rsidTr="00B4712C">
        <w:trPr>
          <w:trHeight w:val="300"/>
        </w:trPr>
        <w:tc>
          <w:tcPr>
            <w:tcW w:w="2829" w:type="dxa"/>
            <w:tcBorders>
              <w:top w:val="nil"/>
              <w:left w:val="nil"/>
              <w:bottom w:val="nil"/>
              <w:right w:val="nil"/>
            </w:tcBorders>
            <w:shd w:val="clear" w:color="000000" w:fill="FFFFFF"/>
            <w:noWrap/>
            <w:vAlign w:val="bottom"/>
            <w:hideMark/>
          </w:tcPr>
          <w:p w14:paraId="3449EE95" w14:textId="5B6C2DEE" w:rsidR="00136629" w:rsidRPr="009259F9" w:rsidRDefault="00136629" w:rsidP="00136629">
            <w:pPr>
              <w:spacing w:after="0" w:line="240" w:lineRule="auto"/>
              <w:jc w:val="both"/>
              <w:rPr>
                <w:rFonts w:eastAsia="Times New Roman"/>
                <w:sz w:val="20"/>
                <w:szCs w:val="20"/>
                <w:lang w:val="en-GB" w:eastAsia="el-GR"/>
              </w:rPr>
            </w:pPr>
          </w:p>
        </w:tc>
        <w:tc>
          <w:tcPr>
            <w:tcW w:w="1030" w:type="dxa"/>
            <w:tcBorders>
              <w:top w:val="nil"/>
              <w:left w:val="nil"/>
              <w:bottom w:val="nil"/>
              <w:right w:val="nil"/>
            </w:tcBorders>
            <w:shd w:val="clear" w:color="000000" w:fill="FFFFFF"/>
            <w:noWrap/>
            <w:vAlign w:val="center"/>
          </w:tcPr>
          <w:p w14:paraId="13528AA5" w14:textId="315B8758"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 xml:space="preserve">1ο εξ. </w:t>
            </w:r>
            <w:r w:rsidRPr="000A6EB0">
              <w:rPr>
                <w:rFonts w:eastAsia="Times New Roman"/>
                <w:b/>
                <w:bCs/>
                <w:color w:val="000000"/>
                <w:sz w:val="20"/>
                <w:szCs w:val="20"/>
                <w:lang w:val="en-GB" w:eastAsia="el-GR"/>
              </w:rPr>
              <w:t>202</w:t>
            </w:r>
            <w:r>
              <w:rPr>
                <w:rFonts w:eastAsia="Times New Roman"/>
                <w:b/>
                <w:bCs/>
                <w:color w:val="000000"/>
                <w:sz w:val="20"/>
                <w:szCs w:val="20"/>
                <w:lang w:eastAsia="el-GR"/>
              </w:rPr>
              <w:t>3</w:t>
            </w:r>
          </w:p>
        </w:tc>
        <w:tc>
          <w:tcPr>
            <w:tcW w:w="1030" w:type="dxa"/>
            <w:tcBorders>
              <w:top w:val="nil"/>
              <w:left w:val="nil"/>
              <w:bottom w:val="nil"/>
              <w:right w:val="nil"/>
            </w:tcBorders>
            <w:shd w:val="clear" w:color="000000" w:fill="FFFFFF"/>
            <w:vAlign w:val="center"/>
            <w:hideMark/>
          </w:tcPr>
          <w:p w14:paraId="609D9E7A" w14:textId="5A7CBD87"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1ο εξ.</w:t>
            </w:r>
            <w:r w:rsidRPr="000A6EB0">
              <w:rPr>
                <w:rFonts w:eastAsia="Times New Roman"/>
                <w:b/>
                <w:bCs/>
                <w:color w:val="000000"/>
                <w:sz w:val="20"/>
                <w:szCs w:val="20"/>
                <w:lang w:val="en-GB" w:eastAsia="el-GR"/>
              </w:rPr>
              <w:t xml:space="preserve"> 202</w:t>
            </w:r>
            <w:r>
              <w:rPr>
                <w:rFonts w:eastAsia="Times New Roman"/>
                <w:b/>
                <w:bCs/>
                <w:color w:val="000000"/>
                <w:sz w:val="20"/>
                <w:szCs w:val="20"/>
                <w:lang w:eastAsia="el-GR"/>
              </w:rPr>
              <w:t>2</w:t>
            </w:r>
          </w:p>
        </w:tc>
        <w:tc>
          <w:tcPr>
            <w:tcW w:w="1030" w:type="dxa"/>
            <w:tcBorders>
              <w:top w:val="nil"/>
              <w:left w:val="nil"/>
              <w:bottom w:val="nil"/>
              <w:right w:val="nil"/>
            </w:tcBorders>
            <w:shd w:val="clear" w:color="000000" w:fill="FFFFFF"/>
            <w:noWrap/>
            <w:vAlign w:val="center"/>
          </w:tcPr>
          <w:p w14:paraId="19D5938D" w14:textId="0A1C654E"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 xml:space="preserve">1ο εξ. </w:t>
            </w:r>
            <w:r w:rsidRPr="000A6EB0">
              <w:rPr>
                <w:rFonts w:eastAsia="Times New Roman"/>
                <w:b/>
                <w:bCs/>
                <w:color w:val="000000"/>
                <w:sz w:val="20"/>
                <w:szCs w:val="20"/>
                <w:lang w:val="en-GB" w:eastAsia="el-GR"/>
              </w:rPr>
              <w:t>202</w:t>
            </w:r>
            <w:r>
              <w:rPr>
                <w:rFonts w:eastAsia="Times New Roman"/>
                <w:b/>
                <w:bCs/>
                <w:color w:val="000000"/>
                <w:sz w:val="20"/>
                <w:szCs w:val="20"/>
                <w:lang w:eastAsia="el-GR"/>
              </w:rPr>
              <w:t>3</w:t>
            </w:r>
          </w:p>
        </w:tc>
        <w:tc>
          <w:tcPr>
            <w:tcW w:w="1030" w:type="dxa"/>
            <w:tcBorders>
              <w:top w:val="nil"/>
              <w:left w:val="nil"/>
              <w:bottom w:val="nil"/>
              <w:right w:val="nil"/>
            </w:tcBorders>
            <w:shd w:val="clear" w:color="000000" w:fill="FFFFFF"/>
            <w:vAlign w:val="center"/>
            <w:hideMark/>
          </w:tcPr>
          <w:p w14:paraId="318A4AE9" w14:textId="54EF31B7"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1ο εξ.</w:t>
            </w:r>
            <w:r w:rsidRPr="000A6EB0">
              <w:rPr>
                <w:rFonts w:eastAsia="Times New Roman"/>
                <w:b/>
                <w:bCs/>
                <w:color w:val="000000"/>
                <w:sz w:val="20"/>
                <w:szCs w:val="20"/>
                <w:lang w:val="en-GB" w:eastAsia="el-GR"/>
              </w:rPr>
              <w:t xml:space="preserve"> 202</w:t>
            </w:r>
            <w:r>
              <w:rPr>
                <w:rFonts w:eastAsia="Times New Roman"/>
                <w:b/>
                <w:bCs/>
                <w:color w:val="000000"/>
                <w:sz w:val="20"/>
                <w:szCs w:val="20"/>
                <w:lang w:eastAsia="el-GR"/>
              </w:rPr>
              <w:t>2</w:t>
            </w:r>
          </w:p>
        </w:tc>
        <w:tc>
          <w:tcPr>
            <w:tcW w:w="983" w:type="dxa"/>
            <w:tcBorders>
              <w:top w:val="nil"/>
              <w:left w:val="nil"/>
              <w:bottom w:val="nil"/>
              <w:right w:val="nil"/>
            </w:tcBorders>
            <w:shd w:val="clear" w:color="000000" w:fill="FFFFFF"/>
            <w:noWrap/>
            <w:vAlign w:val="center"/>
          </w:tcPr>
          <w:p w14:paraId="21689973" w14:textId="49AE7BBC"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 xml:space="preserve">1ο εξ. </w:t>
            </w:r>
            <w:r w:rsidRPr="000A6EB0">
              <w:rPr>
                <w:rFonts w:eastAsia="Times New Roman"/>
                <w:b/>
                <w:bCs/>
                <w:color w:val="000000"/>
                <w:sz w:val="20"/>
                <w:szCs w:val="20"/>
                <w:lang w:val="en-GB" w:eastAsia="el-GR"/>
              </w:rPr>
              <w:t>202</w:t>
            </w:r>
            <w:r>
              <w:rPr>
                <w:rFonts w:eastAsia="Times New Roman"/>
                <w:b/>
                <w:bCs/>
                <w:color w:val="000000"/>
                <w:sz w:val="20"/>
                <w:szCs w:val="20"/>
                <w:lang w:eastAsia="el-GR"/>
              </w:rPr>
              <w:t>3</w:t>
            </w:r>
          </w:p>
        </w:tc>
        <w:tc>
          <w:tcPr>
            <w:tcW w:w="992" w:type="dxa"/>
            <w:tcBorders>
              <w:top w:val="nil"/>
              <w:left w:val="nil"/>
              <w:bottom w:val="nil"/>
              <w:right w:val="nil"/>
            </w:tcBorders>
            <w:shd w:val="clear" w:color="000000" w:fill="FFFFFF"/>
            <w:vAlign w:val="center"/>
            <w:hideMark/>
          </w:tcPr>
          <w:p w14:paraId="44D38B39" w14:textId="0200B67E"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1ο εξ.</w:t>
            </w:r>
            <w:r w:rsidRPr="000A6EB0">
              <w:rPr>
                <w:rFonts w:eastAsia="Times New Roman"/>
                <w:b/>
                <w:bCs/>
                <w:color w:val="000000"/>
                <w:sz w:val="20"/>
                <w:szCs w:val="20"/>
                <w:lang w:val="en-GB" w:eastAsia="el-GR"/>
              </w:rPr>
              <w:t xml:space="preserve"> 202</w:t>
            </w:r>
            <w:r>
              <w:rPr>
                <w:rFonts w:eastAsia="Times New Roman"/>
                <w:b/>
                <w:bCs/>
                <w:color w:val="000000"/>
                <w:sz w:val="20"/>
                <w:szCs w:val="20"/>
                <w:lang w:eastAsia="el-GR"/>
              </w:rPr>
              <w:t>2</w:t>
            </w:r>
          </w:p>
        </w:tc>
        <w:tc>
          <w:tcPr>
            <w:tcW w:w="992" w:type="dxa"/>
            <w:tcBorders>
              <w:top w:val="nil"/>
              <w:left w:val="nil"/>
              <w:bottom w:val="nil"/>
              <w:right w:val="nil"/>
            </w:tcBorders>
            <w:shd w:val="clear" w:color="000000" w:fill="FFFFFF"/>
            <w:noWrap/>
            <w:vAlign w:val="center"/>
          </w:tcPr>
          <w:p w14:paraId="0290D743" w14:textId="068F4777"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 xml:space="preserve">1ο εξ. </w:t>
            </w:r>
            <w:r w:rsidRPr="000A6EB0">
              <w:rPr>
                <w:rFonts w:eastAsia="Times New Roman"/>
                <w:b/>
                <w:bCs/>
                <w:color w:val="000000"/>
                <w:sz w:val="20"/>
                <w:szCs w:val="20"/>
                <w:lang w:val="en-GB" w:eastAsia="el-GR"/>
              </w:rPr>
              <w:t>202</w:t>
            </w:r>
            <w:r>
              <w:rPr>
                <w:rFonts w:eastAsia="Times New Roman"/>
                <w:b/>
                <w:bCs/>
                <w:color w:val="000000"/>
                <w:sz w:val="20"/>
                <w:szCs w:val="20"/>
                <w:lang w:eastAsia="el-GR"/>
              </w:rPr>
              <w:t>3</w:t>
            </w:r>
          </w:p>
        </w:tc>
        <w:tc>
          <w:tcPr>
            <w:tcW w:w="1154" w:type="dxa"/>
            <w:tcBorders>
              <w:top w:val="nil"/>
              <w:left w:val="nil"/>
              <w:bottom w:val="nil"/>
              <w:right w:val="nil"/>
            </w:tcBorders>
            <w:shd w:val="clear" w:color="000000" w:fill="FFFFFF"/>
            <w:vAlign w:val="center"/>
            <w:hideMark/>
          </w:tcPr>
          <w:p w14:paraId="099ED8BF" w14:textId="65280F1D" w:rsidR="00136629" w:rsidRPr="009259F9" w:rsidRDefault="00136629" w:rsidP="00136629">
            <w:pPr>
              <w:spacing w:after="0" w:line="240" w:lineRule="auto"/>
              <w:jc w:val="right"/>
              <w:rPr>
                <w:rFonts w:eastAsia="Times New Roman"/>
                <w:b/>
                <w:bCs/>
                <w:color w:val="000000"/>
                <w:sz w:val="20"/>
                <w:szCs w:val="20"/>
                <w:lang w:val="en-GB" w:eastAsia="el-GR"/>
              </w:rPr>
            </w:pPr>
            <w:r w:rsidRPr="000A6EB0">
              <w:rPr>
                <w:rFonts w:cs="Calibri"/>
                <w:b/>
                <w:bCs/>
                <w:color w:val="000000"/>
                <w:sz w:val="20"/>
                <w:szCs w:val="20"/>
              </w:rPr>
              <w:t>1ο εξ.</w:t>
            </w:r>
            <w:r w:rsidRPr="000A6EB0">
              <w:rPr>
                <w:rFonts w:eastAsia="Times New Roman"/>
                <w:b/>
                <w:bCs/>
                <w:color w:val="000000"/>
                <w:sz w:val="20"/>
                <w:szCs w:val="20"/>
                <w:lang w:val="en-GB" w:eastAsia="el-GR"/>
              </w:rPr>
              <w:t xml:space="preserve"> 202</w:t>
            </w:r>
            <w:r>
              <w:rPr>
                <w:rFonts w:eastAsia="Times New Roman"/>
                <w:b/>
                <w:bCs/>
                <w:color w:val="000000"/>
                <w:sz w:val="20"/>
                <w:szCs w:val="20"/>
                <w:lang w:eastAsia="el-GR"/>
              </w:rPr>
              <w:t>2</w:t>
            </w:r>
          </w:p>
        </w:tc>
      </w:tr>
      <w:tr w:rsidR="006619D8" w:rsidRPr="009259F9" w14:paraId="1644F8AD" w14:textId="77777777" w:rsidTr="002A1A7B">
        <w:trPr>
          <w:trHeight w:val="300"/>
        </w:trPr>
        <w:tc>
          <w:tcPr>
            <w:tcW w:w="2829" w:type="dxa"/>
            <w:tcBorders>
              <w:top w:val="nil"/>
              <w:left w:val="nil"/>
              <w:bottom w:val="nil"/>
              <w:right w:val="nil"/>
            </w:tcBorders>
            <w:shd w:val="clear" w:color="000000" w:fill="FFFFFF"/>
            <w:vAlign w:val="center"/>
            <w:hideMark/>
          </w:tcPr>
          <w:p w14:paraId="1447C314" w14:textId="0DA7062A" w:rsidR="006619D8" w:rsidRPr="009259F9" w:rsidRDefault="006619D8" w:rsidP="006619D8">
            <w:pPr>
              <w:spacing w:after="0" w:line="240" w:lineRule="auto"/>
              <w:jc w:val="both"/>
              <w:rPr>
                <w:rFonts w:eastAsia="Times New Roman"/>
                <w:b/>
                <w:bCs/>
                <w:color w:val="000000"/>
                <w:sz w:val="20"/>
                <w:szCs w:val="20"/>
                <w:lang w:val="en-GB" w:eastAsia="el-GR"/>
              </w:rPr>
            </w:pPr>
            <w:r w:rsidRPr="008B7319">
              <w:rPr>
                <w:rFonts w:eastAsia="Times New Roman"/>
                <w:b/>
                <w:bCs/>
                <w:color w:val="000000"/>
                <w:sz w:val="20"/>
                <w:szCs w:val="20"/>
                <w:lang w:eastAsia="el-GR"/>
              </w:rPr>
              <w:t>Πωλήσεις</w:t>
            </w:r>
          </w:p>
        </w:tc>
        <w:tc>
          <w:tcPr>
            <w:tcW w:w="1030" w:type="dxa"/>
            <w:tcBorders>
              <w:top w:val="single" w:sz="4" w:space="0" w:color="auto"/>
              <w:left w:val="nil"/>
              <w:bottom w:val="single" w:sz="4" w:space="0" w:color="auto"/>
              <w:right w:val="nil"/>
            </w:tcBorders>
            <w:shd w:val="clear" w:color="auto" w:fill="E2EFD9"/>
            <w:noWrap/>
            <w:vAlign w:val="center"/>
          </w:tcPr>
          <w:p w14:paraId="20138BCE" w14:textId="4EB2B807"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493.281</w:t>
            </w:r>
          </w:p>
        </w:tc>
        <w:tc>
          <w:tcPr>
            <w:tcW w:w="1030" w:type="dxa"/>
            <w:tcBorders>
              <w:top w:val="single" w:sz="4" w:space="0" w:color="auto"/>
              <w:left w:val="nil"/>
              <w:bottom w:val="single" w:sz="4" w:space="0" w:color="auto"/>
              <w:right w:val="nil"/>
            </w:tcBorders>
            <w:shd w:val="clear" w:color="000000" w:fill="FFFFFF"/>
            <w:noWrap/>
            <w:vAlign w:val="center"/>
          </w:tcPr>
          <w:p w14:paraId="28E71C24" w14:textId="03C703A8"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466.572</w:t>
            </w:r>
          </w:p>
        </w:tc>
        <w:tc>
          <w:tcPr>
            <w:tcW w:w="1030" w:type="dxa"/>
            <w:tcBorders>
              <w:top w:val="single" w:sz="4" w:space="0" w:color="auto"/>
              <w:left w:val="nil"/>
              <w:bottom w:val="single" w:sz="4" w:space="0" w:color="auto"/>
              <w:right w:val="nil"/>
            </w:tcBorders>
            <w:shd w:val="clear" w:color="auto" w:fill="E2EFD9"/>
            <w:noWrap/>
            <w:vAlign w:val="center"/>
          </w:tcPr>
          <w:p w14:paraId="452F590C" w14:textId="387E4931"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304.991</w:t>
            </w:r>
          </w:p>
        </w:tc>
        <w:tc>
          <w:tcPr>
            <w:tcW w:w="1030" w:type="dxa"/>
            <w:tcBorders>
              <w:top w:val="single" w:sz="4" w:space="0" w:color="auto"/>
              <w:left w:val="nil"/>
              <w:bottom w:val="single" w:sz="4" w:space="0" w:color="auto"/>
              <w:right w:val="nil"/>
            </w:tcBorders>
            <w:shd w:val="clear" w:color="000000" w:fill="FFFFFF"/>
            <w:noWrap/>
            <w:vAlign w:val="center"/>
          </w:tcPr>
          <w:p w14:paraId="4477F9E3" w14:textId="7F297F1C"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192.079</w:t>
            </w:r>
          </w:p>
        </w:tc>
        <w:tc>
          <w:tcPr>
            <w:tcW w:w="983" w:type="dxa"/>
            <w:tcBorders>
              <w:top w:val="single" w:sz="4" w:space="0" w:color="auto"/>
              <w:left w:val="nil"/>
              <w:bottom w:val="single" w:sz="4" w:space="0" w:color="auto"/>
              <w:right w:val="nil"/>
            </w:tcBorders>
            <w:shd w:val="clear" w:color="auto" w:fill="E2EFD9"/>
            <w:noWrap/>
            <w:vAlign w:val="center"/>
          </w:tcPr>
          <w:p w14:paraId="49BA576D" w14:textId="0A80A2D1"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lang w:val="en-US"/>
              </w:rPr>
              <w:t>-</w:t>
            </w:r>
            <w:r>
              <w:rPr>
                <w:rFonts w:cs="Calibri"/>
                <w:b/>
                <w:bCs/>
                <w:color w:val="000000"/>
                <w:sz w:val="20"/>
                <w:szCs w:val="20"/>
              </w:rPr>
              <w:t> </w:t>
            </w:r>
          </w:p>
        </w:tc>
        <w:tc>
          <w:tcPr>
            <w:tcW w:w="992" w:type="dxa"/>
            <w:tcBorders>
              <w:top w:val="single" w:sz="4" w:space="0" w:color="auto"/>
              <w:left w:val="nil"/>
              <w:bottom w:val="single" w:sz="4" w:space="0" w:color="auto"/>
              <w:right w:val="nil"/>
            </w:tcBorders>
            <w:shd w:val="clear" w:color="000000" w:fill="FFFFFF"/>
            <w:noWrap/>
            <w:vAlign w:val="center"/>
          </w:tcPr>
          <w:p w14:paraId="0CB8C1E6" w14:textId="243C87DC" w:rsidR="006619D8" w:rsidRPr="00D23C1A" w:rsidRDefault="006619D8" w:rsidP="006619D8">
            <w:pPr>
              <w:spacing w:after="0" w:line="240" w:lineRule="auto"/>
              <w:jc w:val="right"/>
              <w:rPr>
                <w:rFonts w:cs="Calibri"/>
                <w:b/>
                <w:bCs/>
                <w:color w:val="000000"/>
                <w:sz w:val="20"/>
                <w:szCs w:val="20"/>
              </w:rPr>
            </w:pPr>
            <w:r>
              <w:rPr>
                <w:rFonts w:cs="Calibri"/>
                <w:b/>
                <w:bCs/>
                <w:color w:val="000000"/>
                <w:sz w:val="20"/>
                <w:szCs w:val="20"/>
                <w:lang w:val="en-US"/>
              </w:rPr>
              <w:t>-</w:t>
            </w:r>
            <w:r>
              <w:rPr>
                <w:rFonts w:cs="Calibri"/>
                <w:b/>
                <w:bCs/>
                <w:color w:val="000000"/>
                <w:sz w:val="20"/>
                <w:szCs w:val="20"/>
              </w:rPr>
              <w:t> </w:t>
            </w:r>
          </w:p>
        </w:tc>
        <w:tc>
          <w:tcPr>
            <w:tcW w:w="992" w:type="dxa"/>
            <w:tcBorders>
              <w:top w:val="single" w:sz="4" w:space="0" w:color="auto"/>
              <w:left w:val="nil"/>
              <w:bottom w:val="single" w:sz="4" w:space="0" w:color="auto"/>
              <w:right w:val="nil"/>
            </w:tcBorders>
            <w:shd w:val="clear" w:color="auto" w:fill="E2EFD9"/>
            <w:noWrap/>
            <w:vAlign w:val="center"/>
          </w:tcPr>
          <w:p w14:paraId="26F34B1B" w14:textId="3688F35E"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798.272</w:t>
            </w:r>
          </w:p>
        </w:tc>
        <w:tc>
          <w:tcPr>
            <w:tcW w:w="1154" w:type="dxa"/>
            <w:tcBorders>
              <w:top w:val="single" w:sz="4" w:space="0" w:color="auto"/>
              <w:left w:val="nil"/>
              <w:bottom w:val="single" w:sz="4" w:space="0" w:color="auto"/>
              <w:right w:val="nil"/>
            </w:tcBorders>
            <w:shd w:val="clear" w:color="000000" w:fill="FFFFFF"/>
            <w:noWrap/>
            <w:vAlign w:val="center"/>
          </w:tcPr>
          <w:p w14:paraId="5E950746" w14:textId="2CB1219A"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658.651</w:t>
            </w:r>
          </w:p>
        </w:tc>
      </w:tr>
      <w:tr w:rsidR="006619D8" w:rsidRPr="009259F9" w14:paraId="569C8CF9" w14:textId="77777777" w:rsidTr="006619D8">
        <w:trPr>
          <w:trHeight w:val="300"/>
        </w:trPr>
        <w:tc>
          <w:tcPr>
            <w:tcW w:w="2829" w:type="dxa"/>
            <w:tcBorders>
              <w:top w:val="nil"/>
              <w:left w:val="nil"/>
              <w:bottom w:val="nil"/>
              <w:right w:val="nil"/>
            </w:tcBorders>
            <w:shd w:val="clear" w:color="000000" w:fill="FFFFFF"/>
            <w:vAlign w:val="center"/>
          </w:tcPr>
          <w:p w14:paraId="6F04BC11" w14:textId="5BA42D68" w:rsidR="006619D8" w:rsidRPr="009259F9" w:rsidRDefault="006619D8" w:rsidP="006619D8">
            <w:pPr>
              <w:spacing w:after="0" w:line="240" w:lineRule="auto"/>
              <w:jc w:val="both"/>
              <w:rPr>
                <w:rFonts w:eastAsia="Times New Roman"/>
                <w:b/>
                <w:bCs/>
                <w:color w:val="000000"/>
                <w:sz w:val="20"/>
                <w:szCs w:val="20"/>
                <w:lang w:val="en-GB" w:eastAsia="el-GR"/>
              </w:rPr>
            </w:pPr>
            <w:r w:rsidRPr="008B7319">
              <w:rPr>
                <w:rFonts w:eastAsia="Times New Roman"/>
                <w:b/>
                <w:bCs/>
                <w:color w:val="000000"/>
                <w:sz w:val="20"/>
                <w:szCs w:val="20"/>
                <w:lang w:eastAsia="el-GR"/>
              </w:rPr>
              <w:t>Μικτό κέρδος</w:t>
            </w:r>
          </w:p>
        </w:tc>
        <w:tc>
          <w:tcPr>
            <w:tcW w:w="1030" w:type="dxa"/>
            <w:tcBorders>
              <w:top w:val="single" w:sz="4" w:space="0" w:color="auto"/>
              <w:left w:val="nil"/>
              <w:bottom w:val="single" w:sz="4" w:space="0" w:color="auto"/>
              <w:right w:val="nil"/>
            </w:tcBorders>
            <w:shd w:val="clear" w:color="auto" w:fill="E2EFD9"/>
            <w:noWrap/>
            <w:vAlign w:val="center"/>
          </w:tcPr>
          <w:p w14:paraId="23AFD35C" w14:textId="45D089F8"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60.361</w:t>
            </w:r>
          </w:p>
        </w:tc>
        <w:tc>
          <w:tcPr>
            <w:tcW w:w="1030" w:type="dxa"/>
            <w:tcBorders>
              <w:top w:val="single" w:sz="4" w:space="0" w:color="auto"/>
              <w:left w:val="nil"/>
              <w:bottom w:val="single" w:sz="4" w:space="0" w:color="auto"/>
              <w:right w:val="nil"/>
            </w:tcBorders>
            <w:shd w:val="clear" w:color="000000" w:fill="FFFFFF"/>
            <w:noWrap/>
            <w:vAlign w:val="center"/>
          </w:tcPr>
          <w:p w14:paraId="2B4C3B94" w14:textId="678B7507"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50.506</w:t>
            </w:r>
          </w:p>
        </w:tc>
        <w:tc>
          <w:tcPr>
            <w:tcW w:w="1030" w:type="dxa"/>
            <w:tcBorders>
              <w:top w:val="single" w:sz="4" w:space="0" w:color="auto"/>
              <w:left w:val="nil"/>
              <w:bottom w:val="single" w:sz="4" w:space="0" w:color="auto"/>
              <w:right w:val="nil"/>
            </w:tcBorders>
            <w:shd w:val="clear" w:color="auto" w:fill="E2EFD9"/>
            <w:noWrap/>
            <w:vAlign w:val="center"/>
          </w:tcPr>
          <w:p w14:paraId="2696575D" w14:textId="0D11E1EE"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31.319</w:t>
            </w:r>
          </w:p>
        </w:tc>
        <w:tc>
          <w:tcPr>
            <w:tcW w:w="1030" w:type="dxa"/>
            <w:tcBorders>
              <w:top w:val="single" w:sz="4" w:space="0" w:color="auto"/>
              <w:left w:val="nil"/>
              <w:bottom w:val="single" w:sz="4" w:space="0" w:color="auto"/>
              <w:right w:val="nil"/>
            </w:tcBorders>
            <w:shd w:val="clear" w:color="000000" w:fill="FFFFFF"/>
            <w:noWrap/>
            <w:vAlign w:val="center"/>
          </w:tcPr>
          <w:p w14:paraId="70A23FE8" w14:textId="0101A07B"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4.434</w:t>
            </w:r>
          </w:p>
        </w:tc>
        <w:tc>
          <w:tcPr>
            <w:tcW w:w="983" w:type="dxa"/>
            <w:tcBorders>
              <w:top w:val="single" w:sz="4" w:space="0" w:color="auto"/>
              <w:left w:val="nil"/>
              <w:bottom w:val="single" w:sz="4" w:space="0" w:color="auto"/>
              <w:right w:val="nil"/>
            </w:tcBorders>
            <w:shd w:val="clear" w:color="auto" w:fill="E2EFD9"/>
            <w:noWrap/>
            <w:vAlign w:val="center"/>
          </w:tcPr>
          <w:p w14:paraId="1B7A9F2B" w14:textId="03F2E8EC" w:rsidR="006619D8" w:rsidRPr="0093388C" w:rsidRDefault="006619D8" w:rsidP="006619D8">
            <w:pPr>
              <w:spacing w:after="0" w:line="240" w:lineRule="auto"/>
              <w:jc w:val="right"/>
              <w:rPr>
                <w:rFonts w:cs="Calibri"/>
                <w:color w:val="000000"/>
                <w:sz w:val="20"/>
                <w:szCs w:val="20"/>
                <w:lang w:val="en-US"/>
              </w:rPr>
            </w:pPr>
            <w:r>
              <w:rPr>
                <w:rFonts w:cs="Calibri"/>
                <w:color w:val="000000"/>
                <w:sz w:val="20"/>
                <w:szCs w:val="20"/>
                <w:lang w:val="en-US"/>
              </w:rPr>
              <w:t>-</w:t>
            </w:r>
            <w:r>
              <w:rPr>
                <w:rFonts w:cs="Calibri"/>
                <w:color w:val="000000"/>
                <w:sz w:val="20"/>
                <w:szCs w:val="20"/>
              </w:rPr>
              <w:t> </w:t>
            </w:r>
          </w:p>
        </w:tc>
        <w:tc>
          <w:tcPr>
            <w:tcW w:w="992" w:type="dxa"/>
            <w:tcBorders>
              <w:top w:val="single" w:sz="4" w:space="0" w:color="auto"/>
              <w:left w:val="nil"/>
              <w:bottom w:val="single" w:sz="4" w:space="0" w:color="auto"/>
              <w:right w:val="nil"/>
            </w:tcBorders>
            <w:shd w:val="clear" w:color="000000" w:fill="FFFFFF"/>
            <w:noWrap/>
            <w:vAlign w:val="center"/>
          </w:tcPr>
          <w:p w14:paraId="4A390013" w14:textId="18DE53AB"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lang w:val="en-US"/>
              </w:rPr>
              <w:t>-</w:t>
            </w:r>
            <w:r>
              <w:rPr>
                <w:rFonts w:cs="Calibri"/>
                <w:color w:val="000000"/>
                <w:sz w:val="20"/>
                <w:szCs w:val="20"/>
              </w:rPr>
              <w:t> </w:t>
            </w:r>
          </w:p>
        </w:tc>
        <w:tc>
          <w:tcPr>
            <w:tcW w:w="992" w:type="dxa"/>
            <w:tcBorders>
              <w:top w:val="single" w:sz="4" w:space="0" w:color="auto"/>
              <w:left w:val="nil"/>
              <w:bottom w:val="single" w:sz="4" w:space="0" w:color="auto"/>
              <w:right w:val="nil"/>
            </w:tcBorders>
            <w:shd w:val="clear" w:color="auto" w:fill="E2EFD9"/>
            <w:noWrap/>
            <w:vAlign w:val="center"/>
          </w:tcPr>
          <w:p w14:paraId="07C4AF60" w14:textId="724242A5"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91.681</w:t>
            </w:r>
          </w:p>
        </w:tc>
        <w:tc>
          <w:tcPr>
            <w:tcW w:w="1154" w:type="dxa"/>
            <w:tcBorders>
              <w:top w:val="single" w:sz="4" w:space="0" w:color="auto"/>
              <w:left w:val="nil"/>
              <w:bottom w:val="single" w:sz="4" w:space="0" w:color="auto"/>
              <w:right w:val="nil"/>
            </w:tcBorders>
            <w:shd w:val="clear" w:color="000000" w:fill="FFFFFF"/>
            <w:noWrap/>
            <w:vAlign w:val="center"/>
          </w:tcPr>
          <w:p w14:paraId="1F889A84" w14:textId="711FB5CE"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54.940</w:t>
            </w:r>
          </w:p>
        </w:tc>
      </w:tr>
      <w:tr w:rsidR="006619D8" w:rsidRPr="009259F9" w14:paraId="5F63FCF9" w14:textId="77777777" w:rsidTr="006619D8">
        <w:trPr>
          <w:trHeight w:val="300"/>
        </w:trPr>
        <w:tc>
          <w:tcPr>
            <w:tcW w:w="2829" w:type="dxa"/>
            <w:tcBorders>
              <w:top w:val="nil"/>
              <w:left w:val="nil"/>
              <w:bottom w:val="nil"/>
              <w:right w:val="nil"/>
            </w:tcBorders>
            <w:shd w:val="clear" w:color="000000" w:fill="FFFFFF"/>
            <w:vAlign w:val="center"/>
          </w:tcPr>
          <w:p w14:paraId="4ED91030" w14:textId="446ED8CE" w:rsidR="006619D8" w:rsidRPr="009259F9" w:rsidRDefault="006619D8" w:rsidP="006619D8">
            <w:pPr>
              <w:spacing w:after="0" w:line="240" w:lineRule="auto"/>
              <w:jc w:val="both"/>
              <w:rPr>
                <w:rFonts w:eastAsia="Times New Roman"/>
                <w:b/>
                <w:bCs/>
                <w:color w:val="000000"/>
                <w:sz w:val="20"/>
                <w:szCs w:val="20"/>
                <w:lang w:val="en-GB" w:eastAsia="el-GR"/>
              </w:rPr>
            </w:pPr>
            <w:r w:rsidRPr="008B7319">
              <w:rPr>
                <w:rFonts w:eastAsia="Times New Roman"/>
                <w:b/>
                <w:bCs/>
                <w:color w:val="000000"/>
                <w:sz w:val="20"/>
                <w:szCs w:val="20"/>
                <w:lang w:eastAsia="el-GR"/>
              </w:rPr>
              <w:t>Λειτουργικά κέρδη / (ζημιές)</w:t>
            </w:r>
          </w:p>
        </w:tc>
        <w:tc>
          <w:tcPr>
            <w:tcW w:w="1030" w:type="dxa"/>
            <w:tcBorders>
              <w:top w:val="single" w:sz="4" w:space="0" w:color="auto"/>
              <w:left w:val="nil"/>
              <w:bottom w:val="single" w:sz="4" w:space="0" w:color="auto"/>
              <w:right w:val="nil"/>
            </w:tcBorders>
            <w:shd w:val="clear" w:color="auto" w:fill="E2EFD9"/>
            <w:noWrap/>
            <w:vAlign w:val="center"/>
          </w:tcPr>
          <w:p w14:paraId="784ED235" w14:textId="41008401"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42.839</w:t>
            </w:r>
          </w:p>
        </w:tc>
        <w:tc>
          <w:tcPr>
            <w:tcW w:w="1030" w:type="dxa"/>
            <w:tcBorders>
              <w:top w:val="single" w:sz="4" w:space="0" w:color="auto"/>
              <w:left w:val="nil"/>
              <w:bottom w:val="single" w:sz="4" w:space="0" w:color="auto"/>
              <w:right w:val="nil"/>
            </w:tcBorders>
            <w:shd w:val="clear" w:color="000000" w:fill="FFFFFF"/>
            <w:noWrap/>
            <w:vAlign w:val="center"/>
          </w:tcPr>
          <w:p w14:paraId="02E3341E" w14:textId="4195787D"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36.046</w:t>
            </w:r>
          </w:p>
        </w:tc>
        <w:tc>
          <w:tcPr>
            <w:tcW w:w="1030" w:type="dxa"/>
            <w:tcBorders>
              <w:top w:val="single" w:sz="4" w:space="0" w:color="auto"/>
              <w:left w:val="nil"/>
              <w:bottom w:val="single" w:sz="4" w:space="0" w:color="auto"/>
              <w:right w:val="nil"/>
            </w:tcBorders>
            <w:shd w:val="clear" w:color="auto" w:fill="E2EFD9"/>
            <w:noWrap/>
            <w:vAlign w:val="center"/>
          </w:tcPr>
          <w:p w14:paraId="615315EC" w14:textId="04D4AB1C"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22.549</w:t>
            </w:r>
          </w:p>
        </w:tc>
        <w:tc>
          <w:tcPr>
            <w:tcW w:w="1030" w:type="dxa"/>
            <w:tcBorders>
              <w:top w:val="single" w:sz="4" w:space="0" w:color="auto"/>
              <w:left w:val="nil"/>
              <w:bottom w:val="single" w:sz="4" w:space="0" w:color="auto"/>
              <w:right w:val="nil"/>
            </w:tcBorders>
            <w:shd w:val="clear" w:color="000000" w:fill="FFFFFF"/>
            <w:noWrap/>
            <w:vAlign w:val="center"/>
          </w:tcPr>
          <w:p w14:paraId="4B7CF353" w14:textId="5249DF74"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(1.703)</w:t>
            </w:r>
          </w:p>
        </w:tc>
        <w:tc>
          <w:tcPr>
            <w:tcW w:w="983" w:type="dxa"/>
            <w:tcBorders>
              <w:top w:val="single" w:sz="4" w:space="0" w:color="auto"/>
              <w:left w:val="nil"/>
              <w:bottom w:val="single" w:sz="4" w:space="0" w:color="auto"/>
              <w:right w:val="nil"/>
            </w:tcBorders>
            <w:shd w:val="clear" w:color="auto" w:fill="E2EFD9"/>
            <w:noWrap/>
            <w:vAlign w:val="center"/>
          </w:tcPr>
          <w:p w14:paraId="138F99E9" w14:textId="79732AC4"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(1.122)</w:t>
            </w:r>
          </w:p>
        </w:tc>
        <w:tc>
          <w:tcPr>
            <w:tcW w:w="992" w:type="dxa"/>
            <w:tcBorders>
              <w:top w:val="single" w:sz="4" w:space="0" w:color="auto"/>
              <w:left w:val="nil"/>
              <w:bottom w:val="single" w:sz="4" w:space="0" w:color="auto"/>
              <w:right w:val="nil"/>
            </w:tcBorders>
            <w:shd w:val="clear" w:color="000000" w:fill="FFFFFF"/>
            <w:noWrap/>
            <w:vAlign w:val="center"/>
          </w:tcPr>
          <w:p w14:paraId="0710428F" w14:textId="78C9FE64"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(1.004)</w:t>
            </w:r>
          </w:p>
        </w:tc>
        <w:tc>
          <w:tcPr>
            <w:tcW w:w="992" w:type="dxa"/>
            <w:tcBorders>
              <w:top w:val="single" w:sz="4" w:space="0" w:color="auto"/>
              <w:left w:val="nil"/>
              <w:bottom w:val="single" w:sz="4" w:space="0" w:color="auto"/>
              <w:right w:val="nil"/>
            </w:tcBorders>
            <w:shd w:val="clear" w:color="auto" w:fill="E2EFD9"/>
            <w:noWrap/>
            <w:vAlign w:val="center"/>
          </w:tcPr>
          <w:p w14:paraId="15D6234C" w14:textId="12D5641F"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64.266</w:t>
            </w:r>
          </w:p>
        </w:tc>
        <w:tc>
          <w:tcPr>
            <w:tcW w:w="1154" w:type="dxa"/>
            <w:tcBorders>
              <w:top w:val="single" w:sz="4" w:space="0" w:color="auto"/>
              <w:left w:val="nil"/>
              <w:bottom w:val="single" w:sz="4" w:space="0" w:color="auto"/>
              <w:right w:val="nil"/>
            </w:tcBorders>
            <w:shd w:val="clear" w:color="000000" w:fill="FFFFFF"/>
            <w:noWrap/>
            <w:vAlign w:val="center"/>
          </w:tcPr>
          <w:p w14:paraId="5314C8B0" w14:textId="76020804"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33.339</w:t>
            </w:r>
          </w:p>
        </w:tc>
      </w:tr>
      <w:tr w:rsidR="006619D8" w:rsidRPr="009259F9" w14:paraId="30E1FFB0" w14:textId="77777777" w:rsidTr="006619D8">
        <w:trPr>
          <w:trHeight w:val="300"/>
        </w:trPr>
        <w:tc>
          <w:tcPr>
            <w:tcW w:w="2829" w:type="dxa"/>
            <w:tcBorders>
              <w:top w:val="nil"/>
              <w:left w:val="nil"/>
              <w:bottom w:val="nil"/>
              <w:right w:val="nil"/>
            </w:tcBorders>
            <w:shd w:val="clear" w:color="000000" w:fill="FFFFFF"/>
            <w:vAlign w:val="center"/>
          </w:tcPr>
          <w:p w14:paraId="19ECD206" w14:textId="6B80317F" w:rsidR="006619D8" w:rsidRPr="009259F9" w:rsidRDefault="006619D8" w:rsidP="006619D8">
            <w:pPr>
              <w:spacing w:after="0" w:line="240" w:lineRule="auto"/>
              <w:jc w:val="both"/>
              <w:rPr>
                <w:rFonts w:eastAsia="Times New Roman"/>
                <w:color w:val="000000"/>
                <w:sz w:val="20"/>
                <w:szCs w:val="20"/>
                <w:lang w:val="en-GB" w:eastAsia="el-GR"/>
              </w:rPr>
            </w:pPr>
            <w:r w:rsidRPr="008B7319">
              <w:rPr>
                <w:color w:val="000000"/>
                <w:sz w:val="20"/>
                <w:szCs w:val="20"/>
              </w:rPr>
              <w:t>Χρηματοοικονομικά έσοδα</w:t>
            </w:r>
          </w:p>
        </w:tc>
        <w:tc>
          <w:tcPr>
            <w:tcW w:w="1030" w:type="dxa"/>
            <w:tcBorders>
              <w:top w:val="single" w:sz="4" w:space="0" w:color="auto"/>
              <w:left w:val="nil"/>
              <w:bottom w:val="nil"/>
              <w:right w:val="nil"/>
            </w:tcBorders>
            <w:shd w:val="clear" w:color="auto" w:fill="E2EFD9"/>
            <w:noWrap/>
            <w:vAlign w:val="center"/>
          </w:tcPr>
          <w:p w14:paraId="2D41E36F" w14:textId="1D8A764A"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284</w:t>
            </w:r>
          </w:p>
        </w:tc>
        <w:tc>
          <w:tcPr>
            <w:tcW w:w="1030" w:type="dxa"/>
            <w:tcBorders>
              <w:top w:val="single" w:sz="4" w:space="0" w:color="auto"/>
              <w:left w:val="nil"/>
              <w:bottom w:val="nil"/>
              <w:right w:val="nil"/>
            </w:tcBorders>
            <w:shd w:val="clear" w:color="000000" w:fill="FFFFFF"/>
            <w:noWrap/>
            <w:vAlign w:val="center"/>
          </w:tcPr>
          <w:p w14:paraId="53BED617" w14:textId="6F19C865"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232</w:t>
            </w:r>
          </w:p>
        </w:tc>
        <w:tc>
          <w:tcPr>
            <w:tcW w:w="1030" w:type="dxa"/>
            <w:tcBorders>
              <w:top w:val="single" w:sz="4" w:space="0" w:color="auto"/>
              <w:left w:val="nil"/>
              <w:bottom w:val="nil"/>
              <w:right w:val="nil"/>
            </w:tcBorders>
            <w:shd w:val="clear" w:color="auto" w:fill="E2EFD9"/>
            <w:noWrap/>
            <w:vAlign w:val="center"/>
          </w:tcPr>
          <w:p w14:paraId="5B28161B" w14:textId="19DB8D16"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101</w:t>
            </w:r>
          </w:p>
        </w:tc>
        <w:tc>
          <w:tcPr>
            <w:tcW w:w="1030" w:type="dxa"/>
            <w:tcBorders>
              <w:top w:val="single" w:sz="4" w:space="0" w:color="auto"/>
              <w:left w:val="nil"/>
              <w:bottom w:val="nil"/>
              <w:right w:val="nil"/>
            </w:tcBorders>
            <w:shd w:val="clear" w:color="000000" w:fill="FFFFFF"/>
            <w:noWrap/>
            <w:vAlign w:val="center"/>
          </w:tcPr>
          <w:p w14:paraId="2BE4FD46" w14:textId="698AAB03"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8</w:t>
            </w:r>
          </w:p>
        </w:tc>
        <w:tc>
          <w:tcPr>
            <w:tcW w:w="983" w:type="dxa"/>
            <w:tcBorders>
              <w:top w:val="single" w:sz="4" w:space="0" w:color="auto"/>
              <w:left w:val="nil"/>
              <w:bottom w:val="nil"/>
              <w:right w:val="nil"/>
            </w:tcBorders>
            <w:shd w:val="clear" w:color="auto" w:fill="E2EFD9"/>
            <w:noWrap/>
            <w:vAlign w:val="center"/>
          </w:tcPr>
          <w:p w14:paraId="0AD53CC0" w14:textId="3C77AF1B"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82</w:t>
            </w:r>
          </w:p>
        </w:tc>
        <w:tc>
          <w:tcPr>
            <w:tcW w:w="992" w:type="dxa"/>
            <w:tcBorders>
              <w:top w:val="single" w:sz="4" w:space="0" w:color="auto"/>
              <w:left w:val="nil"/>
              <w:bottom w:val="nil"/>
              <w:right w:val="nil"/>
            </w:tcBorders>
            <w:shd w:val="clear" w:color="000000" w:fill="FFFFFF"/>
            <w:noWrap/>
            <w:vAlign w:val="center"/>
          </w:tcPr>
          <w:p w14:paraId="31884ED1" w14:textId="596F6A1B"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47</w:t>
            </w:r>
          </w:p>
        </w:tc>
        <w:tc>
          <w:tcPr>
            <w:tcW w:w="992" w:type="dxa"/>
            <w:tcBorders>
              <w:top w:val="single" w:sz="4" w:space="0" w:color="auto"/>
              <w:left w:val="nil"/>
              <w:bottom w:val="nil"/>
              <w:right w:val="nil"/>
            </w:tcBorders>
            <w:shd w:val="clear" w:color="auto" w:fill="E2EFD9"/>
            <w:noWrap/>
            <w:vAlign w:val="center"/>
          </w:tcPr>
          <w:p w14:paraId="55448330" w14:textId="028FF6A5"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467</w:t>
            </w:r>
          </w:p>
        </w:tc>
        <w:tc>
          <w:tcPr>
            <w:tcW w:w="1154" w:type="dxa"/>
            <w:tcBorders>
              <w:top w:val="single" w:sz="4" w:space="0" w:color="auto"/>
              <w:left w:val="nil"/>
              <w:bottom w:val="nil"/>
              <w:right w:val="nil"/>
            </w:tcBorders>
            <w:shd w:val="clear" w:color="000000" w:fill="FFFFFF"/>
            <w:noWrap/>
            <w:vAlign w:val="center"/>
          </w:tcPr>
          <w:p w14:paraId="4069AB6B" w14:textId="59F44BC7"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287</w:t>
            </w:r>
          </w:p>
        </w:tc>
      </w:tr>
      <w:tr w:rsidR="006619D8" w:rsidRPr="009259F9" w14:paraId="6C9B5D64" w14:textId="77777777" w:rsidTr="006619D8">
        <w:trPr>
          <w:trHeight w:val="300"/>
        </w:trPr>
        <w:tc>
          <w:tcPr>
            <w:tcW w:w="2829" w:type="dxa"/>
            <w:tcBorders>
              <w:top w:val="nil"/>
              <w:left w:val="nil"/>
              <w:bottom w:val="nil"/>
              <w:right w:val="nil"/>
            </w:tcBorders>
            <w:shd w:val="clear" w:color="000000" w:fill="FFFFFF"/>
            <w:vAlign w:val="center"/>
          </w:tcPr>
          <w:p w14:paraId="691AD847" w14:textId="2FF7CD19" w:rsidR="006619D8" w:rsidRPr="009259F9" w:rsidRDefault="006619D8" w:rsidP="006619D8">
            <w:pPr>
              <w:spacing w:after="0" w:line="240" w:lineRule="auto"/>
              <w:jc w:val="both"/>
              <w:rPr>
                <w:rFonts w:eastAsia="Times New Roman"/>
                <w:color w:val="000000"/>
                <w:sz w:val="20"/>
                <w:szCs w:val="20"/>
                <w:lang w:val="en-GB" w:eastAsia="el-GR"/>
              </w:rPr>
            </w:pPr>
            <w:r w:rsidRPr="008B7319">
              <w:rPr>
                <w:color w:val="000000"/>
                <w:sz w:val="20"/>
                <w:szCs w:val="20"/>
              </w:rPr>
              <w:t>Χρηματοοικονομικά έξοδα</w:t>
            </w:r>
          </w:p>
        </w:tc>
        <w:tc>
          <w:tcPr>
            <w:tcW w:w="1030" w:type="dxa"/>
            <w:tcBorders>
              <w:top w:val="nil"/>
              <w:left w:val="nil"/>
              <w:bottom w:val="nil"/>
              <w:right w:val="nil"/>
            </w:tcBorders>
            <w:shd w:val="clear" w:color="auto" w:fill="E2EFD9"/>
            <w:noWrap/>
            <w:vAlign w:val="center"/>
          </w:tcPr>
          <w:p w14:paraId="45E817B9" w14:textId="121C297D"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(21.822)</w:t>
            </w:r>
          </w:p>
        </w:tc>
        <w:tc>
          <w:tcPr>
            <w:tcW w:w="1030" w:type="dxa"/>
            <w:tcBorders>
              <w:top w:val="nil"/>
              <w:left w:val="nil"/>
              <w:bottom w:val="nil"/>
              <w:right w:val="nil"/>
            </w:tcBorders>
            <w:shd w:val="clear" w:color="000000" w:fill="FFFFFF"/>
            <w:noWrap/>
            <w:vAlign w:val="center"/>
          </w:tcPr>
          <w:p w14:paraId="73E2FEAD" w14:textId="3C823848"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(11.004)</w:t>
            </w:r>
          </w:p>
        </w:tc>
        <w:tc>
          <w:tcPr>
            <w:tcW w:w="1030" w:type="dxa"/>
            <w:tcBorders>
              <w:top w:val="nil"/>
              <w:left w:val="nil"/>
              <w:bottom w:val="nil"/>
              <w:right w:val="nil"/>
            </w:tcBorders>
            <w:shd w:val="clear" w:color="auto" w:fill="E2EFD9"/>
            <w:noWrap/>
            <w:vAlign w:val="center"/>
          </w:tcPr>
          <w:p w14:paraId="66513752" w14:textId="5EF680D2"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(12.537)</w:t>
            </w:r>
          </w:p>
        </w:tc>
        <w:tc>
          <w:tcPr>
            <w:tcW w:w="1030" w:type="dxa"/>
            <w:tcBorders>
              <w:top w:val="nil"/>
              <w:left w:val="nil"/>
              <w:bottom w:val="nil"/>
              <w:right w:val="nil"/>
            </w:tcBorders>
            <w:shd w:val="clear" w:color="000000" w:fill="FFFFFF"/>
            <w:noWrap/>
            <w:vAlign w:val="center"/>
          </w:tcPr>
          <w:p w14:paraId="54C42406" w14:textId="1D16CE7F"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(3.710)</w:t>
            </w:r>
          </w:p>
        </w:tc>
        <w:tc>
          <w:tcPr>
            <w:tcW w:w="983" w:type="dxa"/>
            <w:tcBorders>
              <w:top w:val="nil"/>
              <w:left w:val="nil"/>
              <w:bottom w:val="nil"/>
              <w:right w:val="nil"/>
            </w:tcBorders>
            <w:shd w:val="clear" w:color="auto" w:fill="E2EFD9"/>
            <w:noWrap/>
            <w:vAlign w:val="center"/>
          </w:tcPr>
          <w:p w14:paraId="03A6CEDA" w14:textId="5456A708"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w:t>
            </w:r>
          </w:p>
        </w:tc>
        <w:tc>
          <w:tcPr>
            <w:tcW w:w="992" w:type="dxa"/>
            <w:tcBorders>
              <w:top w:val="nil"/>
              <w:left w:val="nil"/>
              <w:bottom w:val="nil"/>
              <w:right w:val="nil"/>
            </w:tcBorders>
            <w:shd w:val="clear" w:color="000000" w:fill="FFFFFF"/>
            <w:noWrap/>
            <w:vAlign w:val="center"/>
          </w:tcPr>
          <w:p w14:paraId="315A3E6A" w14:textId="5006A48F"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w:t>
            </w:r>
          </w:p>
        </w:tc>
        <w:tc>
          <w:tcPr>
            <w:tcW w:w="992" w:type="dxa"/>
            <w:tcBorders>
              <w:top w:val="nil"/>
              <w:left w:val="nil"/>
              <w:bottom w:val="nil"/>
              <w:right w:val="nil"/>
            </w:tcBorders>
            <w:shd w:val="clear" w:color="auto" w:fill="E2EFD9"/>
            <w:noWrap/>
            <w:vAlign w:val="center"/>
          </w:tcPr>
          <w:p w14:paraId="6E192B57" w14:textId="0AFD9F1D"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(34.361)</w:t>
            </w:r>
          </w:p>
        </w:tc>
        <w:tc>
          <w:tcPr>
            <w:tcW w:w="1154" w:type="dxa"/>
            <w:tcBorders>
              <w:top w:val="nil"/>
              <w:left w:val="nil"/>
              <w:bottom w:val="nil"/>
              <w:right w:val="nil"/>
            </w:tcBorders>
            <w:shd w:val="clear" w:color="000000" w:fill="FFFFFF"/>
            <w:noWrap/>
            <w:vAlign w:val="center"/>
          </w:tcPr>
          <w:p w14:paraId="56A0A9B5" w14:textId="7B79B601"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(14.716)</w:t>
            </w:r>
          </w:p>
        </w:tc>
      </w:tr>
      <w:tr w:rsidR="006619D8" w:rsidRPr="009259F9" w14:paraId="6ACCE733" w14:textId="77777777" w:rsidTr="006619D8">
        <w:trPr>
          <w:trHeight w:val="300"/>
        </w:trPr>
        <w:tc>
          <w:tcPr>
            <w:tcW w:w="2829" w:type="dxa"/>
            <w:tcBorders>
              <w:top w:val="nil"/>
              <w:left w:val="nil"/>
              <w:bottom w:val="nil"/>
              <w:right w:val="nil"/>
            </w:tcBorders>
            <w:shd w:val="clear" w:color="000000" w:fill="FFFFFF"/>
            <w:vAlign w:val="center"/>
          </w:tcPr>
          <w:p w14:paraId="1F5AC0F6" w14:textId="50840A94" w:rsidR="006619D8" w:rsidRPr="006619D8" w:rsidRDefault="006619D8" w:rsidP="006619D8">
            <w:pPr>
              <w:spacing w:after="0" w:line="240" w:lineRule="auto"/>
              <w:jc w:val="both"/>
              <w:rPr>
                <w:rFonts w:eastAsia="Times New Roman"/>
                <w:color w:val="000000"/>
                <w:sz w:val="20"/>
                <w:szCs w:val="20"/>
                <w:lang w:eastAsia="el-GR"/>
              </w:rPr>
            </w:pPr>
            <w:r w:rsidRPr="008B7319">
              <w:rPr>
                <w:color w:val="000000"/>
                <w:sz w:val="20"/>
                <w:szCs w:val="20"/>
              </w:rPr>
              <w:t xml:space="preserve">Κέρδη </w:t>
            </w:r>
            <w:r>
              <w:rPr>
                <w:color w:val="000000"/>
                <w:sz w:val="20"/>
                <w:szCs w:val="20"/>
              </w:rPr>
              <w:t xml:space="preserve">/ </w:t>
            </w:r>
            <w:r w:rsidRPr="008B7319">
              <w:rPr>
                <w:color w:val="000000"/>
                <w:sz w:val="20"/>
                <w:szCs w:val="20"/>
              </w:rPr>
              <w:t>(ζημιές)</w:t>
            </w:r>
            <w:r>
              <w:rPr>
                <w:color w:val="000000"/>
                <w:sz w:val="20"/>
                <w:szCs w:val="20"/>
              </w:rPr>
              <w:t xml:space="preserve"> </w:t>
            </w:r>
            <w:r w:rsidRPr="008B7319">
              <w:rPr>
                <w:color w:val="000000"/>
                <w:sz w:val="20"/>
                <w:szCs w:val="20"/>
              </w:rPr>
              <w:t>από συγγενείς επιχειρήσεις, καθαρά από φόρους</w:t>
            </w:r>
          </w:p>
        </w:tc>
        <w:tc>
          <w:tcPr>
            <w:tcW w:w="1030" w:type="dxa"/>
            <w:tcBorders>
              <w:top w:val="nil"/>
              <w:left w:val="nil"/>
              <w:bottom w:val="nil"/>
              <w:right w:val="nil"/>
            </w:tcBorders>
            <w:shd w:val="clear" w:color="auto" w:fill="E2EFD9"/>
            <w:noWrap/>
            <w:vAlign w:val="center"/>
          </w:tcPr>
          <w:p w14:paraId="77A96C1D" w14:textId="4134DA5D"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lang w:val="en-US"/>
              </w:rPr>
              <w:t>-</w:t>
            </w:r>
            <w:r>
              <w:rPr>
                <w:rFonts w:cs="Calibri"/>
                <w:color w:val="000000"/>
                <w:sz w:val="20"/>
                <w:szCs w:val="20"/>
              </w:rPr>
              <w:t> </w:t>
            </w:r>
          </w:p>
        </w:tc>
        <w:tc>
          <w:tcPr>
            <w:tcW w:w="1030" w:type="dxa"/>
            <w:tcBorders>
              <w:top w:val="nil"/>
              <w:left w:val="nil"/>
              <w:bottom w:val="nil"/>
              <w:right w:val="nil"/>
            </w:tcBorders>
            <w:shd w:val="clear" w:color="000000" w:fill="FFFFFF"/>
            <w:noWrap/>
            <w:vAlign w:val="center"/>
          </w:tcPr>
          <w:p w14:paraId="39A59111" w14:textId="23A9FAA7" w:rsidR="006619D8" w:rsidRPr="00761F27" w:rsidRDefault="006619D8" w:rsidP="006619D8">
            <w:pPr>
              <w:spacing w:after="0" w:line="240" w:lineRule="auto"/>
              <w:jc w:val="right"/>
              <w:rPr>
                <w:rFonts w:cs="Calibri"/>
                <w:color w:val="000000"/>
                <w:sz w:val="20"/>
                <w:szCs w:val="20"/>
                <w:lang w:val="en-ZA"/>
              </w:rPr>
            </w:pPr>
            <w:r>
              <w:rPr>
                <w:rFonts w:cs="Calibri"/>
                <w:color w:val="000000"/>
                <w:sz w:val="20"/>
                <w:szCs w:val="20"/>
                <w:lang w:val="en-US"/>
              </w:rPr>
              <w:t>-</w:t>
            </w:r>
            <w:r>
              <w:rPr>
                <w:rFonts w:cs="Calibri"/>
                <w:color w:val="000000"/>
                <w:sz w:val="20"/>
                <w:szCs w:val="20"/>
              </w:rPr>
              <w:t> </w:t>
            </w:r>
          </w:p>
        </w:tc>
        <w:tc>
          <w:tcPr>
            <w:tcW w:w="1030" w:type="dxa"/>
            <w:tcBorders>
              <w:top w:val="nil"/>
              <w:left w:val="nil"/>
              <w:bottom w:val="nil"/>
              <w:right w:val="nil"/>
            </w:tcBorders>
            <w:shd w:val="clear" w:color="auto" w:fill="E2EFD9"/>
            <w:noWrap/>
            <w:vAlign w:val="center"/>
          </w:tcPr>
          <w:p w14:paraId="1FBB0ED2" w14:textId="51978B6F"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(268)</w:t>
            </w:r>
          </w:p>
        </w:tc>
        <w:tc>
          <w:tcPr>
            <w:tcW w:w="1030" w:type="dxa"/>
            <w:tcBorders>
              <w:top w:val="nil"/>
              <w:left w:val="nil"/>
              <w:bottom w:val="nil"/>
              <w:right w:val="nil"/>
            </w:tcBorders>
            <w:shd w:val="clear" w:color="000000" w:fill="FFFFFF"/>
            <w:noWrap/>
            <w:vAlign w:val="center"/>
          </w:tcPr>
          <w:p w14:paraId="6634595D" w14:textId="7A3363BA"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1.206</w:t>
            </w:r>
          </w:p>
        </w:tc>
        <w:tc>
          <w:tcPr>
            <w:tcW w:w="983" w:type="dxa"/>
            <w:tcBorders>
              <w:top w:val="nil"/>
              <w:left w:val="nil"/>
              <w:bottom w:val="nil"/>
              <w:right w:val="nil"/>
            </w:tcBorders>
            <w:shd w:val="clear" w:color="auto" w:fill="E2EFD9"/>
            <w:noWrap/>
            <w:vAlign w:val="center"/>
          </w:tcPr>
          <w:p w14:paraId="01554524" w14:textId="0EC1CA14"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749</w:t>
            </w:r>
          </w:p>
        </w:tc>
        <w:tc>
          <w:tcPr>
            <w:tcW w:w="992" w:type="dxa"/>
            <w:tcBorders>
              <w:top w:val="nil"/>
              <w:left w:val="nil"/>
              <w:bottom w:val="nil"/>
              <w:right w:val="nil"/>
            </w:tcBorders>
            <w:shd w:val="clear" w:color="000000" w:fill="FFFFFF"/>
            <w:noWrap/>
            <w:vAlign w:val="center"/>
          </w:tcPr>
          <w:p w14:paraId="3F4A2F53" w14:textId="49C3D94B"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1.065</w:t>
            </w:r>
          </w:p>
        </w:tc>
        <w:tc>
          <w:tcPr>
            <w:tcW w:w="992" w:type="dxa"/>
            <w:tcBorders>
              <w:top w:val="nil"/>
              <w:left w:val="nil"/>
              <w:bottom w:val="nil"/>
              <w:right w:val="nil"/>
            </w:tcBorders>
            <w:shd w:val="clear" w:color="auto" w:fill="E2EFD9"/>
            <w:noWrap/>
            <w:vAlign w:val="center"/>
          </w:tcPr>
          <w:p w14:paraId="1C06544E" w14:textId="559B4E76"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480</w:t>
            </w:r>
          </w:p>
        </w:tc>
        <w:tc>
          <w:tcPr>
            <w:tcW w:w="1154" w:type="dxa"/>
            <w:tcBorders>
              <w:top w:val="nil"/>
              <w:left w:val="nil"/>
              <w:bottom w:val="nil"/>
              <w:right w:val="nil"/>
            </w:tcBorders>
            <w:shd w:val="clear" w:color="000000" w:fill="FFFFFF"/>
            <w:noWrap/>
            <w:vAlign w:val="center"/>
          </w:tcPr>
          <w:p w14:paraId="39DCE869" w14:textId="70FDE519"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2.271</w:t>
            </w:r>
          </w:p>
        </w:tc>
      </w:tr>
      <w:tr w:rsidR="006619D8" w:rsidRPr="009259F9" w14:paraId="010934C1" w14:textId="77777777" w:rsidTr="006619D8">
        <w:trPr>
          <w:trHeight w:val="300"/>
        </w:trPr>
        <w:tc>
          <w:tcPr>
            <w:tcW w:w="2829" w:type="dxa"/>
            <w:tcBorders>
              <w:top w:val="nil"/>
              <w:left w:val="nil"/>
              <w:bottom w:val="nil"/>
              <w:right w:val="nil"/>
            </w:tcBorders>
            <w:shd w:val="clear" w:color="000000" w:fill="FFFFFF"/>
            <w:vAlign w:val="center"/>
          </w:tcPr>
          <w:p w14:paraId="51CE6E50" w14:textId="7496A914" w:rsidR="006619D8" w:rsidRPr="00136629" w:rsidRDefault="006619D8" w:rsidP="006619D8">
            <w:pPr>
              <w:spacing w:after="0" w:line="240" w:lineRule="auto"/>
              <w:jc w:val="both"/>
              <w:rPr>
                <w:rFonts w:eastAsia="Times New Roman"/>
                <w:b/>
                <w:bCs/>
                <w:color w:val="000000"/>
                <w:sz w:val="20"/>
                <w:szCs w:val="20"/>
                <w:lang w:eastAsia="el-GR"/>
              </w:rPr>
            </w:pPr>
            <w:r w:rsidRPr="008B7319">
              <w:rPr>
                <w:b/>
                <w:color w:val="000000"/>
                <w:sz w:val="20"/>
                <w:szCs w:val="20"/>
              </w:rPr>
              <w:t xml:space="preserve">Κέρδη </w:t>
            </w:r>
            <w:r w:rsidRPr="008B7319">
              <w:rPr>
                <w:rFonts w:eastAsia="Times New Roman"/>
                <w:b/>
                <w:bCs/>
                <w:color w:val="000000"/>
                <w:sz w:val="20"/>
                <w:szCs w:val="20"/>
                <w:lang w:eastAsia="el-GR"/>
              </w:rPr>
              <w:t xml:space="preserve">/ (ζημιές) </w:t>
            </w:r>
            <w:r w:rsidRPr="008B7319">
              <w:rPr>
                <w:b/>
                <w:color w:val="000000"/>
                <w:sz w:val="20"/>
                <w:szCs w:val="20"/>
              </w:rPr>
              <w:t>προ φόρων</w:t>
            </w:r>
          </w:p>
        </w:tc>
        <w:tc>
          <w:tcPr>
            <w:tcW w:w="1030" w:type="dxa"/>
            <w:tcBorders>
              <w:top w:val="single" w:sz="4" w:space="0" w:color="auto"/>
              <w:left w:val="nil"/>
              <w:bottom w:val="single" w:sz="4" w:space="0" w:color="auto"/>
              <w:right w:val="nil"/>
            </w:tcBorders>
            <w:shd w:val="clear" w:color="auto" w:fill="E2EFD9"/>
            <w:noWrap/>
            <w:vAlign w:val="center"/>
          </w:tcPr>
          <w:p w14:paraId="776AC45B" w14:textId="706CB836"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21.301</w:t>
            </w:r>
          </w:p>
        </w:tc>
        <w:tc>
          <w:tcPr>
            <w:tcW w:w="1030" w:type="dxa"/>
            <w:tcBorders>
              <w:top w:val="single" w:sz="4" w:space="0" w:color="auto"/>
              <w:left w:val="nil"/>
              <w:bottom w:val="single" w:sz="4" w:space="0" w:color="auto"/>
              <w:right w:val="nil"/>
            </w:tcBorders>
            <w:shd w:val="clear" w:color="000000" w:fill="FFFFFF"/>
            <w:noWrap/>
            <w:vAlign w:val="center"/>
          </w:tcPr>
          <w:p w14:paraId="55FBDA55" w14:textId="6517F596"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25.274</w:t>
            </w:r>
          </w:p>
        </w:tc>
        <w:tc>
          <w:tcPr>
            <w:tcW w:w="1030" w:type="dxa"/>
            <w:tcBorders>
              <w:top w:val="single" w:sz="4" w:space="0" w:color="auto"/>
              <w:left w:val="nil"/>
              <w:bottom w:val="single" w:sz="4" w:space="0" w:color="auto"/>
              <w:right w:val="nil"/>
            </w:tcBorders>
            <w:shd w:val="clear" w:color="auto" w:fill="E2EFD9"/>
            <w:noWrap/>
            <w:vAlign w:val="center"/>
          </w:tcPr>
          <w:p w14:paraId="39F3D1B6" w14:textId="1510D643"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9.846</w:t>
            </w:r>
          </w:p>
        </w:tc>
        <w:tc>
          <w:tcPr>
            <w:tcW w:w="1030" w:type="dxa"/>
            <w:tcBorders>
              <w:top w:val="single" w:sz="4" w:space="0" w:color="auto"/>
              <w:left w:val="nil"/>
              <w:bottom w:val="single" w:sz="4" w:space="0" w:color="auto"/>
              <w:right w:val="nil"/>
            </w:tcBorders>
            <w:shd w:val="clear" w:color="000000" w:fill="FFFFFF"/>
            <w:noWrap/>
            <w:vAlign w:val="center"/>
          </w:tcPr>
          <w:p w14:paraId="59C0FCFF" w14:textId="77001815"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(4.198)</w:t>
            </w:r>
          </w:p>
        </w:tc>
        <w:tc>
          <w:tcPr>
            <w:tcW w:w="983" w:type="dxa"/>
            <w:tcBorders>
              <w:top w:val="single" w:sz="4" w:space="0" w:color="auto"/>
              <w:left w:val="nil"/>
              <w:bottom w:val="single" w:sz="4" w:space="0" w:color="auto"/>
              <w:right w:val="nil"/>
            </w:tcBorders>
            <w:shd w:val="clear" w:color="auto" w:fill="E2EFD9"/>
            <w:noWrap/>
            <w:vAlign w:val="center"/>
          </w:tcPr>
          <w:p w14:paraId="5BB6A039" w14:textId="57C401A1"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(294)</w:t>
            </w:r>
          </w:p>
        </w:tc>
        <w:tc>
          <w:tcPr>
            <w:tcW w:w="992" w:type="dxa"/>
            <w:tcBorders>
              <w:top w:val="single" w:sz="4" w:space="0" w:color="auto"/>
              <w:left w:val="nil"/>
              <w:bottom w:val="single" w:sz="4" w:space="0" w:color="auto"/>
              <w:right w:val="nil"/>
            </w:tcBorders>
            <w:shd w:val="clear" w:color="000000" w:fill="FFFFFF"/>
            <w:noWrap/>
            <w:vAlign w:val="center"/>
          </w:tcPr>
          <w:p w14:paraId="082D7F88" w14:textId="55C6AF54"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106</w:t>
            </w:r>
          </w:p>
        </w:tc>
        <w:tc>
          <w:tcPr>
            <w:tcW w:w="992" w:type="dxa"/>
            <w:tcBorders>
              <w:top w:val="single" w:sz="4" w:space="0" w:color="auto"/>
              <w:left w:val="nil"/>
              <w:bottom w:val="single" w:sz="4" w:space="0" w:color="auto"/>
              <w:right w:val="nil"/>
            </w:tcBorders>
            <w:shd w:val="clear" w:color="auto" w:fill="E2EFD9"/>
            <w:noWrap/>
            <w:vAlign w:val="center"/>
          </w:tcPr>
          <w:p w14:paraId="54822932" w14:textId="3E222866"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30.852</w:t>
            </w:r>
          </w:p>
        </w:tc>
        <w:tc>
          <w:tcPr>
            <w:tcW w:w="1154" w:type="dxa"/>
            <w:tcBorders>
              <w:top w:val="single" w:sz="4" w:space="0" w:color="auto"/>
              <w:left w:val="nil"/>
              <w:bottom w:val="single" w:sz="4" w:space="0" w:color="auto"/>
              <w:right w:val="nil"/>
            </w:tcBorders>
            <w:shd w:val="clear" w:color="000000" w:fill="FFFFFF"/>
            <w:noWrap/>
            <w:vAlign w:val="center"/>
          </w:tcPr>
          <w:p w14:paraId="20734420" w14:textId="7AD27917"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21.181</w:t>
            </w:r>
          </w:p>
        </w:tc>
      </w:tr>
      <w:tr w:rsidR="006619D8" w:rsidRPr="009259F9" w14:paraId="2D22EDDF" w14:textId="77777777" w:rsidTr="006619D8">
        <w:trPr>
          <w:trHeight w:val="300"/>
        </w:trPr>
        <w:tc>
          <w:tcPr>
            <w:tcW w:w="2829" w:type="dxa"/>
            <w:tcBorders>
              <w:top w:val="nil"/>
              <w:left w:val="nil"/>
              <w:bottom w:val="nil"/>
              <w:right w:val="nil"/>
            </w:tcBorders>
            <w:shd w:val="clear" w:color="000000" w:fill="FFFFFF"/>
            <w:vAlign w:val="center"/>
          </w:tcPr>
          <w:p w14:paraId="59397B45" w14:textId="52E151E3" w:rsidR="006619D8" w:rsidRPr="009259F9" w:rsidRDefault="006619D8" w:rsidP="006619D8">
            <w:pPr>
              <w:spacing w:after="0" w:line="240" w:lineRule="auto"/>
              <w:jc w:val="both"/>
              <w:rPr>
                <w:rFonts w:eastAsia="Times New Roman"/>
                <w:color w:val="000000"/>
                <w:sz w:val="20"/>
                <w:szCs w:val="20"/>
                <w:lang w:val="en-GB" w:eastAsia="el-GR"/>
              </w:rPr>
            </w:pPr>
            <w:r w:rsidRPr="008B7319">
              <w:rPr>
                <w:color w:val="000000"/>
                <w:sz w:val="20"/>
                <w:szCs w:val="20"/>
              </w:rPr>
              <w:t>Φόρος εισοδήματος</w:t>
            </w:r>
          </w:p>
        </w:tc>
        <w:tc>
          <w:tcPr>
            <w:tcW w:w="1030" w:type="dxa"/>
            <w:tcBorders>
              <w:top w:val="nil"/>
              <w:left w:val="nil"/>
              <w:bottom w:val="nil"/>
              <w:right w:val="nil"/>
            </w:tcBorders>
            <w:shd w:val="clear" w:color="auto" w:fill="E2EFD9"/>
            <w:noWrap/>
            <w:vAlign w:val="center"/>
          </w:tcPr>
          <w:p w14:paraId="0D3AF7E3" w14:textId="7BD6FC85"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(4.720)</w:t>
            </w:r>
          </w:p>
        </w:tc>
        <w:tc>
          <w:tcPr>
            <w:tcW w:w="1030" w:type="dxa"/>
            <w:tcBorders>
              <w:top w:val="nil"/>
              <w:left w:val="nil"/>
              <w:bottom w:val="nil"/>
              <w:right w:val="nil"/>
            </w:tcBorders>
            <w:shd w:val="clear" w:color="000000" w:fill="FFFFFF"/>
            <w:noWrap/>
            <w:vAlign w:val="center"/>
          </w:tcPr>
          <w:p w14:paraId="2A447B09" w14:textId="52E0FF70"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(5.476)</w:t>
            </w:r>
          </w:p>
        </w:tc>
        <w:tc>
          <w:tcPr>
            <w:tcW w:w="1030" w:type="dxa"/>
            <w:tcBorders>
              <w:top w:val="nil"/>
              <w:left w:val="nil"/>
              <w:bottom w:val="nil"/>
              <w:right w:val="nil"/>
            </w:tcBorders>
            <w:shd w:val="clear" w:color="auto" w:fill="E2EFD9"/>
            <w:noWrap/>
            <w:vAlign w:val="center"/>
          </w:tcPr>
          <w:p w14:paraId="2030CB42" w14:textId="4EE41AC0"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(2.501)</w:t>
            </w:r>
          </w:p>
        </w:tc>
        <w:tc>
          <w:tcPr>
            <w:tcW w:w="1030" w:type="dxa"/>
            <w:tcBorders>
              <w:top w:val="nil"/>
              <w:left w:val="nil"/>
              <w:bottom w:val="single" w:sz="4" w:space="0" w:color="auto"/>
              <w:right w:val="nil"/>
            </w:tcBorders>
            <w:shd w:val="clear" w:color="000000" w:fill="FFFFFF"/>
            <w:noWrap/>
            <w:vAlign w:val="center"/>
          </w:tcPr>
          <w:p w14:paraId="0AF2654B" w14:textId="6662D14D"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2.753</w:t>
            </w:r>
          </w:p>
        </w:tc>
        <w:tc>
          <w:tcPr>
            <w:tcW w:w="983" w:type="dxa"/>
            <w:tcBorders>
              <w:top w:val="nil"/>
              <w:left w:val="nil"/>
              <w:bottom w:val="nil"/>
              <w:right w:val="nil"/>
            </w:tcBorders>
            <w:shd w:val="clear" w:color="auto" w:fill="E2EFD9"/>
            <w:noWrap/>
            <w:vAlign w:val="center"/>
          </w:tcPr>
          <w:p w14:paraId="10249836" w14:textId="17DCDCEC" w:rsidR="006619D8" w:rsidRPr="00F400A9" w:rsidRDefault="006619D8" w:rsidP="006619D8">
            <w:pPr>
              <w:spacing w:after="0" w:line="240" w:lineRule="auto"/>
              <w:jc w:val="right"/>
              <w:rPr>
                <w:rFonts w:cs="Calibri"/>
                <w:color w:val="000000"/>
                <w:sz w:val="20"/>
                <w:szCs w:val="20"/>
                <w:lang w:val="en-US"/>
              </w:rPr>
            </w:pPr>
            <w:r>
              <w:rPr>
                <w:rFonts w:cs="Calibri"/>
                <w:color w:val="000000"/>
                <w:sz w:val="20"/>
                <w:szCs w:val="20"/>
                <w:lang w:val="en-US"/>
              </w:rPr>
              <w:t>-</w:t>
            </w:r>
          </w:p>
        </w:tc>
        <w:tc>
          <w:tcPr>
            <w:tcW w:w="992" w:type="dxa"/>
            <w:tcBorders>
              <w:top w:val="nil"/>
              <w:left w:val="nil"/>
              <w:bottom w:val="nil"/>
              <w:right w:val="nil"/>
            </w:tcBorders>
            <w:shd w:val="clear" w:color="000000" w:fill="FFFFFF"/>
            <w:noWrap/>
            <w:vAlign w:val="center"/>
          </w:tcPr>
          <w:p w14:paraId="66EFF84D" w14:textId="0F141318" w:rsidR="006619D8" w:rsidRPr="0093388C" w:rsidRDefault="006619D8" w:rsidP="006619D8">
            <w:pPr>
              <w:spacing w:after="0" w:line="240" w:lineRule="auto"/>
              <w:jc w:val="right"/>
              <w:rPr>
                <w:rFonts w:cs="Calibri"/>
                <w:color w:val="000000"/>
                <w:sz w:val="20"/>
                <w:szCs w:val="20"/>
                <w:lang w:val="en-US"/>
              </w:rPr>
            </w:pPr>
            <w:r>
              <w:rPr>
                <w:rFonts w:cs="Calibri"/>
                <w:color w:val="000000"/>
                <w:sz w:val="20"/>
                <w:szCs w:val="20"/>
                <w:lang w:val="en-US"/>
              </w:rPr>
              <w:t>-</w:t>
            </w:r>
            <w:r>
              <w:rPr>
                <w:rFonts w:cs="Calibri"/>
                <w:color w:val="000000"/>
                <w:sz w:val="20"/>
                <w:szCs w:val="20"/>
              </w:rPr>
              <w:t> </w:t>
            </w:r>
          </w:p>
        </w:tc>
        <w:tc>
          <w:tcPr>
            <w:tcW w:w="992" w:type="dxa"/>
            <w:tcBorders>
              <w:top w:val="nil"/>
              <w:left w:val="nil"/>
              <w:bottom w:val="nil"/>
              <w:right w:val="nil"/>
            </w:tcBorders>
            <w:shd w:val="clear" w:color="auto" w:fill="E2EFD9"/>
            <w:noWrap/>
            <w:vAlign w:val="center"/>
          </w:tcPr>
          <w:p w14:paraId="1F159404" w14:textId="599A01DA"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(7.221)</w:t>
            </w:r>
          </w:p>
        </w:tc>
        <w:tc>
          <w:tcPr>
            <w:tcW w:w="1154" w:type="dxa"/>
            <w:tcBorders>
              <w:top w:val="nil"/>
              <w:left w:val="nil"/>
              <w:bottom w:val="nil"/>
              <w:right w:val="nil"/>
            </w:tcBorders>
            <w:shd w:val="clear" w:color="000000" w:fill="FFFFFF"/>
            <w:noWrap/>
            <w:vAlign w:val="center"/>
          </w:tcPr>
          <w:p w14:paraId="19DC2277" w14:textId="0B16A140" w:rsidR="006619D8" w:rsidRPr="009259F9" w:rsidRDefault="006619D8" w:rsidP="006619D8">
            <w:pPr>
              <w:spacing w:after="0" w:line="240" w:lineRule="auto"/>
              <w:jc w:val="right"/>
              <w:rPr>
                <w:rFonts w:cs="Calibri"/>
                <w:color w:val="000000"/>
                <w:sz w:val="20"/>
                <w:szCs w:val="20"/>
                <w:lang w:val="en-GB"/>
              </w:rPr>
            </w:pPr>
            <w:r>
              <w:rPr>
                <w:rFonts w:cs="Calibri"/>
                <w:color w:val="000000"/>
                <w:sz w:val="20"/>
                <w:szCs w:val="20"/>
              </w:rPr>
              <w:t>(2.723)</w:t>
            </w:r>
          </w:p>
        </w:tc>
      </w:tr>
      <w:tr w:rsidR="006619D8" w:rsidRPr="009259F9" w14:paraId="53178465" w14:textId="77777777" w:rsidTr="006619D8">
        <w:trPr>
          <w:trHeight w:val="315"/>
        </w:trPr>
        <w:tc>
          <w:tcPr>
            <w:tcW w:w="2829" w:type="dxa"/>
            <w:tcBorders>
              <w:top w:val="nil"/>
              <w:left w:val="nil"/>
              <w:bottom w:val="nil"/>
              <w:right w:val="nil"/>
            </w:tcBorders>
            <w:shd w:val="clear" w:color="000000" w:fill="FFFFFF"/>
            <w:vAlign w:val="center"/>
          </w:tcPr>
          <w:p w14:paraId="300C5828" w14:textId="290F416A" w:rsidR="006619D8" w:rsidRPr="009259F9" w:rsidRDefault="006619D8" w:rsidP="006619D8">
            <w:pPr>
              <w:spacing w:after="0" w:line="240" w:lineRule="auto"/>
              <w:rPr>
                <w:rFonts w:eastAsia="Times New Roman"/>
                <w:b/>
                <w:bCs/>
                <w:color w:val="000000"/>
                <w:sz w:val="20"/>
                <w:szCs w:val="20"/>
                <w:lang w:val="en-GB" w:eastAsia="el-GR"/>
              </w:rPr>
            </w:pPr>
            <w:r w:rsidRPr="008B7319">
              <w:rPr>
                <w:b/>
                <w:color w:val="000000"/>
                <w:sz w:val="20"/>
                <w:szCs w:val="20"/>
              </w:rPr>
              <w:t xml:space="preserve">Κέρδη </w:t>
            </w:r>
            <w:r w:rsidRPr="008B7319">
              <w:rPr>
                <w:rFonts w:eastAsia="Times New Roman"/>
                <w:b/>
                <w:bCs/>
                <w:color w:val="000000"/>
                <w:sz w:val="20"/>
                <w:szCs w:val="20"/>
                <w:lang w:eastAsia="el-GR"/>
              </w:rPr>
              <w:t xml:space="preserve">/ (ζημιές) </w:t>
            </w:r>
            <w:r w:rsidRPr="008B7319">
              <w:rPr>
                <w:b/>
                <w:color w:val="000000"/>
                <w:sz w:val="20"/>
                <w:szCs w:val="20"/>
              </w:rPr>
              <w:t>μετά φόρων</w:t>
            </w:r>
          </w:p>
        </w:tc>
        <w:tc>
          <w:tcPr>
            <w:tcW w:w="1030" w:type="dxa"/>
            <w:tcBorders>
              <w:top w:val="single" w:sz="4" w:space="0" w:color="auto"/>
              <w:left w:val="nil"/>
              <w:bottom w:val="single" w:sz="8" w:space="0" w:color="auto"/>
              <w:right w:val="nil"/>
            </w:tcBorders>
            <w:shd w:val="clear" w:color="auto" w:fill="E2EFD9"/>
            <w:noWrap/>
            <w:vAlign w:val="center"/>
          </w:tcPr>
          <w:p w14:paraId="649ECFB2" w14:textId="4BD325BD"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16.581</w:t>
            </w:r>
          </w:p>
        </w:tc>
        <w:tc>
          <w:tcPr>
            <w:tcW w:w="1030" w:type="dxa"/>
            <w:tcBorders>
              <w:top w:val="single" w:sz="4" w:space="0" w:color="auto"/>
              <w:left w:val="nil"/>
              <w:bottom w:val="single" w:sz="8" w:space="0" w:color="auto"/>
              <w:right w:val="nil"/>
            </w:tcBorders>
            <w:shd w:val="clear" w:color="000000" w:fill="FFFFFF"/>
            <w:noWrap/>
            <w:vAlign w:val="center"/>
          </w:tcPr>
          <w:p w14:paraId="3B92BF59" w14:textId="1D6AF584"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19.797</w:t>
            </w:r>
          </w:p>
        </w:tc>
        <w:tc>
          <w:tcPr>
            <w:tcW w:w="1030" w:type="dxa"/>
            <w:tcBorders>
              <w:top w:val="single" w:sz="4" w:space="0" w:color="auto"/>
              <w:left w:val="nil"/>
              <w:bottom w:val="single" w:sz="8" w:space="0" w:color="auto"/>
              <w:right w:val="nil"/>
            </w:tcBorders>
            <w:shd w:val="clear" w:color="auto" w:fill="E2EFD9"/>
            <w:noWrap/>
            <w:vAlign w:val="center"/>
          </w:tcPr>
          <w:p w14:paraId="07C39174" w14:textId="26D8ADAA"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7.344</w:t>
            </w:r>
          </w:p>
        </w:tc>
        <w:tc>
          <w:tcPr>
            <w:tcW w:w="1030" w:type="dxa"/>
            <w:tcBorders>
              <w:top w:val="nil"/>
              <w:left w:val="nil"/>
              <w:bottom w:val="single" w:sz="8" w:space="0" w:color="auto"/>
              <w:right w:val="nil"/>
            </w:tcBorders>
            <w:shd w:val="clear" w:color="000000" w:fill="FFFFFF"/>
            <w:noWrap/>
            <w:vAlign w:val="center"/>
          </w:tcPr>
          <w:p w14:paraId="74AFB3A1" w14:textId="30271EB1"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(1.445)</w:t>
            </w:r>
          </w:p>
        </w:tc>
        <w:tc>
          <w:tcPr>
            <w:tcW w:w="983" w:type="dxa"/>
            <w:tcBorders>
              <w:top w:val="single" w:sz="4" w:space="0" w:color="auto"/>
              <w:left w:val="nil"/>
              <w:bottom w:val="single" w:sz="8" w:space="0" w:color="auto"/>
              <w:right w:val="nil"/>
            </w:tcBorders>
            <w:shd w:val="clear" w:color="auto" w:fill="E2EFD9"/>
            <w:noWrap/>
            <w:vAlign w:val="center"/>
          </w:tcPr>
          <w:p w14:paraId="138B12F0" w14:textId="770EB8D3"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(294)</w:t>
            </w:r>
          </w:p>
        </w:tc>
        <w:tc>
          <w:tcPr>
            <w:tcW w:w="992" w:type="dxa"/>
            <w:tcBorders>
              <w:top w:val="single" w:sz="4" w:space="0" w:color="auto"/>
              <w:left w:val="nil"/>
              <w:bottom w:val="single" w:sz="8" w:space="0" w:color="auto"/>
              <w:right w:val="nil"/>
            </w:tcBorders>
            <w:shd w:val="clear" w:color="000000" w:fill="FFFFFF"/>
            <w:noWrap/>
            <w:vAlign w:val="center"/>
          </w:tcPr>
          <w:p w14:paraId="596246F2" w14:textId="382C991A"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106</w:t>
            </w:r>
          </w:p>
        </w:tc>
        <w:tc>
          <w:tcPr>
            <w:tcW w:w="992" w:type="dxa"/>
            <w:tcBorders>
              <w:top w:val="single" w:sz="4" w:space="0" w:color="auto"/>
              <w:left w:val="nil"/>
              <w:bottom w:val="single" w:sz="8" w:space="0" w:color="auto"/>
              <w:right w:val="nil"/>
            </w:tcBorders>
            <w:shd w:val="clear" w:color="auto" w:fill="E2EFD9"/>
            <w:noWrap/>
            <w:vAlign w:val="center"/>
          </w:tcPr>
          <w:p w14:paraId="2A488FE0" w14:textId="5F29CB07"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23.631</w:t>
            </w:r>
          </w:p>
        </w:tc>
        <w:tc>
          <w:tcPr>
            <w:tcW w:w="1154" w:type="dxa"/>
            <w:tcBorders>
              <w:top w:val="single" w:sz="4" w:space="0" w:color="auto"/>
              <w:left w:val="nil"/>
              <w:bottom w:val="single" w:sz="8" w:space="0" w:color="auto"/>
              <w:right w:val="nil"/>
            </w:tcBorders>
            <w:shd w:val="clear" w:color="000000" w:fill="FFFFFF"/>
            <w:noWrap/>
            <w:vAlign w:val="center"/>
          </w:tcPr>
          <w:p w14:paraId="3CC455AC" w14:textId="0B7EFE4A" w:rsidR="006619D8" w:rsidRPr="009259F9" w:rsidRDefault="006619D8" w:rsidP="006619D8">
            <w:pPr>
              <w:spacing w:after="0" w:line="240" w:lineRule="auto"/>
              <w:jc w:val="right"/>
              <w:rPr>
                <w:rFonts w:cs="Calibri"/>
                <w:b/>
                <w:bCs/>
                <w:color w:val="000000"/>
                <w:sz w:val="20"/>
                <w:szCs w:val="20"/>
                <w:lang w:val="en-GB"/>
              </w:rPr>
            </w:pPr>
            <w:r>
              <w:rPr>
                <w:rFonts w:cs="Calibri"/>
                <w:b/>
                <w:bCs/>
                <w:color w:val="000000"/>
                <w:sz w:val="20"/>
                <w:szCs w:val="20"/>
              </w:rPr>
              <w:t>18.458</w:t>
            </w:r>
          </w:p>
        </w:tc>
      </w:tr>
    </w:tbl>
    <w:p w14:paraId="483EF986" w14:textId="77777777" w:rsidR="005657FD" w:rsidRDefault="005657FD" w:rsidP="005657FD">
      <w:pPr>
        <w:autoSpaceDE w:val="0"/>
        <w:autoSpaceDN w:val="0"/>
        <w:adjustRightInd w:val="0"/>
        <w:spacing w:after="120" w:line="240" w:lineRule="auto"/>
        <w:jc w:val="both"/>
        <w:rPr>
          <w:rFonts w:cs="Calibri"/>
          <w:i/>
          <w:color w:val="000000"/>
          <w:sz w:val="16"/>
          <w:szCs w:val="20"/>
          <w:lang w:val="en-ZA"/>
        </w:rPr>
      </w:pPr>
    </w:p>
    <w:p w14:paraId="5390DBB7" w14:textId="77777777" w:rsidR="001A12E5" w:rsidRDefault="001A12E5">
      <w:pPr>
        <w:spacing w:after="0" w:line="240" w:lineRule="auto"/>
        <w:rPr>
          <w:rFonts w:eastAsia="SimSun" w:cs="Calibri"/>
          <w:b/>
          <w:bCs/>
          <w:color w:val="4F6228"/>
          <w:sz w:val="24"/>
          <w:szCs w:val="24"/>
          <w:lang w:val="en-GB"/>
        </w:rPr>
      </w:pPr>
      <w:r>
        <w:rPr>
          <w:rFonts w:eastAsia="SimSun" w:cs="Calibri"/>
          <w:b/>
          <w:bCs/>
          <w:color w:val="4F6228"/>
          <w:sz w:val="24"/>
          <w:szCs w:val="24"/>
          <w:lang w:val="en-GB"/>
        </w:rPr>
        <w:br w:type="page"/>
      </w:r>
    </w:p>
    <w:p w14:paraId="554D7289" w14:textId="382CC56D" w:rsidR="003D1D0E" w:rsidRPr="006619D8" w:rsidRDefault="006619D8" w:rsidP="006B321F">
      <w:pPr>
        <w:keepNext/>
        <w:keepLines/>
        <w:spacing w:after="120" w:line="240" w:lineRule="auto"/>
        <w:jc w:val="both"/>
        <w:outlineLvl w:val="1"/>
        <w:rPr>
          <w:rFonts w:eastAsia="SimSun" w:cs="Calibri"/>
          <w:b/>
          <w:bCs/>
          <w:color w:val="4F6228"/>
          <w:sz w:val="24"/>
          <w:szCs w:val="24"/>
        </w:rPr>
      </w:pPr>
      <w:r w:rsidRPr="006619D8">
        <w:rPr>
          <w:rFonts w:eastAsia="SimSun" w:cs="Calibri"/>
          <w:b/>
          <w:bCs/>
          <w:color w:val="4F6228"/>
          <w:sz w:val="24"/>
          <w:szCs w:val="24"/>
        </w:rPr>
        <w:lastRenderedPageBreak/>
        <w:t xml:space="preserve">Παράρτημα </w:t>
      </w:r>
      <w:r w:rsidRPr="006619D8">
        <w:rPr>
          <w:rFonts w:eastAsia="SimSun" w:cs="Calibri"/>
          <w:b/>
          <w:bCs/>
          <w:color w:val="4F6228"/>
          <w:sz w:val="24"/>
          <w:szCs w:val="24"/>
          <w:lang w:val="en-GB"/>
        </w:rPr>
        <w:t>B</w:t>
      </w:r>
      <w:r w:rsidRPr="006619D8">
        <w:rPr>
          <w:rFonts w:eastAsia="SimSun" w:cs="Calibri"/>
          <w:b/>
          <w:bCs/>
          <w:color w:val="4F6228"/>
          <w:sz w:val="24"/>
          <w:szCs w:val="24"/>
        </w:rPr>
        <w:t xml:space="preserve"> – Συνοπτική Ενοποιημένη Κατάσταση Οικονομικής Θέσης</w:t>
      </w:r>
    </w:p>
    <w:tbl>
      <w:tblPr>
        <w:tblW w:w="10116" w:type="dxa"/>
        <w:tblLook w:val="04A0" w:firstRow="1" w:lastRow="0" w:firstColumn="1" w:lastColumn="0" w:noHBand="0" w:noVBand="1"/>
      </w:tblPr>
      <w:tblGrid>
        <w:gridCol w:w="5953"/>
        <w:gridCol w:w="1985"/>
        <w:gridCol w:w="283"/>
        <w:gridCol w:w="1895"/>
      </w:tblGrid>
      <w:tr w:rsidR="006619D8" w:rsidRPr="009259F9" w14:paraId="6EACEF68" w14:textId="77777777" w:rsidTr="006619D8">
        <w:trPr>
          <w:trHeight w:hRule="exact" w:val="255"/>
        </w:trPr>
        <w:tc>
          <w:tcPr>
            <w:tcW w:w="5953" w:type="dxa"/>
            <w:tcBorders>
              <w:top w:val="nil"/>
              <w:left w:val="nil"/>
              <w:bottom w:val="nil"/>
              <w:right w:val="nil"/>
            </w:tcBorders>
            <w:shd w:val="clear" w:color="000000" w:fill="FFFFFF"/>
            <w:vAlign w:val="center"/>
          </w:tcPr>
          <w:p w14:paraId="3EA27941" w14:textId="781FF976" w:rsidR="006619D8" w:rsidRPr="009259F9" w:rsidRDefault="006619D8" w:rsidP="006619D8">
            <w:pPr>
              <w:spacing w:after="120" w:line="240" w:lineRule="auto"/>
              <w:jc w:val="both"/>
              <w:rPr>
                <w:rFonts w:eastAsia="Times New Roman"/>
                <w:i/>
                <w:iCs/>
                <w:color w:val="000000"/>
                <w:sz w:val="20"/>
                <w:szCs w:val="20"/>
                <w:lang w:val="en-GB" w:eastAsia="el-GR"/>
              </w:rPr>
            </w:pPr>
            <w:r w:rsidRPr="006C0543">
              <w:rPr>
                <w:i/>
                <w:color w:val="000000"/>
                <w:sz w:val="20"/>
              </w:rPr>
              <w:t>Ποσά σε χιλιάδες ευρώ</w:t>
            </w:r>
          </w:p>
        </w:tc>
        <w:tc>
          <w:tcPr>
            <w:tcW w:w="1985" w:type="dxa"/>
            <w:tcBorders>
              <w:top w:val="nil"/>
              <w:left w:val="nil"/>
              <w:bottom w:val="nil"/>
              <w:right w:val="nil"/>
            </w:tcBorders>
            <w:shd w:val="clear" w:color="000000" w:fill="FFFFFF"/>
            <w:vAlign w:val="center"/>
          </w:tcPr>
          <w:p w14:paraId="1EE25A03" w14:textId="61FF94A9" w:rsidR="006619D8" w:rsidRPr="0093388C" w:rsidRDefault="006619D8" w:rsidP="006619D8">
            <w:pPr>
              <w:spacing w:after="120" w:line="240" w:lineRule="auto"/>
              <w:jc w:val="right"/>
              <w:rPr>
                <w:rFonts w:eastAsia="Times New Roman"/>
                <w:b/>
                <w:bCs/>
                <w:color w:val="000000"/>
                <w:sz w:val="20"/>
                <w:szCs w:val="20"/>
                <w:u w:val="single"/>
                <w:lang w:val="en-US" w:eastAsia="el-GR"/>
              </w:rPr>
            </w:pPr>
            <w:r w:rsidRPr="009259F9">
              <w:rPr>
                <w:rFonts w:eastAsia="Times New Roman"/>
                <w:b/>
                <w:bCs/>
                <w:color w:val="000000"/>
                <w:sz w:val="20"/>
                <w:szCs w:val="20"/>
                <w:u w:val="single"/>
                <w:lang w:val="en-GB" w:eastAsia="el-GR"/>
              </w:rPr>
              <w:t>3</w:t>
            </w:r>
            <w:r>
              <w:rPr>
                <w:rFonts w:eastAsia="Times New Roman"/>
                <w:b/>
                <w:bCs/>
                <w:color w:val="000000"/>
                <w:sz w:val="20"/>
                <w:szCs w:val="20"/>
                <w:u w:val="single"/>
                <w:lang w:val="en-GB" w:eastAsia="el-GR"/>
              </w:rPr>
              <w:t>0</w:t>
            </w:r>
            <w:r w:rsidRPr="009259F9">
              <w:rPr>
                <w:rFonts w:eastAsia="Times New Roman"/>
                <w:b/>
                <w:bCs/>
                <w:color w:val="000000"/>
                <w:sz w:val="20"/>
                <w:szCs w:val="20"/>
                <w:u w:val="single"/>
                <w:lang w:val="en-GB" w:eastAsia="el-GR"/>
              </w:rPr>
              <w:t xml:space="preserve"> </w:t>
            </w:r>
            <w:r>
              <w:rPr>
                <w:rFonts w:eastAsia="Times New Roman"/>
                <w:b/>
                <w:bCs/>
                <w:color w:val="000000"/>
                <w:sz w:val="20"/>
                <w:szCs w:val="20"/>
                <w:u w:val="single"/>
                <w:lang w:eastAsia="el-GR"/>
              </w:rPr>
              <w:t>Ιουνίου</w:t>
            </w:r>
            <w:r w:rsidRPr="009259F9">
              <w:rPr>
                <w:rFonts w:eastAsia="Times New Roman"/>
                <w:b/>
                <w:bCs/>
                <w:color w:val="000000"/>
                <w:sz w:val="20"/>
                <w:szCs w:val="20"/>
                <w:u w:val="single"/>
                <w:lang w:val="en-GB" w:eastAsia="el-GR"/>
              </w:rPr>
              <w:t xml:space="preserve"> </w:t>
            </w:r>
            <w:r>
              <w:rPr>
                <w:rFonts w:eastAsia="Times New Roman"/>
                <w:b/>
                <w:bCs/>
                <w:color w:val="000000"/>
                <w:sz w:val="20"/>
                <w:szCs w:val="20"/>
                <w:u w:val="single"/>
                <w:lang w:val="en-GB" w:eastAsia="el-GR"/>
              </w:rPr>
              <w:t>2023 202302</w:t>
            </w:r>
            <w:r>
              <w:rPr>
                <w:rFonts w:eastAsia="Times New Roman"/>
                <w:b/>
                <w:bCs/>
                <w:color w:val="000000"/>
                <w:sz w:val="20"/>
                <w:szCs w:val="20"/>
                <w:u w:val="single"/>
                <w:lang w:val="en-US" w:eastAsia="el-GR"/>
              </w:rPr>
              <w:t>2</w:t>
            </w:r>
          </w:p>
        </w:tc>
        <w:tc>
          <w:tcPr>
            <w:tcW w:w="283" w:type="dxa"/>
            <w:tcBorders>
              <w:top w:val="nil"/>
              <w:left w:val="nil"/>
              <w:bottom w:val="nil"/>
              <w:right w:val="nil"/>
            </w:tcBorders>
            <w:shd w:val="clear" w:color="000000" w:fill="FFFFFF"/>
            <w:vAlign w:val="center"/>
          </w:tcPr>
          <w:p w14:paraId="6CA3DFAE" w14:textId="77777777" w:rsidR="006619D8" w:rsidRPr="009259F9" w:rsidRDefault="006619D8" w:rsidP="006619D8">
            <w:pPr>
              <w:spacing w:after="120" w:line="240" w:lineRule="auto"/>
              <w:jc w:val="right"/>
              <w:rPr>
                <w:rFonts w:eastAsia="Times New Roman"/>
                <w:b/>
                <w:bCs/>
                <w:color w:val="000000"/>
                <w:sz w:val="20"/>
                <w:szCs w:val="20"/>
                <w:u w:val="single"/>
                <w:lang w:val="en-GB" w:eastAsia="el-GR"/>
              </w:rPr>
            </w:pPr>
          </w:p>
        </w:tc>
        <w:tc>
          <w:tcPr>
            <w:tcW w:w="1895" w:type="dxa"/>
            <w:tcBorders>
              <w:top w:val="nil"/>
              <w:left w:val="nil"/>
              <w:bottom w:val="nil"/>
              <w:right w:val="nil"/>
            </w:tcBorders>
            <w:shd w:val="clear" w:color="000000" w:fill="FFFFFF"/>
            <w:vAlign w:val="center"/>
          </w:tcPr>
          <w:p w14:paraId="65C9180F" w14:textId="345CF0C2" w:rsidR="006619D8" w:rsidRPr="009259F9" w:rsidRDefault="006619D8" w:rsidP="006619D8">
            <w:pPr>
              <w:spacing w:after="120" w:line="240" w:lineRule="auto"/>
              <w:jc w:val="right"/>
              <w:rPr>
                <w:rFonts w:eastAsia="Times New Roman"/>
                <w:b/>
                <w:bCs/>
                <w:color w:val="000000"/>
                <w:sz w:val="20"/>
                <w:szCs w:val="20"/>
                <w:u w:val="single"/>
                <w:lang w:val="en-GB" w:eastAsia="el-GR"/>
              </w:rPr>
            </w:pPr>
            <w:r w:rsidRPr="009259F9">
              <w:rPr>
                <w:rFonts w:eastAsia="Times New Roman"/>
                <w:b/>
                <w:bCs/>
                <w:color w:val="000000"/>
                <w:sz w:val="20"/>
                <w:szCs w:val="20"/>
                <w:u w:val="single"/>
                <w:lang w:val="en-GB" w:eastAsia="el-GR"/>
              </w:rPr>
              <w:t xml:space="preserve">31 </w:t>
            </w:r>
            <w:r>
              <w:rPr>
                <w:rFonts w:eastAsia="Times New Roman"/>
                <w:b/>
                <w:bCs/>
                <w:color w:val="000000"/>
                <w:sz w:val="20"/>
                <w:szCs w:val="20"/>
                <w:u w:val="single"/>
                <w:lang w:eastAsia="el-GR"/>
              </w:rPr>
              <w:t>Δεκεμβρίου</w:t>
            </w:r>
            <w:r w:rsidRPr="009259F9">
              <w:rPr>
                <w:rFonts w:eastAsia="Times New Roman"/>
                <w:b/>
                <w:bCs/>
                <w:color w:val="000000"/>
                <w:sz w:val="20"/>
                <w:szCs w:val="20"/>
                <w:u w:val="single"/>
                <w:lang w:val="en-GB" w:eastAsia="el-GR"/>
              </w:rPr>
              <w:t xml:space="preserve"> </w:t>
            </w:r>
            <w:r>
              <w:rPr>
                <w:rFonts w:eastAsia="Times New Roman"/>
                <w:b/>
                <w:bCs/>
                <w:color w:val="000000"/>
                <w:sz w:val="20"/>
                <w:szCs w:val="20"/>
                <w:u w:val="single"/>
                <w:lang w:val="en-GB" w:eastAsia="el-GR"/>
              </w:rPr>
              <w:t>202</w:t>
            </w:r>
            <w:r>
              <w:rPr>
                <w:rFonts w:eastAsia="Times New Roman"/>
                <w:b/>
                <w:bCs/>
                <w:color w:val="000000"/>
                <w:sz w:val="20"/>
                <w:szCs w:val="20"/>
                <w:u w:val="single"/>
                <w:lang w:eastAsia="el-GR"/>
              </w:rPr>
              <w:t>2</w:t>
            </w:r>
          </w:p>
        </w:tc>
      </w:tr>
      <w:tr w:rsidR="006619D8" w:rsidRPr="009259F9" w14:paraId="663388CA" w14:textId="77777777" w:rsidTr="006619D8">
        <w:trPr>
          <w:trHeight w:hRule="exact" w:val="255"/>
        </w:trPr>
        <w:tc>
          <w:tcPr>
            <w:tcW w:w="5953" w:type="dxa"/>
            <w:tcBorders>
              <w:top w:val="nil"/>
              <w:left w:val="nil"/>
              <w:bottom w:val="nil"/>
              <w:right w:val="nil"/>
            </w:tcBorders>
            <w:shd w:val="clear" w:color="000000" w:fill="FFFFFF"/>
            <w:vAlign w:val="center"/>
          </w:tcPr>
          <w:p w14:paraId="3640FD31" w14:textId="7DB21D66"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ΕΝΕΡΓΗΤΙΚΟ</w:t>
            </w:r>
          </w:p>
        </w:tc>
        <w:tc>
          <w:tcPr>
            <w:tcW w:w="1985" w:type="dxa"/>
            <w:tcBorders>
              <w:top w:val="nil"/>
              <w:left w:val="nil"/>
              <w:bottom w:val="nil"/>
              <w:right w:val="nil"/>
            </w:tcBorders>
            <w:shd w:val="clear" w:color="auto" w:fill="E2EFD9"/>
            <w:noWrap/>
            <w:vAlign w:val="bottom"/>
          </w:tcPr>
          <w:p w14:paraId="14D0CA06" w14:textId="77777777" w:rsidR="006619D8" w:rsidRPr="009259F9" w:rsidRDefault="006619D8" w:rsidP="006619D8">
            <w:pPr>
              <w:spacing w:after="120" w:line="240" w:lineRule="auto"/>
              <w:jc w:val="both"/>
              <w:rPr>
                <w:rFonts w:eastAsia="Times New Roman"/>
                <w:color w:val="000000"/>
                <w:sz w:val="20"/>
                <w:szCs w:val="20"/>
                <w:lang w:val="en-GB" w:eastAsia="el-GR"/>
              </w:rPr>
            </w:pPr>
          </w:p>
        </w:tc>
        <w:tc>
          <w:tcPr>
            <w:tcW w:w="283" w:type="dxa"/>
            <w:tcBorders>
              <w:top w:val="nil"/>
              <w:left w:val="nil"/>
              <w:bottom w:val="nil"/>
              <w:right w:val="nil"/>
            </w:tcBorders>
            <w:shd w:val="clear" w:color="auto" w:fill="auto"/>
            <w:noWrap/>
            <w:vAlign w:val="bottom"/>
          </w:tcPr>
          <w:p w14:paraId="28E313A2" w14:textId="77777777" w:rsidR="006619D8" w:rsidRPr="009259F9" w:rsidRDefault="006619D8" w:rsidP="006619D8">
            <w:pPr>
              <w:spacing w:after="120" w:line="240" w:lineRule="auto"/>
              <w:jc w:val="both"/>
              <w:rPr>
                <w:rFonts w:eastAsia="Times New Roman"/>
                <w:color w:val="000000"/>
                <w:sz w:val="20"/>
                <w:szCs w:val="20"/>
                <w:lang w:val="en-GB" w:eastAsia="el-GR"/>
              </w:rPr>
            </w:pPr>
          </w:p>
        </w:tc>
        <w:tc>
          <w:tcPr>
            <w:tcW w:w="1895" w:type="dxa"/>
            <w:tcBorders>
              <w:top w:val="nil"/>
              <w:left w:val="nil"/>
              <w:bottom w:val="nil"/>
              <w:right w:val="nil"/>
            </w:tcBorders>
            <w:shd w:val="clear" w:color="auto" w:fill="auto"/>
            <w:noWrap/>
            <w:vAlign w:val="bottom"/>
          </w:tcPr>
          <w:p w14:paraId="2A750452" w14:textId="77777777" w:rsidR="006619D8" w:rsidRPr="009259F9" w:rsidRDefault="006619D8" w:rsidP="006619D8">
            <w:pPr>
              <w:spacing w:after="120" w:line="240" w:lineRule="auto"/>
              <w:jc w:val="both"/>
              <w:rPr>
                <w:rFonts w:eastAsia="Times New Roman"/>
                <w:color w:val="000000"/>
                <w:sz w:val="20"/>
                <w:szCs w:val="20"/>
                <w:lang w:val="en-GB" w:eastAsia="el-GR"/>
              </w:rPr>
            </w:pPr>
          </w:p>
        </w:tc>
      </w:tr>
      <w:tr w:rsidR="006619D8" w:rsidRPr="009259F9" w14:paraId="4FCFD194" w14:textId="77777777" w:rsidTr="006619D8">
        <w:trPr>
          <w:trHeight w:hRule="exact" w:val="255"/>
        </w:trPr>
        <w:tc>
          <w:tcPr>
            <w:tcW w:w="5953" w:type="dxa"/>
            <w:tcBorders>
              <w:top w:val="nil"/>
              <w:left w:val="nil"/>
              <w:bottom w:val="nil"/>
              <w:right w:val="nil"/>
            </w:tcBorders>
            <w:shd w:val="clear" w:color="000000" w:fill="FFFFFF"/>
            <w:vAlign w:val="bottom"/>
          </w:tcPr>
          <w:p w14:paraId="44D376CE" w14:textId="351ECF43"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Μη κυκλοφορούν ενεργητικό</w:t>
            </w:r>
          </w:p>
        </w:tc>
        <w:tc>
          <w:tcPr>
            <w:tcW w:w="1985" w:type="dxa"/>
            <w:tcBorders>
              <w:top w:val="nil"/>
              <w:left w:val="nil"/>
              <w:bottom w:val="nil"/>
              <w:right w:val="nil"/>
            </w:tcBorders>
            <w:shd w:val="clear" w:color="auto" w:fill="E2EFD9"/>
            <w:noWrap/>
            <w:vAlign w:val="bottom"/>
          </w:tcPr>
          <w:p w14:paraId="26F190EF" w14:textId="77777777" w:rsidR="006619D8" w:rsidRPr="009259F9" w:rsidRDefault="006619D8" w:rsidP="006619D8">
            <w:pPr>
              <w:spacing w:after="120" w:line="240" w:lineRule="auto"/>
              <w:jc w:val="both"/>
              <w:rPr>
                <w:rFonts w:eastAsia="Times New Roman"/>
                <w:color w:val="000000"/>
                <w:sz w:val="20"/>
                <w:szCs w:val="20"/>
                <w:lang w:val="en-GB" w:eastAsia="el-GR"/>
              </w:rPr>
            </w:pPr>
          </w:p>
        </w:tc>
        <w:tc>
          <w:tcPr>
            <w:tcW w:w="283" w:type="dxa"/>
            <w:tcBorders>
              <w:top w:val="nil"/>
              <w:left w:val="nil"/>
              <w:bottom w:val="nil"/>
              <w:right w:val="nil"/>
            </w:tcBorders>
            <w:shd w:val="clear" w:color="auto" w:fill="auto"/>
            <w:noWrap/>
            <w:vAlign w:val="bottom"/>
          </w:tcPr>
          <w:p w14:paraId="1C51F199" w14:textId="77777777" w:rsidR="006619D8" w:rsidRPr="009259F9" w:rsidRDefault="006619D8" w:rsidP="006619D8">
            <w:pPr>
              <w:spacing w:after="120" w:line="240" w:lineRule="auto"/>
              <w:jc w:val="both"/>
              <w:rPr>
                <w:rFonts w:eastAsia="Times New Roman"/>
                <w:color w:val="000000"/>
                <w:sz w:val="20"/>
                <w:szCs w:val="20"/>
                <w:lang w:val="en-GB" w:eastAsia="el-GR"/>
              </w:rPr>
            </w:pPr>
          </w:p>
        </w:tc>
        <w:tc>
          <w:tcPr>
            <w:tcW w:w="1895" w:type="dxa"/>
            <w:tcBorders>
              <w:top w:val="nil"/>
              <w:left w:val="nil"/>
              <w:bottom w:val="nil"/>
              <w:right w:val="nil"/>
            </w:tcBorders>
            <w:shd w:val="clear" w:color="auto" w:fill="auto"/>
            <w:noWrap/>
            <w:vAlign w:val="bottom"/>
          </w:tcPr>
          <w:p w14:paraId="0EAE4D15" w14:textId="77777777" w:rsidR="006619D8" w:rsidRPr="009259F9" w:rsidRDefault="006619D8" w:rsidP="006619D8">
            <w:pPr>
              <w:spacing w:after="120" w:line="240" w:lineRule="auto"/>
              <w:jc w:val="both"/>
              <w:rPr>
                <w:rFonts w:eastAsia="Times New Roman"/>
                <w:color w:val="000000"/>
                <w:sz w:val="20"/>
                <w:szCs w:val="20"/>
                <w:lang w:val="en-GB" w:eastAsia="el-GR"/>
              </w:rPr>
            </w:pPr>
          </w:p>
        </w:tc>
      </w:tr>
      <w:tr w:rsidR="006619D8" w:rsidRPr="009259F9" w14:paraId="6A284B6F" w14:textId="77777777" w:rsidTr="006619D8">
        <w:trPr>
          <w:trHeight w:hRule="exact" w:val="255"/>
        </w:trPr>
        <w:tc>
          <w:tcPr>
            <w:tcW w:w="5953" w:type="dxa"/>
            <w:tcBorders>
              <w:top w:val="nil"/>
              <w:left w:val="nil"/>
              <w:bottom w:val="nil"/>
              <w:right w:val="nil"/>
            </w:tcBorders>
            <w:shd w:val="clear" w:color="000000" w:fill="FFFFFF"/>
            <w:vAlign w:val="bottom"/>
          </w:tcPr>
          <w:p w14:paraId="2AA92F12" w14:textId="7A0204E5" w:rsidR="006619D8" w:rsidRPr="009259F9" w:rsidRDefault="006619D8" w:rsidP="006619D8">
            <w:pPr>
              <w:spacing w:after="120" w:line="240" w:lineRule="auto"/>
              <w:jc w:val="both"/>
              <w:rPr>
                <w:rFonts w:eastAsia="Times New Roman"/>
                <w:sz w:val="20"/>
                <w:szCs w:val="20"/>
                <w:lang w:val="en-GB" w:eastAsia="el-GR"/>
              </w:rPr>
            </w:pPr>
            <w:r w:rsidRPr="006C0543">
              <w:rPr>
                <w:sz w:val="20"/>
              </w:rPr>
              <w:t>Ενσώματα πάγια στοιχεία</w:t>
            </w:r>
          </w:p>
        </w:tc>
        <w:tc>
          <w:tcPr>
            <w:tcW w:w="1985" w:type="dxa"/>
            <w:tcBorders>
              <w:top w:val="nil"/>
              <w:left w:val="nil"/>
              <w:bottom w:val="nil"/>
              <w:right w:val="nil"/>
            </w:tcBorders>
            <w:shd w:val="clear" w:color="auto" w:fill="E2EFD9"/>
            <w:noWrap/>
            <w:vAlign w:val="bottom"/>
          </w:tcPr>
          <w:p w14:paraId="33568DD7" w14:textId="445D92F9"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570.628</w:t>
            </w:r>
          </w:p>
        </w:tc>
        <w:tc>
          <w:tcPr>
            <w:tcW w:w="283" w:type="dxa"/>
            <w:tcBorders>
              <w:top w:val="nil"/>
              <w:left w:val="nil"/>
              <w:bottom w:val="nil"/>
              <w:right w:val="nil"/>
            </w:tcBorders>
            <w:shd w:val="clear" w:color="auto" w:fill="auto"/>
            <w:noWrap/>
            <w:vAlign w:val="bottom"/>
          </w:tcPr>
          <w:p w14:paraId="1A8C3CDC"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11078FE7" w14:textId="1F1CB5CB"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526.156</w:t>
            </w:r>
          </w:p>
        </w:tc>
      </w:tr>
      <w:tr w:rsidR="006619D8" w:rsidRPr="009259F9" w14:paraId="6E1003B6" w14:textId="77777777" w:rsidTr="006619D8">
        <w:trPr>
          <w:trHeight w:hRule="exact" w:val="255"/>
        </w:trPr>
        <w:tc>
          <w:tcPr>
            <w:tcW w:w="5953" w:type="dxa"/>
            <w:tcBorders>
              <w:top w:val="nil"/>
              <w:left w:val="nil"/>
              <w:bottom w:val="nil"/>
              <w:right w:val="nil"/>
            </w:tcBorders>
            <w:shd w:val="clear" w:color="000000" w:fill="FFFFFF"/>
            <w:vAlign w:val="bottom"/>
          </w:tcPr>
          <w:p w14:paraId="3509A9CF" w14:textId="3A82B0F0" w:rsidR="006619D8" w:rsidRPr="009259F9" w:rsidRDefault="006619D8" w:rsidP="006619D8">
            <w:pPr>
              <w:spacing w:after="120" w:line="240" w:lineRule="auto"/>
              <w:jc w:val="both"/>
              <w:rPr>
                <w:rFonts w:eastAsia="Times New Roman"/>
                <w:sz w:val="20"/>
                <w:szCs w:val="20"/>
                <w:lang w:val="en-GB" w:eastAsia="el-GR"/>
              </w:rPr>
            </w:pPr>
            <w:r w:rsidRPr="006C0543">
              <w:rPr>
                <w:sz w:val="20"/>
              </w:rPr>
              <w:t>Δικαιώματα χρήσης περιουσιακών στοιχείων</w:t>
            </w:r>
          </w:p>
        </w:tc>
        <w:tc>
          <w:tcPr>
            <w:tcW w:w="1985" w:type="dxa"/>
            <w:tcBorders>
              <w:top w:val="nil"/>
              <w:left w:val="nil"/>
              <w:bottom w:val="nil"/>
              <w:right w:val="nil"/>
            </w:tcBorders>
            <w:shd w:val="clear" w:color="auto" w:fill="E2EFD9"/>
            <w:noWrap/>
            <w:vAlign w:val="bottom"/>
          </w:tcPr>
          <w:p w14:paraId="6826B2E5" w14:textId="0B06169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7.715</w:t>
            </w:r>
          </w:p>
        </w:tc>
        <w:tc>
          <w:tcPr>
            <w:tcW w:w="283" w:type="dxa"/>
            <w:tcBorders>
              <w:top w:val="nil"/>
              <w:left w:val="nil"/>
              <w:bottom w:val="nil"/>
              <w:right w:val="nil"/>
            </w:tcBorders>
            <w:shd w:val="clear" w:color="auto" w:fill="auto"/>
            <w:noWrap/>
            <w:vAlign w:val="bottom"/>
          </w:tcPr>
          <w:p w14:paraId="2FA9ECA2"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tcPr>
          <w:p w14:paraId="24E7DCD8" w14:textId="1E113DD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3.764</w:t>
            </w:r>
          </w:p>
        </w:tc>
      </w:tr>
      <w:tr w:rsidR="006619D8" w:rsidRPr="009259F9" w14:paraId="457B7FCE" w14:textId="77777777" w:rsidTr="006619D8">
        <w:trPr>
          <w:trHeight w:hRule="exact" w:val="255"/>
        </w:trPr>
        <w:tc>
          <w:tcPr>
            <w:tcW w:w="5953" w:type="dxa"/>
            <w:tcBorders>
              <w:top w:val="nil"/>
              <w:left w:val="nil"/>
              <w:bottom w:val="nil"/>
              <w:right w:val="nil"/>
            </w:tcBorders>
            <w:shd w:val="clear" w:color="000000" w:fill="FFFFFF"/>
            <w:vAlign w:val="bottom"/>
          </w:tcPr>
          <w:p w14:paraId="59B54DD7" w14:textId="42CAC8D2" w:rsidR="006619D8" w:rsidRPr="009259F9" w:rsidRDefault="006619D8" w:rsidP="006619D8">
            <w:pPr>
              <w:spacing w:after="120" w:line="240" w:lineRule="auto"/>
              <w:jc w:val="both"/>
              <w:rPr>
                <w:rFonts w:eastAsia="Times New Roman"/>
                <w:sz w:val="20"/>
                <w:szCs w:val="20"/>
                <w:lang w:val="en-GB" w:eastAsia="el-GR"/>
              </w:rPr>
            </w:pPr>
            <w:r w:rsidRPr="006C0543">
              <w:rPr>
                <w:sz w:val="20"/>
              </w:rPr>
              <w:t xml:space="preserve">Άυλα περιουσιακά στοιχεία </w:t>
            </w:r>
          </w:p>
        </w:tc>
        <w:tc>
          <w:tcPr>
            <w:tcW w:w="1985" w:type="dxa"/>
            <w:tcBorders>
              <w:top w:val="nil"/>
              <w:left w:val="nil"/>
              <w:bottom w:val="nil"/>
              <w:right w:val="nil"/>
            </w:tcBorders>
            <w:shd w:val="clear" w:color="auto" w:fill="E2EFD9"/>
            <w:noWrap/>
            <w:vAlign w:val="bottom"/>
          </w:tcPr>
          <w:p w14:paraId="6B9A7389" w14:textId="00CB2891"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31.420</w:t>
            </w:r>
          </w:p>
        </w:tc>
        <w:tc>
          <w:tcPr>
            <w:tcW w:w="283" w:type="dxa"/>
            <w:tcBorders>
              <w:top w:val="nil"/>
              <w:left w:val="nil"/>
              <w:bottom w:val="nil"/>
              <w:right w:val="nil"/>
            </w:tcBorders>
            <w:shd w:val="clear" w:color="auto" w:fill="auto"/>
            <w:noWrap/>
            <w:vAlign w:val="bottom"/>
          </w:tcPr>
          <w:p w14:paraId="1F4F40E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3E791084" w14:textId="09238EA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31.957</w:t>
            </w:r>
          </w:p>
        </w:tc>
      </w:tr>
      <w:tr w:rsidR="006619D8" w:rsidRPr="009259F9" w14:paraId="1DE52151" w14:textId="77777777" w:rsidTr="006619D8">
        <w:trPr>
          <w:trHeight w:hRule="exact" w:val="255"/>
        </w:trPr>
        <w:tc>
          <w:tcPr>
            <w:tcW w:w="5953" w:type="dxa"/>
            <w:tcBorders>
              <w:top w:val="nil"/>
              <w:left w:val="nil"/>
              <w:bottom w:val="nil"/>
              <w:right w:val="nil"/>
            </w:tcBorders>
            <w:shd w:val="clear" w:color="000000" w:fill="FFFFFF"/>
            <w:vAlign w:val="bottom"/>
          </w:tcPr>
          <w:p w14:paraId="67BBB269" w14:textId="7886EDC3" w:rsidR="006619D8" w:rsidRPr="009259F9" w:rsidRDefault="006619D8" w:rsidP="006619D8">
            <w:pPr>
              <w:spacing w:after="120" w:line="240" w:lineRule="auto"/>
              <w:jc w:val="both"/>
              <w:rPr>
                <w:rFonts w:eastAsia="Times New Roman"/>
                <w:sz w:val="20"/>
                <w:szCs w:val="20"/>
                <w:lang w:val="en-GB" w:eastAsia="el-GR"/>
              </w:rPr>
            </w:pPr>
            <w:r w:rsidRPr="006C0543">
              <w:rPr>
                <w:sz w:val="20"/>
              </w:rPr>
              <w:t>Επενδύσεις σε ακίνητα</w:t>
            </w:r>
          </w:p>
        </w:tc>
        <w:tc>
          <w:tcPr>
            <w:tcW w:w="1985" w:type="dxa"/>
            <w:tcBorders>
              <w:top w:val="nil"/>
              <w:left w:val="nil"/>
              <w:bottom w:val="nil"/>
              <w:right w:val="nil"/>
            </w:tcBorders>
            <w:shd w:val="clear" w:color="auto" w:fill="E2EFD9"/>
            <w:noWrap/>
            <w:vAlign w:val="bottom"/>
          </w:tcPr>
          <w:p w14:paraId="71A81DD0" w14:textId="08345D95"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155</w:t>
            </w:r>
          </w:p>
        </w:tc>
        <w:tc>
          <w:tcPr>
            <w:tcW w:w="283" w:type="dxa"/>
            <w:tcBorders>
              <w:top w:val="nil"/>
              <w:left w:val="nil"/>
              <w:bottom w:val="nil"/>
              <w:right w:val="nil"/>
            </w:tcBorders>
            <w:shd w:val="clear" w:color="auto" w:fill="auto"/>
            <w:noWrap/>
            <w:vAlign w:val="bottom"/>
          </w:tcPr>
          <w:p w14:paraId="598CA27B"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3423482" w14:textId="116D28D3"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155</w:t>
            </w:r>
          </w:p>
        </w:tc>
      </w:tr>
      <w:tr w:rsidR="006619D8" w:rsidRPr="009259F9" w14:paraId="3732048B" w14:textId="77777777" w:rsidTr="006619D8">
        <w:trPr>
          <w:trHeight w:hRule="exact" w:val="255"/>
        </w:trPr>
        <w:tc>
          <w:tcPr>
            <w:tcW w:w="5953" w:type="dxa"/>
            <w:tcBorders>
              <w:top w:val="nil"/>
              <w:left w:val="nil"/>
              <w:bottom w:val="nil"/>
              <w:right w:val="nil"/>
            </w:tcBorders>
            <w:shd w:val="clear" w:color="000000" w:fill="FFFFFF"/>
            <w:vAlign w:val="bottom"/>
          </w:tcPr>
          <w:p w14:paraId="09750A71" w14:textId="6B5C4AFF" w:rsidR="006619D8" w:rsidRPr="009259F9" w:rsidRDefault="006619D8" w:rsidP="006619D8">
            <w:pPr>
              <w:spacing w:after="120" w:line="240" w:lineRule="auto"/>
              <w:jc w:val="both"/>
              <w:rPr>
                <w:rFonts w:eastAsia="Times New Roman"/>
                <w:sz w:val="20"/>
                <w:szCs w:val="20"/>
                <w:lang w:val="en-GB" w:eastAsia="el-GR"/>
              </w:rPr>
            </w:pPr>
            <w:r w:rsidRPr="006C0543">
              <w:rPr>
                <w:sz w:val="20"/>
              </w:rPr>
              <w:t>Συμμετοχές σε συγγενείς επιχειρήσεις</w:t>
            </w:r>
          </w:p>
        </w:tc>
        <w:tc>
          <w:tcPr>
            <w:tcW w:w="1985" w:type="dxa"/>
            <w:tcBorders>
              <w:top w:val="nil"/>
              <w:left w:val="nil"/>
              <w:bottom w:val="nil"/>
              <w:right w:val="nil"/>
            </w:tcBorders>
            <w:shd w:val="clear" w:color="auto" w:fill="E2EFD9"/>
            <w:noWrap/>
            <w:vAlign w:val="bottom"/>
          </w:tcPr>
          <w:p w14:paraId="656DDFE2" w14:textId="49DAD60D"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37.288</w:t>
            </w:r>
          </w:p>
        </w:tc>
        <w:tc>
          <w:tcPr>
            <w:tcW w:w="283" w:type="dxa"/>
            <w:tcBorders>
              <w:top w:val="nil"/>
              <w:left w:val="nil"/>
              <w:bottom w:val="nil"/>
              <w:right w:val="nil"/>
            </w:tcBorders>
            <w:shd w:val="clear" w:color="auto" w:fill="auto"/>
            <w:noWrap/>
            <w:vAlign w:val="bottom"/>
          </w:tcPr>
          <w:p w14:paraId="4332C90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E56E8EA" w14:textId="572088F4"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40.959</w:t>
            </w:r>
          </w:p>
        </w:tc>
      </w:tr>
      <w:tr w:rsidR="006619D8" w:rsidRPr="009259F9" w14:paraId="35CCDFB8" w14:textId="77777777" w:rsidTr="006619D8">
        <w:trPr>
          <w:trHeight w:hRule="exact" w:val="255"/>
        </w:trPr>
        <w:tc>
          <w:tcPr>
            <w:tcW w:w="5953" w:type="dxa"/>
            <w:tcBorders>
              <w:top w:val="nil"/>
              <w:left w:val="nil"/>
              <w:bottom w:val="nil"/>
              <w:right w:val="nil"/>
            </w:tcBorders>
            <w:shd w:val="clear" w:color="000000" w:fill="FFFFFF"/>
            <w:vAlign w:val="bottom"/>
          </w:tcPr>
          <w:p w14:paraId="25FE434E" w14:textId="4EB60DE6" w:rsidR="006619D8" w:rsidRPr="009259F9" w:rsidRDefault="006619D8" w:rsidP="006619D8">
            <w:pPr>
              <w:spacing w:after="120" w:line="240" w:lineRule="auto"/>
              <w:jc w:val="both"/>
              <w:rPr>
                <w:rFonts w:eastAsia="Times New Roman"/>
                <w:sz w:val="20"/>
                <w:szCs w:val="20"/>
                <w:lang w:val="en-GB" w:eastAsia="el-GR"/>
              </w:rPr>
            </w:pPr>
            <w:r w:rsidRPr="006C0543">
              <w:rPr>
                <w:sz w:val="20"/>
              </w:rPr>
              <w:t>Λοιπές επενδύσεις</w:t>
            </w:r>
          </w:p>
        </w:tc>
        <w:tc>
          <w:tcPr>
            <w:tcW w:w="1985" w:type="dxa"/>
            <w:tcBorders>
              <w:top w:val="nil"/>
              <w:left w:val="nil"/>
              <w:bottom w:val="nil"/>
              <w:right w:val="nil"/>
            </w:tcBorders>
            <w:shd w:val="clear" w:color="auto" w:fill="E2EFD9"/>
            <w:noWrap/>
            <w:vAlign w:val="bottom"/>
          </w:tcPr>
          <w:p w14:paraId="32B40DD3" w14:textId="36E408C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6.524</w:t>
            </w:r>
          </w:p>
        </w:tc>
        <w:tc>
          <w:tcPr>
            <w:tcW w:w="283" w:type="dxa"/>
            <w:tcBorders>
              <w:top w:val="nil"/>
              <w:left w:val="nil"/>
              <w:bottom w:val="nil"/>
              <w:right w:val="nil"/>
            </w:tcBorders>
            <w:shd w:val="clear" w:color="auto" w:fill="auto"/>
            <w:noWrap/>
            <w:vAlign w:val="bottom"/>
          </w:tcPr>
          <w:p w14:paraId="4083248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21D36D3" w14:textId="6090326F"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6.308</w:t>
            </w:r>
          </w:p>
        </w:tc>
      </w:tr>
      <w:tr w:rsidR="006619D8" w:rsidRPr="009259F9" w14:paraId="48E5714B" w14:textId="77777777" w:rsidTr="006619D8">
        <w:trPr>
          <w:trHeight w:hRule="exact" w:val="255"/>
        </w:trPr>
        <w:tc>
          <w:tcPr>
            <w:tcW w:w="5953" w:type="dxa"/>
            <w:tcBorders>
              <w:top w:val="nil"/>
              <w:left w:val="nil"/>
              <w:bottom w:val="nil"/>
              <w:right w:val="nil"/>
            </w:tcBorders>
            <w:shd w:val="clear" w:color="000000" w:fill="FFFFFF"/>
            <w:vAlign w:val="bottom"/>
          </w:tcPr>
          <w:p w14:paraId="1B9CC62F" w14:textId="394014BC" w:rsidR="006619D8" w:rsidRPr="009259F9" w:rsidRDefault="006619D8" w:rsidP="006619D8">
            <w:pPr>
              <w:spacing w:after="120" w:line="240" w:lineRule="auto"/>
              <w:jc w:val="both"/>
              <w:rPr>
                <w:rFonts w:eastAsia="Times New Roman"/>
                <w:sz w:val="20"/>
                <w:szCs w:val="20"/>
                <w:lang w:val="en-GB" w:eastAsia="el-GR"/>
              </w:rPr>
            </w:pPr>
            <w:r w:rsidRPr="006C0543">
              <w:rPr>
                <w:sz w:val="20"/>
              </w:rPr>
              <w:t>Παράγωγα</w:t>
            </w:r>
          </w:p>
        </w:tc>
        <w:tc>
          <w:tcPr>
            <w:tcW w:w="1985" w:type="dxa"/>
            <w:tcBorders>
              <w:top w:val="nil"/>
              <w:left w:val="nil"/>
              <w:bottom w:val="nil"/>
              <w:right w:val="nil"/>
            </w:tcBorders>
            <w:shd w:val="clear" w:color="auto" w:fill="E2EFD9"/>
            <w:noWrap/>
            <w:vAlign w:val="bottom"/>
          </w:tcPr>
          <w:p w14:paraId="5867F4BB" w14:textId="6C6047C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4.607</w:t>
            </w:r>
          </w:p>
        </w:tc>
        <w:tc>
          <w:tcPr>
            <w:tcW w:w="283" w:type="dxa"/>
            <w:tcBorders>
              <w:top w:val="nil"/>
              <w:left w:val="nil"/>
              <w:bottom w:val="nil"/>
              <w:right w:val="nil"/>
            </w:tcBorders>
            <w:shd w:val="clear" w:color="auto" w:fill="auto"/>
            <w:noWrap/>
            <w:vAlign w:val="bottom"/>
          </w:tcPr>
          <w:p w14:paraId="2724902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tcPr>
          <w:p w14:paraId="40BA5F43" w14:textId="504B81A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6.992</w:t>
            </w:r>
          </w:p>
        </w:tc>
      </w:tr>
      <w:tr w:rsidR="006619D8" w:rsidRPr="009259F9" w14:paraId="4EB66AE8" w14:textId="77777777" w:rsidTr="006619D8">
        <w:trPr>
          <w:trHeight w:hRule="exact" w:val="255"/>
        </w:trPr>
        <w:tc>
          <w:tcPr>
            <w:tcW w:w="5953" w:type="dxa"/>
            <w:tcBorders>
              <w:top w:val="nil"/>
              <w:left w:val="nil"/>
              <w:bottom w:val="nil"/>
              <w:right w:val="nil"/>
            </w:tcBorders>
            <w:shd w:val="clear" w:color="000000" w:fill="FFFFFF"/>
            <w:vAlign w:val="bottom"/>
          </w:tcPr>
          <w:p w14:paraId="08794FDC" w14:textId="6A684484" w:rsidR="006619D8" w:rsidRPr="009259F9" w:rsidRDefault="006619D8" w:rsidP="006619D8">
            <w:pPr>
              <w:spacing w:after="120" w:line="240" w:lineRule="auto"/>
              <w:jc w:val="both"/>
              <w:rPr>
                <w:rFonts w:eastAsia="Times New Roman"/>
                <w:sz w:val="20"/>
                <w:szCs w:val="20"/>
                <w:lang w:val="en-GB" w:eastAsia="el-GR"/>
              </w:rPr>
            </w:pPr>
            <w:r w:rsidRPr="006C0543">
              <w:rPr>
                <w:sz w:val="20"/>
              </w:rPr>
              <w:t>Εμπορικές και λοιπές απαιτήσεις</w:t>
            </w:r>
          </w:p>
        </w:tc>
        <w:tc>
          <w:tcPr>
            <w:tcW w:w="1985" w:type="dxa"/>
            <w:tcBorders>
              <w:top w:val="nil"/>
              <w:left w:val="nil"/>
              <w:bottom w:val="nil"/>
              <w:right w:val="nil"/>
            </w:tcBorders>
            <w:shd w:val="clear" w:color="auto" w:fill="E2EFD9"/>
            <w:noWrap/>
            <w:vAlign w:val="bottom"/>
          </w:tcPr>
          <w:p w14:paraId="77935D3A" w14:textId="4E198195"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841</w:t>
            </w:r>
          </w:p>
        </w:tc>
        <w:tc>
          <w:tcPr>
            <w:tcW w:w="283" w:type="dxa"/>
            <w:tcBorders>
              <w:top w:val="nil"/>
              <w:left w:val="nil"/>
              <w:bottom w:val="nil"/>
              <w:right w:val="nil"/>
            </w:tcBorders>
            <w:shd w:val="clear" w:color="auto" w:fill="auto"/>
            <w:noWrap/>
            <w:vAlign w:val="bottom"/>
          </w:tcPr>
          <w:p w14:paraId="6B6C7ADF"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3BB2A024" w14:textId="19052255"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1.227</w:t>
            </w:r>
          </w:p>
        </w:tc>
      </w:tr>
      <w:tr w:rsidR="006619D8" w:rsidRPr="009259F9" w14:paraId="188A3999" w14:textId="77777777" w:rsidTr="006619D8">
        <w:trPr>
          <w:trHeight w:hRule="exact" w:val="255"/>
        </w:trPr>
        <w:tc>
          <w:tcPr>
            <w:tcW w:w="5953" w:type="dxa"/>
            <w:tcBorders>
              <w:top w:val="nil"/>
              <w:left w:val="nil"/>
              <w:bottom w:val="nil"/>
              <w:right w:val="nil"/>
            </w:tcBorders>
            <w:shd w:val="clear" w:color="000000" w:fill="FFFFFF"/>
            <w:vAlign w:val="bottom"/>
          </w:tcPr>
          <w:p w14:paraId="6AD7F304" w14:textId="3D195C16" w:rsidR="006619D8" w:rsidRPr="009259F9" w:rsidRDefault="006619D8" w:rsidP="006619D8">
            <w:pPr>
              <w:spacing w:after="120" w:line="240" w:lineRule="auto"/>
              <w:jc w:val="both"/>
              <w:rPr>
                <w:rFonts w:eastAsia="Times New Roman"/>
                <w:sz w:val="20"/>
                <w:szCs w:val="20"/>
                <w:lang w:val="en-GB" w:eastAsia="el-GR"/>
              </w:rPr>
            </w:pPr>
            <w:r w:rsidRPr="006C0543">
              <w:rPr>
                <w:sz w:val="20"/>
              </w:rPr>
              <w:t>Κόστος συμβάσεων</w:t>
            </w:r>
          </w:p>
        </w:tc>
        <w:tc>
          <w:tcPr>
            <w:tcW w:w="1985" w:type="dxa"/>
            <w:tcBorders>
              <w:top w:val="nil"/>
              <w:left w:val="nil"/>
              <w:bottom w:val="nil"/>
              <w:right w:val="nil"/>
            </w:tcBorders>
            <w:shd w:val="clear" w:color="auto" w:fill="E2EFD9"/>
            <w:noWrap/>
            <w:vAlign w:val="bottom"/>
          </w:tcPr>
          <w:p w14:paraId="1B6FC0E5" w14:textId="13EDA92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222</w:t>
            </w:r>
          </w:p>
        </w:tc>
        <w:tc>
          <w:tcPr>
            <w:tcW w:w="283" w:type="dxa"/>
            <w:tcBorders>
              <w:top w:val="nil"/>
              <w:left w:val="nil"/>
              <w:bottom w:val="nil"/>
              <w:right w:val="nil"/>
            </w:tcBorders>
            <w:shd w:val="clear" w:color="auto" w:fill="auto"/>
            <w:noWrap/>
            <w:vAlign w:val="bottom"/>
          </w:tcPr>
          <w:p w14:paraId="2947CEA2"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tcPr>
          <w:p w14:paraId="42CEF498" w14:textId="76C8E611"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222</w:t>
            </w:r>
          </w:p>
        </w:tc>
      </w:tr>
      <w:tr w:rsidR="006619D8" w:rsidRPr="009259F9" w14:paraId="1A28EB5C" w14:textId="77777777" w:rsidTr="006619D8">
        <w:trPr>
          <w:trHeight w:hRule="exact" w:val="255"/>
        </w:trPr>
        <w:tc>
          <w:tcPr>
            <w:tcW w:w="5953" w:type="dxa"/>
            <w:tcBorders>
              <w:top w:val="nil"/>
              <w:left w:val="nil"/>
              <w:bottom w:val="nil"/>
              <w:right w:val="nil"/>
            </w:tcBorders>
            <w:shd w:val="clear" w:color="000000" w:fill="FFFFFF"/>
            <w:vAlign w:val="bottom"/>
          </w:tcPr>
          <w:p w14:paraId="1076F92A" w14:textId="10EE938F" w:rsidR="006619D8" w:rsidRPr="009259F9" w:rsidRDefault="006619D8" w:rsidP="006619D8">
            <w:pPr>
              <w:spacing w:after="120" w:line="240" w:lineRule="auto"/>
              <w:jc w:val="both"/>
              <w:rPr>
                <w:rFonts w:eastAsia="Times New Roman"/>
                <w:sz w:val="20"/>
                <w:szCs w:val="20"/>
                <w:lang w:val="en-GB" w:eastAsia="el-GR"/>
              </w:rPr>
            </w:pPr>
            <w:r w:rsidRPr="006C0543">
              <w:rPr>
                <w:sz w:val="20"/>
              </w:rPr>
              <w:t>Αναβαλλόμενες φορολογικές απαιτήσεις</w:t>
            </w:r>
          </w:p>
        </w:tc>
        <w:tc>
          <w:tcPr>
            <w:tcW w:w="1985" w:type="dxa"/>
            <w:tcBorders>
              <w:top w:val="nil"/>
              <w:left w:val="nil"/>
              <w:bottom w:val="nil"/>
              <w:right w:val="nil"/>
            </w:tcBorders>
            <w:shd w:val="clear" w:color="auto" w:fill="E2EFD9"/>
            <w:noWrap/>
            <w:vAlign w:val="bottom"/>
          </w:tcPr>
          <w:p w14:paraId="187C8F62" w14:textId="09D7372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4.798</w:t>
            </w:r>
          </w:p>
        </w:tc>
        <w:tc>
          <w:tcPr>
            <w:tcW w:w="283" w:type="dxa"/>
            <w:tcBorders>
              <w:top w:val="nil"/>
              <w:left w:val="nil"/>
              <w:bottom w:val="nil"/>
              <w:right w:val="nil"/>
            </w:tcBorders>
            <w:shd w:val="clear" w:color="auto" w:fill="auto"/>
            <w:noWrap/>
            <w:vAlign w:val="bottom"/>
          </w:tcPr>
          <w:p w14:paraId="7D955DDE"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663F017C" w14:textId="7F15789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2.844</w:t>
            </w:r>
          </w:p>
        </w:tc>
      </w:tr>
      <w:tr w:rsidR="006619D8" w:rsidRPr="009259F9" w14:paraId="09EB2EDE" w14:textId="77777777" w:rsidTr="006619D8">
        <w:trPr>
          <w:trHeight w:hRule="exact" w:val="255"/>
        </w:trPr>
        <w:tc>
          <w:tcPr>
            <w:tcW w:w="5953" w:type="dxa"/>
            <w:tcBorders>
              <w:top w:val="nil"/>
              <w:left w:val="nil"/>
              <w:bottom w:val="nil"/>
              <w:right w:val="nil"/>
            </w:tcBorders>
            <w:shd w:val="clear" w:color="000000" w:fill="FFFFFF"/>
            <w:vAlign w:val="bottom"/>
          </w:tcPr>
          <w:p w14:paraId="4D803F47" w14:textId="77777777" w:rsidR="006619D8" w:rsidRPr="009259F9" w:rsidRDefault="006619D8" w:rsidP="006619D8">
            <w:pPr>
              <w:spacing w:after="120" w:line="240" w:lineRule="auto"/>
              <w:jc w:val="both"/>
              <w:rPr>
                <w:rFonts w:eastAsia="Times New Roman"/>
                <w:b/>
                <w:bCs/>
                <w:sz w:val="20"/>
                <w:szCs w:val="20"/>
                <w:lang w:val="en-GB" w:eastAsia="el-GR"/>
              </w:rPr>
            </w:pPr>
          </w:p>
        </w:tc>
        <w:tc>
          <w:tcPr>
            <w:tcW w:w="1985" w:type="dxa"/>
            <w:tcBorders>
              <w:top w:val="single" w:sz="4" w:space="0" w:color="auto"/>
              <w:left w:val="nil"/>
              <w:bottom w:val="single" w:sz="4" w:space="0" w:color="auto"/>
              <w:right w:val="nil"/>
            </w:tcBorders>
            <w:shd w:val="clear" w:color="auto" w:fill="E2EFD9"/>
            <w:noWrap/>
            <w:vAlign w:val="bottom"/>
          </w:tcPr>
          <w:p w14:paraId="7745F32E" w14:textId="6A7684E7"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664.197</w:t>
            </w:r>
          </w:p>
        </w:tc>
        <w:tc>
          <w:tcPr>
            <w:tcW w:w="283" w:type="dxa"/>
            <w:tcBorders>
              <w:top w:val="nil"/>
              <w:left w:val="nil"/>
              <w:bottom w:val="nil"/>
              <w:right w:val="nil"/>
            </w:tcBorders>
            <w:shd w:val="clear" w:color="auto" w:fill="auto"/>
            <w:noWrap/>
            <w:vAlign w:val="bottom"/>
          </w:tcPr>
          <w:p w14:paraId="518F2432"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7B6C6EFF" w14:textId="1A237CAF"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620.582</w:t>
            </w:r>
          </w:p>
        </w:tc>
      </w:tr>
      <w:tr w:rsidR="006619D8" w:rsidRPr="009259F9" w14:paraId="022F1944" w14:textId="77777777" w:rsidTr="006619D8">
        <w:trPr>
          <w:trHeight w:hRule="exact" w:val="255"/>
        </w:trPr>
        <w:tc>
          <w:tcPr>
            <w:tcW w:w="5953" w:type="dxa"/>
            <w:tcBorders>
              <w:top w:val="nil"/>
              <w:left w:val="nil"/>
              <w:bottom w:val="nil"/>
              <w:right w:val="nil"/>
            </w:tcBorders>
            <w:shd w:val="clear" w:color="000000" w:fill="FFFFFF"/>
            <w:vAlign w:val="bottom"/>
          </w:tcPr>
          <w:p w14:paraId="79F12731" w14:textId="2B9F8714"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Κυκλοφορούν ενεργητικό</w:t>
            </w:r>
          </w:p>
        </w:tc>
        <w:tc>
          <w:tcPr>
            <w:tcW w:w="1985" w:type="dxa"/>
            <w:tcBorders>
              <w:top w:val="nil"/>
              <w:left w:val="nil"/>
              <w:bottom w:val="nil"/>
              <w:right w:val="nil"/>
            </w:tcBorders>
            <w:shd w:val="clear" w:color="auto" w:fill="E2EFD9"/>
            <w:noWrap/>
            <w:vAlign w:val="bottom"/>
          </w:tcPr>
          <w:p w14:paraId="0871677A" w14:textId="51812A84" w:rsidR="006619D8" w:rsidRPr="009259F9" w:rsidRDefault="006619D8" w:rsidP="006619D8">
            <w:pPr>
              <w:spacing w:after="120" w:line="240" w:lineRule="auto"/>
              <w:rPr>
                <w:rFonts w:cs="Calibri"/>
                <w:color w:val="000000"/>
                <w:sz w:val="20"/>
                <w:szCs w:val="20"/>
                <w:lang w:val="en-GB"/>
              </w:rPr>
            </w:pPr>
            <w:r>
              <w:rPr>
                <w:rFonts w:cs="Calibri"/>
                <w:color w:val="000000"/>
                <w:sz w:val="20"/>
                <w:szCs w:val="20"/>
              </w:rPr>
              <w:t> </w:t>
            </w:r>
          </w:p>
        </w:tc>
        <w:tc>
          <w:tcPr>
            <w:tcW w:w="283" w:type="dxa"/>
            <w:tcBorders>
              <w:top w:val="nil"/>
              <w:left w:val="nil"/>
              <w:bottom w:val="nil"/>
              <w:right w:val="nil"/>
            </w:tcBorders>
            <w:shd w:val="clear" w:color="auto" w:fill="auto"/>
            <w:noWrap/>
            <w:vAlign w:val="bottom"/>
          </w:tcPr>
          <w:p w14:paraId="019B5D0F"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404DC298" w14:textId="22E3FDA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r>
      <w:tr w:rsidR="006619D8" w:rsidRPr="009259F9" w14:paraId="19047408" w14:textId="77777777" w:rsidTr="006619D8">
        <w:trPr>
          <w:trHeight w:hRule="exact" w:val="255"/>
        </w:trPr>
        <w:tc>
          <w:tcPr>
            <w:tcW w:w="5953" w:type="dxa"/>
            <w:tcBorders>
              <w:top w:val="nil"/>
              <w:left w:val="nil"/>
              <w:bottom w:val="nil"/>
              <w:right w:val="nil"/>
            </w:tcBorders>
            <w:shd w:val="clear" w:color="000000" w:fill="FFFFFF"/>
            <w:vAlign w:val="center"/>
          </w:tcPr>
          <w:p w14:paraId="554DAA02" w14:textId="220DD199"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Αποθέματα</w:t>
            </w:r>
          </w:p>
        </w:tc>
        <w:tc>
          <w:tcPr>
            <w:tcW w:w="1985" w:type="dxa"/>
            <w:tcBorders>
              <w:top w:val="nil"/>
              <w:left w:val="nil"/>
              <w:bottom w:val="nil"/>
              <w:right w:val="nil"/>
            </w:tcBorders>
            <w:shd w:val="clear" w:color="auto" w:fill="E2EFD9"/>
            <w:noWrap/>
            <w:vAlign w:val="bottom"/>
          </w:tcPr>
          <w:p w14:paraId="7A19BD7D" w14:textId="7F55908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490.030</w:t>
            </w:r>
          </w:p>
        </w:tc>
        <w:tc>
          <w:tcPr>
            <w:tcW w:w="283" w:type="dxa"/>
            <w:tcBorders>
              <w:top w:val="nil"/>
              <w:left w:val="nil"/>
              <w:bottom w:val="nil"/>
              <w:right w:val="nil"/>
            </w:tcBorders>
            <w:shd w:val="clear" w:color="auto" w:fill="auto"/>
            <w:noWrap/>
            <w:vAlign w:val="bottom"/>
          </w:tcPr>
          <w:p w14:paraId="4887564D"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B06A569" w14:textId="74E8410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507.545</w:t>
            </w:r>
          </w:p>
        </w:tc>
      </w:tr>
      <w:tr w:rsidR="006619D8" w:rsidRPr="009259F9" w14:paraId="07E8BCD9" w14:textId="77777777" w:rsidTr="006619D8">
        <w:trPr>
          <w:trHeight w:hRule="exact" w:val="255"/>
        </w:trPr>
        <w:tc>
          <w:tcPr>
            <w:tcW w:w="5953" w:type="dxa"/>
            <w:tcBorders>
              <w:top w:val="nil"/>
              <w:left w:val="nil"/>
              <w:bottom w:val="nil"/>
              <w:right w:val="nil"/>
            </w:tcBorders>
            <w:shd w:val="clear" w:color="000000" w:fill="FFFFFF"/>
            <w:vAlign w:val="center"/>
          </w:tcPr>
          <w:p w14:paraId="0BFDD257" w14:textId="072EB16D"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Εμπορικές και λοιπές απαιτήσεις</w:t>
            </w:r>
          </w:p>
        </w:tc>
        <w:tc>
          <w:tcPr>
            <w:tcW w:w="1985" w:type="dxa"/>
            <w:tcBorders>
              <w:top w:val="nil"/>
              <w:left w:val="nil"/>
              <w:bottom w:val="nil"/>
              <w:right w:val="nil"/>
            </w:tcBorders>
            <w:shd w:val="clear" w:color="auto" w:fill="E2EFD9"/>
            <w:noWrap/>
            <w:vAlign w:val="bottom"/>
          </w:tcPr>
          <w:p w14:paraId="7877EE64" w14:textId="2816E29F" w:rsidR="006619D8" w:rsidRPr="009259F9" w:rsidRDefault="000F076F" w:rsidP="006619D8">
            <w:pPr>
              <w:spacing w:after="120" w:line="240" w:lineRule="auto"/>
              <w:jc w:val="right"/>
              <w:rPr>
                <w:rFonts w:cs="Calibri"/>
                <w:color w:val="000000"/>
                <w:sz w:val="20"/>
                <w:szCs w:val="20"/>
                <w:lang w:val="en-GB"/>
              </w:rPr>
            </w:pPr>
            <w:r>
              <w:rPr>
                <w:rFonts w:cs="Calibri"/>
                <w:color w:val="000000"/>
                <w:sz w:val="20"/>
                <w:szCs w:val="20"/>
                <w:lang w:val="en-GB"/>
              </w:rPr>
              <w:t>198.021</w:t>
            </w:r>
          </w:p>
        </w:tc>
        <w:tc>
          <w:tcPr>
            <w:tcW w:w="283" w:type="dxa"/>
            <w:tcBorders>
              <w:top w:val="nil"/>
              <w:left w:val="nil"/>
              <w:bottom w:val="nil"/>
              <w:right w:val="nil"/>
            </w:tcBorders>
            <w:shd w:val="clear" w:color="auto" w:fill="auto"/>
            <w:noWrap/>
            <w:vAlign w:val="bottom"/>
          </w:tcPr>
          <w:p w14:paraId="2C017B3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4FE10E27" w14:textId="5DB3E98A"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192.769</w:t>
            </w:r>
          </w:p>
        </w:tc>
      </w:tr>
      <w:tr w:rsidR="006619D8" w:rsidRPr="009259F9" w14:paraId="729885AA" w14:textId="77777777" w:rsidTr="006619D8">
        <w:trPr>
          <w:trHeight w:hRule="exact" w:val="255"/>
        </w:trPr>
        <w:tc>
          <w:tcPr>
            <w:tcW w:w="5953" w:type="dxa"/>
            <w:tcBorders>
              <w:top w:val="nil"/>
              <w:left w:val="nil"/>
              <w:bottom w:val="nil"/>
              <w:right w:val="nil"/>
            </w:tcBorders>
            <w:shd w:val="clear" w:color="000000" w:fill="FFFFFF"/>
            <w:vAlign w:val="bottom"/>
          </w:tcPr>
          <w:p w14:paraId="404773C3" w14:textId="25596A15"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Συμβατικά περιουσιακά στοιχεία</w:t>
            </w:r>
          </w:p>
        </w:tc>
        <w:tc>
          <w:tcPr>
            <w:tcW w:w="1985" w:type="dxa"/>
            <w:tcBorders>
              <w:top w:val="nil"/>
              <w:left w:val="nil"/>
              <w:bottom w:val="nil"/>
              <w:right w:val="nil"/>
            </w:tcBorders>
            <w:shd w:val="clear" w:color="auto" w:fill="E2EFD9"/>
            <w:noWrap/>
            <w:vAlign w:val="bottom"/>
          </w:tcPr>
          <w:p w14:paraId="7BC56EBB" w14:textId="51D2AE86" w:rsidR="006619D8" w:rsidRPr="009259F9" w:rsidRDefault="000F076F" w:rsidP="006619D8">
            <w:pPr>
              <w:spacing w:after="120" w:line="240" w:lineRule="auto"/>
              <w:jc w:val="right"/>
              <w:rPr>
                <w:rFonts w:cs="Calibri"/>
                <w:color w:val="000000"/>
                <w:sz w:val="20"/>
                <w:szCs w:val="20"/>
                <w:lang w:val="en-GB"/>
              </w:rPr>
            </w:pPr>
            <w:r>
              <w:rPr>
                <w:rFonts w:cs="Calibri"/>
                <w:color w:val="000000"/>
                <w:sz w:val="20"/>
                <w:szCs w:val="20"/>
                <w:lang w:val="en-GB"/>
              </w:rPr>
              <w:t>244.729</w:t>
            </w:r>
          </w:p>
        </w:tc>
        <w:tc>
          <w:tcPr>
            <w:tcW w:w="283" w:type="dxa"/>
            <w:tcBorders>
              <w:top w:val="nil"/>
              <w:left w:val="nil"/>
              <w:bottom w:val="nil"/>
              <w:right w:val="nil"/>
            </w:tcBorders>
            <w:shd w:val="clear" w:color="auto" w:fill="auto"/>
            <w:noWrap/>
            <w:vAlign w:val="bottom"/>
          </w:tcPr>
          <w:p w14:paraId="6036056D"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137B0C6E" w14:textId="77F9876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195.481</w:t>
            </w:r>
          </w:p>
        </w:tc>
      </w:tr>
      <w:tr w:rsidR="006619D8" w:rsidRPr="009259F9" w14:paraId="6DA57C2C" w14:textId="77777777" w:rsidTr="006619D8">
        <w:trPr>
          <w:trHeight w:hRule="exact" w:val="255"/>
        </w:trPr>
        <w:tc>
          <w:tcPr>
            <w:tcW w:w="5953" w:type="dxa"/>
            <w:tcBorders>
              <w:top w:val="nil"/>
              <w:left w:val="nil"/>
              <w:bottom w:val="nil"/>
              <w:right w:val="nil"/>
            </w:tcBorders>
            <w:shd w:val="clear" w:color="000000" w:fill="FFFFFF"/>
            <w:vAlign w:val="bottom"/>
          </w:tcPr>
          <w:p w14:paraId="3A2D7BA3" w14:textId="7247660B"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Κόστος συμβάσεων</w:t>
            </w:r>
          </w:p>
        </w:tc>
        <w:tc>
          <w:tcPr>
            <w:tcW w:w="1985" w:type="dxa"/>
            <w:tcBorders>
              <w:top w:val="nil"/>
              <w:left w:val="nil"/>
              <w:bottom w:val="nil"/>
              <w:right w:val="nil"/>
            </w:tcBorders>
            <w:shd w:val="clear" w:color="auto" w:fill="E2EFD9"/>
            <w:noWrap/>
            <w:vAlign w:val="bottom"/>
          </w:tcPr>
          <w:p w14:paraId="7BEDDE4D" w14:textId="6694E9F9"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lang w:val="en-ZA"/>
              </w:rPr>
              <w:t>-</w:t>
            </w:r>
            <w:r>
              <w:rPr>
                <w:rFonts w:cs="Calibri"/>
                <w:color w:val="000000"/>
                <w:sz w:val="20"/>
                <w:szCs w:val="20"/>
              </w:rPr>
              <w:t> </w:t>
            </w:r>
          </w:p>
        </w:tc>
        <w:tc>
          <w:tcPr>
            <w:tcW w:w="283" w:type="dxa"/>
            <w:tcBorders>
              <w:top w:val="nil"/>
              <w:left w:val="nil"/>
              <w:bottom w:val="nil"/>
              <w:right w:val="nil"/>
            </w:tcBorders>
            <w:shd w:val="clear" w:color="auto" w:fill="auto"/>
            <w:noWrap/>
            <w:vAlign w:val="bottom"/>
          </w:tcPr>
          <w:p w14:paraId="6F76350B"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24DDD79E" w14:textId="6647FE9B"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14</w:t>
            </w:r>
          </w:p>
        </w:tc>
      </w:tr>
      <w:tr w:rsidR="006619D8" w:rsidRPr="009259F9" w14:paraId="22B30B99" w14:textId="77777777" w:rsidTr="006619D8">
        <w:trPr>
          <w:trHeight w:hRule="exact" w:val="255"/>
        </w:trPr>
        <w:tc>
          <w:tcPr>
            <w:tcW w:w="5953" w:type="dxa"/>
            <w:tcBorders>
              <w:top w:val="nil"/>
              <w:left w:val="nil"/>
              <w:bottom w:val="nil"/>
              <w:right w:val="nil"/>
            </w:tcBorders>
            <w:shd w:val="clear" w:color="000000" w:fill="FFFFFF"/>
            <w:vAlign w:val="bottom"/>
          </w:tcPr>
          <w:p w14:paraId="06CDA715" w14:textId="3822999A" w:rsidR="006619D8" w:rsidRPr="009259F9" w:rsidRDefault="006619D8" w:rsidP="006619D8">
            <w:pPr>
              <w:spacing w:after="120" w:line="240" w:lineRule="auto"/>
              <w:jc w:val="both"/>
              <w:rPr>
                <w:rFonts w:eastAsia="Times New Roman"/>
                <w:sz w:val="20"/>
                <w:szCs w:val="20"/>
                <w:lang w:val="en-GB" w:eastAsia="el-GR"/>
              </w:rPr>
            </w:pPr>
            <w:r w:rsidRPr="001E1018">
              <w:rPr>
                <w:color w:val="000000"/>
                <w:sz w:val="20"/>
              </w:rPr>
              <w:t>Προκαταβολή φόρου εισοδήματος</w:t>
            </w:r>
          </w:p>
        </w:tc>
        <w:tc>
          <w:tcPr>
            <w:tcW w:w="1985" w:type="dxa"/>
            <w:tcBorders>
              <w:top w:val="nil"/>
              <w:left w:val="nil"/>
              <w:bottom w:val="nil"/>
              <w:right w:val="nil"/>
            </w:tcBorders>
            <w:shd w:val="clear" w:color="auto" w:fill="E2EFD9"/>
            <w:noWrap/>
            <w:vAlign w:val="bottom"/>
          </w:tcPr>
          <w:p w14:paraId="1E70D777" w14:textId="3221014F"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8.102</w:t>
            </w:r>
          </w:p>
        </w:tc>
        <w:tc>
          <w:tcPr>
            <w:tcW w:w="283" w:type="dxa"/>
            <w:tcBorders>
              <w:top w:val="nil"/>
              <w:left w:val="nil"/>
              <w:bottom w:val="nil"/>
              <w:right w:val="nil"/>
            </w:tcBorders>
            <w:shd w:val="clear" w:color="auto" w:fill="auto"/>
            <w:noWrap/>
            <w:vAlign w:val="bottom"/>
          </w:tcPr>
          <w:p w14:paraId="6A06A78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1C55CD56" w14:textId="14C9655A"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5.575</w:t>
            </w:r>
          </w:p>
        </w:tc>
      </w:tr>
      <w:tr w:rsidR="006619D8" w:rsidRPr="009259F9" w14:paraId="55C4427E" w14:textId="77777777" w:rsidTr="006619D8">
        <w:trPr>
          <w:trHeight w:hRule="exact" w:val="255"/>
        </w:trPr>
        <w:tc>
          <w:tcPr>
            <w:tcW w:w="5953" w:type="dxa"/>
            <w:tcBorders>
              <w:top w:val="nil"/>
              <w:left w:val="nil"/>
              <w:bottom w:val="nil"/>
              <w:right w:val="nil"/>
            </w:tcBorders>
            <w:shd w:val="clear" w:color="000000" w:fill="FFFFFF"/>
            <w:vAlign w:val="center"/>
          </w:tcPr>
          <w:p w14:paraId="0C75EC62" w14:textId="226B681D"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Παράγωγα</w:t>
            </w:r>
          </w:p>
        </w:tc>
        <w:tc>
          <w:tcPr>
            <w:tcW w:w="1985" w:type="dxa"/>
            <w:tcBorders>
              <w:top w:val="nil"/>
              <w:left w:val="nil"/>
              <w:bottom w:val="nil"/>
              <w:right w:val="nil"/>
            </w:tcBorders>
            <w:shd w:val="clear" w:color="auto" w:fill="E2EFD9"/>
            <w:noWrap/>
            <w:vAlign w:val="bottom"/>
          </w:tcPr>
          <w:p w14:paraId="682DFC5B" w14:textId="35C0EBA1"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13.516</w:t>
            </w:r>
          </w:p>
        </w:tc>
        <w:tc>
          <w:tcPr>
            <w:tcW w:w="283" w:type="dxa"/>
            <w:tcBorders>
              <w:top w:val="nil"/>
              <w:left w:val="nil"/>
              <w:bottom w:val="nil"/>
              <w:right w:val="nil"/>
            </w:tcBorders>
            <w:shd w:val="clear" w:color="auto" w:fill="auto"/>
            <w:noWrap/>
            <w:vAlign w:val="bottom"/>
          </w:tcPr>
          <w:p w14:paraId="47370F0B"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2648E6A0" w14:textId="68F27BD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9.620</w:t>
            </w:r>
          </w:p>
        </w:tc>
      </w:tr>
      <w:tr w:rsidR="006619D8" w:rsidRPr="009259F9" w14:paraId="013845F9" w14:textId="77777777" w:rsidTr="006619D8">
        <w:trPr>
          <w:trHeight w:hRule="exact" w:val="255"/>
        </w:trPr>
        <w:tc>
          <w:tcPr>
            <w:tcW w:w="5953" w:type="dxa"/>
            <w:tcBorders>
              <w:top w:val="nil"/>
              <w:left w:val="nil"/>
              <w:bottom w:val="nil"/>
              <w:right w:val="nil"/>
            </w:tcBorders>
            <w:shd w:val="clear" w:color="000000" w:fill="FFFFFF"/>
            <w:vAlign w:val="center"/>
          </w:tcPr>
          <w:p w14:paraId="726FBDF3" w14:textId="0D85D8BC" w:rsidR="006619D8" w:rsidRPr="009259F9" w:rsidRDefault="006619D8" w:rsidP="006619D8">
            <w:pPr>
              <w:spacing w:after="120" w:line="240" w:lineRule="auto"/>
              <w:jc w:val="both"/>
              <w:rPr>
                <w:rFonts w:eastAsia="Times New Roman"/>
                <w:sz w:val="20"/>
                <w:szCs w:val="20"/>
                <w:lang w:val="en-GB" w:eastAsia="el-GR"/>
              </w:rPr>
            </w:pPr>
            <w:r>
              <w:rPr>
                <w:color w:val="000000"/>
                <w:sz w:val="20"/>
              </w:rPr>
              <w:t>Τ</w:t>
            </w:r>
            <w:r w:rsidRPr="006C0543">
              <w:rPr>
                <w:color w:val="000000"/>
                <w:sz w:val="20"/>
              </w:rPr>
              <w:t xml:space="preserve">αμειακά </w:t>
            </w:r>
            <w:r>
              <w:rPr>
                <w:color w:val="000000"/>
                <w:sz w:val="20"/>
              </w:rPr>
              <w:t>δ</w:t>
            </w:r>
            <w:r w:rsidRPr="006C0543">
              <w:rPr>
                <w:color w:val="000000"/>
                <w:sz w:val="20"/>
              </w:rPr>
              <w:t>ιαθέσιμα και ισοδύναμα</w:t>
            </w:r>
          </w:p>
        </w:tc>
        <w:tc>
          <w:tcPr>
            <w:tcW w:w="1985" w:type="dxa"/>
            <w:tcBorders>
              <w:top w:val="nil"/>
              <w:left w:val="nil"/>
              <w:bottom w:val="nil"/>
              <w:right w:val="nil"/>
            </w:tcBorders>
            <w:shd w:val="clear" w:color="auto" w:fill="E2EFD9"/>
            <w:noWrap/>
            <w:vAlign w:val="bottom"/>
          </w:tcPr>
          <w:p w14:paraId="281C18BB" w14:textId="581A5A2F"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212.840</w:t>
            </w:r>
          </w:p>
        </w:tc>
        <w:tc>
          <w:tcPr>
            <w:tcW w:w="283" w:type="dxa"/>
            <w:tcBorders>
              <w:top w:val="nil"/>
              <w:left w:val="nil"/>
              <w:bottom w:val="nil"/>
              <w:right w:val="nil"/>
            </w:tcBorders>
            <w:shd w:val="clear" w:color="auto" w:fill="auto"/>
            <w:noWrap/>
            <w:vAlign w:val="bottom"/>
          </w:tcPr>
          <w:p w14:paraId="58ED884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2B915360" w14:textId="2EA066F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167.160</w:t>
            </w:r>
          </w:p>
        </w:tc>
      </w:tr>
      <w:tr w:rsidR="006619D8" w:rsidRPr="009259F9" w14:paraId="46AC30D6" w14:textId="77777777" w:rsidTr="006619D8">
        <w:trPr>
          <w:trHeight w:hRule="exact" w:val="255"/>
        </w:trPr>
        <w:tc>
          <w:tcPr>
            <w:tcW w:w="5953" w:type="dxa"/>
            <w:tcBorders>
              <w:top w:val="nil"/>
              <w:left w:val="nil"/>
              <w:bottom w:val="nil"/>
              <w:right w:val="nil"/>
            </w:tcBorders>
            <w:shd w:val="clear" w:color="000000" w:fill="FFFFFF"/>
            <w:vAlign w:val="bottom"/>
          </w:tcPr>
          <w:p w14:paraId="2B80B98A" w14:textId="77777777" w:rsidR="006619D8" w:rsidRPr="009259F9" w:rsidRDefault="006619D8" w:rsidP="006619D8">
            <w:pPr>
              <w:spacing w:after="120" w:line="240" w:lineRule="auto"/>
              <w:jc w:val="both"/>
              <w:rPr>
                <w:rFonts w:eastAsia="Times New Roman"/>
                <w:sz w:val="20"/>
                <w:szCs w:val="20"/>
                <w:lang w:val="en-GB" w:eastAsia="el-GR"/>
              </w:rPr>
            </w:pPr>
          </w:p>
        </w:tc>
        <w:tc>
          <w:tcPr>
            <w:tcW w:w="1985" w:type="dxa"/>
            <w:tcBorders>
              <w:top w:val="single" w:sz="4" w:space="0" w:color="auto"/>
              <w:left w:val="nil"/>
              <w:bottom w:val="single" w:sz="4" w:space="0" w:color="auto"/>
              <w:right w:val="nil"/>
            </w:tcBorders>
            <w:shd w:val="clear" w:color="auto" w:fill="E2EFD9"/>
            <w:noWrap/>
            <w:vAlign w:val="bottom"/>
          </w:tcPr>
          <w:p w14:paraId="620FBBF7" w14:textId="191F8606"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1.167.238</w:t>
            </w:r>
          </w:p>
        </w:tc>
        <w:tc>
          <w:tcPr>
            <w:tcW w:w="283" w:type="dxa"/>
            <w:tcBorders>
              <w:top w:val="nil"/>
              <w:left w:val="nil"/>
              <w:bottom w:val="nil"/>
              <w:right w:val="nil"/>
            </w:tcBorders>
            <w:shd w:val="clear" w:color="auto" w:fill="auto"/>
            <w:noWrap/>
            <w:vAlign w:val="bottom"/>
          </w:tcPr>
          <w:p w14:paraId="10AAD125"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042626D3" w14:textId="4FB337D1"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1.078.163</w:t>
            </w:r>
          </w:p>
        </w:tc>
      </w:tr>
      <w:tr w:rsidR="006619D8" w:rsidRPr="009259F9" w14:paraId="7AD037B0" w14:textId="77777777" w:rsidTr="006619D8">
        <w:trPr>
          <w:trHeight w:hRule="exact" w:val="255"/>
        </w:trPr>
        <w:tc>
          <w:tcPr>
            <w:tcW w:w="5953" w:type="dxa"/>
            <w:tcBorders>
              <w:top w:val="nil"/>
              <w:left w:val="nil"/>
              <w:bottom w:val="nil"/>
              <w:right w:val="nil"/>
            </w:tcBorders>
            <w:shd w:val="clear" w:color="000000" w:fill="FFFFFF"/>
            <w:vAlign w:val="center"/>
          </w:tcPr>
          <w:p w14:paraId="23844282" w14:textId="62D8609D"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Σύνολο ενεργητικού</w:t>
            </w:r>
          </w:p>
        </w:tc>
        <w:tc>
          <w:tcPr>
            <w:tcW w:w="1985" w:type="dxa"/>
            <w:tcBorders>
              <w:top w:val="nil"/>
              <w:left w:val="nil"/>
              <w:bottom w:val="single" w:sz="4" w:space="0" w:color="auto"/>
              <w:right w:val="nil"/>
            </w:tcBorders>
            <w:shd w:val="clear" w:color="auto" w:fill="E2EFD9"/>
            <w:noWrap/>
            <w:vAlign w:val="bottom"/>
          </w:tcPr>
          <w:p w14:paraId="13A76168" w14:textId="59ECF766"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1.831.436</w:t>
            </w:r>
          </w:p>
        </w:tc>
        <w:tc>
          <w:tcPr>
            <w:tcW w:w="283" w:type="dxa"/>
            <w:tcBorders>
              <w:top w:val="nil"/>
              <w:left w:val="nil"/>
              <w:bottom w:val="nil"/>
              <w:right w:val="nil"/>
            </w:tcBorders>
            <w:shd w:val="clear" w:color="auto" w:fill="auto"/>
            <w:noWrap/>
            <w:vAlign w:val="bottom"/>
          </w:tcPr>
          <w:p w14:paraId="1750817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single" w:sz="4" w:space="0" w:color="auto"/>
              <w:right w:val="nil"/>
            </w:tcBorders>
            <w:shd w:val="clear" w:color="auto" w:fill="auto"/>
            <w:noWrap/>
            <w:vAlign w:val="bottom"/>
            <w:hideMark/>
          </w:tcPr>
          <w:p w14:paraId="06836BEE" w14:textId="22DE8A84"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1.698.745</w:t>
            </w:r>
          </w:p>
        </w:tc>
      </w:tr>
      <w:tr w:rsidR="006619D8" w:rsidRPr="009259F9" w14:paraId="0C0E6235" w14:textId="77777777" w:rsidTr="006619D8">
        <w:trPr>
          <w:trHeight w:hRule="exact" w:val="255"/>
        </w:trPr>
        <w:tc>
          <w:tcPr>
            <w:tcW w:w="5953" w:type="dxa"/>
            <w:tcBorders>
              <w:top w:val="nil"/>
              <w:left w:val="nil"/>
              <w:bottom w:val="nil"/>
              <w:right w:val="nil"/>
            </w:tcBorders>
            <w:shd w:val="clear" w:color="000000" w:fill="FFFFFF"/>
            <w:vAlign w:val="center"/>
          </w:tcPr>
          <w:p w14:paraId="05159259" w14:textId="21FF4958"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ΙΔΙΑ ΚΕΦΑΛΑΙΑ</w:t>
            </w:r>
          </w:p>
        </w:tc>
        <w:tc>
          <w:tcPr>
            <w:tcW w:w="1985" w:type="dxa"/>
            <w:tcBorders>
              <w:top w:val="nil"/>
              <w:left w:val="nil"/>
              <w:bottom w:val="nil"/>
              <w:right w:val="nil"/>
            </w:tcBorders>
            <w:shd w:val="clear" w:color="auto" w:fill="E2EFD9"/>
            <w:noWrap/>
            <w:vAlign w:val="bottom"/>
          </w:tcPr>
          <w:p w14:paraId="0020A0F8" w14:textId="22E53C17" w:rsidR="006619D8" w:rsidRPr="009259F9" w:rsidRDefault="006619D8" w:rsidP="006619D8">
            <w:pPr>
              <w:spacing w:after="120" w:line="240" w:lineRule="auto"/>
              <w:rPr>
                <w:rFonts w:cs="Calibri"/>
                <w:color w:val="000000"/>
                <w:sz w:val="20"/>
                <w:szCs w:val="20"/>
                <w:lang w:val="en-GB"/>
              </w:rPr>
            </w:pPr>
            <w:r>
              <w:rPr>
                <w:rFonts w:cs="Calibri"/>
                <w:color w:val="000000"/>
                <w:sz w:val="20"/>
                <w:szCs w:val="20"/>
              </w:rPr>
              <w:t> </w:t>
            </w:r>
          </w:p>
        </w:tc>
        <w:tc>
          <w:tcPr>
            <w:tcW w:w="283" w:type="dxa"/>
            <w:tcBorders>
              <w:top w:val="nil"/>
              <w:left w:val="nil"/>
              <w:bottom w:val="nil"/>
              <w:right w:val="nil"/>
            </w:tcBorders>
            <w:shd w:val="clear" w:color="auto" w:fill="auto"/>
            <w:noWrap/>
            <w:vAlign w:val="bottom"/>
          </w:tcPr>
          <w:p w14:paraId="7ECBFE1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72DFBACE" w14:textId="617F3D49"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r>
      <w:tr w:rsidR="006619D8" w:rsidRPr="009259F9" w14:paraId="08130B29" w14:textId="77777777" w:rsidTr="006619D8">
        <w:trPr>
          <w:trHeight w:hRule="exact" w:val="255"/>
        </w:trPr>
        <w:tc>
          <w:tcPr>
            <w:tcW w:w="5953" w:type="dxa"/>
            <w:tcBorders>
              <w:top w:val="nil"/>
              <w:left w:val="nil"/>
              <w:bottom w:val="nil"/>
              <w:right w:val="nil"/>
            </w:tcBorders>
            <w:shd w:val="clear" w:color="000000" w:fill="FFFFFF"/>
            <w:vAlign w:val="center"/>
          </w:tcPr>
          <w:p w14:paraId="2899EA6B" w14:textId="59AD746F"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Μετοχικό κεφάλαιο</w:t>
            </w:r>
          </w:p>
        </w:tc>
        <w:tc>
          <w:tcPr>
            <w:tcW w:w="1985" w:type="dxa"/>
            <w:tcBorders>
              <w:top w:val="nil"/>
              <w:left w:val="nil"/>
              <w:bottom w:val="nil"/>
              <w:right w:val="nil"/>
            </w:tcBorders>
            <w:shd w:val="clear" w:color="auto" w:fill="E2EFD9"/>
            <w:noWrap/>
            <w:vAlign w:val="bottom"/>
          </w:tcPr>
          <w:p w14:paraId="34A2A93F" w14:textId="6B1BBE6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117.892</w:t>
            </w:r>
          </w:p>
        </w:tc>
        <w:tc>
          <w:tcPr>
            <w:tcW w:w="283" w:type="dxa"/>
            <w:tcBorders>
              <w:top w:val="nil"/>
              <w:left w:val="nil"/>
              <w:bottom w:val="nil"/>
              <w:right w:val="nil"/>
            </w:tcBorders>
            <w:shd w:val="clear" w:color="auto" w:fill="auto"/>
            <w:noWrap/>
            <w:vAlign w:val="bottom"/>
          </w:tcPr>
          <w:p w14:paraId="5F43A28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40BF5B01" w14:textId="61FB42E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117.892</w:t>
            </w:r>
          </w:p>
        </w:tc>
      </w:tr>
      <w:tr w:rsidR="006619D8" w:rsidRPr="009259F9" w14:paraId="19F11B33" w14:textId="77777777" w:rsidTr="006619D8">
        <w:trPr>
          <w:trHeight w:hRule="exact" w:val="255"/>
        </w:trPr>
        <w:tc>
          <w:tcPr>
            <w:tcW w:w="5953" w:type="dxa"/>
            <w:tcBorders>
              <w:top w:val="nil"/>
              <w:left w:val="nil"/>
              <w:bottom w:val="nil"/>
              <w:right w:val="nil"/>
            </w:tcBorders>
            <w:shd w:val="clear" w:color="000000" w:fill="FFFFFF"/>
            <w:vAlign w:val="center"/>
          </w:tcPr>
          <w:p w14:paraId="5365F2F9" w14:textId="6E589A64" w:rsidR="006619D8" w:rsidRPr="006619D8" w:rsidRDefault="006619D8" w:rsidP="006619D8">
            <w:pPr>
              <w:spacing w:after="120" w:line="240" w:lineRule="auto"/>
              <w:jc w:val="both"/>
              <w:rPr>
                <w:rFonts w:eastAsia="Times New Roman"/>
                <w:sz w:val="20"/>
                <w:szCs w:val="20"/>
                <w:lang w:eastAsia="el-GR"/>
              </w:rPr>
            </w:pPr>
            <w:r w:rsidRPr="006C0543">
              <w:rPr>
                <w:color w:val="000000"/>
                <w:sz w:val="20"/>
              </w:rPr>
              <w:t>Διαφορά από έκδοση μετοχών υπέρ το άρτιο</w:t>
            </w:r>
          </w:p>
        </w:tc>
        <w:tc>
          <w:tcPr>
            <w:tcW w:w="1985" w:type="dxa"/>
            <w:tcBorders>
              <w:top w:val="nil"/>
              <w:left w:val="nil"/>
              <w:bottom w:val="nil"/>
              <w:right w:val="nil"/>
            </w:tcBorders>
            <w:shd w:val="clear" w:color="auto" w:fill="E2EFD9"/>
            <w:noWrap/>
            <w:vAlign w:val="bottom"/>
          </w:tcPr>
          <w:p w14:paraId="57F68A9B" w14:textId="5CEC2F2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58.600</w:t>
            </w:r>
          </w:p>
        </w:tc>
        <w:tc>
          <w:tcPr>
            <w:tcW w:w="283" w:type="dxa"/>
            <w:tcBorders>
              <w:top w:val="nil"/>
              <w:left w:val="nil"/>
              <w:bottom w:val="nil"/>
              <w:right w:val="nil"/>
            </w:tcBorders>
            <w:shd w:val="clear" w:color="auto" w:fill="auto"/>
            <w:noWrap/>
            <w:vAlign w:val="bottom"/>
          </w:tcPr>
          <w:p w14:paraId="28303CAB"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5D943639" w14:textId="1A4587F9"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58.600</w:t>
            </w:r>
          </w:p>
        </w:tc>
      </w:tr>
      <w:tr w:rsidR="006619D8" w:rsidRPr="009259F9" w14:paraId="31F0FCB4" w14:textId="77777777" w:rsidTr="006619D8">
        <w:trPr>
          <w:trHeight w:hRule="exact" w:val="255"/>
        </w:trPr>
        <w:tc>
          <w:tcPr>
            <w:tcW w:w="5953" w:type="dxa"/>
            <w:tcBorders>
              <w:top w:val="nil"/>
              <w:left w:val="nil"/>
              <w:bottom w:val="nil"/>
              <w:right w:val="nil"/>
            </w:tcBorders>
            <w:shd w:val="clear" w:color="000000" w:fill="FFFFFF"/>
            <w:vAlign w:val="center"/>
          </w:tcPr>
          <w:p w14:paraId="3E58F5B8" w14:textId="5827E6E3"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Αποθεματικά</w:t>
            </w:r>
          </w:p>
        </w:tc>
        <w:tc>
          <w:tcPr>
            <w:tcW w:w="1985" w:type="dxa"/>
            <w:tcBorders>
              <w:top w:val="nil"/>
              <w:left w:val="nil"/>
              <w:bottom w:val="nil"/>
              <w:right w:val="nil"/>
            </w:tcBorders>
            <w:shd w:val="clear" w:color="auto" w:fill="E2EFD9"/>
            <w:noWrap/>
            <w:vAlign w:val="bottom"/>
          </w:tcPr>
          <w:p w14:paraId="7DE2FED2" w14:textId="195A1E1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42.539</w:t>
            </w:r>
          </w:p>
        </w:tc>
        <w:tc>
          <w:tcPr>
            <w:tcW w:w="283" w:type="dxa"/>
            <w:tcBorders>
              <w:top w:val="nil"/>
              <w:left w:val="nil"/>
              <w:bottom w:val="nil"/>
              <w:right w:val="nil"/>
            </w:tcBorders>
            <w:shd w:val="clear" w:color="auto" w:fill="auto"/>
            <w:noWrap/>
            <w:vAlign w:val="bottom"/>
          </w:tcPr>
          <w:p w14:paraId="0856BB0C"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2527F79" w14:textId="5020E76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37.839</w:t>
            </w:r>
          </w:p>
        </w:tc>
      </w:tr>
      <w:tr w:rsidR="006619D8" w:rsidRPr="009259F9" w14:paraId="2D9E8BAF" w14:textId="77777777" w:rsidTr="006619D8">
        <w:trPr>
          <w:trHeight w:hRule="exact" w:val="255"/>
        </w:trPr>
        <w:tc>
          <w:tcPr>
            <w:tcW w:w="5953" w:type="dxa"/>
            <w:tcBorders>
              <w:top w:val="nil"/>
              <w:left w:val="nil"/>
              <w:bottom w:val="nil"/>
              <w:right w:val="nil"/>
            </w:tcBorders>
            <w:shd w:val="clear" w:color="000000" w:fill="FFFFFF"/>
            <w:vAlign w:val="center"/>
          </w:tcPr>
          <w:p w14:paraId="616A28D8" w14:textId="0DD17659"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Κέρδη εις νέο</w:t>
            </w:r>
          </w:p>
        </w:tc>
        <w:tc>
          <w:tcPr>
            <w:tcW w:w="1985" w:type="dxa"/>
            <w:tcBorders>
              <w:top w:val="nil"/>
              <w:left w:val="nil"/>
              <w:bottom w:val="nil"/>
              <w:right w:val="nil"/>
            </w:tcBorders>
            <w:shd w:val="clear" w:color="auto" w:fill="E2EFD9"/>
            <w:noWrap/>
            <w:vAlign w:val="bottom"/>
          </w:tcPr>
          <w:p w14:paraId="06F039CD" w14:textId="0A8F3D9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138.155</w:t>
            </w:r>
          </w:p>
        </w:tc>
        <w:tc>
          <w:tcPr>
            <w:tcW w:w="283" w:type="dxa"/>
            <w:tcBorders>
              <w:top w:val="nil"/>
              <w:left w:val="nil"/>
              <w:bottom w:val="nil"/>
              <w:right w:val="nil"/>
            </w:tcBorders>
            <w:shd w:val="clear" w:color="auto" w:fill="auto"/>
            <w:noWrap/>
            <w:vAlign w:val="bottom"/>
          </w:tcPr>
          <w:p w14:paraId="48E6219F"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3FA4BAC9" w14:textId="42AD7A23"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127.261</w:t>
            </w:r>
          </w:p>
        </w:tc>
      </w:tr>
      <w:tr w:rsidR="006619D8" w:rsidRPr="009259F9" w14:paraId="6108F2CC" w14:textId="77777777" w:rsidTr="006619D8">
        <w:trPr>
          <w:trHeight w:hRule="exact" w:val="255"/>
        </w:trPr>
        <w:tc>
          <w:tcPr>
            <w:tcW w:w="5953" w:type="dxa"/>
            <w:tcBorders>
              <w:top w:val="nil"/>
              <w:left w:val="nil"/>
              <w:bottom w:val="nil"/>
              <w:right w:val="nil"/>
            </w:tcBorders>
            <w:shd w:val="clear" w:color="000000" w:fill="FFFFFF"/>
            <w:vAlign w:val="center"/>
          </w:tcPr>
          <w:p w14:paraId="66F64E81" w14:textId="37B5ECAE" w:rsidR="006619D8" w:rsidRPr="006619D8" w:rsidRDefault="006619D8" w:rsidP="006619D8">
            <w:pPr>
              <w:spacing w:after="120" w:line="240" w:lineRule="auto"/>
              <w:jc w:val="both"/>
              <w:rPr>
                <w:rFonts w:eastAsia="Times New Roman"/>
                <w:b/>
                <w:bCs/>
                <w:sz w:val="20"/>
                <w:szCs w:val="20"/>
                <w:lang w:eastAsia="el-GR"/>
              </w:rPr>
            </w:pPr>
            <w:r w:rsidRPr="006C0543">
              <w:rPr>
                <w:b/>
                <w:color w:val="000000"/>
                <w:sz w:val="20"/>
              </w:rPr>
              <w:t>Ίδια κεφάλαια μετόχων της Εταιρείας</w:t>
            </w:r>
          </w:p>
        </w:tc>
        <w:tc>
          <w:tcPr>
            <w:tcW w:w="1985" w:type="dxa"/>
            <w:tcBorders>
              <w:top w:val="single" w:sz="4" w:space="0" w:color="auto"/>
              <w:left w:val="nil"/>
              <w:bottom w:val="single" w:sz="4" w:space="0" w:color="auto"/>
              <w:right w:val="nil"/>
            </w:tcBorders>
            <w:shd w:val="clear" w:color="auto" w:fill="E2EFD9"/>
            <w:noWrap/>
            <w:vAlign w:val="bottom"/>
          </w:tcPr>
          <w:p w14:paraId="56FE8C68" w14:textId="1454D235"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357.185</w:t>
            </w:r>
          </w:p>
        </w:tc>
        <w:tc>
          <w:tcPr>
            <w:tcW w:w="283" w:type="dxa"/>
            <w:tcBorders>
              <w:top w:val="nil"/>
              <w:left w:val="nil"/>
              <w:bottom w:val="nil"/>
              <w:right w:val="nil"/>
            </w:tcBorders>
            <w:shd w:val="clear" w:color="auto" w:fill="auto"/>
            <w:noWrap/>
            <w:vAlign w:val="bottom"/>
          </w:tcPr>
          <w:p w14:paraId="7E5D4420" w14:textId="77777777" w:rsidR="006619D8" w:rsidRPr="009259F9" w:rsidRDefault="006619D8" w:rsidP="006619D8">
            <w:pPr>
              <w:spacing w:after="120" w:line="240" w:lineRule="auto"/>
              <w:jc w:val="right"/>
              <w:rPr>
                <w:rFonts w:cs="Calibri"/>
                <w:color w:val="000000"/>
                <w:sz w:val="20"/>
                <w:szCs w:val="20"/>
                <w:lang w:val="en-GB"/>
              </w:rPr>
            </w:pPr>
            <w:r w:rsidRPr="007130A3">
              <w:rPr>
                <w:rFonts w:cs="Calibri"/>
                <w:color w:val="000000"/>
                <w:sz w:val="20"/>
                <w:szCs w:val="20"/>
                <w:lang w:val="en-US"/>
              </w:rPr>
              <w:t> </w:t>
            </w:r>
          </w:p>
        </w:tc>
        <w:tc>
          <w:tcPr>
            <w:tcW w:w="1895" w:type="dxa"/>
            <w:tcBorders>
              <w:top w:val="single" w:sz="4" w:space="0" w:color="auto"/>
              <w:left w:val="nil"/>
              <w:bottom w:val="single" w:sz="4" w:space="0" w:color="auto"/>
              <w:right w:val="nil"/>
            </w:tcBorders>
            <w:shd w:val="clear" w:color="auto" w:fill="auto"/>
            <w:noWrap/>
            <w:vAlign w:val="bottom"/>
            <w:hideMark/>
          </w:tcPr>
          <w:p w14:paraId="5B0B715D" w14:textId="48552E91"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341.592</w:t>
            </w:r>
          </w:p>
        </w:tc>
      </w:tr>
      <w:tr w:rsidR="006619D8" w:rsidRPr="009259F9" w14:paraId="071A6BF5" w14:textId="77777777" w:rsidTr="006619D8">
        <w:trPr>
          <w:trHeight w:hRule="exact" w:val="255"/>
        </w:trPr>
        <w:tc>
          <w:tcPr>
            <w:tcW w:w="5953" w:type="dxa"/>
            <w:tcBorders>
              <w:top w:val="nil"/>
              <w:left w:val="nil"/>
              <w:bottom w:val="nil"/>
              <w:right w:val="nil"/>
            </w:tcBorders>
            <w:shd w:val="clear" w:color="000000" w:fill="FFFFFF"/>
            <w:vAlign w:val="center"/>
          </w:tcPr>
          <w:p w14:paraId="208B5DB3" w14:textId="59459977"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Δικαιώματα μειοψηφίας</w:t>
            </w:r>
          </w:p>
        </w:tc>
        <w:tc>
          <w:tcPr>
            <w:tcW w:w="1985" w:type="dxa"/>
            <w:tcBorders>
              <w:top w:val="nil"/>
              <w:left w:val="nil"/>
              <w:bottom w:val="nil"/>
              <w:right w:val="nil"/>
            </w:tcBorders>
            <w:shd w:val="clear" w:color="auto" w:fill="E2EFD9"/>
            <w:noWrap/>
            <w:vAlign w:val="bottom"/>
          </w:tcPr>
          <w:p w14:paraId="4504B763" w14:textId="6650ACAA"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35</w:t>
            </w:r>
          </w:p>
        </w:tc>
        <w:tc>
          <w:tcPr>
            <w:tcW w:w="283" w:type="dxa"/>
            <w:tcBorders>
              <w:top w:val="nil"/>
              <w:left w:val="nil"/>
              <w:bottom w:val="nil"/>
              <w:right w:val="nil"/>
            </w:tcBorders>
            <w:shd w:val="clear" w:color="auto" w:fill="auto"/>
            <w:noWrap/>
            <w:vAlign w:val="bottom"/>
          </w:tcPr>
          <w:p w14:paraId="60FC38F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47223A11" w14:textId="5D47ED1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38</w:t>
            </w:r>
          </w:p>
        </w:tc>
      </w:tr>
      <w:tr w:rsidR="006619D8" w:rsidRPr="009259F9" w14:paraId="6F67ECC5" w14:textId="77777777" w:rsidTr="006619D8">
        <w:trPr>
          <w:trHeight w:hRule="exact" w:val="255"/>
        </w:trPr>
        <w:tc>
          <w:tcPr>
            <w:tcW w:w="5953" w:type="dxa"/>
            <w:tcBorders>
              <w:top w:val="nil"/>
              <w:left w:val="nil"/>
              <w:bottom w:val="nil"/>
              <w:right w:val="nil"/>
            </w:tcBorders>
            <w:shd w:val="clear" w:color="000000" w:fill="FFFFFF"/>
            <w:vAlign w:val="center"/>
          </w:tcPr>
          <w:p w14:paraId="2C07476E" w14:textId="5E1D444B"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Σύνολο ιδίων κεφαλαίων</w:t>
            </w:r>
          </w:p>
        </w:tc>
        <w:tc>
          <w:tcPr>
            <w:tcW w:w="1985" w:type="dxa"/>
            <w:tcBorders>
              <w:top w:val="single" w:sz="4" w:space="0" w:color="auto"/>
              <w:left w:val="nil"/>
              <w:bottom w:val="single" w:sz="4" w:space="0" w:color="auto"/>
              <w:right w:val="nil"/>
            </w:tcBorders>
            <w:shd w:val="clear" w:color="auto" w:fill="E2EFD9"/>
            <w:noWrap/>
            <w:vAlign w:val="bottom"/>
          </w:tcPr>
          <w:p w14:paraId="38EB239E" w14:textId="19B02DEB"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357.220</w:t>
            </w:r>
          </w:p>
        </w:tc>
        <w:tc>
          <w:tcPr>
            <w:tcW w:w="283" w:type="dxa"/>
            <w:tcBorders>
              <w:top w:val="nil"/>
              <w:left w:val="nil"/>
              <w:bottom w:val="nil"/>
              <w:right w:val="nil"/>
            </w:tcBorders>
            <w:shd w:val="clear" w:color="auto" w:fill="auto"/>
            <w:noWrap/>
            <w:vAlign w:val="bottom"/>
          </w:tcPr>
          <w:p w14:paraId="2FC2430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4A92738E" w14:textId="6B5305AB"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341.631</w:t>
            </w:r>
          </w:p>
        </w:tc>
      </w:tr>
      <w:tr w:rsidR="006619D8" w:rsidRPr="009259F9" w14:paraId="5F3892A3" w14:textId="77777777" w:rsidTr="006619D8">
        <w:trPr>
          <w:trHeight w:hRule="exact" w:val="255"/>
        </w:trPr>
        <w:tc>
          <w:tcPr>
            <w:tcW w:w="5953" w:type="dxa"/>
            <w:tcBorders>
              <w:top w:val="nil"/>
              <w:left w:val="nil"/>
              <w:bottom w:val="nil"/>
              <w:right w:val="nil"/>
            </w:tcBorders>
            <w:shd w:val="clear" w:color="000000" w:fill="FFFFFF"/>
            <w:vAlign w:val="center"/>
          </w:tcPr>
          <w:p w14:paraId="39486D82" w14:textId="23D1D7D3"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ΥΠΟΧΡΕΩΣΕΙΣ</w:t>
            </w:r>
          </w:p>
        </w:tc>
        <w:tc>
          <w:tcPr>
            <w:tcW w:w="1985" w:type="dxa"/>
            <w:tcBorders>
              <w:top w:val="nil"/>
              <w:left w:val="nil"/>
              <w:bottom w:val="nil"/>
              <w:right w:val="nil"/>
            </w:tcBorders>
            <w:shd w:val="clear" w:color="auto" w:fill="E2EFD9"/>
            <w:noWrap/>
            <w:vAlign w:val="bottom"/>
          </w:tcPr>
          <w:p w14:paraId="0B49811E" w14:textId="43686CBF" w:rsidR="006619D8" w:rsidRPr="009259F9" w:rsidRDefault="006619D8" w:rsidP="006619D8">
            <w:pPr>
              <w:spacing w:after="120" w:line="240" w:lineRule="auto"/>
              <w:rPr>
                <w:rFonts w:cs="Calibri"/>
                <w:color w:val="000000"/>
                <w:sz w:val="20"/>
                <w:szCs w:val="20"/>
                <w:lang w:val="en-GB"/>
              </w:rPr>
            </w:pPr>
          </w:p>
        </w:tc>
        <w:tc>
          <w:tcPr>
            <w:tcW w:w="283" w:type="dxa"/>
            <w:tcBorders>
              <w:top w:val="nil"/>
              <w:left w:val="nil"/>
              <w:bottom w:val="nil"/>
              <w:right w:val="nil"/>
            </w:tcBorders>
            <w:shd w:val="clear" w:color="auto" w:fill="auto"/>
            <w:noWrap/>
            <w:vAlign w:val="bottom"/>
          </w:tcPr>
          <w:p w14:paraId="1DEB197E"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5F3DC196" w14:textId="29CEA094"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r>
      <w:tr w:rsidR="006619D8" w:rsidRPr="009259F9" w14:paraId="46E1CCBE" w14:textId="77777777" w:rsidTr="006619D8">
        <w:trPr>
          <w:trHeight w:hRule="exact" w:val="255"/>
        </w:trPr>
        <w:tc>
          <w:tcPr>
            <w:tcW w:w="5953" w:type="dxa"/>
            <w:tcBorders>
              <w:top w:val="nil"/>
              <w:left w:val="nil"/>
              <w:bottom w:val="nil"/>
              <w:right w:val="nil"/>
            </w:tcBorders>
            <w:shd w:val="clear" w:color="000000" w:fill="FFFFFF"/>
            <w:vAlign w:val="bottom"/>
          </w:tcPr>
          <w:p w14:paraId="0680E256" w14:textId="445186AE"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Μακροπρόθεσμες υποχρεώσεις</w:t>
            </w:r>
          </w:p>
        </w:tc>
        <w:tc>
          <w:tcPr>
            <w:tcW w:w="1985" w:type="dxa"/>
            <w:tcBorders>
              <w:top w:val="nil"/>
              <w:left w:val="nil"/>
              <w:bottom w:val="nil"/>
              <w:right w:val="nil"/>
            </w:tcBorders>
            <w:shd w:val="clear" w:color="auto" w:fill="E2EFD9"/>
            <w:noWrap/>
            <w:vAlign w:val="bottom"/>
          </w:tcPr>
          <w:p w14:paraId="757DB613" w14:textId="1820AEB6" w:rsidR="006619D8" w:rsidRPr="009259F9" w:rsidRDefault="006619D8" w:rsidP="006619D8">
            <w:pPr>
              <w:spacing w:after="120" w:line="240" w:lineRule="auto"/>
              <w:rPr>
                <w:rFonts w:cs="Calibri"/>
                <w:color w:val="000000"/>
                <w:sz w:val="20"/>
                <w:szCs w:val="20"/>
                <w:lang w:val="en-GB"/>
              </w:rPr>
            </w:pPr>
          </w:p>
        </w:tc>
        <w:tc>
          <w:tcPr>
            <w:tcW w:w="283" w:type="dxa"/>
            <w:tcBorders>
              <w:top w:val="nil"/>
              <w:left w:val="nil"/>
              <w:bottom w:val="nil"/>
              <w:right w:val="nil"/>
            </w:tcBorders>
            <w:shd w:val="clear" w:color="auto" w:fill="auto"/>
            <w:noWrap/>
            <w:vAlign w:val="bottom"/>
          </w:tcPr>
          <w:p w14:paraId="72BEE771"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20C1D3A9" w14:textId="6909B991"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r>
      <w:tr w:rsidR="006619D8" w:rsidRPr="009259F9" w14:paraId="091F5DE9" w14:textId="77777777" w:rsidTr="006619D8">
        <w:trPr>
          <w:trHeight w:hRule="exact" w:val="255"/>
        </w:trPr>
        <w:tc>
          <w:tcPr>
            <w:tcW w:w="5953" w:type="dxa"/>
            <w:tcBorders>
              <w:top w:val="nil"/>
              <w:left w:val="nil"/>
              <w:bottom w:val="nil"/>
              <w:right w:val="nil"/>
            </w:tcBorders>
            <w:shd w:val="clear" w:color="000000" w:fill="FFFFFF"/>
            <w:vAlign w:val="center"/>
          </w:tcPr>
          <w:p w14:paraId="1FE0133A" w14:textId="06A89090"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Δανεισμός</w:t>
            </w:r>
          </w:p>
        </w:tc>
        <w:tc>
          <w:tcPr>
            <w:tcW w:w="1985" w:type="dxa"/>
            <w:tcBorders>
              <w:top w:val="nil"/>
              <w:left w:val="nil"/>
              <w:bottom w:val="nil"/>
              <w:right w:val="nil"/>
            </w:tcBorders>
            <w:shd w:val="clear" w:color="auto" w:fill="E2EFD9"/>
            <w:noWrap/>
            <w:vAlign w:val="bottom"/>
          </w:tcPr>
          <w:p w14:paraId="28171EEB" w14:textId="7D31955D"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222.214</w:t>
            </w:r>
          </w:p>
        </w:tc>
        <w:tc>
          <w:tcPr>
            <w:tcW w:w="283" w:type="dxa"/>
            <w:tcBorders>
              <w:top w:val="nil"/>
              <w:left w:val="nil"/>
              <w:bottom w:val="nil"/>
              <w:right w:val="nil"/>
            </w:tcBorders>
            <w:shd w:val="clear" w:color="auto" w:fill="auto"/>
            <w:noWrap/>
            <w:vAlign w:val="bottom"/>
          </w:tcPr>
          <w:p w14:paraId="1A09EC7F"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09C296C9" w14:textId="02C3E9E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127.161</w:t>
            </w:r>
          </w:p>
        </w:tc>
      </w:tr>
      <w:tr w:rsidR="006619D8" w:rsidRPr="009259F9" w14:paraId="634986D4" w14:textId="77777777" w:rsidTr="006619D8">
        <w:trPr>
          <w:trHeight w:hRule="exact" w:val="255"/>
        </w:trPr>
        <w:tc>
          <w:tcPr>
            <w:tcW w:w="5953" w:type="dxa"/>
            <w:tcBorders>
              <w:top w:val="nil"/>
              <w:left w:val="nil"/>
              <w:bottom w:val="nil"/>
              <w:right w:val="nil"/>
            </w:tcBorders>
            <w:shd w:val="clear" w:color="000000" w:fill="FFFFFF"/>
            <w:vAlign w:val="center"/>
          </w:tcPr>
          <w:p w14:paraId="40369139" w14:textId="0BBEA581"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Υποχρεώσεις από μισθώσεις</w:t>
            </w:r>
          </w:p>
        </w:tc>
        <w:tc>
          <w:tcPr>
            <w:tcW w:w="1985" w:type="dxa"/>
            <w:tcBorders>
              <w:top w:val="nil"/>
              <w:left w:val="nil"/>
              <w:right w:val="nil"/>
            </w:tcBorders>
            <w:shd w:val="clear" w:color="auto" w:fill="E2EFD9"/>
            <w:noWrap/>
            <w:vAlign w:val="bottom"/>
          </w:tcPr>
          <w:p w14:paraId="42D58E04" w14:textId="45AE32D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5.305</w:t>
            </w:r>
          </w:p>
        </w:tc>
        <w:tc>
          <w:tcPr>
            <w:tcW w:w="283" w:type="dxa"/>
            <w:tcBorders>
              <w:top w:val="nil"/>
              <w:left w:val="nil"/>
              <w:right w:val="nil"/>
            </w:tcBorders>
            <w:shd w:val="clear" w:color="auto" w:fill="auto"/>
            <w:noWrap/>
            <w:vAlign w:val="bottom"/>
          </w:tcPr>
          <w:p w14:paraId="15B61A61"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right w:val="nil"/>
            </w:tcBorders>
            <w:shd w:val="clear" w:color="auto" w:fill="auto"/>
            <w:noWrap/>
            <w:vAlign w:val="bottom"/>
          </w:tcPr>
          <w:p w14:paraId="061EB66F" w14:textId="644DF2FD"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2.233</w:t>
            </w:r>
          </w:p>
        </w:tc>
      </w:tr>
      <w:tr w:rsidR="006619D8" w:rsidRPr="009259F9" w14:paraId="5133181A" w14:textId="77777777" w:rsidTr="006619D8">
        <w:trPr>
          <w:trHeight w:hRule="exact" w:val="255"/>
        </w:trPr>
        <w:tc>
          <w:tcPr>
            <w:tcW w:w="5953" w:type="dxa"/>
            <w:tcBorders>
              <w:top w:val="nil"/>
              <w:left w:val="nil"/>
              <w:bottom w:val="nil"/>
              <w:right w:val="nil"/>
            </w:tcBorders>
            <w:shd w:val="clear" w:color="000000" w:fill="FFFFFF"/>
            <w:vAlign w:val="center"/>
          </w:tcPr>
          <w:p w14:paraId="00060C29" w14:textId="2BDFFA64"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Υποχρεώσεις παροχών προσωπικού</w:t>
            </w:r>
          </w:p>
        </w:tc>
        <w:tc>
          <w:tcPr>
            <w:tcW w:w="1985" w:type="dxa"/>
            <w:tcBorders>
              <w:top w:val="nil"/>
              <w:left w:val="nil"/>
              <w:right w:val="nil"/>
            </w:tcBorders>
            <w:shd w:val="clear" w:color="auto" w:fill="E2EFD9"/>
            <w:noWrap/>
            <w:vAlign w:val="bottom"/>
          </w:tcPr>
          <w:p w14:paraId="55CEE20F" w14:textId="6146C67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3.092</w:t>
            </w:r>
          </w:p>
        </w:tc>
        <w:tc>
          <w:tcPr>
            <w:tcW w:w="283" w:type="dxa"/>
            <w:tcBorders>
              <w:top w:val="nil"/>
              <w:left w:val="nil"/>
              <w:right w:val="nil"/>
            </w:tcBorders>
            <w:shd w:val="clear" w:color="auto" w:fill="auto"/>
            <w:noWrap/>
            <w:vAlign w:val="bottom"/>
          </w:tcPr>
          <w:p w14:paraId="7CC33A1A"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right w:val="nil"/>
            </w:tcBorders>
            <w:shd w:val="clear" w:color="auto" w:fill="auto"/>
            <w:noWrap/>
            <w:vAlign w:val="bottom"/>
            <w:hideMark/>
          </w:tcPr>
          <w:p w14:paraId="689903C9" w14:textId="5C4DBFF6"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2.891</w:t>
            </w:r>
          </w:p>
        </w:tc>
      </w:tr>
      <w:tr w:rsidR="006619D8" w:rsidRPr="009259F9" w14:paraId="48BFF363" w14:textId="77777777" w:rsidTr="006619D8">
        <w:trPr>
          <w:trHeight w:hRule="exact" w:val="255"/>
        </w:trPr>
        <w:tc>
          <w:tcPr>
            <w:tcW w:w="5953" w:type="dxa"/>
            <w:tcBorders>
              <w:top w:val="nil"/>
              <w:left w:val="nil"/>
              <w:bottom w:val="nil"/>
              <w:right w:val="nil"/>
            </w:tcBorders>
            <w:shd w:val="clear" w:color="000000" w:fill="FFFFFF"/>
            <w:vAlign w:val="center"/>
          </w:tcPr>
          <w:p w14:paraId="297FD624" w14:textId="4A958E77"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Επιχορηγήσεις</w:t>
            </w:r>
          </w:p>
        </w:tc>
        <w:tc>
          <w:tcPr>
            <w:tcW w:w="1985" w:type="dxa"/>
            <w:tcBorders>
              <w:top w:val="nil"/>
              <w:left w:val="nil"/>
              <w:bottom w:val="nil"/>
              <w:right w:val="nil"/>
            </w:tcBorders>
            <w:shd w:val="clear" w:color="auto" w:fill="E2EFD9"/>
            <w:noWrap/>
            <w:vAlign w:val="bottom"/>
          </w:tcPr>
          <w:p w14:paraId="4D06EC95" w14:textId="409DCF6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15.313</w:t>
            </w:r>
          </w:p>
        </w:tc>
        <w:tc>
          <w:tcPr>
            <w:tcW w:w="283" w:type="dxa"/>
            <w:tcBorders>
              <w:top w:val="nil"/>
              <w:left w:val="nil"/>
              <w:bottom w:val="nil"/>
              <w:right w:val="nil"/>
            </w:tcBorders>
            <w:shd w:val="clear" w:color="auto" w:fill="auto"/>
            <w:noWrap/>
            <w:vAlign w:val="bottom"/>
          </w:tcPr>
          <w:p w14:paraId="1DAEE134"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59024FE5" w14:textId="71BB016F"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15.648</w:t>
            </w:r>
          </w:p>
        </w:tc>
      </w:tr>
      <w:tr w:rsidR="006619D8" w:rsidRPr="009259F9" w14:paraId="724774C2" w14:textId="77777777" w:rsidTr="006619D8">
        <w:trPr>
          <w:trHeight w:hRule="exact" w:val="255"/>
        </w:trPr>
        <w:tc>
          <w:tcPr>
            <w:tcW w:w="5953" w:type="dxa"/>
            <w:tcBorders>
              <w:top w:val="nil"/>
              <w:left w:val="nil"/>
              <w:bottom w:val="nil"/>
              <w:right w:val="nil"/>
            </w:tcBorders>
            <w:shd w:val="clear" w:color="000000" w:fill="FFFFFF"/>
            <w:vAlign w:val="center"/>
          </w:tcPr>
          <w:p w14:paraId="41D34180" w14:textId="668757A6"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Προμηθευτές και λοιπές υποχρεώσεις</w:t>
            </w:r>
          </w:p>
        </w:tc>
        <w:tc>
          <w:tcPr>
            <w:tcW w:w="1985" w:type="dxa"/>
            <w:tcBorders>
              <w:top w:val="nil"/>
              <w:left w:val="nil"/>
              <w:right w:val="nil"/>
            </w:tcBorders>
            <w:shd w:val="clear" w:color="auto" w:fill="E2EFD9"/>
            <w:noWrap/>
            <w:vAlign w:val="bottom"/>
          </w:tcPr>
          <w:p w14:paraId="63A55F25" w14:textId="7592FA8D"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39.055</w:t>
            </w:r>
          </w:p>
        </w:tc>
        <w:tc>
          <w:tcPr>
            <w:tcW w:w="283" w:type="dxa"/>
            <w:tcBorders>
              <w:top w:val="nil"/>
              <w:left w:val="nil"/>
              <w:right w:val="nil"/>
            </w:tcBorders>
            <w:shd w:val="clear" w:color="auto" w:fill="auto"/>
            <w:noWrap/>
            <w:vAlign w:val="bottom"/>
          </w:tcPr>
          <w:p w14:paraId="5A3FFBE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right w:val="nil"/>
            </w:tcBorders>
            <w:shd w:val="clear" w:color="auto" w:fill="auto"/>
            <w:noWrap/>
            <w:vAlign w:val="bottom"/>
            <w:hideMark/>
          </w:tcPr>
          <w:p w14:paraId="63B001F1" w14:textId="5D7EAFA8"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35.318</w:t>
            </w:r>
          </w:p>
        </w:tc>
      </w:tr>
      <w:tr w:rsidR="006619D8" w:rsidRPr="009259F9" w14:paraId="7E800D91" w14:textId="77777777" w:rsidTr="006619D8">
        <w:trPr>
          <w:trHeight w:hRule="exact" w:val="255"/>
        </w:trPr>
        <w:tc>
          <w:tcPr>
            <w:tcW w:w="5953" w:type="dxa"/>
            <w:tcBorders>
              <w:top w:val="nil"/>
              <w:left w:val="nil"/>
              <w:bottom w:val="nil"/>
              <w:right w:val="nil"/>
            </w:tcBorders>
            <w:shd w:val="clear" w:color="000000" w:fill="FFFFFF"/>
            <w:vAlign w:val="center"/>
          </w:tcPr>
          <w:p w14:paraId="59130B72" w14:textId="713A7523"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Αναβαλλόμενες φορολογικές υποχρεώσεις</w:t>
            </w:r>
          </w:p>
        </w:tc>
        <w:tc>
          <w:tcPr>
            <w:tcW w:w="1985" w:type="dxa"/>
            <w:tcBorders>
              <w:left w:val="nil"/>
              <w:bottom w:val="single" w:sz="4" w:space="0" w:color="auto"/>
              <w:right w:val="nil"/>
            </w:tcBorders>
            <w:shd w:val="clear" w:color="auto" w:fill="E2EFD9"/>
            <w:noWrap/>
            <w:vAlign w:val="bottom"/>
          </w:tcPr>
          <w:p w14:paraId="3A92544E" w14:textId="1D50746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9.889</w:t>
            </w:r>
          </w:p>
        </w:tc>
        <w:tc>
          <w:tcPr>
            <w:tcW w:w="283" w:type="dxa"/>
            <w:tcBorders>
              <w:left w:val="nil"/>
              <w:right w:val="nil"/>
            </w:tcBorders>
            <w:shd w:val="clear" w:color="auto" w:fill="auto"/>
            <w:noWrap/>
            <w:vAlign w:val="bottom"/>
          </w:tcPr>
          <w:p w14:paraId="1AB918E4"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left w:val="nil"/>
              <w:bottom w:val="single" w:sz="4" w:space="0" w:color="auto"/>
              <w:right w:val="nil"/>
            </w:tcBorders>
            <w:shd w:val="clear" w:color="auto" w:fill="auto"/>
            <w:noWrap/>
            <w:vAlign w:val="bottom"/>
          </w:tcPr>
          <w:p w14:paraId="49FCB387" w14:textId="18A9E0B3" w:rsidR="006619D8" w:rsidRPr="009259F9" w:rsidRDefault="006619D8" w:rsidP="006619D8">
            <w:pPr>
              <w:spacing w:after="120" w:line="240" w:lineRule="auto"/>
              <w:jc w:val="right"/>
              <w:rPr>
                <w:rFonts w:cs="Calibri"/>
                <w:b/>
                <w:bCs/>
                <w:color w:val="000000"/>
                <w:sz w:val="20"/>
                <w:szCs w:val="20"/>
                <w:lang w:val="en-GB"/>
              </w:rPr>
            </w:pPr>
            <w:r>
              <w:rPr>
                <w:rFonts w:cs="Calibri"/>
                <w:color w:val="000000"/>
                <w:sz w:val="20"/>
                <w:szCs w:val="20"/>
              </w:rPr>
              <w:t>9.889</w:t>
            </w:r>
          </w:p>
        </w:tc>
      </w:tr>
      <w:tr w:rsidR="006619D8" w:rsidRPr="009259F9" w14:paraId="630C224E" w14:textId="77777777" w:rsidTr="006619D8">
        <w:trPr>
          <w:trHeight w:hRule="exact" w:val="255"/>
        </w:trPr>
        <w:tc>
          <w:tcPr>
            <w:tcW w:w="5953" w:type="dxa"/>
            <w:tcBorders>
              <w:top w:val="nil"/>
              <w:left w:val="nil"/>
              <w:bottom w:val="nil"/>
              <w:right w:val="nil"/>
            </w:tcBorders>
            <w:shd w:val="clear" w:color="000000" w:fill="FFFFFF"/>
            <w:vAlign w:val="bottom"/>
          </w:tcPr>
          <w:p w14:paraId="19CDED6F" w14:textId="77777777" w:rsidR="006619D8" w:rsidRPr="009259F9" w:rsidRDefault="006619D8" w:rsidP="006619D8">
            <w:pPr>
              <w:spacing w:after="120" w:line="240" w:lineRule="auto"/>
              <w:jc w:val="both"/>
              <w:rPr>
                <w:rFonts w:eastAsia="Times New Roman"/>
                <w:b/>
                <w:bCs/>
                <w:sz w:val="20"/>
                <w:szCs w:val="20"/>
                <w:lang w:val="en-GB" w:eastAsia="el-GR"/>
              </w:rPr>
            </w:pPr>
          </w:p>
        </w:tc>
        <w:tc>
          <w:tcPr>
            <w:tcW w:w="1985" w:type="dxa"/>
            <w:tcBorders>
              <w:top w:val="single" w:sz="4" w:space="0" w:color="auto"/>
              <w:left w:val="nil"/>
              <w:bottom w:val="single" w:sz="4" w:space="0" w:color="auto"/>
              <w:right w:val="nil"/>
            </w:tcBorders>
            <w:shd w:val="clear" w:color="auto" w:fill="E2EFD9"/>
            <w:noWrap/>
            <w:vAlign w:val="bottom"/>
          </w:tcPr>
          <w:p w14:paraId="2E154A47" w14:textId="4159AF6B"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294.867</w:t>
            </w:r>
          </w:p>
        </w:tc>
        <w:tc>
          <w:tcPr>
            <w:tcW w:w="283" w:type="dxa"/>
            <w:tcBorders>
              <w:left w:val="nil"/>
              <w:right w:val="nil"/>
            </w:tcBorders>
            <w:shd w:val="clear" w:color="auto" w:fill="auto"/>
            <w:noWrap/>
            <w:vAlign w:val="bottom"/>
          </w:tcPr>
          <w:p w14:paraId="01CF602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0BA8BA9F" w14:textId="55B86E50"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193.139</w:t>
            </w:r>
          </w:p>
        </w:tc>
      </w:tr>
      <w:tr w:rsidR="006619D8" w:rsidRPr="009259F9" w14:paraId="6FB54B70" w14:textId="77777777" w:rsidTr="006619D8">
        <w:trPr>
          <w:trHeight w:hRule="exact" w:val="255"/>
        </w:trPr>
        <w:tc>
          <w:tcPr>
            <w:tcW w:w="5953" w:type="dxa"/>
            <w:tcBorders>
              <w:top w:val="nil"/>
              <w:left w:val="nil"/>
              <w:bottom w:val="nil"/>
              <w:right w:val="nil"/>
            </w:tcBorders>
            <w:shd w:val="clear" w:color="000000" w:fill="FFFFFF"/>
            <w:vAlign w:val="bottom"/>
          </w:tcPr>
          <w:p w14:paraId="7171EE18" w14:textId="6AACA6E4"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Βραχυπρόθεσμες υποχρεώσεις</w:t>
            </w:r>
          </w:p>
        </w:tc>
        <w:tc>
          <w:tcPr>
            <w:tcW w:w="1985" w:type="dxa"/>
            <w:tcBorders>
              <w:top w:val="single" w:sz="4" w:space="0" w:color="auto"/>
              <w:left w:val="nil"/>
              <w:bottom w:val="nil"/>
              <w:right w:val="nil"/>
            </w:tcBorders>
            <w:shd w:val="clear" w:color="auto" w:fill="E2EFD9"/>
            <w:noWrap/>
            <w:vAlign w:val="bottom"/>
          </w:tcPr>
          <w:p w14:paraId="31338FD3" w14:textId="23B845F2" w:rsidR="006619D8" w:rsidRPr="009259F9" w:rsidRDefault="006619D8" w:rsidP="006619D8">
            <w:pPr>
              <w:spacing w:after="120" w:line="240" w:lineRule="auto"/>
              <w:rPr>
                <w:rFonts w:cs="Calibri"/>
                <w:color w:val="000000"/>
                <w:sz w:val="20"/>
                <w:szCs w:val="20"/>
                <w:lang w:val="en-GB"/>
              </w:rPr>
            </w:pPr>
            <w:r>
              <w:rPr>
                <w:rFonts w:cs="Calibri"/>
                <w:color w:val="000000"/>
                <w:sz w:val="20"/>
                <w:szCs w:val="20"/>
              </w:rPr>
              <w:t> </w:t>
            </w:r>
          </w:p>
        </w:tc>
        <w:tc>
          <w:tcPr>
            <w:tcW w:w="283" w:type="dxa"/>
            <w:tcBorders>
              <w:top w:val="nil"/>
              <w:left w:val="nil"/>
              <w:bottom w:val="nil"/>
              <w:right w:val="nil"/>
            </w:tcBorders>
            <w:shd w:val="clear" w:color="auto" w:fill="auto"/>
            <w:noWrap/>
            <w:vAlign w:val="bottom"/>
          </w:tcPr>
          <w:p w14:paraId="2221659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nil"/>
              <w:right w:val="nil"/>
            </w:tcBorders>
            <w:shd w:val="clear" w:color="auto" w:fill="auto"/>
            <w:noWrap/>
            <w:vAlign w:val="bottom"/>
            <w:hideMark/>
          </w:tcPr>
          <w:p w14:paraId="76427CA9" w14:textId="3F77AFAF"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r>
      <w:tr w:rsidR="006619D8" w:rsidRPr="009259F9" w14:paraId="4A9182C2" w14:textId="77777777" w:rsidTr="006619D8">
        <w:trPr>
          <w:trHeight w:hRule="exact" w:val="255"/>
        </w:trPr>
        <w:tc>
          <w:tcPr>
            <w:tcW w:w="5953" w:type="dxa"/>
            <w:tcBorders>
              <w:top w:val="nil"/>
              <w:left w:val="nil"/>
              <w:bottom w:val="nil"/>
              <w:right w:val="nil"/>
            </w:tcBorders>
            <w:shd w:val="clear" w:color="000000" w:fill="FFFFFF"/>
            <w:vAlign w:val="center"/>
          </w:tcPr>
          <w:p w14:paraId="2495CC14" w14:textId="7C8B574F"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Δανεισμός</w:t>
            </w:r>
          </w:p>
        </w:tc>
        <w:tc>
          <w:tcPr>
            <w:tcW w:w="1985" w:type="dxa"/>
            <w:tcBorders>
              <w:top w:val="nil"/>
              <w:left w:val="nil"/>
              <w:bottom w:val="nil"/>
              <w:right w:val="nil"/>
            </w:tcBorders>
            <w:shd w:val="clear" w:color="auto" w:fill="E2EFD9"/>
            <w:noWrap/>
            <w:vAlign w:val="bottom"/>
          </w:tcPr>
          <w:p w14:paraId="63000C3B" w14:textId="2DA41895"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510.326</w:t>
            </w:r>
          </w:p>
        </w:tc>
        <w:tc>
          <w:tcPr>
            <w:tcW w:w="283" w:type="dxa"/>
            <w:tcBorders>
              <w:top w:val="nil"/>
              <w:left w:val="nil"/>
              <w:bottom w:val="nil"/>
              <w:right w:val="nil"/>
            </w:tcBorders>
            <w:shd w:val="clear" w:color="auto" w:fill="auto"/>
            <w:noWrap/>
            <w:vAlign w:val="bottom"/>
          </w:tcPr>
          <w:p w14:paraId="13E20EB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625AA5A4" w14:textId="0E98C1E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474.749</w:t>
            </w:r>
          </w:p>
        </w:tc>
      </w:tr>
      <w:tr w:rsidR="006619D8" w:rsidRPr="009259F9" w14:paraId="28BDB3B0" w14:textId="77777777" w:rsidTr="006619D8">
        <w:trPr>
          <w:trHeight w:hRule="exact" w:val="255"/>
        </w:trPr>
        <w:tc>
          <w:tcPr>
            <w:tcW w:w="5953" w:type="dxa"/>
            <w:tcBorders>
              <w:top w:val="nil"/>
              <w:left w:val="nil"/>
              <w:bottom w:val="nil"/>
              <w:right w:val="nil"/>
            </w:tcBorders>
            <w:shd w:val="clear" w:color="000000" w:fill="FFFFFF"/>
            <w:vAlign w:val="center"/>
          </w:tcPr>
          <w:p w14:paraId="4A203995" w14:textId="08A173C7"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Υποχρεώσεις από μισθώσεις</w:t>
            </w:r>
          </w:p>
        </w:tc>
        <w:tc>
          <w:tcPr>
            <w:tcW w:w="1985" w:type="dxa"/>
            <w:tcBorders>
              <w:top w:val="nil"/>
              <w:left w:val="nil"/>
              <w:bottom w:val="nil"/>
              <w:right w:val="nil"/>
            </w:tcBorders>
            <w:shd w:val="clear" w:color="auto" w:fill="E2EFD9"/>
            <w:noWrap/>
            <w:vAlign w:val="bottom"/>
          </w:tcPr>
          <w:p w14:paraId="28E84ADC" w14:textId="5A49B61B"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2.072</w:t>
            </w:r>
          </w:p>
        </w:tc>
        <w:tc>
          <w:tcPr>
            <w:tcW w:w="283" w:type="dxa"/>
            <w:tcBorders>
              <w:top w:val="nil"/>
              <w:left w:val="nil"/>
              <w:bottom w:val="nil"/>
              <w:right w:val="nil"/>
            </w:tcBorders>
            <w:shd w:val="clear" w:color="auto" w:fill="auto"/>
            <w:noWrap/>
            <w:vAlign w:val="bottom"/>
          </w:tcPr>
          <w:p w14:paraId="728C9E0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tcPr>
          <w:p w14:paraId="17977705" w14:textId="0D98910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1.224</w:t>
            </w:r>
          </w:p>
        </w:tc>
      </w:tr>
      <w:tr w:rsidR="006619D8" w:rsidRPr="009259F9" w14:paraId="3FB235C7" w14:textId="77777777" w:rsidTr="006619D8">
        <w:trPr>
          <w:trHeight w:hRule="exact" w:val="255"/>
        </w:trPr>
        <w:tc>
          <w:tcPr>
            <w:tcW w:w="5953" w:type="dxa"/>
            <w:tcBorders>
              <w:top w:val="nil"/>
              <w:left w:val="nil"/>
              <w:bottom w:val="nil"/>
              <w:right w:val="nil"/>
            </w:tcBorders>
            <w:shd w:val="clear" w:color="000000" w:fill="FFFFFF"/>
            <w:vAlign w:val="center"/>
          </w:tcPr>
          <w:p w14:paraId="347EF077" w14:textId="34E3595C"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Προμηθευτές και λοιπές υποχρεώσεις</w:t>
            </w:r>
          </w:p>
        </w:tc>
        <w:tc>
          <w:tcPr>
            <w:tcW w:w="1985" w:type="dxa"/>
            <w:tcBorders>
              <w:top w:val="nil"/>
              <w:left w:val="nil"/>
              <w:bottom w:val="nil"/>
              <w:right w:val="nil"/>
            </w:tcBorders>
            <w:shd w:val="clear" w:color="auto" w:fill="E2EFD9"/>
            <w:noWrap/>
            <w:vAlign w:val="bottom"/>
          </w:tcPr>
          <w:p w14:paraId="61328CE3" w14:textId="525F350C" w:rsidR="006619D8" w:rsidRPr="000F076F" w:rsidRDefault="000F076F" w:rsidP="006619D8">
            <w:pPr>
              <w:spacing w:after="120" w:line="240" w:lineRule="auto"/>
              <w:jc w:val="right"/>
              <w:rPr>
                <w:rFonts w:cs="Calibri"/>
                <w:color w:val="000000"/>
                <w:sz w:val="20"/>
                <w:szCs w:val="20"/>
                <w:lang w:val="en-US"/>
              </w:rPr>
            </w:pPr>
            <w:r>
              <w:rPr>
                <w:rFonts w:cs="Calibri"/>
                <w:color w:val="000000"/>
                <w:sz w:val="20"/>
                <w:szCs w:val="20"/>
                <w:lang w:val="en-US"/>
              </w:rPr>
              <w:t>450.584</w:t>
            </w:r>
          </w:p>
        </w:tc>
        <w:tc>
          <w:tcPr>
            <w:tcW w:w="283" w:type="dxa"/>
            <w:tcBorders>
              <w:top w:val="nil"/>
              <w:left w:val="nil"/>
              <w:bottom w:val="nil"/>
              <w:right w:val="nil"/>
            </w:tcBorders>
            <w:shd w:val="clear" w:color="auto" w:fill="auto"/>
            <w:noWrap/>
            <w:vAlign w:val="bottom"/>
          </w:tcPr>
          <w:p w14:paraId="6B53C9A9"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tcPr>
          <w:p w14:paraId="086C5980" w14:textId="26739761"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549.283</w:t>
            </w:r>
          </w:p>
        </w:tc>
      </w:tr>
      <w:tr w:rsidR="006619D8" w:rsidRPr="009259F9" w14:paraId="074043F3" w14:textId="77777777" w:rsidTr="006619D8">
        <w:trPr>
          <w:trHeight w:hRule="exact" w:val="255"/>
        </w:trPr>
        <w:tc>
          <w:tcPr>
            <w:tcW w:w="5953" w:type="dxa"/>
            <w:tcBorders>
              <w:top w:val="nil"/>
              <w:left w:val="nil"/>
              <w:bottom w:val="nil"/>
              <w:right w:val="nil"/>
            </w:tcBorders>
            <w:shd w:val="clear" w:color="000000" w:fill="FFFFFF"/>
            <w:vAlign w:val="bottom"/>
          </w:tcPr>
          <w:p w14:paraId="7FA542C1" w14:textId="10E7DD84" w:rsidR="006619D8" w:rsidRDefault="006619D8" w:rsidP="006619D8">
            <w:pPr>
              <w:spacing w:after="120" w:line="240" w:lineRule="auto"/>
              <w:jc w:val="both"/>
              <w:rPr>
                <w:rFonts w:eastAsia="Times New Roman"/>
                <w:sz w:val="20"/>
                <w:szCs w:val="20"/>
                <w:lang w:val="en-ZA" w:eastAsia="el-GR"/>
              </w:rPr>
            </w:pPr>
            <w:r>
              <w:rPr>
                <w:rFonts w:eastAsia="Times New Roman"/>
                <w:sz w:val="20"/>
                <w:szCs w:val="20"/>
                <w:lang w:eastAsia="el-GR"/>
              </w:rPr>
              <w:t>Προβλέψεις</w:t>
            </w:r>
          </w:p>
        </w:tc>
        <w:tc>
          <w:tcPr>
            <w:tcW w:w="1985" w:type="dxa"/>
            <w:tcBorders>
              <w:top w:val="nil"/>
              <w:left w:val="nil"/>
              <w:bottom w:val="nil"/>
              <w:right w:val="nil"/>
            </w:tcBorders>
            <w:shd w:val="clear" w:color="auto" w:fill="E2EFD9"/>
            <w:noWrap/>
            <w:vAlign w:val="bottom"/>
          </w:tcPr>
          <w:p w14:paraId="6D77AAE9" w14:textId="3070AACC"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14.622</w:t>
            </w:r>
          </w:p>
        </w:tc>
        <w:tc>
          <w:tcPr>
            <w:tcW w:w="283" w:type="dxa"/>
            <w:tcBorders>
              <w:top w:val="nil"/>
              <w:left w:val="nil"/>
              <w:bottom w:val="nil"/>
              <w:right w:val="nil"/>
            </w:tcBorders>
            <w:shd w:val="clear" w:color="auto" w:fill="auto"/>
            <w:noWrap/>
            <w:vAlign w:val="bottom"/>
          </w:tcPr>
          <w:p w14:paraId="22E49B3E"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372450E5" w14:textId="782F70A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14.897</w:t>
            </w:r>
          </w:p>
        </w:tc>
      </w:tr>
      <w:tr w:rsidR="006619D8" w:rsidRPr="009259F9" w14:paraId="0E259548" w14:textId="77777777" w:rsidTr="006619D8">
        <w:trPr>
          <w:trHeight w:hRule="exact" w:val="255"/>
        </w:trPr>
        <w:tc>
          <w:tcPr>
            <w:tcW w:w="5953" w:type="dxa"/>
            <w:tcBorders>
              <w:top w:val="nil"/>
              <w:left w:val="nil"/>
              <w:bottom w:val="nil"/>
              <w:right w:val="nil"/>
            </w:tcBorders>
            <w:shd w:val="clear" w:color="000000" w:fill="FFFFFF"/>
            <w:vAlign w:val="center"/>
          </w:tcPr>
          <w:p w14:paraId="2A15EBC4" w14:textId="2A29C22F"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 xml:space="preserve">Συμβατικές υποχρεώσεις </w:t>
            </w:r>
          </w:p>
        </w:tc>
        <w:tc>
          <w:tcPr>
            <w:tcW w:w="1985" w:type="dxa"/>
            <w:tcBorders>
              <w:top w:val="nil"/>
              <w:left w:val="nil"/>
              <w:bottom w:val="nil"/>
              <w:right w:val="nil"/>
            </w:tcBorders>
            <w:shd w:val="clear" w:color="auto" w:fill="E2EFD9"/>
            <w:noWrap/>
            <w:vAlign w:val="bottom"/>
          </w:tcPr>
          <w:p w14:paraId="688B0724" w14:textId="79E6256F" w:rsidR="006619D8" w:rsidRPr="009259F9" w:rsidRDefault="000F076F" w:rsidP="006619D8">
            <w:pPr>
              <w:spacing w:after="120" w:line="240" w:lineRule="auto"/>
              <w:jc w:val="right"/>
              <w:rPr>
                <w:rFonts w:cs="Calibri"/>
                <w:color w:val="000000"/>
                <w:sz w:val="20"/>
                <w:szCs w:val="20"/>
                <w:lang w:val="en-GB"/>
              </w:rPr>
            </w:pPr>
            <w:r>
              <w:rPr>
                <w:rFonts w:cs="Calibri"/>
                <w:color w:val="000000"/>
                <w:sz w:val="20"/>
                <w:szCs w:val="20"/>
                <w:lang w:val="en-GB"/>
              </w:rPr>
              <w:t>186.078</w:t>
            </w:r>
          </w:p>
        </w:tc>
        <w:tc>
          <w:tcPr>
            <w:tcW w:w="283" w:type="dxa"/>
            <w:tcBorders>
              <w:top w:val="nil"/>
              <w:left w:val="nil"/>
              <w:bottom w:val="nil"/>
              <w:right w:val="nil"/>
            </w:tcBorders>
            <w:shd w:val="clear" w:color="auto" w:fill="auto"/>
            <w:noWrap/>
            <w:vAlign w:val="bottom"/>
          </w:tcPr>
          <w:p w14:paraId="389DEAE3"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1D48D524" w14:textId="57E14CF9"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108.780</w:t>
            </w:r>
          </w:p>
        </w:tc>
      </w:tr>
      <w:tr w:rsidR="006619D8" w:rsidRPr="009259F9" w14:paraId="4BA83897" w14:textId="77777777" w:rsidTr="006619D8">
        <w:trPr>
          <w:trHeight w:hRule="exact" w:val="255"/>
        </w:trPr>
        <w:tc>
          <w:tcPr>
            <w:tcW w:w="5953" w:type="dxa"/>
            <w:tcBorders>
              <w:top w:val="nil"/>
              <w:left w:val="nil"/>
              <w:bottom w:val="nil"/>
              <w:right w:val="nil"/>
            </w:tcBorders>
            <w:shd w:val="clear" w:color="000000" w:fill="FFFFFF"/>
            <w:vAlign w:val="center"/>
          </w:tcPr>
          <w:p w14:paraId="47E11C9A" w14:textId="1F0B4584" w:rsidR="006619D8" w:rsidRPr="009259F9" w:rsidRDefault="006619D8" w:rsidP="006619D8">
            <w:pPr>
              <w:spacing w:after="120" w:line="240" w:lineRule="auto"/>
              <w:jc w:val="both"/>
              <w:rPr>
                <w:rFonts w:eastAsia="Times New Roman"/>
                <w:sz w:val="20"/>
                <w:szCs w:val="20"/>
                <w:lang w:val="en-GB" w:eastAsia="el-GR"/>
              </w:rPr>
            </w:pPr>
            <w:r w:rsidRPr="001E1018">
              <w:rPr>
                <w:color w:val="000000"/>
                <w:sz w:val="20"/>
              </w:rPr>
              <w:t>Υποχρέωση από φόρο εισοδήματος</w:t>
            </w:r>
          </w:p>
        </w:tc>
        <w:tc>
          <w:tcPr>
            <w:tcW w:w="1985" w:type="dxa"/>
            <w:tcBorders>
              <w:top w:val="nil"/>
              <w:left w:val="nil"/>
              <w:bottom w:val="nil"/>
              <w:right w:val="nil"/>
            </w:tcBorders>
            <w:shd w:val="clear" w:color="auto" w:fill="E2EFD9"/>
            <w:noWrap/>
            <w:vAlign w:val="bottom"/>
          </w:tcPr>
          <w:p w14:paraId="74B5DEE9" w14:textId="7BAA33F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8.982</w:t>
            </w:r>
          </w:p>
        </w:tc>
        <w:tc>
          <w:tcPr>
            <w:tcW w:w="283" w:type="dxa"/>
            <w:tcBorders>
              <w:top w:val="nil"/>
              <w:left w:val="nil"/>
              <w:bottom w:val="nil"/>
              <w:right w:val="nil"/>
            </w:tcBorders>
            <w:shd w:val="clear" w:color="auto" w:fill="auto"/>
            <w:noWrap/>
            <w:vAlign w:val="bottom"/>
          </w:tcPr>
          <w:p w14:paraId="0035766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nil"/>
              <w:right w:val="nil"/>
            </w:tcBorders>
            <w:shd w:val="clear" w:color="auto" w:fill="auto"/>
            <w:noWrap/>
            <w:vAlign w:val="bottom"/>
            <w:hideMark/>
          </w:tcPr>
          <w:p w14:paraId="1E0BF44F" w14:textId="17752560"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4.253</w:t>
            </w:r>
          </w:p>
        </w:tc>
      </w:tr>
      <w:tr w:rsidR="006619D8" w:rsidRPr="009259F9" w14:paraId="01B59B83" w14:textId="77777777" w:rsidTr="006619D8">
        <w:trPr>
          <w:trHeight w:hRule="exact" w:val="255"/>
        </w:trPr>
        <w:tc>
          <w:tcPr>
            <w:tcW w:w="5953" w:type="dxa"/>
            <w:tcBorders>
              <w:top w:val="nil"/>
              <w:left w:val="nil"/>
              <w:bottom w:val="nil"/>
              <w:right w:val="nil"/>
            </w:tcBorders>
            <w:shd w:val="clear" w:color="000000" w:fill="FFFFFF"/>
            <w:vAlign w:val="center"/>
          </w:tcPr>
          <w:p w14:paraId="4F3623B2" w14:textId="0E769486" w:rsidR="006619D8" w:rsidRPr="009259F9" w:rsidRDefault="006619D8" w:rsidP="006619D8">
            <w:pPr>
              <w:spacing w:after="120" w:line="240" w:lineRule="auto"/>
              <w:jc w:val="both"/>
              <w:rPr>
                <w:rFonts w:eastAsia="Times New Roman"/>
                <w:sz w:val="20"/>
                <w:szCs w:val="20"/>
                <w:lang w:val="en-GB" w:eastAsia="el-GR"/>
              </w:rPr>
            </w:pPr>
            <w:r w:rsidRPr="006C0543">
              <w:rPr>
                <w:color w:val="000000"/>
                <w:sz w:val="20"/>
              </w:rPr>
              <w:t>Παράγωγα</w:t>
            </w:r>
          </w:p>
        </w:tc>
        <w:tc>
          <w:tcPr>
            <w:tcW w:w="1985" w:type="dxa"/>
            <w:tcBorders>
              <w:top w:val="nil"/>
              <w:left w:val="nil"/>
              <w:bottom w:val="single" w:sz="4" w:space="0" w:color="auto"/>
              <w:right w:val="nil"/>
            </w:tcBorders>
            <w:shd w:val="clear" w:color="auto" w:fill="E2EFD9"/>
            <w:noWrap/>
            <w:vAlign w:val="bottom"/>
          </w:tcPr>
          <w:p w14:paraId="1DEE6D2E" w14:textId="7CBF6B02"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6.685</w:t>
            </w:r>
          </w:p>
        </w:tc>
        <w:tc>
          <w:tcPr>
            <w:tcW w:w="283" w:type="dxa"/>
            <w:tcBorders>
              <w:top w:val="nil"/>
              <w:left w:val="nil"/>
              <w:bottom w:val="nil"/>
              <w:right w:val="nil"/>
            </w:tcBorders>
            <w:shd w:val="clear" w:color="auto" w:fill="auto"/>
            <w:noWrap/>
            <w:vAlign w:val="bottom"/>
          </w:tcPr>
          <w:p w14:paraId="5EDF41AB"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nil"/>
              <w:left w:val="nil"/>
              <w:bottom w:val="single" w:sz="4" w:space="0" w:color="auto"/>
              <w:right w:val="nil"/>
            </w:tcBorders>
            <w:shd w:val="clear" w:color="auto" w:fill="auto"/>
            <w:noWrap/>
            <w:vAlign w:val="bottom"/>
            <w:hideMark/>
          </w:tcPr>
          <w:p w14:paraId="35E733A9" w14:textId="01F5F6DE"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10.790</w:t>
            </w:r>
          </w:p>
        </w:tc>
      </w:tr>
      <w:tr w:rsidR="006619D8" w:rsidRPr="009259F9" w14:paraId="0A569DDD" w14:textId="77777777" w:rsidTr="006619D8">
        <w:trPr>
          <w:trHeight w:hRule="exact" w:val="255"/>
        </w:trPr>
        <w:tc>
          <w:tcPr>
            <w:tcW w:w="5953" w:type="dxa"/>
            <w:tcBorders>
              <w:top w:val="nil"/>
              <w:left w:val="nil"/>
              <w:bottom w:val="nil"/>
              <w:right w:val="nil"/>
            </w:tcBorders>
            <w:shd w:val="clear" w:color="000000" w:fill="FFFFFF"/>
            <w:vAlign w:val="bottom"/>
          </w:tcPr>
          <w:p w14:paraId="1C34157D" w14:textId="77777777" w:rsidR="006619D8" w:rsidRPr="009259F9" w:rsidRDefault="006619D8" w:rsidP="006619D8">
            <w:pPr>
              <w:spacing w:after="120" w:line="240" w:lineRule="auto"/>
              <w:jc w:val="both"/>
              <w:rPr>
                <w:rFonts w:eastAsia="Times New Roman"/>
                <w:b/>
                <w:bCs/>
                <w:sz w:val="20"/>
                <w:szCs w:val="20"/>
                <w:lang w:val="en-GB" w:eastAsia="el-GR"/>
              </w:rPr>
            </w:pPr>
          </w:p>
        </w:tc>
        <w:tc>
          <w:tcPr>
            <w:tcW w:w="1985" w:type="dxa"/>
            <w:tcBorders>
              <w:top w:val="single" w:sz="4" w:space="0" w:color="auto"/>
              <w:left w:val="nil"/>
              <w:bottom w:val="single" w:sz="4" w:space="0" w:color="auto"/>
              <w:right w:val="nil"/>
            </w:tcBorders>
            <w:shd w:val="clear" w:color="auto" w:fill="E2EFD9"/>
            <w:noWrap/>
            <w:vAlign w:val="bottom"/>
          </w:tcPr>
          <w:p w14:paraId="518EDC11" w14:textId="0A3180A1"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1.179.349</w:t>
            </w:r>
          </w:p>
        </w:tc>
        <w:tc>
          <w:tcPr>
            <w:tcW w:w="283" w:type="dxa"/>
            <w:tcBorders>
              <w:left w:val="nil"/>
              <w:right w:val="nil"/>
            </w:tcBorders>
            <w:shd w:val="clear" w:color="auto" w:fill="auto"/>
            <w:noWrap/>
            <w:vAlign w:val="bottom"/>
          </w:tcPr>
          <w:p w14:paraId="709D54DC"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5ECD7036" w14:textId="25B08739"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1.163.975</w:t>
            </w:r>
          </w:p>
        </w:tc>
      </w:tr>
      <w:tr w:rsidR="006619D8" w:rsidRPr="009259F9" w14:paraId="6D7ACECF" w14:textId="77777777" w:rsidTr="006619D8">
        <w:trPr>
          <w:trHeight w:hRule="exact" w:val="255"/>
        </w:trPr>
        <w:tc>
          <w:tcPr>
            <w:tcW w:w="5953" w:type="dxa"/>
            <w:tcBorders>
              <w:top w:val="nil"/>
              <w:left w:val="nil"/>
              <w:bottom w:val="nil"/>
              <w:right w:val="nil"/>
            </w:tcBorders>
            <w:shd w:val="clear" w:color="000000" w:fill="FFFFFF"/>
            <w:vAlign w:val="center"/>
          </w:tcPr>
          <w:p w14:paraId="62EBCDCA" w14:textId="762C9BAA" w:rsidR="006619D8" w:rsidRPr="009259F9" w:rsidRDefault="006619D8" w:rsidP="006619D8">
            <w:pPr>
              <w:spacing w:after="120" w:line="240" w:lineRule="auto"/>
              <w:jc w:val="both"/>
              <w:rPr>
                <w:rFonts w:eastAsia="Times New Roman"/>
                <w:b/>
                <w:bCs/>
                <w:sz w:val="20"/>
                <w:szCs w:val="20"/>
                <w:lang w:val="en-GB" w:eastAsia="el-GR"/>
              </w:rPr>
            </w:pPr>
            <w:r w:rsidRPr="006C0543">
              <w:rPr>
                <w:b/>
                <w:color w:val="000000"/>
                <w:sz w:val="20"/>
              </w:rPr>
              <w:t>Σύνολο υποχρεώσεων</w:t>
            </w:r>
          </w:p>
        </w:tc>
        <w:tc>
          <w:tcPr>
            <w:tcW w:w="1985" w:type="dxa"/>
            <w:tcBorders>
              <w:top w:val="single" w:sz="4" w:space="0" w:color="auto"/>
              <w:left w:val="nil"/>
              <w:bottom w:val="single" w:sz="4" w:space="0" w:color="auto"/>
              <w:right w:val="nil"/>
            </w:tcBorders>
            <w:shd w:val="clear" w:color="auto" w:fill="E2EFD9"/>
            <w:noWrap/>
            <w:vAlign w:val="bottom"/>
          </w:tcPr>
          <w:p w14:paraId="7B23D7FB" w14:textId="5DF0AB21"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1.474.216</w:t>
            </w:r>
          </w:p>
        </w:tc>
        <w:tc>
          <w:tcPr>
            <w:tcW w:w="283" w:type="dxa"/>
            <w:tcBorders>
              <w:top w:val="nil"/>
              <w:left w:val="nil"/>
              <w:right w:val="nil"/>
            </w:tcBorders>
            <w:shd w:val="clear" w:color="auto" w:fill="auto"/>
            <w:noWrap/>
            <w:vAlign w:val="bottom"/>
          </w:tcPr>
          <w:p w14:paraId="2921C127"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0EFBD082" w14:textId="14A7B074"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1.357.114</w:t>
            </w:r>
          </w:p>
        </w:tc>
      </w:tr>
      <w:tr w:rsidR="006619D8" w:rsidRPr="009259F9" w14:paraId="7F9132BB" w14:textId="77777777" w:rsidTr="006619D8">
        <w:trPr>
          <w:trHeight w:hRule="exact" w:val="255"/>
        </w:trPr>
        <w:tc>
          <w:tcPr>
            <w:tcW w:w="5953" w:type="dxa"/>
            <w:tcBorders>
              <w:top w:val="nil"/>
              <w:left w:val="nil"/>
              <w:bottom w:val="nil"/>
              <w:right w:val="nil"/>
            </w:tcBorders>
            <w:shd w:val="clear" w:color="000000" w:fill="FFFFFF"/>
            <w:vAlign w:val="center"/>
          </w:tcPr>
          <w:p w14:paraId="19C19BBD" w14:textId="285CB16F" w:rsidR="006619D8" w:rsidRPr="006619D8" w:rsidRDefault="006619D8" w:rsidP="006619D8">
            <w:pPr>
              <w:spacing w:after="120" w:line="240" w:lineRule="auto"/>
              <w:jc w:val="both"/>
              <w:rPr>
                <w:rFonts w:eastAsia="Times New Roman"/>
                <w:b/>
                <w:bCs/>
                <w:sz w:val="20"/>
                <w:szCs w:val="20"/>
                <w:lang w:eastAsia="el-GR"/>
              </w:rPr>
            </w:pPr>
            <w:r w:rsidRPr="006C0543">
              <w:rPr>
                <w:b/>
                <w:color w:val="000000"/>
                <w:sz w:val="20"/>
              </w:rPr>
              <w:t>Σύνολο ιδίων κεφαλαίων και υποχρεώσεων</w:t>
            </w:r>
          </w:p>
        </w:tc>
        <w:tc>
          <w:tcPr>
            <w:tcW w:w="1985" w:type="dxa"/>
            <w:tcBorders>
              <w:top w:val="single" w:sz="4" w:space="0" w:color="auto"/>
              <w:left w:val="nil"/>
              <w:bottom w:val="single" w:sz="4" w:space="0" w:color="auto"/>
              <w:right w:val="nil"/>
            </w:tcBorders>
            <w:shd w:val="clear" w:color="auto" w:fill="E2EFD9"/>
            <w:noWrap/>
            <w:vAlign w:val="bottom"/>
          </w:tcPr>
          <w:p w14:paraId="536E1AC5" w14:textId="097B3754"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1.831.436</w:t>
            </w:r>
          </w:p>
        </w:tc>
        <w:tc>
          <w:tcPr>
            <w:tcW w:w="283" w:type="dxa"/>
            <w:tcBorders>
              <w:top w:val="nil"/>
              <w:left w:val="nil"/>
              <w:right w:val="nil"/>
            </w:tcBorders>
            <w:shd w:val="clear" w:color="auto" w:fill="auto"/>
            <w:noWrap/>
            <w:vAlign w:val="bottom"/>
          </w:tcPr>
          <w:p w14:paraId="4205D095" w14:textId="77777777" w:rsidR="006619D8" w:rsidRPr="009259F9" w:rsidRDefault="006619D8" w:rsidP="006619D8">
            <w:pPr>
              <w:spacing w:after="120" w:line="240" w:lineRule="auto"/>
              <w:jc w:val="right"/>
              <w:rPr>
                <w:rFonts w:cs="Calibri"/>
                <w:color w:val="000000"/>
                <w:sz w:val="20"/>
                <w:szCs w:val="20"/>
                <w:lang w:val="en-GB"/>
              </w:rPr>
            </w:pPr>
            <w:r>
              <w:rPr>
                <w:rFonts w:cs="Calibri"/>
                <w:color w:val="000000"/>
                <w:sz w:val="20"/>
                <w:szCs w:val="20"/>
              </w:rPr>
              <w:t> </w:t>
            </w:r>
          </w:p>
        </w:tc>
        <w:tc>
          <w:tcPr>
            <w:tcW w:w="1895" w:type="dxa"/>
            <w:tcBorders>
              <w:top w:val="single" w:sz="4" w:space="0" w:color="auto"/>
              <w:left w:val="nil"/>
              <w:bottom w:val="single" w:sz="4" w:space="0" w:color="auto"/>
              <w:right w:val="nil"/>
            </w:tcBorders>
            <w:shd w:val="clear" w:color="auto" w:fill="auto"/>
            <w:noWrap/>
            <w:vAlign w:val="bottom"/>
            <w:hideMark/>
          </w:tcPr>
          <w:p w14:paraId="741FB5DF" w14:textId="31B5B39B" w:rsidR="006619D8" w:rsidRPr="009259F9" w:rsidRDefault="006619D8" w:rsidP="006619D8">
            <w:pPr>
              <w:spacing w:after="120" w:line="240" w:lineRule="auto"/>
              <w:jc w:val="right"/>
              <w:rPr>
                <w:rFonts w:cs="Calibri"/>
                <w:b/>
                <w:bCs/>
                <w:color w:val="000000"/>
                <w:sz w:val="20"/>
                <w:szCs w:val="20"/>
                <w:lang w:val="en-GB"/>
              </w:rPr>
            </w:pPr>
            <w:r>
              <w:rPr>
                <w:rFonts w:cs="Calibri"/>
                <w:b/>
                <w:bCs/>
                <w:color w:val="000000"/>
                <w:sz w:val="20"/>
                <w:szCs w:val="20"/>
              </w:rPr>
              <w:t>1.698.745</w:t>
            </w:r>
          </w:p>
        </w:tc>
      </w:tr>
    </w:tbl>
    <w:p w14:paraId="36719B5D" w14:textId="7104F5E2" w:rsidR="00733D55" w:rsidRPr="009259F9" w:rsidRDefault="00DC445D" w:rsidP="006B321F">
      <w:pPr>
        <w:keepNext/>
        <w:keepLines/>
        <w:spacing w:after="120" w:line="240" w:lineRule="auto"/>
        <w:jc w:val="both"/>
        <w:outlineLvl w:val="1"/>
        <w:rPr>
          <w:rFonts w:eastAsia="SimSun" w:cs="Calibri"/>
          <w:b/>
          <w:bCs/>
          <w:color w:val="4F6228"/>
          <w:sz w:val="24"/>
          <w:szCs w:val="24"/>
          <w:lang w:val="en-GB"/>
        </w:rPr>
      </w:pPr>
      <w:r w:rsidRPr="006619D8">
        <w:rPr>
          <w:rFonts w:eastAsia="SimSun" w:cs="Calibri"/>
          <w:b/>
          <w:bCs/>
          <w:color w:val="4F6228"/>
          <w:sz w:val="24"/>
          <w:szCs w:val="24"/>
          <w:lang w:val="en-US"/>
        </w:rPr>
        <w:br w:type="page"/>
      </w:r>
      <w:r w:rsidR="006619D8" w:rsidRPr="006619D8">
        <w:rPr>
          <w:rFonts w:eastAsia="SimSun" w:cs="Calibri"/>
          <w:b/>
          <w:bCs/>
          <w:color w:val="4F6228"/>
          <w:sz w:val="24"/>
          <w:szCs w:val="24"/>
          <w:lang w:val="en-GB"/>
        </w:rPr>
        <w:lastRenderedPageBreak/>
        <w:t>Πα</w:t>
      </w:r>
      <w:proofErr w:type="spellStart"/>
      <w:r w:rsidR="006619D8" w:rsidRPr="006619D8">
        <w:rPr>
          <w:rFonts w:eastAsia="SimSun" w:cs="Calibri"/>
          <w:b/>
          <w:bCs/>
          <w:color w:val="4F6228"/>
          <w:sz w:val="24"/>
          <w:szCs w:val="24"/>
          <w:lang w:val="en-GB"/>
        </w:rPr>
        <w:t>ράρτημ</w:t>
      </w:r>
      <w:proofErr w:type="spellEnd"/>
      <w:r w:rsidR="006619D8" w:rsidRPr="006619D8">
        <w:rPr>
          <w:rFonts w:eastAsia="SimSun" w:cs="Calibri"/>
          <w:b/>
          <w:bCs/>
          <w:color w:val="4F6228"/>
          <w:sz w:val="24"/>
          <w:szCs w:val="24"/>
          <w:lang w:val="en-GB"/>
        </w:rPr>
        <w:t xml:space="preserve">α Γ – </w:t>
      </w:r>
      <w:proofErr w:type="spellStart"/>
      <w:r w:rsidR="006619D8" w:rsidRPr="006619D8">
        <w:rPr>
          <w:rFonts w:eastAsia="SimSun" w:cs="Calibri"/>
          <w:b/>
          <w:bCs/>
          <w:color w:val="4F6228"/>
          <w:sz w:val="24"/>
          <w:szCs w:val="24"/>
          <w:lang w:val="en-GB"/>
        </w:rPr>
        <w:t>Εν</w:t>
      </w:r>
      <w:proofErr w:type="spellEnd"/>
      <w:r w:rsidR="006619D8" w:rsidRPr="006619D8">
        <w:rPr>
          <w:rFonts w:eastAsia="SimSun" w:cs="Calibri"/>
          <w:b/>
          <w:bCs/>
          <w:color w:val="4F6228"/>
          <w:sz w:val="24"/>
          <w:szCs w:val="24"/>
          <w:lang w:val="en-GB"/>
        </w:rPr>
        <w:t xml:space="preserve">αλλακτικά </w:t>
      </w:r>
      <w:proofErr w:type="spellStart"/>
      <w:r w:rsidR="006619D8" w:rsidRPr="006619D8">
        <w:rPr>
          <w:rFonts w:eastAsia="SimSun" w:cs="Calibri"/>
          <w:b/>
          <w:bCs/>
          <w:color w:val="4F6228"/>
          <w:sz w:val="24"/>
          <w:szCs w:val="24"/>
          <w:lang w:val="en-GB"/>
        </w:rPr>
        <w:t>μέτρ</w:t>
      </w:r>
      <w:proofErr w:type="spellEnd"/>
      <w:r w:rsidR="006619D8" w:rsidRPr="006619D8">
        <w:rPr>
          <w:rFonts w:eastAsia="SimSun" w:cs="Calibri"/>
          <w:b/>
          <w:bCs/>
          <w:color w:val="4F6228"/>
          <w:sz w:val="24"/>
          <w:szCs w:val="24"/>
          <w:lang w:val="en-GB"/>
        </w:rPr>
        <w:t>α απ</w:t>
      </w:r>
      <w:proofErr w:type="spellStart"/>
      <w:r w:rsidR="006619D8" w:rsidRPr="006619D8">
        <w:rPr>
          <w:rFonts w:eastAsia="SimSun" w:cs="Calibri"/>
          <w:b/>
          <w:bCs/>
          <w:color w:val="4F6228"/>
          <w:sz w:val="24"/>
          <w:szCs w:val="24"/>
          <w:lang w:val="en-GB"/>
        </w:rPr>
        <w:t>όδοσης</w:t>
      </w:r>
      <w:proofErr w:type="spellEnd"/>
    </w:p>
    <w:p w14:paraId="4424300F" w14:textId="77777777" w:rsidR="006619D8" w:rsidRPr="00A46933" w:rsidRDefault="006619D8" w:rsidP="006619D8">
      <w:pPr>
        <w:spacing w:after="120" w:line="240" w:lineRule="auto"/>
        <w:jc w:val="both"/>
        <w:rPr>
          <w:rFonts w:cs="Calibri"/>
          <w:sz w:val="20"/>
          <w:szCs w:val="20"/>
        </w:rPr>
      </w:pPr>
      <w:r w:rsidRPr="00A46933">
        <w:rPr>
          <w:rFonts w:eastAsia="MS Mincho"/>
          <w:sz w:val="20"/>
          <w:szCs w:val="24"/>
        </w:rPr>
        <w:t xml:space="preserve">Παράλληλα με τα αποτελέσματα που αναφέρονται σύμφωνα με τα Διεθνή Πρότυπα Χρηματοοικονομικής Αναφοράς («ΔΠΧΑ»), όπως υιοθετήθηκαν από την Ευρωπαϊκή Ένωση, </w:t>
      </w:r>
      <w:r>
        <w:rPr>
          <w:rFonts w:eastAsia="MS Mincho"/>
          <w:sz w:val="20"/>
          <w:szCs w:val="24"/>
        </w:rPr>
        <w:t>το</w:t>
      </w:r>
      <w:r w:rsidRPr="00A46933">
        <w:rPr>
          <w:rFonts w:eastAsia="MS Mincho"/>
          <w:sz w:val="20"/>
          <w:szCs w:val="24"/>
        </w:rPr>
        <w:t xml:space="preserve"> </w:t>
      </w:r>
      <w:r>
        <w:rPr>
          <w:rFonts w:eastAsia="MS Mincho"/>
          <w:sz w:val="20"/>
          <w:szCs w:val="24"/>
        </w:rPr>
        <w:t>παρόν</w:t>
      </w:r>
      <w:r w:rsidRPr="00A46933">
        <w:rPr>
          <w:rFonts w:eastAsia="MS Mincho"/>
          <w:sz w:val="20"/>
          <w:szCs w:val="24"/>
        </w:rPr>
        <w:t xml:space="preserve"> </w:t>
      </w:r>
      <w:r>
        <w:rPr>
          <w:rFonts w:eastAsia="MS Mincho"/>
          <w:sz w:val="20"/>
          <w:szCs w:val="24"/>
        </w:rPr>
        <w:t>δελτίο τύπου</w:t>
      </w:r>
      <w:r w:rsidRPr="00A46933">
        <w:rPr>
          <w:rFonts w:eastAsia="MS Mincho"/>
          <w:sz w:val="20"/>
          <w:szCs w:val="24"/>
        </w:rPr>
        <w:t xml:space="preserve"> περιέχει πληροφορίες σχετικά με ορισμένα εναλλακτικά μέτρα απόδοσης που δεν καταρτίζονται σύμφωνα με τα ΔΠΧΑ («Εναλλακτικά Μέτρα Απόδοσης» ή «ΕΜΑ»). Τα ΕΜΑ που χρησιμοποιούνται στ</w:t>
      </w:r>
      <w:r>
        <w:rPr>
          <w:rFonts w:eastAsia="MS Mincho"/>
          <w:sz w:val="20"/>
          <w:szCs w:val="24"/>
        </w:rPr>
        <w:t>ο</w:t>
      </w:r>
      <w:r w:rsidRPr="00A46933">
        <w:rPr>
          <w:rFonts w:eastAsia="MS Mincho"/>
          <w:sz w:val="20"/>
          <w:szCs w:val="24"/>
        </w:rPr>
        <w:t xml:space="preserve"> παρ</w:t>
      </w:r>
      <w:r>
        <w:rPr>
          <w:rFonts w:eastAsia="MS Mincho"/>
          <w:sz w:val="20"/>
          <w:szCs w:val="24"/>
        </w:rPr>
        <w:t>όν</w:t>
      </w:r>
      <w:r w:rsidRPr="00A46933">
        <w:rPr>
          <w:rFonts w:eastAsia="MS Mincho"/>
          <w:sz w:val="20"/>
          <w:szCs w:val="24"/>
        </w:rPr>
        <w:t xml:space="preserve"> </w:t>
      </w:r>
      <w:r>
        <w:rPr>
          <w:rFonts w:eastAsia="MS Mincho"/>
          <w:sz w:val="20"/>
          <w:szCs w:val="24"/>
        </w:rPr>
        <w:t>δελτίο τύπου</w:t>
      </w:r>
      <w:r w:rsidRPr="00A46933">
        <w:rPr>
          <w:rFonts w:eastAsia="MS Mincho"/>
          <w:sz w:val="20"/>
          <w:szCs w:val="24"/>
        </w:rPr>
        <w:t xml:space="preserve"> είναι τα εξής: </w:t>
      </w:r>
      <w:r w:rsidRPr="00A46933">
        <w:rPr>
          <w:rFonts w:eastAsia="MS Mincho"/>
          <w:b/>
          <w:sz w:val="20"/>
          <w:szCs w:val="24"/>
        </w:rPr>
        <w:t xml:space="preserve">Κέρδη προ φόρων, χρηματοδοτικών και επενδυτικών αποτελεσμάτων (EBIT), Αναπροσαρμοσμένα κέρδη προ φόρων, χρηματοδοτικών και επενδυτικών αποτελεσμάτων (α-EBIT), Κέρδη προ φόρων, χρηματοδοτικών, επενδυτικών αποτελεσμάτων και αποσβέσεων (EBITDA), Αναπροσαρμοσμένα κέρδη προ φόρων, χρηματοδοτικών, επενδυτικών αποτελεσμάτων και αποσβέσεων (α-EBITDA) </w:t>
      </w:r>
      <w:r w:rsidRPr="00A46933">
        <w:rPr>
          <w:rFonts w:eastAsia="MS Mincho"/>
          <w:sz w:val="20"/>
          <w:szCs w:val="24"/>
        </w:rPr>
        <w:t>και</w:t>
      </w:r>
      <w:r w:rsidRPr="00A46933">
        <w:rPr>
          <w:rFonts w:eastAsia="MS Mincho"/>
          <w:b/>
          <w:sz w:val="20"/>
          <w:szCs w:val="24"/>
        </w:rPr>
        <w:t xml:space="preserve"> Καθαρός δανεισμός.</w:t>
      </w:r>
      <w:r w:rsidRPr="00A46933">
        <w:rPr>
          <w:rFonts w:eastAsia="MS Mincho"/>
          <w:sz w:val="20"/>
          <w:szCs w:val="24"/>
        </w:rPr>
        <w:t xml:space="preserve"> Οι συμφωνίες με τα άμεσα συγκρίσιμα χρηματοοικονομικά μέτρα των ΔΠΧΑ παρουσιάζονται στη συνέχεια.</w:t>
      </w:r>
    </w:p>
    <w:p w14:paraId="3B5480D2" w14:textId="28B562DA" w:rsidR="006619D8" w:rsidRPr="00A46933" w:rsidRDefault="006619D8" w:rsidP="006619D8">
      <w:pPr>
        <w:spacing w:after="120" w:line="240" w:lineRule="auto"/>
        <w:jc w:val="both"/>
      </w:pPr>
      <w:r w:rsidRPr="00A46933">
        <w:rPr>
          <w:rFonts w:eastAsia="MS Mincho"/>
          <w:sz w:val="20"/>
          <w:szCs w:val="24"/>
        </w:rPr>
        <w:t xml:space="preserve">Πιστεύουμε ότι αυτά τα ΕΜΑ είναι σημαντικά συμπληρωματικά μέτρα των λειτουργικών και οικονομικών επιδόσεών μας και χρησιμοποιούνται συχνά από οικονομικούς αναλυτές, επενδυτές και άλλα μέρη που δραστηριοποιούνται στην αξιολόγηση εταιρειών στον </w:t>
      </w:r>
      <w:r w:rsidR="00B80DE8">
        <w:rPr>
          <w:rFonts w:eastAsia="MS Mincho"/>
          <w:sz w:val="20"/>
          <w:szCs w:val="24"/>
        </w:rPr>
        <w:t>τομέα</w:t>
      </w:r>
      <w:r w:rsidRPr="00A46933">
        <w:rPr>
          <w:rFonts w:eastAsia="MS Mincho"/>
          <w:sz w:val="20"/>
          <w:szCs w:val="24"/>
        </w:rPr>
        <w:t xml:space="preserve"> των σωλήνων χάλυβα καθώς και στον </w:t>
      </w:r>
      <w:r w:rsidR="00B80DE8">
        <w:rPr>
          <w:rFonts w:eastAsia="MS Mincho"/>
          <w:sz w:val="20"/>
          <w:szCs w:val="24"/>
        </w:rPr>
        <w:t>τομέα</w:t>
      </w:r>
      <w:r w:rsidRPr="00A46933">
        <w:rPr>
          <w:rFonts w:eastAsia="MS Mincho"/>
          <w:sz w:val="20"/>
          <w:szCs w:val="24"/>
        </w:rPr>
        <w:t xml:space="preserve"> παραγωγής, διανομής και εμπορίας καλωδίων. Παρέχοντας αυτές τις πληροφορίες μαζί με τις συμφωνίες που περιλαμβάνονται στο παρόν παράρτημα, πιστεύουμε ότι οι επενδυτές θα έχουν τη δυνατότητα να κατανοήσουν καλύτερα τις δραστηριότητές μας, τα αποτελέσματα των λειτουργιών μας και την οικονομική κατάστασή μας. Ωστόσο, αυτά τα ΕΜΑ δεν πρέπει να θεωρούνται ως εναλλακτικά αυτών που ήδη έχουν υιοθετηθεί από τα ΔΠΧΑ.</w:t>
      </w:r>
    </w:p>
    <w:p w14:paraId="33DEDC2B" w14:textId="77777777" w:rsidR="006619D8" w:rsidRPr="00A46933" w:rsidRDefault="006619D8" w:rsidP="006619D8">
      <w:pPr>
        <w:spacing w:after="120" w:line="240" w:lineRule="auto"/>
        <w:jc w:val="both"/>
        <w:rPr>
          <w:rFonts w:cs="Calibri"/>
          <w:sz w:val="20"/>
          <w:szCs w:val="20"/>
        </w:rPr>
      </w:pPr>
      <w:r w:rsidRPr="00A46933">
        <w:rPr>
          <w:rFonts w:eastAsia="MS Mincho"/>
          <w:sz w:val="20"/>
          <w:szCs w:val="24"/>
        </w:rPr>
        <w:t>Αυτά τα ΕΜΑ αποτελούν επίσης κύριους δείκτες επιδόσεων βάσει των οποίων η Cenergy Holdings καταρτίζει, παρακολουθεί και αξιολογεί τους ετήσιους προϋπολογισμούς και τα μακροπρόθεσμα (5ετή) προγράμματά της. Ωστόσο, πρέπει να επισημανθεί ότι τα αναπροσαρμοσμένα στοιχεία δεν πρέπει να θεωρούνται μη λειτουργικά ή μη επαναλαμβανόμενα.</w:t>
      </w:r>
    </w:p>
    <w:p w14:paraId="07B13C56" w14:textId="77777777" w:rsidR="006619D8" w:rsidRPr="00A46933" w:rsidRDefault="006619D8" w:rsidP="006619D8">
      <w:pPr>
        <w:spacing w:after="120" w:line="240" w:lineRule="auto"/>
        <w:jc w:val="both"/>
        <w:rPr>
          <w:rFonts w:cs="Calibri"/>
          <w:sz w:val="20"/>
          <w:szCs w:val="20"/>
        </w:rPr>
      </w:pPr>
      <w:r w:rsidRPr="00A46933">
        <w:rPr>
          <w:rFonts w:eastAsia="MS Mincho"/>
          <w:sz w:val="20"/>
          <w:szCs w:val="24"/>
        </w:rPr>
        <w:t>Τα EBIT, αναπροσαρμοσμένα ΕΒΙΤ, EBITDA και αναπροσαρμοσμένα EBITDA έχουν περιορισμούς ως αναλυτικά εργαλεία και οι επενδυτές δεν πρέπει να τα εξετάζουν μεμονωμένα ή ως υποκατάστατο της ανάλυσης των αποτελεσμάτων εκμετάλλευσης όπως αναφέρονται βάσει των ΔΠΧΑ και ενδέχεται να μην είναι συγκρίσιμα με μέτρα άλλων εταιρειών με παρεμφερή τίτλο.</w:t>
      </w:r>
    </w:p>
    <w:p w14:paraId="35645322" w14:textId="4ABF3DA0" w:rsidR="006619D8" w:rsidRPr="00A46933" w:rsidRDefault="006619D8" w:rsidP="006619D8">
      <w:pPr>
        <w:spacing w:after="120" w:line="240" w:lineRule="auto"/>
        <w:jc w:val="both"/>
        <w:rPr>
          <w:rFonts w:cs="Calibri"/>
          <w:b/>
          <w:sz w:val="20"/>
          <w:szCs w:val="20"/>
          <w:u w:val="single"/>
        </w:rPr>
      </w:pPr>
      <w:r w:rsidRPr="00A46933">
        <w:rPr>
          <w:rFonts w:eastAsia="MS Mincho"/>
          <w:sz w:val="20"/>
          <w:szCs w:val="24"/>
        </w:rPr>
        <w:t>Οι ορισμοί των ΕΜΑ παρέμειναν αμετάβλητοι σε σχέση με αυτούς που ίσχυαν στις 31 Δεκεμβρίου 202</w:t>
      </w:r>
      <w:r w:rsidR="00E2523C">
        <w:rPr>
          <w:rFonts w:eastAsia="MS Mincho"/>
          <w:sz w:val="20"/>
          <w:szCs w:val="24"/>
        </w:rPr>
        <w:t>2</w:t>
      </w:r>
      <w:r w:rsidRPr="00A46933">
        <w:rPr>
          <w:rFonts w:eastAsia="MS Mincho"/>
          <w:sz w:val="20"/>
          <w:szCs w:val="24"/>
        </w:rPr>
        <w:t>.</w:t>
      </w:r>
      <w:r>
        <w:rPr>
          <w:rFonts w:eastAsia="MS Mincho"/>
          <w:sz w:val="20"/>
          <w:szCs w:val="24"/>
        </w:rPr>
        <w:t xml:space="preserve"> </w:t>
      </w:r>
      <w:r w:rsidRPr="00A46933">
        <w:rPr>
          <w:rFonts w:eastAsia="MS Mincho"/>
          <w:sz w:val="20"/>
          <w:szCs w:val="24"/>
        </w:rPr>
        <w:t xml:space="preserve">Οι ορισμοί των ΕΜΑ είναι οι εξής: </w:t>
      </w:r>
    </w:p>
    <w:p w14:paraId="64D6196A" w14:textId="77777777" w:rsidR="006619D8" w:rsidRPr="00A46933" w:rsidRDefault="006619D8" w:rsidP="006619D8">
      <w:pPr>
        <w:spacing w:after="0"/>
        <w:jc w:val="both"/>
        <w:rPr>
          <w:rFonts w:cs="Calibri"/>
          <w:sz w:val="20"/>
          <w:szCs w:val="20"/>
        </w:rPr>
      </w:pPr>
      <w:r w:rsidRPr="00A46933">
        <w:rPr>
          <w:rFonts w:eastAsia="MS Mincho"/>
          <w:sz w:val="20"/>
          <w:szCs w:val="24"/>
        </w:rPr>
        <w:t xml:space="preserve">Ως </w:t>
      </w:r>
      <w:r w:rsidRPr="00A46933">
        <w:rPr>
          <w:rFonts w:eastAsia="MS Mincho"/>
          <w:b/>
          <w:sz w:val="20"/>
          <w:szCs w:val="24"/>
        </w:rPr>
        <w:t xml:space="preserve">EBIT </w:t>
      </w:r>
      <w:r w:rsidRPr="00A46933">
        <w:rPr>
          <w:rFonts w:eastAsia="MS Mincho"/>
          <w:sz w:val="20"/>
          <w:szCs w:val="24"/>
        </w:rPr>
        <w:t>ορίζεται το αποτέλεσμα της περιόδου (κέρδη μετά από φόρους) πριν από:</w:t>
      </w:r>
    </w:p>
    <w:p w14:paraId="0499DE17" w14:textId="77777777" w:rsidR="006619D8" w:rsidRPr="00A46933" w:rsidRDefault="006619D8" w:rsidP="006619D8">
      <w:pPr>
        <w:numPr>
          <w:ilvl w:val="0"/>
          <w:numId w:val="5"/>
        </w:numPr>
        <w:spacing w:after="120" w:line="252" w:lineRule="auto"/>
        <w:ind w:left="851" w:hanging="567"/>
        <w:contextualSpacing/>
        <w:jc w:val="both"/>
        <w:rPr>
          <w:rFonts w:eastAsia="SimSun" w:cs="Calibri"/>
          <w:sz w:val="20"/>
          <w:szCs w:val="20"/>
        </w:rPr>
      </w:pPr>
      <w:r w:rsidRPr="00A46933">
        <w:rPr>
          <w:rFonts w:eastAsia="MS Mincho"/>
          <w:sz w:val="20"/>
          <w:szCs w:val="24"/>
        </w:rPr>
        <w:t>φόρο εισοδήματος,</w:t>
      </w:r>
    </w:p>
    <w:p w14:paraId="1DE9BF05" w14:textId="77777777" w:rsidR="006619D8" w:rsidRPr="00A46933" w:rsidRDefault="006619D8" w:rsidP="006619D8">
      <w:pPr>
        <w:numPr>
          <w:ilvl w:val="0"/>
          <w:numId w:val="5"/>
        </w:numPr>
        <w:spacing w:after="120" w:line="252" w:lineRule="auto"/>
        <w:ind w:left="851" w:hanging="567"/>
        <w:contextualSpacing/>
        <w:jc w:val="both"/>
        <w:rPr>
          <w:rFonts w:eastAsia="SimSun" w:cs="Calibri"/>
          <w:sz w:val="20"/>
          <w:szCs w:val="20"/>
        </w:rPr>
      </w:pPr>
      <w:r w:rsidRPr="00A46933">
        <w:rPr>
          <w:rFonts w:eastAsia="MS Mincho"/>
          <w:sz w:val="20"/>
          <w:szCs w:val="24"/>
        </w:rPr>
        <w:t>καθαρά χρηματοοικονομικά έξοδα</w:t>
      </w:r>
    </w:p>
    <w:p w14:paraId="2B51F22B" w14:textId="77777777" w:rsidR="006619D8" w:rsidRPr="00A46933" w:rsidRDefault="006619D8" w:rsidP="006619D8">
      <w:pPr>
        <w:spacing w:after="0"/>
        <w:jc w:val="both"/>
        <w:rPr>
          <w:rFonts w:cs="Calibri"/>
          <w:sz w:val="20"/>
          <w:szCs w:val="20"/>
        </w:rPr>
      </w:pPr>
      <w:r w:rsidRPr="00A46933">
        <w:rPr>
          <w:rFonts w:eastAsia="MS Mincho"/>
          <w:sz w:val="20"/>
          <w:szCs w:val="24"/>
        </w:rPr>
        <w:t xml:space="preserve">Ως </w:t>
      </w:r>
      <w:r w:rsidRPr="00A46933">
        <w:rPr>
          <w:rFonts w:eastAsia="MS Mincho"/>
          <w:b/>
          <w:sz w:val="20"/>
          <w:szCs w:val="24"/>
        </w:rPr>
        <w:t xml:space="preserve">EBITDA </w:t>
      </w:r>
      <w:r w:rsidRPr="00A46933">
        <w:rPr>
          <w:rFonts w:eastAsia="MS Mincho"/>
          <w:sz w:val="20"/>
          <w:szCs w:val="24"/>
        </w:rPr>
        <w:t>ορίζεται το αποτέλεσμα της περιόδου (κέρδη μετά από φόρους) πριν από:</w:t>
      </w:r>
    </w:p>
    <w:p w14:paraId="01C41CD0"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φόρο εισοδήματος,</w:t>
      </w:r>
    </w:p>
    <w:p w14:paraId="5B920C16"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καθαρά χρηματοοικονομικά έξοδα</w:t>
      </w:r>
    </w:p>
    <w:p w14:paraId="0CE68E80"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αποσβέσεις</w:t>
      </w:r>
    </w:p>
    <w:p w14:paraId="03F57B34" w14:textId="77777777" w:rsidR="006619D8" w:rsidRPr="00A46933" w:rsidRDefault="006619D8" w:rsidP="006619D8">
      <w:pPr>
        <w:spacing w:after="0"/>
        <w:jc w:val="both"/>
        <w:rPr>
          <w:rFonts w:cs="Calibri"/>
          <w:b/>
          <w:sz w:val="20"/>
          <w:szCs w:val="20"/>
        </w:rPr>
      </w:pPr>
      <w:r w:rsidRPr="00A46933">
        <w:rPr>
          <w:rFonts w:eastAsia="MS Mincho"/>
          <w:sz w:val="20"/>
          <w:szCs w:val="24"/>
        </w:rPr>
        <w:t xml:space="preserve">Τα </w:t>
      </w:r>
      <w:r w:rsidRPr="00A46933">
        <w:rPr>
          <w:rFonts w:eastAsia="MS Mincho"/>
          <w:b/>
          <w:sz w:val="20"/>
          <w:szCs w:val="24"/>
        </w:rPr>
        <w:t xml:space="preserve">α-EBIT </w:t>
      </w:r>
      <w:r w:rsidRPr="00A46933">
        <w:rPr>
          <w:rFonts w:eastAsia="MS Mincho"/>
          <w:sz w:val="20"/>
          <w:szCs w:val="24"/>
        </w:rPr>
        <w:t>και</w:t>
      </w:r>
      <w:r w:rsidRPr="00A46933">
        <w:rPr>
          <w:rFonts w:eastAsia="MS Mincho"/>
          <w:b/>
          <w:sz w:val="20"/>
          <w:szCs w:val="24"/>
        </w:rPr>
        <w:t xml:space="preserve"> α-EBITDA </w:t>
      </w:r>
      <w:r w:rsidRPr="00A46933">
        <w:rPr>
          <w:rFonts w:eastAsia="MS Mincho"/>
          <w:sz w:val="20"/>
          <w:szCs w:val="24"/>
        </w:rPr>
        <w:t>ορίζονται ως EBIT και EBITDA, αντίστοιχα, αναπροσαρμοσμένα ώστε να μην περιλαμβάνουν:</w:t>
      </w:r>
    </w:p>
    <w:p w14:paraId="7B841DEE"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αποτέλεσμα μετάλλου,</w:t>
      </w:r>
    </w:p>
    <w:p w14:paraId="167D1B77"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απομείωση</w:t>
      </w:r>
      <w:r>
        <w:rPr>
          <w:rFonts w:eastAsia="MS Mincho"/>
          <w:sz w:val="20"/>
          <w:szCs w:val="24"/>
        </w:rPr>
        <w:t xml:space="preserve"> </w:t>
      </w:r>
      <w:r w:rsidRPr="00A46933">
        <w:rPr>
          <w:rFonts w:eastAsia="MS Mincho"/>
          <w:sz w:val="20"/>
          <w:szCs w:val="24"/>
        </w:rPr>
        <w:t xml:space="preserve">/ αντιλογισμό απομείωσης από ενσώματα, άυλα πάγια στοιχεία και επενδύσεις σε ακίνητα, </w:t>
      </w:r>
    </w:p>
    <w:p w14:paraId="58935C33"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απομείωση / αντιλογισμό απομείωσης επενδύσεων,</w:t>
      </w:r>
    </w:p>
    <w:p w14:paraId="284504AB"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κέρδη</w:t>
      </w:r>
      <w:r>
        <w:rPr>
          <w:rFonts w:eastAsia="MS Mincho"/>
          <w:sz w:val="20"/>
          <w:szCs w:val="24"/>
        </w:rPr>
        <w:t xml:space="preserve"> </w:t>
      </w:r>
      <w:r w:rsidRPr="00A46933">
        <w:rPr>
          <w:rFonts w:eastAsia="MS Mincho"/>
          <w:sz w:val="20"/>
          <w:szCs w:val="24"/>
        </w:rPr>
        <w:t>/</w:t>
      </w:r>
      <w:r>
        <w:rPr>
          <w:rFonts w:eastAsia="MS Mincho"/>
          <w:sz w:val="20"/>
          <w:szCs w:val="24"/>
        </w:rPr>
        <w:t xml:space="preserve"> </w:t>
      </w:r>
      <w:r w:rsidRPr="00A46933">
        <w:rPr>
          <w:rFonts w:eastAsia="MS Mincho"/>
          <w:sz w:val="20"/>
          <w:szCs w:val="24"/>
        </w:rPr>
        <w:t>ζημιές από πωλήσεις ενσώματων στοιχείων, άυλων περιουσιακών στοιχείων, επενδύσεων σε ακίνητα και επενδύσεων,</w:t>
      </w:r>
    </w:p>
    <w:p w14:paraId="7AD0DC6C"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έκτακτα δικαστικά έξοδα και πρόστιμα, και</w:t>
      </w:r>
    </w:p>
    <w:p w14:paraId="39A5264D"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λοιπά έκτακτα ή ασυνήθη έσοδα</w:t>
      </w:r>
      <w:r>
        <w:rPr>
          <w:rFonts w:eastAsia="MS Mincho"/>
          <w:sz w:val="20"/>
          <w:szCs w:val="24"/>
        </w:rPr>
        <w:t xml:space="preserve"> </w:t>
      </w:r>
      <w:r w:rsidRPr="00A46933">
        <w:rPr>
          <w:rFonts w:eastAsia="MS Mincho"/>
          <w:sz w:val="20"/>
          <w:szCs w:val="24"/>
        </w:rPr>
        <w:t>/</w:t>
      </w:r>
      <w:r>
        <w:rPr>
          <w:rFonts w:eastAsia="MS Mincho"/>
          <w:sz w:val="20"/>
          <w:szCs w:val="24"/>
        </w:rPr>
        <w:t xml:space="preserve"> </w:t>
      </w:r>
      <w:r w:rsidRPr="00A46933">
        <w:rPr>
          <w:rFonts w:eastAsia="MS Mincho"/>
          <w:sz w:val="20"/>
          <w:szCs w:val="24"/>
        </w:rPr>
        <w:t>έξοδα.</w:t>
      </w:r>
    </w:p>
    <w:p w14:paraId="0FBB369C" w14:textId="77777777" w:rsidR="006619D8" w:rsidRPr="00A46933" w:rsidRDefault="006619D8" w:rsidP="006619D8">
      <w:pPr>
        <w:spacing w:after="0"/>
        <w:jc w:val="both"/>
        <w:rPr>
          <w:rFonts w:cs="Calibri"/>
          <w:sz w:val="20"/>
          <w:szCs w:val="20"/>
        </w:rPr>
      </w:pPr>
      <w:r w:rsidRPr="00A46933">
        <w:rPr>
          <w:rFonts w:eastAsia="MS Mincho"/>
          <w:sz w:val="20"/>
          <w:szCs w:val="24"/>
        </w:rPr>
        <w:t xml:space="preserve">Ο </w:t>
      </w:r>
      <w:r w:rsidRPr="00A46933">
        <w:rPr>
          <w:rFonts w:eastAsia="MS Mincho"/>
          <w:b/>
          <w:bCs/>
          <w:sz w:val="20"/>
          <w:szCs w:val="24"/>
        </w:rPr>
        <w:t>καθαρός δανεισμός</w:t>
      </w:r>
      <w:r w:rsidRPr="00A46933">
        <w:rPr>
          <w:rFonts w:eastAsia="MS Mincho"/>
          <w:sz w:val="20"/>
          <w:szCs w:val="24"/>
        </w:rPr>
        <w:t xml:space="preserve"> ορίζεται ως το σύνολο από:</w:t>
      </w:r>
    </w:p>
    <w:p w14:paraId="1C2AC1F6"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Μακροπρόθεσμα δάνεια και υποχρεώσεις από μισθώσεις</w:t>
      </w:r>
    </w:p>
    <w:p w14:paraId="2F5FB231"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Βραχυπρόθεσμα δάνεια και υποχρεώσεις από μισθώσεις</w:t>
      </w:r>
    </w:p>
    <w:p w14:paraId="0543C1A5" w14:textId="77777777" w:rsidR="006619D8" w:rsidRPr="00A46933" w:rsidRDefault="006619D8" w:rsidP="006619D8">
      <w:pPr>
        <w:spacing w:after="0"/>
        <w:jc w:val="both"/>
        <w:rPr>
          <w:rFonts w:cs="Calibri"/>
          <w:sz w:val="20"/>
          <w:szCs w:val="20"/>
        </w:rPr>
      </w:pPr>
      <w:r w:rsidRPr="00A46933">
        <w:rPr>
          <w:rFonts w:eastAsia="MS Mincho"/>
          <w:sz w:val="20"/>
          <w:szCs w:val="24"/>
        </w:rPr>
        <w:t>Μείον:</w:t>
      </w:r>
    </w:p>
    <w:p w14:paraId="13688121" w14:textId="77777777" w:rsidR="006619D8" w:rsidRPr="00A46933" w:rsidRDefault="006619D8" w:rsidP="006619D8">
      <w:pPr>
        <w:numPr>
          <w:ilvl w:val="0"/>
          <w:numId w:val="5"/>
        </w:numPr>
        <w:spacing w:after="120" w:line="252" w:lineRule="auto"/>
        <w:ind w:left="851" w:hanging="567"/>
        <w:contextualSpacing/>
        <w:jc w:val="both"/>
        <w:rPr>
          <w:rFonts w:eastAsia="MS Mincho"/>
          <w:sz w:val="20"/>
          <w:szCs w:val="24"/>
        </w:rPr>
      </w:pPr>
      <w:r w:rsidRPr="00A46933">
        <w:rPr>
          <w:rFonts w:eastAsia="MS Mincho"/>
          <w:sz w:val="20"/>
          <w:szCs w:val="24"/>
        </w:rPr>
        <w:t>Ταμειακά διαθέσιμα και ισοδύναμα</w:t>
      </w:r>
    </w:p>
    <w:p w14:paraId="4A9FCA12" w14:textId="77777777" w:rsidR="00413083" w:rsidRDefault="00413083" w:rsidP="006B321F">
      <w:pPr>
        <w:spacing w:after="120" w:line="240" w:lineRule="auto"/>
        <w:rPr>
          <w:rFonts w:cs="Calibri"/>
          <w:sz w:val="20"/>
          <w:szCs w:val="20"/>
          <w:lang w:val="en-GB" w:eastAsia="x-none"/>
        </w:rPr>
      </w:pPr>
      <w:r>
        <w:rPr>
          <w:rFonts w:cs="Calibri"/>
          <w:sz w:val="20"/>
          <w:szCs w:val="20"/>
          <w:lang w:val="en-GB" w:eastAsia="x-none"/>
        </w:rPr>
        <w:br w:type="page"/>
      </w:r>
    </w:p>
    <w:p w14:paraId="3A1BDC6B" w14:textId="77777777" w:rsidR="006619D8" w:rsidRPr="00CB265F" w:rsidRDefault="006619D8" w:rsidP="006619D8">
      <w:pPr>
        <w:spacing w:after="120" w:line="240" w:lineRule="auto"/>
        <w:jc w:val="both"/>
        <w:rPr>
          <w:rFonts w:cs="Calibri"/>
          <w:b/>
          <w:sz w:val="20"/>
          <w:szCs w:val="20"/>
          <w:u w:val="single"/>
          <w:lang w:eastAsia="x-none"/>
        </w:rPr>
      </w:pPr>
      <w:r>
        <w:rPr>
          <w:rFonts w:cs="Calibri"/>
          <w:b/>
          <w:sz w:val="20"/>
          <w:szCs w:val="20"/>
          <w:u w:val="single"/>
          <w:lang w:eastAsia="x-none"/>
        </w:rPr>
        <w:lastRenderedPageBreak/>
        <w:t>Πίνακες συμφωνίας</w:t>
      </w:r>
      <w:r w:rsidRPr="00CB265F">
        <w:rPr>
          <w:rFonts w:cs="Calibri"/>
          <w:b/>
          <w:sz w:val="20"/>
          <w:szCs w:val="20"/>
          <w:u w:val="single"/>
          <w:lang w:eastAsia="x-none"/>
        </w:rPr>
        <w:t>:</w:t>
      </w:r>
    </w:p>
    <w:p w14:paraId="06B3134C" w14:textId="77777777" w:rsidR="000829A8" w:rsidRPr="009259F9" w:rsidRDefault="00677257" w:rsidP="006B321F">
      <w:pPr>
        <w:spacing w:after="120" w:line="240" w:lineRule="auto"/>
        <w:jc w:val="both"/>
        <w:rPr>
          <w:rFonts w:cs="Calibri"/>
          <w:b/>
          <w:sz w:val="20"/>
          <w:szCs w:val="20"/>
          <w:u w:val="single"/>
          <w:lang w:val="en-GB" w:eastAsia="x-none"/>
        </w:rPr>
      </w:pPr>
      <w:r w:rsidRPr="009259F9">
        <w:rPr>
          <w:rFonts w:cs="Calibri"/>
          <w:b/>
          <w:sz w:val="20"/>
          <w:szCs w:val="20"/>
          <w:u w:val="single"/>
          <w:lang w:val="en-GB" w:eastAsia="x-none"/>
        </w:rPr>
        <w:t xml:space="preserve">EBIT and </w:t>
      </w:r>
      <w:r w:rsidR="000829A8" w:rsidRPr="009259F9">
        <w:rPr>
          <w:rFonts w:cs="Calibri"/>
          <w:b/>
          <w:sz w:val="20"/>
          <w:szCs w:val="20"/>
          <w:u w:val="single"/>
          <w:lang w:val="en-GB" w:eastAsia="x-none"/>
        </w:rPr>
        <w:t>EBITDA:</w:t>
      </w:r>
    </w:p>
    <w:tbl>
      <w:tblPr>
        <w:tblW w:w="10458" w:type="dxa"/>
        <w:tblLayout w:type="fixed"/>
        <w:tblLook w:val="04A0" w:firstRow="1" w:lastRow="0" w:firstColumn="1" w:lastColumn="0" w:noHBand="0" w:noVBand="1"/>
      </w:tblPr>
      <w:tblGrid>
        <w:gridCol w:w="3348"/>
        <w:gridCol w:w="888"/>
        <w:gridCol w:w="889"/>
        <w:gridCol w:w="889"/>
        <w:gridCol w:w="889"/>
        <w:gridCol w:w="888"/>
        <w:gridCol w:w="889"/>
        <w:gridCol w:w="889"/>
        <w:gridCol w:w="889"/>
      </w:tblGrid>
      <w:tr w:rsidR="006619D8" w:rsidRPr="009259F9" w14:paraId="00629CAA" w14:textId="77777777" w:rsidTr="00864BD3">
        <w:trPr>
          <w:trHeight w:val="300"/>
        </w:trPr>
        <w:tc>
          <w:tcPr>
            <w:tcW w:w="3348" w:type="dxa"/>
            <w:tcBorders>
              <w:top w:val="single" w:sz="4" w:space="0" w:color="476C2E"/>
              <w:left w:val="single" w:sz="4" w:space="0" w:color="476C2E"/>
              <w:bottom w:val="nil"/>
              <w:right w:val="nil"/>
            </w:tcBorders>
            <w:shd w:val="clear" w:color="auto" w:fill="476C2E"/>
            <w:noWrap/>
            <w:vAlign w:val="center"/>
            <w:hideMark/>
          </w:tcPr>
          <w:p w14:paraId="1EF80D13" w14:textId="77777777" w:rsidR="006619D8" w:rsidRPr="009259F9" w:rsidRDefault="006619D8" w:rsidP="006619D8">
            <w:pPr>
              <w:spacing w:after="0" w:line="240" w:lineRule="auto"/>
              <w:jc w:val="both"/>
              <w:rPr>
                <w:rFonts w:eastAsia="Times New Roman" w:cs="Arial"/>
                <w:b/>
                <w:bCs/>
                <w:color w:val="FFFFFF"/>
                <w:sz w:val="20"/>
                <w:szCs w:val="20"/>
                <w:lang w:val="en-GB"/>
              </w:rPr>
            </w:pPr>
          </w:p>
        </w:tc>
        <w:tc>
          <w:tcPr>
            <w:tcW w:w="1777" w:type="dxa"/>
            <w:gridSpan w:val="2"/>
            <w:tcBorders>
              <w:top w:val="single" w:sz="4" w:space="0" w:color="476C2E"/>
              <w:left w:val="nil"/>
              <w:bottom w:val="nil"/>
              <w:right w:val="nil"/>
            </w:tcBorders>
            <w:shd w:val="clear" w:color="auto" w:fill="476C2E"/>
            <w:noWrap/>
            <w:vAlign w:val="center"/>
            <w:hideMark/>
          </w:tcPr>
          <w:p w14:paraId="2D1A49CD" w14:textId="387D5312"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Καλώδια</w:t>
            </w:r>
          </w:p>
        </w:tc>
        <w:tc>
          <w:tcPr>
            <w:tcW w:w="1778" w:type="dxa"/>
            <w:gridSpan w:val="2"/>
            <w:tcBorders>
              <w:top w:val="single" w:sz="4" w:space="0" w:color="476C2E"/>
              <w:left w:val="nil"/>
              <w:bottom w:val="nil"/>
              <w:right w:val="nil"/>
            </w:tcBorders>
            <w:shd w:val="clear" w:color="auto" w:fill="476C2E"/>
            <w:noWrap/>
            <w:vAlign w:val="center"/>
            <w:hideMark/>
          </w:tcPr>
          <w:p w14:paraId="648E0447" w14:textId="0C0863FC"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Σωλήνες χάλυβα</w:t>
            </w:r>
          </w:p>
        </w:tc>
        <w:tc>
          <w:tcPr>
            <w:tcW w:w="1777" w:type="dxa"/>
            <w:gridSpan w:val="2"/>
            <w:tcBorders>
              <w:top w:val="single" w:sz="4" w:space="0" w:color="476C2E"/>
              <w:left w:val="nil"/>
              <w:bottom w:val="nil"/>
              <w:right w:val="nil"/>
            </w:tcBorders>
            <w:shd w:val="clear" w:color="auto" w:fill="476C2E"/>
            <w:noWrap/>
            <w:vAlign w:val="center"/>
            <w:hideMark/>
          </w:tcPr>
          <w:p w14:paraId="37470A95" w14:textId="790A813F"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Λοιπές δραστηριότητες</w:t>
            </w:r>
          </w:p>
        </w:tc>
        <w:tc>
          <w:tcPr>
            <w:tcW w:w="1778" w:type="dxa"/>
            <w:gridSpan w:val="2"/>
            <w:tcBorders>
              <w:top w:val="single" w:sz="4" w:space="0" w:color="476C2E"/>
              <w:left w:val="nil"/>
              <w:bottom w:val="nil"/>
              <w:right w:val="single" w:sz="4" w:space="0" w:color="476C2E"/>
            </w:tcBorders>
            <w:shd w:val="clear" w:color="auto" w:fill="476C2E"/>
            <w:noWrap/>
            <w:vAlign w:val="center"/>
            <w:hideMark/>
          </w:tcPr>
          <w:p w14:paraId="3B6DDA75" w14:textId="510F1360"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Σύνολο</w:t>
            </w:r>
          </w:p>
        </w:tc>
      </w:tr>
      <w:tr w:rsidR="006619D8" w:rsidRPr="009259F9" w14:paraId="65C7CB37" w14:textId="77777777" w:rsidTr="00864BD3">
        <w:trPr>
          <w:trHeight w:val="300"/>
        </w:trPr>
        <w:tc>
          <w:tcPr>
            <w:tcW w:w="3348" w:type="dxa"/>
            <w:tcBorders>
              <w:top w:val="nil"/>
              <w:left w:val="single" w:sz="4" w:space="0" w:color="476C2E"/>
              <w:right w:val="nil"/>
            </w:tcBorders>
            <w:shd w:val="clear" w:color="auto" w:fill="476C2E"/>
            <w:noWrap/>
            <w:vAlign w:val="center"/>
            <w:hideMark/>
          </w:tcPr>
          <w:p w14:paraId="6220D749" w14:textId="752D6E7B" w:rsidR="006619D8" w:rsidRPr="009259F9" w:rsidRDefault="006619D8" w:rsidP="006619D8">
            <w:pPr>
              <w:spacing w:after="0" w:line="240" w:lineRule="auto"/>
              <w:jc w:val="both"/>
              <w:rPr>
                <w:rFonts w:eastAsia="Times New Roman" w:cs="Arial"/>
                <w:b/>
                <w:bCs/>
                <w:color w:val="FFFFFF"/>
                <w:sz w:val="20"/>
                <w:szCs w:val="20"/>
                <w:lang w:val="en-GB"/>
              </w:rPr>
            </w:pPr>
            <w:r w:rsidRPr="006C0543">
              <w:rPr>
                <w:b/>
                <w:color w:val="FFFFFF"/>
                <w:sz w:val="18"/>
              </w:rPr>
              <w:t>Ποσά σε χιλιάδες ευρώ</w:t>
            </w:r>
          </w:p>
        </w:tc>
        <w:tc>
          <w:tcPr>
            <w:tcW w:w="888" w:type="dxa"/>
            <w:tcBorders>
              <w:top w:val="nil"/>
              <w:left w:val="nil"/>
              <w:right w:val="nil"/>
            </w:tcBorders>
            <w:shd w:val="clear" w:color="auto" w:fill="476C2E"/>
            <w:noWrap/>
            <w:vAlign w:val="center"/>
            <w:hideMark/>
          </w:tcPr>
          <w:p w14:paraId="20EFE7D6" w14:textId="3C0E92CD"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89" w:type="dxa"/>
            <w:tcBorders>
              <w:top w:val="nil"/>
              <w:left w:val="nil"/>
              <w:right w:val="nil"/>
            </w:tcBorders>
            <w:shd w:val="clear" w:color="auto" w:fill="476C2E"/>
            <w:noWrap/>
            <w:vAlign w:val="center"/>
            <w:hideMark/>
          </w:tcPr>
          <w:p w14:paraId="2E9DB637" w14:textId="49E76E52"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89" w:type="dxa"/>
            <w:tcBorders>
              <w:top w:val="nil"/>
              <w:left w:val="nil"/>
              <w:right w:val="nil"/>
            </w:tcBorders>
            <w:shd w:val="clear" w:color="auto" w:fill="476C2E"/>
            <w:noWrap/>
            <w:vAlign w:val="center"/>
            <w:hideMark/>
          </w:tcPr>
          <w:p w14:paraId="73641BAB" w14:textId="2186DCA1"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89" w:type="dxa"/>
            <w:tcBorders>
              <w:top w:val="nil"/>
              <w:left w:val="nil"/>
              <w:right w:val="nil"/>
            </w:tcBorders>
            <w:shd w:val="clear" w:color="auto" w:fill="476C2E"/>
            <w:noWrap/>
            <w:vAlign w:val="center"/>
            <w:hideMark/>
          </w:tcPr>
          <w:p w14:paraId="62865818" w14:textId="7AEA8215"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88" w:type="dxa"/>
            <w:tcBorders>
              <w:top w:val="nil"/>
              <w:left w:val="nil"/>
              <w:right w:val="nil"/>
            </w:tcBorders>
            <w:shd w:val="clear" w:color="auto" w:fill="476C2E"/>
            <w:noWrap/>
            <w:vAlign w:val="center"/>
            <w:hideMark/>
          </w:tcPr>
          <w:p w14:paraId="56EE7CFD" w14:textId="76E488A8" w:rsidR="006619D8" w:rsidRPr="009259F9" w:rsidRDefault="006619D8" w:rsidP="006619D8">
            <w:pPr>
              <w:spacing w:after="0" w:line="240" w:lineRule="auto"/>
              <w:jc w:val="right"/>
              <w:rPr>
                <w:rFonts w:eastAsia="Times New Roman" w:cs="Arial"/>
                <w:b/>
                <w:bCs/>
                <w:color w:val="FFFFFF"/>
                <w:sz w:val="20"/>
                <w:szCs w:val="20"/>
                <w:lang w:val="en-GB"/>
              </w:rPr>
            </w:pPr>
            <w:r w:rsidRPr="006C0543">
              <w:rPr>
                <w:b/>
                <w:color w:val="FFFFFF"/>
                <w:sz w:val="18"/>
              </w:rPr>
              <w:t>Ποσά σε χιλιάδες ευρώ</w:t>
            </w:r>
          </w:p>
        </w:tc>
        <w:tc>
          <w:tcPr>
            <w:tcW w:w="889" w:type="dxa"/>
            <w:tcBorders>
              <w:top w:val="nil"/>
              <w:left w:val="nil"/>
              <w:right w:val="nil"/>
            </w:tcBorders>
            <w:shd w:val="clear" w:color="auto" w:fill="476C2E"/>
            <w:noWrap/>
            <w:vAlign w:val="center"/>
            <w:hideMark/>
          </w:tcPr>
          <w:p w14:paraId="163DE1CF" w14:textId="2DF73F45"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89" w:type="dxa"/>
            <w:tcBorders>
              <w:top w:val="nil"/>
              <w:left w:val="nil"/>
              <w:right w:val="nil"/>
            </w:tcBorders>
            <w:shd w:val="clear" w:color="auto" w:fill="476C2E"/>
            <w:noWrap/>
            <w:vAlign w:val="center"/>
            <w:hideMark/>
          </w:tcPr>
          <w:p w14:paraId="5F0C8B41" w14:textId="03A7B0BE"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89" w:type="dxa"/>
            <w:tcBorders>
              <w:top w:val="nil"/>
              <w:left w:val="nil"/>
              <w:right w:val="single" w:sz="4" w:space="0" w:color="476C2E"/>
            </w:tcBorders>
            <w:shd w:val="clear" w:color="auto" w:fill="476C2E"/>
            <w:noWrap/>
            <w:vAlign w:val="center"/>
            <w:hideMark/>
          </w:tcPr>
          <w:p w14:paraId="7F471A45" w14:textId="13A5FB9C" w:rsidR="006619D8" w:rsidRPr="009259F9" w:rsidRDefault="006619D8" w:rsidP="006619D8">
            <w:pPr>
              <w:spacing w:after="0" w:line="240" w:lineRule="auto"/>
              <w:jc w:val="right"/>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r>
      <w:tr w:rsidR="006619D8" w:rsidRPr="009259F9" w14:paraId="6C31EA5C" w14:textId="77777777" w:rsidTr="006B1554">
        <w:trPr>
          <w:trHeight w:val="300"/>
        </w:trPr>
        <w:tc>
          <w:tcPr>
            <w:tcW w:w="3348" w:type="dxa"/>
            <w:tcBorders>
              <w:top w:val="nil"/>
              <w:left w:val="single" w:sz="4" w:space="0" w:color="476C2E"/>
              <w:bottom w:val="single" w:sz="4" w:space="0" w:color="476C2E"/>
              <w:right w:val="single" w:sz="4" w:space="0" w:color="476C2E"/>
            </w:tcBorders>
            <w:shd w:val="clear" w:color="auto" w:fill="auto"/>
            <w:noWrap/>
            <w:vAlign w:val="bottom"/>
            <w:hideMark/>
          </w:tcPr>
          <w:p w14:paraId="3CCBEA74" w14:textId="35DAFFB7" w:rsidR="006619D8" w:rsidRPr="006619D8" w:rsidRDefault="006619D8" w:rsidP="006619D8">
            <w:pPr>
              <w:spacing w:after="0" w:line="240" w:lineRule="auto"/>
              <w:rPr>
                <w:rFonts w:eastAsia="Times New Roman" w:cs="Arial"/>
                <w:color w:val="000000"/>
                <w:sz w:val="18"/>
                <w:szCs w:val="18"/>
              </w:rPr>
            </w:pPr>
            <w:r w:rsidRPr="006C0543">
              <w:rPr>
                <w:b/>
                <w:color w:val="000000"/>
                <w:sz w:val="18"/>
              </w:rPr>
              <w:t>Κέρδη</w:t>
            </w:r>
            <w:r>
              <w:rPr>
                <w:b/>
                <w:color w:val="000000"/>
                <w:sz w:val="18"/>
              </w:rPr>
              <w:t xml:space="preserve"> </w:t>
            </w:r>
            <w:r w:rsidRPr="006C0543">
              <w:rPr>
                <w:b/>
                <w:color w:val="000000"/>
                <w:sz w:val="18"/>
              </w:rPr>
              <w:t>/</w:t>
            </w:r>
            <w:r>
              <w:rPr>
                <w:b/>
                <w:color w:val="000000"/>
                <w:sz w:val="18"/>
              </w:rPr>
              <w:t xml:space="preserve"> </w:t>
            </w:r>
            <w:r w:rsidRPr="006C0543">
              <w:rPr>
                <w:b/>
                <w:color w:val="000000"/>
                <w:sz w:val="18"/>
              </w:rPr>
              <w:t>(Ζημίες) προ φόρων (όπως δημοσιεύ</w:t>
            </w:r>
            <w:r>
              <w:rPr>
                <w:b/>
                <w:color w:val="000000"/>
                <w:sz w:val="18"/>
              </w:rPr>
              <w:t>ον</w:t>
            </w:r>
            <w:r w:rsidRPr="006C0543">
              <w:rPr>
                <w:b/>
                <w:color w:val="000000"/>
                <w:sz w:val="18"/>
              </w:rPr>
              <w:t xml:space="preserve">ται στην </w:t>
            </w:r>
            <w:r>
              <w:rPr>
                <w:b/>
                <w:color w:val="000000"/>
                <w:sz w:val="18"/>
              </w:rPr>
              <w:t xml:space="preserve">Ενοποιημένη </w:t>
            </w:r>
            <w:r w:rsidRPr="006C0543">
              <w:rPr>
                <w:b/>
                <w:color w:val="000000"/>
                <w:sz w:val="18"/>
              </w:rPr>
              <w:t>Κατάσταση Αποτελεσμάτων)</w:t>
            </w:r>
          </w:p>
        </w:tc>
        <w:tc>
          <w:tcPr>
            <w:tcW w:w="888" w:type="dxa"/>
            <w:tcBorders>
              <w:top w:val="nil"/>
              <w:left w:val="single" w:sz="4" w:space="0" w:color="476C2E"/>
              <w:bottom w:val="single" w:sz="4" w:space="0" w:color="476C2E"/>
              <w:right w:val="nil"/>
            </w:tcBorders>
            <w:shd w:val="clear" w:color="auto" w:fill="auto"/>
            <w:noWrap/>
            <w:vAlign w:val="center"/>
          </w:tcPr>
          <w:p w14:paraId="75EE2613" w14:textId="76AA4AAF"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21.301</w:t>
            </w:r>
          </w:p>
        </w:tc>
        <w:tc>
          <w:tcPr>
            <w:tcW w:w="889" w:type="dxa"/>
            <w:tcBorders>
              <w:top w:val="nil"/>
              <w:left w:val="nil"/>
              <w:bottom w:val="single" w:sz="4" w:space="0" w:color="476C2E"/>
              <w:right w:val="single" w:sz="4" w:space="0" w:color="476C2E"/>
            </w:tcBorders>
            <w:shd w:val="clear" w:color="auto" w:fill="auto"/>
            <w:noWrap/>
            <w:vAlign w:val="center"/>
          </w:tcPr>
          <w:p w14:paraId="4C37A11C" w14:textId="62DACE32"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25.274</w:t>
            </w:r>
          </w:p>
        </w:tc>
        <w:tc>
          <w:tcPr>
            <w:tcW w:w="889" w:type="dxa"/>
            <w:tcBorders>
              <w:top w:val="nil"/>
              <w:left w:val="single" w:sz="4" w:space="0" w:color="476C2E"/>
              <w:bottom w:val="single" w:sz="4" w:space="0" w:color="476C2E"/>
              <w:right w:val="nil"/>
            </w:tcBorders>
            <w:shd w:val="clear" w:color="auto" w:fill="auto"/>
            <w:noWrap/>
            <w:vAlign w:val="center"/>
          </w:tcPr>
          <w:p w14:paraId="0D2C92E8" w14:textId="5495BDAB"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9.846</w:t>
            </w:r>
          </w:p>
        </w:tc>
        <w:tc>
          <w:tcPr>
            <w:tcW w:w="889" w:type="dxa"/>
            <w:tcBorders>
              <w:top w:val="nil"/>
              <w:left w:val="nil"/>
              <w:bottom w:val="single" w:sz="4" w:space="0" w:color="476C2E"/>
              <w:right w:val="single" w:sz="4" w:space="0" w:color="476C2E"/>
            </w:tcBorders>
            <w:shd w:val="clear" w:color="auto" w:fill="auto"/>
            <w:noWrap/>
            <w:vAlign w:val="center"/>
          </w:tcPr>
          <w:p w14:paraId="020C78B2" w14:textId="26281575"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(4.198)</w:t>
            </w:r>
          </w:p>
        </w:tc>
        <w:tc>
          <w:tcPr>
            <w:tcW w:w="888" w:type="dxa"/>
            <w:tcBorders>
              <w:top w:val="nil"/>
              <w:left w:val="single" w:sz="4" w:space="0" w:color="476C2E"/>
              <w:bottom w:val="single" w:sz="4" w:space="0" w:color="476C2E"/>
              <w:right w:val="nil"/>
            </w:tcBorders>
            <w:shd w:val="clear" w:color="auto" w:fill="auto"/>
            <w:noWrap/>
            <w:vAlign w:val="center"/>
          </w:tcPr>
          <w:p w14:paraId="337EF0CC" w14:textId="5F27839D"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(294)</w:t>
            </w:r>
          </w:p>
        </w:tc>
        <w:tc>
          <w:tcPr>
            <w:tcW w:w="889" w:type="dxa"/>
            <w:tcBorders>
              <w:top w:val="nil"/>
              <w:left w:val="nil"/>
              <w:bottom w:val="single" w:sz="4" w:space="0" w:color="476C2E"/>
              <w:right w:val="single" w:sz="4" w:space="0" w:color="476C2E"/>
            </w:tcBorders>
            <w:shd w:val="clear" w:color="auto" w:fill="auto"/>
            <w:noWrap/>
            <w:vAlign w:val="center"/>
          </w:tcPr>
          <w:p w14:paraId="27E89B6E" w14:textId="00A66CE8"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106</w:t>
            </w:r>
          </w:p>
        </w:tc>
        <w:tc>
          <w:tcPr>
            <w:tcW w:w="889" w:type="dxa"/>
            <w:tcBorders>
              <w:top w:val="nil"/>
              <w:left w:val="single" w:sz="4" w:space="0" w:color="476C2E"/>
              <w:bottom w:val="single" w:sz="4" w:space="0" w:color="476C2E"/>
              <w:right w:val="nil"/>
            </w:tcBorders>
            <w:shd w:val="clear" w:color="auto" w:fill="auto"/>
            <w:noWrap/>
            <w:vAlign w:val="center"/>
          </w:tcPr>
          <w:p w14:paraId="219F82DC" w14:textId="2BA406F1"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30.852</w:t>
            </w:r>
          </w:p>
        </w:tc>
        <w:tc>
          <w:tcPr>
            <w:tcW w:w="889" w:type="dxa"/>
            <w:tcBorders>
              <w:top w:val="nil"/>
              <w:left w:val="nil"/>
              <w:bottom w:val="single" w:sz="4" w:space="0" w:color="476C2E"/>
              <w:right w:val="single" w:sz="4" w:space="0" w:color="476C2E"/>
            </w:tcBorders>
            <w:shd w:val="clear" w:color="auto" w:fill="auto"/>
            <w:noWrap/>
            <w:vAlign w:val="center"/>
          </w:tcPr>
          <w:p w14:paraId="7F6BF8BA" w14:textId="1395E3BB"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21.181</w:t>
            </w:r>
          </w:p>
        </w:tc>
      </w:tr>
      <w:tr w:rsidR="006619D8" w:rsidRPr="009259F9" w14:paraId="025886C0" w14:textId="77777777" w:rsidTr="006B1554">
        <w:trPr>
          <w:trHeight w:val="300"/>
        </w:trPr>
        <w:tc>
          <w:tcPr>
            <w:tcW w:w="3348" w:type="dxa"/>
            <w:tcBorders>
              <w:top w:val="single" w:sz="4" w:space="0" w:color="476C2E"/>
              <w:left w:val="single" w:sz="4" w:space="0" w:color="476C2E"/>
              <w:bottom w:val="nil"/>
              <w:right w:val="single" w:sz="4" w:space="0" w:color="476C2E"/>
            </w:tcBorders>
            <w:shd w:val="clear" w:color="auto" w:fill="auto"/>
            <w:vAlign w:val="bottom"/>
          </w:tcPr>
          <w:p w14:paraId="51F8AFC0" w14:textId="271AF117" w:rsidR="006619D8" w:rsidRPr="009259F9" w:rsidRDefault="006619D8" w:rsidP="006619D8">
            <w:pPr>
              <w:spacing w:after="0" w:line="240" w:lineRule="auto"/>
              <w:rPr>
                <w:rFonts w:cs="Calibri"/>
                <w:b/>
                <w:i/>
                <w:color w:val="000000"/>
                <w:sz w:val="18"/>
                <w:szCs w:val="18"/>
                <w:u w:val="single"/>
                <w:lang w:val="en-GB"/>
              </w:rPr>
            </w:pPr>
            <w:r w:rsidRPr="006C0543">
              <w:rPr>
                <w:b/>
                <w:i/>
                <w:color w:val="000000"/>
                <w:sz w:val="18"/>
                <w:u w:val="single"/>
              </w:rPr>
              <w:t>Προσαρμογές για:</w:t>
            </w:r>
          </w:p>
        </w:tc>
        <w:tc>
          <w:tcPr>
            <w:tcW w:w="888" w:type="dxa"/>
            <w:tcBorders>
              <w:top w:val="single" w:sz="4" w:space="0" w:color="476C2E"/>
              <w:left w:val="single" w:sz="4" w:space="0" w:color="476C2E"/>
              <w:bottom w:val="nil"/>
              <w:right w:val="nil"/>
            </w:tcBorders>
            <w:shd w:val="clear" w:color="auto" w:fill="auto"/>
            <w:noWrap/>
            <w:vAlign w:val="center"/>
          </w:tcPr>
          <w:p w14:paraId="4C7B3AFB" w14:textId="77777777" w:rsidR="006619D8" w:rsidRPr="009259F9" w:rsidRDefault="006619D8" w:rsidP="006619D8">
            <w:pPr>
              <w:spacing w:after="0" w:line="240" w:lineRule="auto"/>
              <w:jc w:val="right"/>
              <w:rPr>
                <w:rFonts w:cs="Calibri"/>
                <w:b/>
                <w:bCs/>
                <w:color w:val="000000"/>
                <w:sz w:val="18"/>
                <w:szCs w:val="18"/>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2E928E0B"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single" w:sz="4" w:space="0" w:color="476C2E"/>
              <w:bottom w:val="nil"/>
              <w:right w:val="nil"/>
            </w:tcBorders>
            <w:shd w:val="clear" w:color="auto" w:fill="auto"/>
            <w:noWrap/>
            <w:vAlign w:val="center"/>
          </w:tcPr>
          <w:p w14:paraId="47601430"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4BF34742" w14:textId="77777777" w:rsidR="006619D8" w:rsidRPr="009259F9" w:rsidRDefault="006619D8" w:rsidP="006619D8">
            <w:pPr>
              <w:spacing w:after="0" w:line="240" w:lineRule="auto"/>
              <w:jc w:val="right"/>
              <w:rPr>
                <w:sz w:val="20"/>
                <w:szCs w:val="20"/>
                <w:lang w:val="en-GB"/>
              </w:rPr>
            </w:pPr>
          </w:p>
        </w:tc>
        <w:tc>
          <w:tcPr>
            <w:tcW w:w="888" w:type="dxa"/>
            <w:tcBorders>
              <w:top w:val="single" w:sz="4" w:space="0" w:color="476C2E"/>
              <w:left w:val="single" w:sz="4" w:space="0" w:color="476C2E"/>
              <w:bottom w:val="nil"/>
              <w:right w:val="nil"/>
            </w:tcBorders>
            <w:shd w:val="clear" w:color="auto" w:fill="auto"/>
            <w:noWrap/>
            <w:vAlign w:val="center"/>
          </w:tcPr>
          <w:p w14:paraId="4F01964D"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0AEFF453"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single" w:sz="4" w:space="0" w:color="476C2E"/>
              <w:bottom w:val="nil"/>
              <w:right w:val="nil"/>
            </w:tcBorders>
            <w:shd w:val="clear" w:color="auto" w:fill="auto"/>
            <w:noWrap/>
            <w:vAlign w:val="center"/>
          </w:tcPr>
          <w:p w14:paraId="327CBA4B"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7603942D" w14:textId="77777777" w:rsidR="006619D8" w:rsidRPr="009259F9" w:rsidRDefault="006619D8" w:rsidP="006619D8">
            <w:pPr>
              <w:spacing w:after="0" w:line="240" w:lineRule="auto"/>
              <w:jc w:val="right"/>
              <w:rPr>
                <w:sz w:val="20"/>
                <w:szCs w:val="20"/>
                <w:lang w:val="en-GB"/>
              </w:rPr>
            </w:pPr>
          </w:p>
        </w:tc>
      </w:tr>
      <w:tr w:rsidR="006619D8" w:rsidRPr="009259F9" w14:paraId="6DBA009E" w14:textId="77777777" w:rsidTr="006B1554">
        <w:trPr>
          <w:trHeight w:val="300"/>
        </w:trPr>
        <w:tc>
          <w:tcPr>
            <w:tcW w:w="3348" w:type="dxa"/>
            <w:tcBorders>
              <w:top w:val="nil"/>
              <w:left w:val="single" w:sz="4" w:space="0" w:color="476C2E"/>
              <w:bottom w:val="nil"/>
              <w:right w:val="single" w:sz="4" w:space="0" w:color="476C2E"/>
            </w:tcBorders>
            <w:shd w:val="clear" w:color="auto" w:fill="auto"/>
            <w:vAlign w:val="bottom"/>
          </w:tcPr>
          <w:p w14:paraId="193625BB" w14:textId="3ECA0DF6" w:rsidR="006619D8" w:rsidRPr="009259F9" w:rsidRDefault="006619D8" w:rsidP="006619D8">
            <w:pPr>
              <w:spacing w:after="0" w:line="240" w:lineRule="auto"/>
              <w:rPr>
                <w:rFonts w:eastAsia="Times New Roman" w:cs="Arial"/>
                <w:b/>
                <w:bCs/>
                <w:color w:val="000000"/>
                <w:sz w:val="18"/>
                <w:szCs w:val="18"/>
                <w:lang w:val="en-GB"/>
              </w:rPr>
            </w:pPr>
            <w:r w:rsidRPr="006C0543">
              <w:rPr>
                <w:color w:val="000000"/>
                <w:sz w:val="18"/>
              </w:rPr>
              <w:t>Καθαρά χρηματοοικονομικά έξοδα</w:t>
            </w:r>
          </w:p>
        </w:tc>
        <w:tc>
          <w:tcPr>
            <w:tcW w:w="888" w:type="dxa"/>
            <w:tcBorders>
              <w:top w:val="nil"/>
              <w:left w:val="single" w:sz="4" w:space="0" w:color="476C2E"/>
              <w:bottom w:val="nil"/>
              <w:right w:val="nil"/>
            </w:tcBorders>
            <w:shd w:val="clear" w:color="auto" w:fill="auto"/>
            <w:noWrap/>
            <w:vAlign w:val="center"/>
          </w:tcPr>
          <w:p w14:paraId="4D523055" w14:textId="6D7E1CF7"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21.538</w:t>
            </w:r>
          </w:p>
        </w:tc>
        <w:tc>
          <w:tcPr>
            <w:tcW w:w="889" w:type="dxa"/>
            <w:tcBorders>
              <w:top w:val="nil"/>
              <w:left w:val="nil"/>
              <w:bottom w:val="nil"/>
              <w:right w:val="single" w:sz="4" w:space="0" w:color="476C2E"/>
            </w:tcBorders>
            <w:shd w:val="clear" w:color="auto" w:fill="auto"/>
            <w:noWrap/>
            <w:vAlign w:val="center"/>
          </w:tcPr>
          <w:p w14:paraId="6514FC9A" w14:textId="5DC8C93A"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10.773</w:t>
            </w:r>
          </w:p>
        </w:tc>
        <w:tc>
          <w:tcPr>
            <w:tcW w:w="889" w:type="dxa"/>
            <w:tcBorders>
              <w:top w:val="nil"/>
              <w:left w:val="single" w:sz="4" w:space="0" w:color="476C2E"/>
              <w:bottom w:val="nil"/>
              <w:right w:val="nil"/>
            </w:tcBorders>
            <w:shd w:val="clear" w:color="auto" w:fill="auto"/>
            <w:noWrap/>
            <w:vAlign w:val="center"/>
          </w:tcPr>
          <w:p w14:paraId="712B83F9" w14:textId="7D66AE56"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12.435</w:t>
            </w:r>
          </w:p>
        </w:tc>
        <w:tc>
          <w:tcPr>
            <w:tcW w:w="889" w:type="dxa"/>
            <w:tcBorders>
              <w:top w:val="nil"/>
              <w:left w:val="nil"/>
              <w:bottom w:val="nil"/>
              <w:right w:val="single" w:sz="4" w:space="0" w:color="476C2E"/>
            </w:tcBorders>
            <w:shd w:val="clear" w:color="auto" w:fill="auto"/>
            <w:noWrap/>
            <w:vAlign w:val="center"/>
          </w:tcPr>
          <w:p w14:paraId="2D72D41B" w14:textId="5EFBD6CD"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3.701</w:t>
            </w:r>
          </w:p>
        </w:tc>
        <w:tc>
          <w:tcPr>
            <w:tcW w:w="888" w:type="dxa"/>
            <w:tcBorders>
              <w:top w:val="nil"/>
              <w:left w:val="single" w:sz="4" w:space="0" w:color="476C2E"/>
              <w:bottom w:val="nil"/>
              <w:right w:val="nil"/>
            </w:tcBorders>
            <w:shd w:val="clear" w:color="auto" w:fill="auto"/>
            <w:noWrap/>
            <w:vAlign w:val="center"/>
          </w:tcPr>
          <w:p w14:paraId="293FD1F9" w14:textId="3D167ADA"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(79)</w:t>
            </w:r>
          </w:p>
        </w:tc>
        <w:tc>
          <w:tcPr>
            <w:tcW w:w="889" w:type="dxa"/>
            <w:tcBorders>
              <w:top w:val="nil"/>
              <w:left w:val="nil"/>
              <w:bottom w:val="nil"/>
              <w:right w:val="single" w:sz="4" w:space="0" w:color="476C2E"/>
            </w:tcBorders>
            <w:shd w:val="clear" w:color="auto" w:fill="auto"/>
            <w:noWrap/>
            <w:vAlign w:val="center"/>
          </w:tcPr>
          <w:p w14:paraId="1066FFD9" w14:textId="5049DA33"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(45)</w:t>
            </w:r>
          </w:p>
        </w:tc>
        <w:tc>
          <w:tcPr>
            <w:tcW w:w="889" w:type="dxa"/>
            <w:tcBorders>
              <w:top w:val="nil"/>
              <w:left w:val="single" w:sz="4" w:space="0" w:color="476C2E"/>
              <w:bottom w:val="nil"/>
              <w:right w:val="nil"/>
            </w:tcBorders>
            <w:shd w:val="clear" w:color="auto" w:fill="auto"/>
            <w:noWrap/>
            <w:vAlign w:val="center"/>
          </w:tcPr>
          <w:p w14:paraId="5A71D8C2" w14:textId="1E09AAF3"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33.894</w:t>
            </w:r>
          </w:p>
        </w:tc>
        <w:tc>
          <w:tcPr>
            <w:tcW w:w="889" w:type="dxa"/>
            <w:tcBorders>
              <w:top w:val="nil"/>
              <w:left w:val="nil"/>
              <w:bottom w:val="nil"/>
              <w:right w:val="single" w:sz="4" w:space="0" w:color="476C2E"/>
            </w:tcBorders>
            <w:shd w:val="clear" w:color="auto" w:fill="auto"/>
            <w:noWrap/>
            <w:vAlign w:val="center"/>
          </w:tcPr>
          <w:p w14:paraId="5C957BC4" w14:textId="57981C0E"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14.429</w:t>
            </w:r>
          </w:p>
        </w:tc>
      </w:tr>
      <w:tr w:rsidR="006619D8" w:rsidRPr="009259F9" w14:paraId="64E98A3F" w14:textId="77777777" w:rsidTr="006B1554">
        <w:trPr>
          <w:trHeight w:val="300"/>
        </w:trPr>
        <w:tc>
          <w:tcPr>
            <w:tcW w:w="3348" w:type="dxa"/>
            <w:tcBorders>
              <w:top w:val="single" w:sz="4" w:space="0" w:color="476C2E"/>
              <w:left w:val="single" w:sz="4" w:space="0" w:color="476C2E"/>
              <w:bottom w:val="single" w:sz="4" w:space="0" w:color="476C2E"/>
              <w:right w:val="single" w:sz="4" w:space="0" w:color="476C2E"/>
            </w:tcBorders>
            <w:shd w:val="clear" w:color="auto" w:fill="E2EFD9"/>
            <w:vAlign w:val="bottom"/>
          </w:tcPr>
          <w:p w14:paraId="13B69541" w14:textId="0965E91A" w:rsidR="006619D8" w:rsidRPr="009259F9" w:rsidRDefault="006619D8" w:rsidP="006619D8">
            <w:pPr>
              <w:spacing w:after="0" w:line="240" w:lineRule="auto"/>
              <w:rPr>
                <w:rFonts w:eastAsia="Times New Roman" w:cs="Arial"/>
                <w:b/>
                <w:bCs/>
                <w:color w:val="000000"/>
                <w:sz w:val="18"/>
                <w:szCs w:val="18"/>
                <w:lang w:val="en-GB"/>
              </w:rPr>
            </w:pPr>
            <w:r w:rsidRPr="006C0543">
              <w:rPr>
                <w:b/>
                <w:color w:val="000000"/>
                <w:sz w:val="18"/>
              </w:rPr>
              <w:t>EBIT</w:t>
            </w:r>
          </w:p>
        </w:tc>
        <w:tc>
          <w:tcPr>
            <w:tcW w:w="888" w:type="dxa"/>
            <w:tcBorders>
              <w:top w:val="single" w:sz="4" w:space="0" w:color="476C2E"/>
              <w:left w:val="single" w:sz="4" w:space="0" w:color="476C2E"/>
              <w:bottom w:val="single" w:sz="4" w:space="0" w:color="476C2E"/>
              <w:right w:val="nil"/>
            </w:tcBorders>
            <w:shd w:val="clear" w:color="auto" w:fill="E2EFD9"/>
            <w:noWrap/>
            <w:vAlign w:val="center"/>
          </w:tcPr>
          <w:p w14:paraId="5E8888CC" w14:textId="216D1BB3"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42.839</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36F4DE11" w14:textId="48F8BC04"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36.046</w:t>
            </w:r>
          </w:p>
        </w:tc>
        <w:tc>
          <w:tcPr>
            <w:tcW w:w="889" w:type="dxa"/>
            <w:tcBorders>
              <w:top w:val="single" w:sz="4" w:space="0" w:color="476C2E"/>
              <w:left w:val="single" w:sz="4" w:space="0" w:color="476C2E"/>
              <w:bottom w:val="single" w:sz="4" w:space="0" w:color="476C2E"/>
              <w:right w:val="nil"/>
            </w:tcBorders>
            <w:shd w:val="clear" w:color="auto" w:fill="E2EFD9"/>
            <w:noWrap/>
            <w:vAlign w:val="center"/>
          </w:tcPr>
          <w:p w14:paraId="6AF7F17D" w14:textId="2194615E"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22.281</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44F834E8" w14:textId="55A008EB"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(497)</w:t>
            </w:r>
          </w:p>
        </w:tc>
        <w:tc>
          <w:tcPr>
            <w:tcW w:w="888" w:type="dxa"/>
            <w:tcBorders>
              <w:top w:val="single" w:sz="4" w:space="0" w:color="476C2E"/>
              <w:left w:val="single" w:sz="4" w:space="0" w:color="476C2E"/>
              <w:bottom w:val="single" w:sz="4" w:space="0" w:color="476C2E"/>
              <w:right w:val="nil"/>
            </w:tcBorders>
            <w:shd w:val="clear" w:color="auto" w:fill="E2EFD9"/>
            <w:noWrap/>
            <w:vAlign w:val="center"/>
          </w:tcPr>
          <w:p w14:paraId="011282B9" w14:textId="75C2083F"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(373)</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3E2DAFE6" w14:textId="6FFF09FC"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61</w:t>
            </w:r>
          </w:p>
        </w:tc>
        <w:tc>
          <w:tcPr>
            <w:tcW w:w="889" w:type="dxa"/>
            <w:tcBorders>
              <w:top w:val="single" w:sz="4" w:space="0" w:color="476C2E"/>
              <w:left w:val="single" w:sz="4" w:space="0" w:color="476C2E"/>
              <w:bottom w:val="single" w:sz="4" w:space="0" w:color="476C2E"/>
              <w:right w:val="nil"/>
            </w:tcBorders>
            <w:shd w:val="clear" w:color="auto" w:fill="E2EFD9"/>
            <w:noWrap/>
            <w:vAlign w:val="center"/>
          </w:tcPr>
          <w:p w14:paraId="79C1E956" w14:textId="3731AA05"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64.746</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1F218B4B" w14:textId="49A09576"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35.611</w:t>
            </w:r>
          </w:p>
        </w:tc>
      </w:tr>
      <w:tr w:rsidR="006619D8" w:rsidRPr="009259F9" w14:paraId="7B23FF9F" w14:textId="77777777" w:rsidTr="006B1554">
        <w:trPr>
          <w:trHeight w:val="300"/>
        </w:trPr>
        <w:tc>
          <w:tcPr>
            <w:tcW w:w="3348" w:type="dxa"/>
            <w:tcBorders>
              <w:top w:val="single" w:sz="4" w:space="0" w:color="476C2E"/>
              <w:left w:val="single" w:sz="4" w:space="0" w:color="476C2E"/>
              <w:bottom w:val="nil"/>
              <w:right w:val="single" w:sz="4" w:space="0" w:color="476C2E"/>
            </w:tcBorders>
            <w:shd w:val="clear" w:color="auto" w:fill="auto"/>
            <w:vAlign w:val="bottom"/>
          </w:tcPr>
          <w:p w14:paraId="6E697018" w14:textId="5ACDA40B" w:rsidR="006619D8" w:rsidRPr="009259F9" w:rsidRDefault="006619D8" w:rsidP="006619D8">
            <w:pPr>
              <w:spacing w:after="0" w:line="240" w:lineRule="auto"/>
              <w:rPr>
                <w:rFonts w:cs="Calibri"/>
                <w:b/>
                <w:i/>
                <w:color w:val="000000"/>
                <w:sz w:val="18"/>
                <w:szCs w:val="18"/>
                <w:u w:val="single"/>
                <w:lang w:val="en-GB"/>
              </w:rPr>
            </w:pPr>
            <w:r w:rsidRPr="006C0543">
              <w:rPr>
                <w:b/>
                <w:i/>
                <w:color w:val="000000"/>
                <w:sz w:val="18"/>
                <w:u w:val="single"/>
              </w:rPr>
              <w:t>Επανενσωμάτωση:</w:t>
            </w:r>
          </w:p>
        </w:tc>
        <w:tc>
          <w:tcPr>
            <w:tcW w:w="888" w:type="dxa"/>
            <w:tcBorders>
              <w:top w:val="single" w:sz="4" w:space="0" w:color="476C2E"/>
              <w:left w:val="single" w:sz="4" w:space="0" w:color="476C2E"/>
              <w:bottom w:val="nil"/>
              <w:right w:val="nil"/>
            </w:tcBorders>
            <w:shd w:val="clear" w:color="auto" w:fill="auto"/>
            <w:noWrap/>
            <w:vAlign w:val="center"/>
          </w:tcPr>
          <w:p w14:paraId="5DFE476C" w14:textId="77777777" w:rsidR="006619D8" w:rsidRPr="009259F9" w:rsidRDefault="006619D8" w:rsidP="006619D8">
            <w:pPr>
              <w:spacing w:after="0" w:line="240" w:lineRule="auto"/>
              <w:jc w:val="right"/>
              <w:rPr>
                <w:rFonts w:cs="Calibri"/>
                <w:b/>
                <w:bCs/>
                <w:color w:val="000000"/>
                <w:sz w:val="18"/>
                <w:szCs w:val="18"/>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7F06DA10"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single" w:sz="4" w:space="0" w:color="476C2E"/>
              <w:bottom w:val="nil"/>
              <w:right w:val="nil"/>
            </w:tcBorders>
            <w:shd w:val="clear" w:color="auto" w:fill="auto"/>
            <w:noWrap/>
            <w:vAlign w:val="center"/>
          </w:tcPr>
          <w:p w14:paraId="44E8A43A"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2BF12E32" w14:textId="77777777" w:rsidR="006619D8" w:rsidRPr="009259F9" w:rsidRDefault="006619D8" w:rsidP="006619D8">
            <w:pPr>
              <w:spacing w:after="0" w:line="240" w:lineRule="auto"/>
              <w:jc w:val="right"/>
              <w:rPr>
                <w:sz w:val="20"/>
                <w:szCs w:val="20"/>
                <w:lang w:val="en-GB"/>
              </w:rPr>
            </w:pPr>
          </w:p>
        </w:tc>
        <w:tc>
          <w:tcPr>
            <w:tcW w:w="888" w:type="dxa"/>
            <w:tcBorders>
              <w:top w:val="single" w:sz="4" w:space="0" w:color="476C2E"/>
              <w:left w:val="single" w:sz="4" w:space="0" w:color="476C2E"/>
              <w:bottom w:val="nil"/>
              <w:right w:val="nil"/>
            </w:tcBorders>
            <w:shd w:val="clear" w:color="auto" w:fill="auto"/>
            <w:noWrap/>
            <w:vAlign w:val="center"/>
          </w:tcPr>
          <w:p w14:paraId="5E8607EF"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56EB3882"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single" w:sz="4" w:space="0" w:color="476C2E"/>
              <w:bottom w:val="nil"/>
              <w:right w:val="nil"/>
            </w:tcBorders>
            <w:shd w:val="clear" w:color="auto" w:fill="auto"/>
            <w:noWrap/>
            <w:vAlign w:val="center"/>
          </w:tcPr>
          <w:p w14:paraId="18E3C785" w14:textId="77777777" w:rsidR="006619D8" w:rsidRPr="009259F9" w:rsidRDefault="006619D8" w:rsidP="006619D8">
            <w:pPr>
              <w:spacing w:after="0" w:line="240" w:lineRule="auto"/>
              <w:jc w:val="right"/>
              <w:rPr>
                <w:sz w:val="20"/>
                <w:szCs w:val="20"/>
                <w:lang w:val="en-GB"/>
              </w:rPr>
            </w:pPr>
          </w:p>
        </w:tc>
        <w:tc>
          <w:tcPr>
            <w:tcW w:w="889" w:type="dxa"/>
            <w:tcBorders>
              <w:top w:val="single" w:sz="4" w:space="0" w:color="476C2E"/>
              <w:left w:val="nil"/>
              <w:bottom w:val="nil"/>
              <w:right w:val="single" w:sz="4" w:space="0" w:color="476C2E"/>
            </w:tcBorders>
            <w:shd w:val="clear" w:color="auto" w:fill="auto"/>
            <w:noWrap/>
            <w:vAlign w:val="center"/>
          </w:tcPr>
          <w:p w14:paraId="7569E931" w14:textId="77777777" w:rsidR="006619D8" w:rsidRPr="009259F9" w:rsidRDefault="006619D8" w:rsidP="006619D8">
            <w:pPr>
              <w:spacing w:after="0" w:line="240" w:lineRule="auto"/>
              <w:jc w:val="right"/>
              <w:rPr>
                <w:sz w:val="20"/>
                <w:szCs w:val="20"/>
                <w:lang w:val="en-GB"/>
              </w:rPr>
            </w:pPr>
          </w:p>
        </w:tc>
      </w:tr>
      <w:tr w:rsidR="006619D8" w:rsidRPr="009259F9" w14:paraId="1AFBE79D" w14:textId="77777777" w:rsidTr="006B1554">
        <w:trPr>
          <w:trHeight w:val="300"/>
        </w:trPr>
        <w:tc>
          <w:tcPr>
            <w:tcW w:w="3348" w:type="dxa"/>
            <w:tcBorders>
              <w:top w:val="nil"/>
              <w:left w:val="single" w:sz="4" w:space="0" w:color="476C2E"/>
              <w:bottom w:val="nil"/>
              <w:right w:val="single" w:sz="4" w:space="0" w:color="476C2E"/>
            </w:tcBorders>
            <w:shd w:val="clear" w:color="auto" w:fill="auto"/>
            <w:vAlign w:val="bottom"/>
            <w:hideMark/>
          </w:tcPr>
          <w:p w14:paraId="2F127CA9" w14:textId="139A9EF7" w:rsidR="006619D8" w:rsidRPr="009259F9" w:rsidRDefault="006619D8" w:rsidP="006619D8">
            <w:pPr>
              <w:spacing w:after="0" w:line="240" w:lineRule="auto"/>
              <w:rPr>
                <w:rFonts w:eastAsia="Times New Roman" w:cs="Arial"/>
                <w:b/>
                <w:bCs/>
                <w:color w:val="000000"/>
                <w:sz w:val="18"/>
                <w:szCs w:val="18"/>
                <w:lang w:val="en-GB"/>
              </w:rPr>
            </w:pPr>
            <w:r w:rsidRPr="006C0543">
              <w:rPr>
                <w:color w:val="000000"/>
                <w:sz w:val="18"/>
              </w:rPr>
              <w:t>Αποσβέσεις</w:t>
            </w:r>
          </w:p>
        </w:tc>
        <w:tc>
          <w:tcPr>
            <w:tcW w:w="888" w:type="dxa"/>
            <w:tcBorders>
              <w:top w:val="nil"/>
              <w:left w:val="single" w:sz="4" w:space="0" w:color="476C2E"/>
              <w:bottom w:val="nil"/>
              <w:right w:val="nil"/>
            </w:tcBorders>
            <w:shd w:val="clear" w:color="auto" w:fill="auto"/>
            <w:noWrap/>
            <w:vAlign w:val="center"/>
          </w:tcPr>
          <w:p w14:paraId="734529A5" w14:textId="080379B8"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9.742</w:t>
            </w:r>
          </w:p>
        </w:tc>
        <w:tc>
          <w:tcPr>
            <w:tcW w:w="889" w:type="dxa"/>
            <w:tcBorders>
              <w:top w:val="nil"/>
              <w:left w:val="nil"/>
              <w:bottom w:val="nil"/>
              <w:right w:val="single" w:sz="4" w:space="0" w:color="476C2E"/>
            </w:tcBorders>
            <w:shd w:val="clear" w:color="auto" w:fill="auto"/>
            <w:noWrap/>
            <w:vAlign w:val="center"/>
          </w:tcPr>
          <w:p w14:paraId="3F5B9F5E" w14:textId="15FC8127"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9.004</w:t>
            </w:r>
          </w:p>
        </w:tc>
        <w:tc>
          <w:tcPr>
            <w:tcW w:w="889" w:type="dxa"/>
            <w:tcBorders>
              <w:top w:val="nil"/>
              <w:left w:val="single" w:sz="4" w:space="0" w:color="476C2E"/>
              <w:bottom w:val="nil"/>
              <w:right w:val="nil"/>
            </w:tcBorders>
            <w:shd w:val="clear" w:color="auto" w:fill="auto"/>
            <w:noWrap/>
            <w:vAlign w:val="center"/>
          </w:tcPr>
          <w:p w14:paraId="38FDBFE0" w14:textId="207802CE"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4.753</w:t>
            </w:r>
          </w:p>
        </w:tc>
        <w:tc>
          <w:tcPr>
            <w:tcW w:w="889" w:type="dxa"/>
            <w:tcBorders>
              <w:top w:val="nil"/>
              <w:left w:val="nil"/>
              <w:bottom w:val="nil"/>
              <w:right w:val="single" w:sz="4" w:space="0" w:color="476C2E"/>
            </w:tcBorders>
            <w:shd w:val="clear" w:color="auto" w:fill="auto"/>
            <w:noWrap/>
            <w:vAlign w:val="center"/>
          </w:tcPr>
          <w:p w14:paraId="79B6CF56" w14:textId="076EE930"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4.446</w:t>
            </w:r>
          </w:p>
        </w:tc>
        <w:tc>
          <w:tcPr>
            <w:tcW w:w="888" w:type="dxa"/>
            <w:tcBorders>
              <w:top w:val="nil"/>
              <w:left w:val="single" w:sz="4" w:space="0" w:color="476C2E"/>
              <w:bottom w:val="nil"/>
              <w:right w:val="nil"/>
            </w:tcBorders>
            <w:shd w:val="clear" w:color="auto" w:fill="auto"/>
            <w:noWrap/>
            <w:vAlign w:val="center"/>
          </w:tcPr>
          <w:p w14:paraId="753D03B6" w14:textId="198F30CE"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6</w:t>
            </w:r>
          </w:p>
        </w:tc>
        <w:tc>
          <w:tcPr>
            <w:tcW w:w="889" w:type="dxa"/>
            <w:tcBorders>
              <w:top w:val="nil"/>
              <w:left w:val="nil"/>
              <w:bottom w:val="nil"/>
              <w:right w:val="single" w:sz="4" w:space="0" w:color="476C2E"/>
            </w:tcBorders>
            <w:shd w:val="clear" w:color="auto" w:fill="auto"/>
            <w:noWrap/>
            <w:vAlign w:val="center"/>
          </w:tcPr>
          <w:p w14:paraId="40C4457E" w14:textId="0C2489D4"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6</w:t>
            </w:r>
          </w:p>
        </w:tc>
        <w:tc>
          <w:tcPr>
            <w:tcW w:w="889" w:type="dxa"/>
            <w:tcBorders>
              <w:top w:val="nil"/>
              <w:left w:val="single" w:sz="4" w:space="0" w:color="476C2E"/>
              <w:bottom w:val="nil"/>
              <w:right w:val="nil"/>
            </w:tcBorders>
            <w:shd w:val="clear" w:color="auto" w:fill="auto"/>
            <w:noWrap/>
            <w:vAlign w:val="center"/>
          </w:tcPr>
          <w:p w14:paraId="44AACDA9" w14:textId="72A0FB98"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14.502</w:t>
            </w:r>
          </w:p>
        </w:tc>
        <w:tc>
          <w:tcPr>
            <w:tcW w:w="889" w:type="dxa"/>
            <w:tcBorders>
              <w:top w:val="nil"/>
              <w:left w:val="nil"/>
              <w:bottom w:val="nil"/>
              <w:right w:val="single" w:sz="4" w:space="0" w:color="476C2E"/>
            </w:tcBorders>
            <w:shd w:val="clear" w:color="auto" w:fill="auto"/>
            <w:noWrap/>
            <w:vAlign w:val="center"/>
          </w:tcPr>
          <w:p w14:paraId="67A0B2E5" w14:textId="62A87E04" w:rsidR="006619D8" w:rsidRPr="009259F9" w:rsidRDefault="006619D8" w:rsidP="006619D8">
            <w:pPr>
              <w:spacing w:after="0" w:line="240" w:lineRule="auto"/>
              <w:jc w:val="right"/>
              <w:rPr>
                <w:rFonts w:cs="Calibri"/>
                <w:color w:val="000000"/>
                <w:sz w:val="18"/>
                <w:szCs w:val="18"/>
                <w:lang w:val="en-GB"/>
              </w:rPr>
            </w:pPr>
            <w:r>
              <w:rPr>
                <w:rFonts w:cs="Calibri"/>
                <w:color w:val="000000"/>
                <w:sz w:val="18"/>
                <w:szCs w:val="18"/>
              </w:rPr>
              <w:t>13.457</w:t>
            </w:r>
          </w:p>
        </w:tc>
      </w:tr>
      <w:tr w:rsidR="006619D8" w:rsidRPr="009259F9" w14:paraId="27A27CA5" w14:textId="77777777" w:rsidTr="006B1554">
        <w:trPr>
          <w:trHeight w:val="300"/>
        </w:trPr>
        <w:tc>
          <w:tcPr>
            <w:tcW w:w="3348" w:type="dxa"/>
            <w:tcBorders>
              <w:top w:val="single" w:sz="4" w:space="0" w:color="476C2E"/>
              <w:left w:val="single" w:sz="4" w:space="0" w:color="476C2E"/>
              <w:bottom w:val="single" w:sz="4" w:space="0" w:color="476C2E"/>
              <w:right w:val="single" w:sz="4" w:space="0" w:color="476C2E"/>
            </w:tcBorders>
            <w:shd w:val="clear" w:color="auto" w:fill="E2EFD9"/>
            <w:vAlign w:val="bottom"/>
            <w:hideMark/>
          </w:tcPr>
          <w:p w14:paraId="4CF14581" w14:textId="49BF12E9" w:rsidR="006619D8" w:rsidRPr="006619D8" w:rsidRDefault="006619D8" w:rsidP="006619D8">
            <w:pPr>
              <w:spacing w:after="0" w:line="240" w:lineRule="auto"/>
              <w:rPr>
                <w:rFonts w:eastAsia="Times New Roman" w:cs="Arial"/>
                <w:b/>
                <w:bCs/>
                <w:color w:val="000000"/>
                <w:sz w:val="18"/>
                <w:szCs w:val="18"/>
              </w:rPr>
            </w:pPr>
            <w:r w:rsidRPr="006C0543">
              <w:rPr>
                <w:b/>
                <w:color w:val="000000"/>
                <w:sz w:val="18"/>
              </w:rPr>
              <w:t>Κέρδη προ φόρων, χρηματοδοτικών, επενδυτικών αποτελεσμάτων και αποσβέσεων (EBITDA)</w:t>
            </w:r>
          </w:p>
        </w:tc>
        <w:tc>
          <w:tcPr>
            <w:tcW w:w="888" w:type="dxa"/>
            <w:tcBorders>
              <w:top w:val="single" w:sz="4" w:space="0" w:color="476C2E"/>
              <w:left w:val="single" w:sz="4" w:space="0" w:color="476C2E"/>
              <w:bottom w:val="single" w:sz="4" w:space="0" w:color="476C2E"/>
              <w:right w:val="nil"/>
            </w:tcBorders>
            <w:shd w:val="clear" w:color="auto" w:fill="E2EFD9"/>
            <w:noWrap/>
            <w:vAlign w:val="center"/>
          </w:tcPr>
          <w:p w14:paraId="5F044D0A" w14:textId="50D5A4EF"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52.581</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430C570B" w14:textId="46C464AF"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45.051</w:t>
            </w:r>
          </w:p>
        </w:tc>
        <w:tc>
          <w:tcPr>
            <w:tcW w:w="889" w:type="dxa"/>
            <w:tcBorders>
              <w:top w:val="single" w:sz="4" w:space="0" w:color="476C2E"/>
              <w:left w:val="single" w:sz="4" w:space="0" w:color="476C2E"/>
              <w:bottom w:val="single" w:sz="4" w:space="0" w:color="476C2E"/>
              <w:right w:val="nil"/>
            </w:tcBorders>
            <w:shd w:val="clear" w:color="auto" w:fill="E2EFD9"/>
            <w:noWrap/>
            <w:vAlign w:val="center"/>
          </w:tcPr>
          <w:p w14:paraId="4B7415BD" w14:textId="6E1EAB13"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27.034</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3F72DE35" w14:textId="78A3FDD4"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3.949</w:t>
            </w:r>
          </w:p>
        </w:tc>
        <w:tc>
          <w:tcPr>
            <w:tcW w:w="888" w:type="dxa"/>
            <w:tcBorders>
              <w:top w:val="single" w:sz="4" w:space="0" w:color="476C2E"/>
              <w:left w:val="single" w:sz="4" w:space="0" w:color="476C2E"/>
              <w:bottom w:val="single" w:sz="4" w:space="0" w:color="476C2E"/>
              <w:right w:val="nil"/>
            </w:tcBorders>
            <w:shd w:val="clear" w:color="auto" w:fill="E2EFD9"/>
            <w:noWrap/>
            <w:vAlign w:val="center"/>
          </w:tcPr>
          <w:p w14:paraId="34C37C55" w14:textId="1B14848F"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(367)</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4A85A3FE" w14:textId="6DF2B181"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67</w:t>
            </w:r>
          </w:p>
        </w:tc>
        <w:tc>
          <w:tcPr>
            <w:tcW w:w="889" w:type="dxa"/>
            <w:tcBorders>
              <w:top w:val="single" w:sz="4" w:space="0" w:color="476C2E"/>
              <w:left w:val="single" w:sz="4" w:space="0" w:color="476C2E"/>
              <w:bottom w:val="single" w:sz="4" w:space="0" w:color="476C2E"/>
              <w:right w:val="nil"/>
            </w:tcBorders>
            <w:shd w:val="clear" w:color="auto" w:fill="E2EFD9"/>
            <w:noWrap/>
            <w:vAlign w:val="center"/>
          </w:tcPr>
          <w:p w14:paraId="03F11C52" w14:textId="2D638931"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79.249</w:t>
            </w:r>
          </w:p>
        </w:tc>
        <w:tc>
          <w:tcPr>
            <w:tcW w:w="889" w:type="dxa"/>
            <w:tcBorders>
              <w:top w:val="single" w:sz="4" w:space="0" w:color="476C2E"/>
              <w:left w:val="nil"/>
              <w:bottom w:val="single" w:sz="4" w:space="0" w:color="476C2E"/>
              <w:right w:val="single" w:sz="4" w:space="0" w:color="476C2E"/>
            </w:tcBorders>
            <w:shd w:val="clear" w:color="auto" w:fill="E2EFD9"/>
            <w:noWrap/>
            <w:vAlign w:val="center"/>
          </w:tcPr>
          <w:p w14:paraId="53D82F7C" w14:textId="465D6B24"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49.067</w:t>
            </w:r>
          </w:p>
        </w:tc>
      </w:tr>
    </w:tbl>
    <w:p w14:paraId="1F947C31" w14:textId="77777777" w:rsidR="00842565" w:rsidRPr="009259F9" w:rsidRDefault="00842565" w:rsidP="006B321F">
      <w:pPr>
        <w:spacing w:after="120" w:line="240" w:lineRule="auto"/>
        <w:jc w:val="both"/>
        <w:rPr>
          <w:rFonts w:cs="Calibri"/>
          <w:b/>
          <w:sz w:val="20"/>
          <w:szCs w:val="20"/>
          <w:u w:val="single"/>
          <w:lang w:val="en-GB" w:eastAsia="x-none"/>
        </w:rPr>
      </w:pPr>
    </w:p>
    <w:p w14:paraId="1E6D2AC3" w14:textId="2D570CC1" w:rsidR="00677257" w:rsidRDefault="00F467F6" w:rsidP="006B321F">
      <w:pPr>
        <w:spacing w:after="120" w:line="240" w:lineRule="auto"/>
        <w:jc w:val="both"/>
        <w:rPr>
          <w:rFonts w:cs="Calibri"/>
          <w:b/>
          <w:sz w:val="20"/>
          <w:szCs w:val="20"/>
          <w:u w:val="single"/>
          <w:lang w:val="en-GB" w:eastAsia="x-none"/>
        </w:rPr>
      </w:pPr>
      <w:r>
        <w:rPr>
          <w:rFonts w:cs="Calibri"/>
          <w:b/>
          <w:sz w:val="20"/>
          <w:szCs w:val="20"/>
          <w:u w:val="single"/>
          <w:lang w:eastAsia="x-none"/>
        </w:rPr>
        <w:t>α</w:t>
      </w:r>
      <w:r w:rsidR="00677257" w:rsidRPr="009259F9">
        <w:rPr>
          <w:rFonts w:cs="Calibri"/>
          <w:b/>
          <w:sz w:val="20"/>
          <w:szCs w:val="20"/>
          <w:u w:val="single"/>
          <w:lang w:val="en-GB" w:eastAsia="x-none"/>
        </w:rPr>
        <w:t xml:space="preserve">-EBIT and </w:t>
      </w:r>
      <w:r>
        <w:rPr>
          <w:rFonts w:cs="Calibri"/>
          <w:b/>
          <w:sz w:val="20"/>
          <w:szCs w:val="20"/>
          <w:u w:val="single"/>
          <w:lang w:eastAsia="x-none"/>
        </w:rPr>
        <w:t>α</w:t>
      </w:r>
      <w:r w:rsidR="00677257" w:rsidRPr="009259F9">
        <w:rPr>
          <w:rFonts w:cs="Calibri"/>
          <w:b/>
          <w:sz w:val="20"/>
          <w:szCs w:val="20"/>
          <w:u w:val="single"/>
          <w:lang w:val="en-GB" w:eastAsia="x-none"/>
        </w:rPr>
        <w:t>-EBITDA:</w:t>
      </w:r>
    </w:p>
    <w:tbl>
      <w:tblPr>
        <w:tblW w:w="10458"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blBorders>
        <w:tblLayout w:type="fixed"/>
        <w:tblLook w:val="04A0" w:firstRow="1" w:lastRow="0" w:firstColumn="1" w:lastColumn="0" w:noHBand="0" w:noVBand="1"/>
      </w:tblPr>
      <w:tblGrid>
        <w:gridCol w:w="3330"/>
        <w:gridCol w:w="891"/>
        <w:gridCol w:w="891"/>
        <w:gridCol w:w="891"/>
        <w:gridCol w:w="891"/>
        <w:gridCol w:w="891"/>
        <w:gridCol w:w="891"/>
        <w:gridCol w:w="891"/>
        <w:gridCol w:w="891"/>
      </w:tblGrid>
      <w:tr w:rsidR="006619D8" w:rsidRPr="009259F9" w14:paraId="40D9C362" w14:textId="77777777" w:rsidTr="0050101D">
        <w:trPr>
          <w:trHeight w:val="300"/>
        </w:trPr>
        <w:tc>
          <w:tcPr>
            <w:tcW w:w="3330" w:type="dxa"/>
            <w:shd w:val="clear" w:color="auto" w:fill="476C2E"/>
            <w:noWrap/>
            <w:vAlign w:val="center"/>
            <w:hideMark/>
          </w:tcPr>
          <w:p w14:paraId="5F43B387" w14:textId="77777777" w:rsidR="006619D8" w:rsidRPr="009259F9" w:rsidRDefault="006619D8" w:rsidP="006619D8">
            <w:pPr>
              <w:spacing w:after="0" w:line="240" w:lineRule="auto"/>
              <w:jc w:val="both"/>
              <w:rPr>
                <w:rFonts w:eastAsia="Times New Roman" w:cs="Arial"/>
                <w:b/>
                <w:bCs/>
                <w:color w:val="FFFFFF"/>
                <w:sz w:val="20"/>
                <w:szCs w:val="20"/>
                <w:lang w:val="en-GB"/>
              </w:rPr>
            </w:pPr>
          </w:p>
        </w:tc>
        <w:tc>
          <w:tcPr>
            <w:tcW w:w="1782" w:type="dxa"/>
            <w:gridSpan w:val="2"/>
            <w:shd w:val="clear" w:color="auto" w:fill="476C2E"/>
            <w:noWrap/>
            <w:vAlign w:val="center"/>
            <w:hideMark/>
          </w:tcPr>
          <w:p w14:paraId="434B1E5B" w14:textId="0948888A"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Καλώδια</w:t>
            </w:r>
          </w:p>
        </w:tc>
        <w:tc>
          <w:tcPr>
            <w:tcW w:w="1782" w:type="dxa"/>
            <w:gridSpan w:val="2"/>
            <w:shd w:val="clear" w:color="auto" w:fill="476C2E"/>
            <w:noWrap/>
            <w:vAlign w:val="center"/>
            <w:hideMark/>
          </w:tcPr>
          <w:p w14:paraId="33D85A82" w14:textId="3978322C" w:rsidR="006619D8" w:rsidRPr="009259F9" w:rsidRDefault="006619D8" w:rsidP="006619D8">
            <w:pPr>
              <w:spacing w:after="0" w:line="240" w:lineRule="auto"/>
              <w:jc w:val="center"/>
              <w:rPr>
                <w:rFonts w:eastAsia="Times New Roman" w:cs="Arial"/>
                <w:b/>
                <w:bCs/>
                <w:color w:val="FFFFFF"/>
                <w:sz w:val="20"/>
                <w:szCs w:val="20"/>
                <w:u w:val="single"/>
                <w:lang w:val="en-GB"/>
              </w:rPr>
            </w:pPr>
            <w:r w:rsidRPr="006C0543">
              <w:rPr>
                <w:b/>
                <w:color w:val="FFFFFF"/>
                <w:sz w:val="20"/>
                <w:u w:val="single"/>
              </w:rPr>
              <w:t>Σωλήνες χάλυβα</w:t>
            </w:r>
          </w:p>
        </w:tc>
        <w:tc>
          <w:tcPr>
            <w:tcW w:w="1782" w:type="dxa"/>
            <w:gridSpan w:val="2"/>
            <w:shd w:val="clear" w:color="auto" w:fill="476C2E"/>
            <w:noWrap/>
            <w:vAlign w:val="center"/>
            <w:hideMark/>
          </w:tcPr>
          <w:p w14:paraId="0E14F1B7" w14:textId="7C8593C1" w:rsidR="006619D8" w:rsidRPr="009259F9" w:rsidRDefault="006619D8" w:rsidP="006619D8">
            <w:pPr>
              <w:spacing w:after="0" w:line="240" w:lineRule="auto"/>
              <w:jc w:val="both"/>
              <w:rPr>
                <w:rFonts w:eastAsia="Times New Roman" w:cs="Arial"/>
                <w:b/>
                <w:bCs/>
                <w:color w:val="FFFFFF"/>
                <w:sz w:val="20"/>
                <w:szCs w:val="20"/>
                <w:u w:val="single"/>
                <w:lang w:val="en-GB"/>
              </w:rPr>
            </w:pPr>
            <w:r w:rsidRPr="006C0543">
              <w:rPr>
                <w:b/>
                <w:color w:val="FFFFFF"/>
                <w:sz w:val="20"/>
                <w:u w:val="single"/>
              </w:rPr>
              <w:t>Λοιπές δραστηριότητες</w:t>
            </w:r>
          </w:p>
        </w:tc>
        <w:tc>
          <w:tcPr>
            <w:tcW w:w="1782" w:type="dxa"/>
            <w:gridSpan w:val="2"/>
            <w:shd w:val="clear" w:color="auto" w:fill="476C2E"/>
            <w:noWrap/>
            <w:vAlign w:val="center"/>
            <w:hideMark/>
          </w:tcPr>
          <w:p w14:paraId="5489ADB4" w14:textId="41899EC2" w:rsidR="006619D8" w:rsidRPr="009259F9" w:rsidRDefault="006619D8" w:rsidP="006619D8">
            <w:pPr>
              <w:spacing w:after="0" w:line="240" w:lineRule="auto"/>
              <w:jc w:val="center"/>
              <w:rPr>
                <w:rFonts w:eastAsia="Times New Roman"/>
                <w:b/>
                <w:bCs/>
                <w:color w:val="FFFFFF"/>
                <w:sz w:val="20"/>
                <w:szCs w:val="20"/>
                <w:u w:val="single"/>
                <w:lang w:val="en-GB" w:eastAsia="el-GR"/>
              </w:rPr>
            </w:pPr>
            <w:r w:rsidRPr="006C0543">
              <w:rPr>
                <w:b/>
                <w:color w:val="FFFFFF"/>
                <w:sz w:val="20"/>
                <w:u w:val="single"/>
              </w:rPr>
              <w:t>Σύνολο</w:t>
            </w:r>
          </w:p>
        </w:tc>
      </w:tr>
      <w:tr w:rsidR="006619D8" w:rsidRPr="009259F9" w14:paraId="59CF22AB" w14:textId="77777777" w:rsidTr="0050101D">
        <w:trPr>
          <w:trHeight w:val="300"/>
        </w:trPr>
        <w:tc>
          <w:tcPr>
            <w:tcW w:w="3330" w:type="dxa"/>
            <w:tcBorders>
              <w:bottom w:val="nil"/>
            </w:tcBorders>
            <w:shd w:val="clear" w:color="auto" w:fill="476C2E"/>
            <w:noWrap/>
            <w:vAlign w:val="center"/>
            <w:hideMark/>
          </w:tcPr>
          <w:p w14:paraId="7D295D24" w14:textId="24E34A05" w:rsidR="006619D8" w:rsidRPr="009259F9" w:rsidRDefault="006619D8" w:rsidP="006619D8">
            <w:pPr>
              <w:spacing w:after="120" w:line="240" w:lineRule="auto"/>
              <w:jc w:val="both"/>
              <w:rPr>
                <w:rFonts w:eastAsia="Times New Roman" w:cs="Arial"/>
                <w:b/>
                <w:bCs/>
                <w:color w:val="FFFFFF"/>
                <w:sz w:val="20"/>
                <w:szCs w:val="20"/>
                <w:lang w:val="en-GB"/>
              </w:rPr>
            </w:pPr>
            <w:r w:rsidRPr="006C0543">
              <w:rPr>
                <w:b/>
                <w:color w:val="FFFFFF"/>
                <w:sz w:val="18"/>
              </w:rPr>
              <w:t>Ποσά σε χιλιάδες ευρώ</w:t>
            </w:r>
          </w:p>
        </w:tc>
        <w:tc>
          <w:tcPr>
            <w:tcW w:w="891" w:type="dxa"/>
            <w:tcBorders>
              <w:bottom w:val="nil"/>
            </w:tcBorders>
            <w:shd w:val="clear" w:color="auto" w:fill="476C2E"/>
            <w:noWrap/>
            <w:vAlign w:val="center"/>
            <w:hideMark/>
          </w:tcPr>
          <w:p w14:paraId="36E7266A" w14:textId="6AE4303B"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91" w:type="dxa"/>
            <w:tcBorders>
              <w:bottom w:val="nil"/>
            </w:tcBorders>
            <w:shd w:val="clear" w:color="auto" w:fill="476C2E"/>
            <w:noWrap/>
            <w:vAlign w:val="center"/>
            <w:hideMark/>
          </w:tcPr>
          <w:p w14:paraId="5CB97F8E" w14:textId="62B23FE4"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91" w:type="dxa"/>
            <w:tcBorders>
              <w:bottom w:val="nil"/>
            </w:tcBorders>
            <w:shd w:val="clear" w:color="auto" w:fill="476C2E"/>
            <w:noWrap/>
            <w:vAlign w:val="center"/>
            <w:hideMark/>
          </w:tcPr>
          <w:p w14:paraId="535F5CA0" w14:textId="1031DB4D"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91" w:type="dxa"/>
            <w:tcBorders>
              <w:bottom w:val="nil"/>
            </w:tcBorders>
            <w:shd w:val="clear" w:color="auto" w:fill="476C2E"/>
            <w:noWrap/>
            <w:vAlign w:val="center"/>
            <w:hideMark/>
          </w:tcPr>
          <w:p w14:paraId="0C715180" w14:textId="77C55E53"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91" w:type="dxa"/>
            <w:tcBorders>
              <w:bottom w:val="nil"/>
            </w:tcBorders>
            <w:shd w:val="clear" w:color="auto" w:fill="476C2E"/>
            <w:noWrap/>
            <w:vAlign w:val="center"/>
            <w:hideMark/>
          </w:tcPr>
          <w:p w14:paraId="72505A23" w14:textId="1AE5035D" w:rsidR="006619D8" w:rsidRPr="009259F9" w:rsidRDefault="006619D8" w:rsidP="006619D8">
            <w:pPr>
              <w:spacing w:after="0" w:line="240" w:lineRule="auto"/>
              <w:jc w:val="center"/>
              <w:rPr>
                <w:rFonts w:eastAsia="Times New Roman" w:cs="Arial"/>
                <w:b/>
                <w:bCs/>
                <w:color w:val="FFFFFF"/>
                <w:sz w:val="20"/>
                <w:szCs w:val="20"/>
                <w:lang w:val="en-GB"/>
              </w:rPr>
            </w:pPr>
            <w:r w:rsidRPr="006C0543">
              <w:rPr>
                <w:b/>
                <w:color w:val="FFFFFF"/>
                <w:sz w:val="18"/>
              </w:rPr>
              <w:t>Ποσά σε χιλιάδες ευρώ</w:t>
            </w:r>
          </w:p>
        </w:tc>
        <w:tc>
          <w:tcPr>
            <w:tcW w:w="891" w:type="dxa"/>
            <w:tcBorders>
              <w:bottom w:val="nil"/>
            </w:tcBorders>
            <w:shd w:val="clear" w:color="auto" w:fill="476C2E"/>
            <w:noWrap/>
            <w:vAlign w:val="center"/>
            <w:hideMark/>
          </w:tcPr>
          <w:p w14:paraId="0F9EEB3A" w14:textId="55869350"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c>
          <w:tcPr>
            <w:tcW w:w="891" w:type="dxa"/>
            <w:tcBorders>
              <w:bottom w:val="nil"/>
            </w:tcBorders>
            <w:shd w:val="clear" w:color="auto" w:fill="476C2E"/>
            <w:noWrap/>
            <w:vAlign w:val="center"/>
            <w:hideMark/>
          </w:tcPr>
          <w:p w14:paraId="5EB2C2F2" w14:textId="536B5E98"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2</w:t>
            </w:r>
          </w:p>
        </w:tc>
        <w:tc>
          <w:tcPr>
            <w:tcW w:w="891" w:type="dxa"/>
            <w:tcBorders>
              <w:bottom w:val="nil"/>
            </w:tcBorders>
            <w:shd w:val="clear" w:color="auto" w:fill="476C2E"/>
            <w:noWrap/>
            <w:vAlign w:val="center"/>
            <w:hideMark/>
          </w:tcPr>
          <w:p w14:paraId="0AEDA492" w14:textId="28E0E1DF" w:rsidR="006619D8" w:rsidRPr="009259F9" w:rsidRDefault="006619D8" w:rsidP="006619D8">
            <w:pPr>
              <w:spacing w:after="0" w:line="240" w:lineRule="auto"/>
              <w:jc w:val="center"/>
              <w:rPr>
                <w:rFonts w:eastAsia="Times New Roman" w:cs="Arial"/>
                <w:b/>
                <w:bCs/>
                <w:color w:val="FFFFFF"/>
                <w:sz w:val="20"/>
                <w:szCs w:val="20"/>
                <w:lang w:val="en-GB"/>
              </w:rPr>
            </w:pPr>
            <w:r w:rsidRPr="000A6EB0">
              <w:rPr>
                <w:b/>
                <w:color w:val="FFFFFF"/>
                <w:sz w:val="20"/>
                <w:szCs w:val="20"/>
              </w:rPr>
              <w:t xml:space="preserve">1ο εξ. </w:t>
            </w:r>
            <w:r w:rsidRPr="000A6EB0">
              <w:rPr>
                <w:rFonts w:eastAsia="Times New Roman" w:cs="Arial"/>
                <w:b/>
                <w:bCs/>
                <w:color w:val="FFFFFF" w:themeColor="background1"/>
                <w:sz w:val="20"/>
                <w:szCs w:val="20"/>
                <w:lang w:val="en-GB"/>
              </w:rPr>
              <w:t xml:space="preserve"> 202</w:t>
            </w:r>
            <w:r>
              <w:rPr>
                <w:rFonts w:eastAsia="Times New Roman" w:cs="Arial"/>
                <w:b/>
                <w:bCs/>
                <w:color w:val="FFFFFF" w:themeColor="background1"/>
                <w:sz w:val="20"/>
                <w:szCs w:val="20"/>
              </w:rPr>
              <w:t>3</w:t>
            </w:r>
          </w:p>
        </w:tc>
      </w:tr>
      <w:tr w:rsidR="006619D8" w:rsidRPr="009259F9" w14:paraId="0E72A13B" w14:textId="77777777" w:rsidTr="0050101D">
        <w:trPr>
          <w:trHeight w:val="300"/>
        </w:trPr>
        <w:tc>
          <w:tcPr>
            <w:tcW w:w="3330" w:type="dxa"/>
            <w:tcBorders>
              <w:top w:val="nil"/>
              <w:bottom w:val="single" w:sz="4" w:space="0" w:color="385623" w:themeColor="accent6" w:themeShade="80"/>
              <w:right w:val="single" w:sz="4" w:space="0" w:color="385623" w:themeColor="accent6" w:themeShade="80"/>
            </w:tcBorders>
            <w:shd w:val="clear" w:color="auto" w:fill="E2EFD9"/>
            <w:vAlign w:val="bottom"/>
            <w:hideMark/>
          </w:tcPr>
          <w:p w14:paraId="7A71EBB6" w14:textId="2DAADCFA" w:rsidR="006619D8" w:rsidRPr="009259F9" w:rsidRDefault="006619D8" w:rsidP="006619D8">
            <w:pPr>
              <w:spacing w:before="20" w:after="20" w:line="240" w:lineRule="auto"/>
              <w:rPr>
                <w:rFonts w:eastAsia="Times New Roman" w:cs="Arial"/>
                <w:b/>
                <w:bCs/>
                <w:color w:val="000000"/>
                <w:sz w:val="18"/>
                <w:szCs w:val="18"/>
                <w:lang w:val="en-GB"/>
              </w:rPr>
            </w:pPr>
            <w:r w:rsidRPr="009259F9">
              <w:rPr>
                <w:rFonts w:eastAsia="Times New Roman" w:cs="Arial"/>
                <w:b/>
                <w:bCs/>
                <w:color w:val="000000"/>
                <w:sz w:val="18"/>
                <w:szCs w:val="18"/>
                <w:lang w:val="en-GB"/>
              </w:rPr>
              <w:t>EBIT</w:t>
            </w:r>
          </w:p>
        </w:tc>
        <w:tc>
          <w:tcPr>
            <w:tcW w:w="891" w:type="dxa"/>
            <w:tcBorders>
              <w:top w:val="nil"/>
              <w:left w:val="single" w:sz="4" w:space="0" w:color="385623" w:themeColor="accent6" w:themeShade="80"/>
              <w:bottom w:val="single" w:sz="4" w:space="0" w:color="385623" w:themeColor="accent6" w:themeShade="80"/>
            </w:tcBorders>
            <w:shd w:val="clear" w:color="auto" w:fill="E2EFD9"/>
            <w:noWrap/>
            <w:vAlign w:val="center"/>
          </w:tcPr>
          <w:p w14:paraId="7F6C8D0A" w14:textId="6DA29B8B" w:rsidR="006619D8" w:rsidRPr="009259F9" w:rsidRDefault="006619D8" w:rsidP="006619D8">
            <w:pPr>
              <w:spacing w:after="0" w:line="240" w:lineRule="auto"/>
              <w:jc w:val="right"/>
              <w:rPr>
                <w:rFonts w:cs="Calibri"/>
                <w:b/>
                <w:bCs/>
                <w:color w:val="000000"/>
                <w:sz w:val="18"/>
                <w:szCs w:val="18"/>
                <w:lang w:val="en-GB"/>
              </w:rPr>
            </w:pPr>
            <w:r>
              <w:rPr>
                <w:rFonts w:cs="Calibri"/>
                <w:b/>
                <w:bCs/>
                <w:color w:val="000000"/>
                <w:sz w:val="18"/>
                <w:szCs w:val="18"/>
              </w:rPr>
              <w:t>42.839</w:t>
            </w:r>
          </w:p>
        </w:tc>
        <w:tc>
          <w:tcPr>
            <w:tcW w:w="891" w:type="dxa"/>
            <w:tcBorders>
              <w:top w:val="nil"/>
              <w:bottom w:val="single" w:sz="4" w:space="0" w:color="385623" w:themeColor="accent6" w:themeShade="80"/>
              <w:right w:val="single" w:sz="4" w:space="0" w:color="385623" w:themeColor="accent6" w:themeShade="80"/>
            </w:tcBorders>
            <w:shd w:val="clear" w:color="auto" w:fill="E2EFD9"/>
            <w:noWrap/>
            <w:vAlign w:val="center"/>
          </w:tcPr>
          <w:p w14:paraId="026BB671" w14:textId="3D83AFB6"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36.046</w:t>
            </w:r>
          </w:p>
        </w:tc>
        <w:tc>
          <w:tcPr>
            <w:tcW w:w="891" w:type="dxa"/>
            <w:tcBorders>
              <w:top w:val="nil"/>
              <w:left w:val="single" w:sz="4" w:space="0" w:color="385623" w:themeColor="accent6" w:themeShade="80"/>
              <w:bottom w:val="single" w:sz="4" w:space="0" w:color="385623" w:themeColor="accent6" w:themeShade="80"/>
            </w:tcBorders>
            <w:shd w:val="clear" w:color="auto" w:fill="E2EFD9"/>
            <w:noWrap/>
            <w:vAlign w:val="center"/>
          </w:tcPr>
          <w:p w14:paraId="7942BFA0" w14:textId="7FABF891"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22.281</w:t>
            </w:r>
          </w:p>
        </w:tc>
        <w:tc>
          <w:tcPr>
            <w:tcW w:w="891" w:type="dxa"/>
            <w:tcBorders>
              <w:top w:val="nil"/>
              <w:bottom w:val="single" w:sz="4" w:space="0" w:color="385623" w:themeColor="accent6" w:themeShade="80"/>
              <w:right w:val="single" w:sz="4" w:space="0" w:color="385623" w:themeColor="accent6" w:themeShade="80"/>
            </w:tcBorders>
            <w:shd w:val="clear" w:color="auto" w:fill="E2EFD9"/>
            <w:noWrap/>
            <w:vAlign w:val="center"/>
          </w:tcPr>
          <w:p w14:paraId="10BE4E46" w14:textId="2144E1A5"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(497)</w:t>
            </w:r>
          </w:p>
        </w:tc>
        <w:tc>
          <w:tcPr>
            <w:tcW w:w="891" w:type="dxa"/>
            <w:tcBorders>
              <w:top w:val="nil"/>
              <w:left w:val="single" w:sz="4" w:space="0" w:color="385623" w:themeColor="accent6" w:themeShade="80"/>
              <w:bottom w:val="single" w:sz="4" w:space="0" w:color="385623" w:themeColor="accent6" w:themeShade="80"/>
            </w:tcBorders>
            <w:shd w:val="clear" w:color="auto" w:fill="E2EFD9"/>
            <w:noWrap/>
            <w:vAlign w:val="center"/>
          </w:tcPr>
          <w:p w14:paraId="6FCD8242" w14:textId="5E5A1970"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(373)</w:t>
            </w:r>
          </w:p>
        </w:tc>
        <w:tc>
          <w:tcPr>
            <w:tcW w:w="891" w:type="dxa"/>
            <w:tcBorders>
              <w:top w:val="nil"/>
              <w:bottom w:val="single" w:sz="4" w:space="0" w:color="385623" w:themeColor="accent6" w:themeShade="80"/>
              <w:right w:val="single" w:sz="4" w:space="0" w:color="385623" w:themeColor="accent6" w:themeShade="80"/>
            </w:tcBorders>
            <w:shd w:val="clear" w:color="auto" w:fill="E2EFD9"/>
            <w:noWrap/>
            <w:vAlign w:val="center"/>
          </w:tcPr>
          <w:p w14:paraId="3A0B0BF9" w14:textId="1D7F2C8F"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61</w:t>
            </w:r>
          </w:p>
        </w:tc>
        <w:tc>
          <w:tcPr>
            <w:tcW w:w="891" w:type="dxa"/>
            <w:tcBorders>
              <w:top w:val="nil"/>
              <w:left w:val="single" w:sz="4" w:space="0" w:color="385623" w:themeColor="accent6" w:themeShade="80"/>
              <w:bottom w:val="single" w:sz="4" w:space="0" w:color="385623" w:themeColor="accent6" w:themeShade="80"/>
            </w:tcBorders>
            <w:shd w:val="clear" w:color="auto" w:fill="E2EFD9"/>
            <w:noWrap/>
            <w:vAlign w:val="center"/>
          </w:tcPr>
          <w:p w14:paraId="54D71BCF" w14:textId="577236EB"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64.746</w:t>
            </w:r>
          </w:p>
        </w:tc>
        <w:tc>
          <w:tcPr>
            <w:tcW w:w="891" w:type="dxa"/>
            <w:tcBorders>
              <w:top w:val="nil"/>
              <w:bottom w:val="single" w:sz="4" w:space="0" w:color="385623" w:themeColor="accent6" w:themeShade="80"/>
            </w:tcBorders>
            <w:shd w:val="clear" w:color="auto" w:fill="E2EFD9"/>
            <w:noWrap/>
            <w:vAlign w:val="center"/>
          </w:tcPr>
          <w:p w14:paraId="5B52B18F" w14:textId="6613B453"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35.611</w:t>
            </w:r>
          </w:p>
        </w:tc>
      </w:tr>
      <w:tr w:rsidR="006619D8" w:rsidRPr="009259F9" w14:paraId="3619C6B5" w14:textId="77777777" w:rsidTr="0050101D">
        <w:trPr>
          <w:trHeight w:val="300"/>
        </w:trPr>
        <w:tc>
          <w:tcPr>
            <w:tcW w:w="3330" w:type="dxa"/>
            <w:tcBorders>
              <w:top w:val="single" w:sz="4" w:space="0" w:color="385623" w:themeColor="accent6" w:themeShade="80"/>
              <w:right w:val="single" w:sz="4" w:space="0" w:color="385623" w:themeColor="accent6" w:themeShade="80"/>
            </w:tcBorders>
            <w:shd w:val="clear" w:color="auto" w:fill="auto"/>
            <w:noWrap/>
            <w:vAlign w:val="bottom"/>
            <w:hideMark/>
          </w:tcPr>
          <w:p w14:paraId="5EA00596" w14:textId="1387831E" w:rsidR="006619D8" w:rsidRPr="009259F9" w:rsidRDefault="006619D8" w:rsidP="006619D8">
            <w:pPr>
              <w:spacing w:before="20" w:after="20" w:line="240" w:lineRule="auto"/>
              <w:rPr>
                <w:rFonts w:eastAsia="Times New Roman" w:cs="Arial"/>
                <w:color w:val="000000"/>
                <w:sz w:val="18"/>
                <w:szCs w:val="18"/>
                <w:lang w:val="en-GB"/>
              </w:rPr>
            </w:pPr>
            <w:r w:rsidRPr="006C0543">
              <w:rPr>
                <w:b/>
                <w:i/>
                <w:color w:val="000000"/>
                <w:sz w:val="18"/>
                <w:u w:val="single"/>
              </w:rPr>
              <w:t>Προσαρμογές για:</w:t>
            </w: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3C032B53" w14:textId="3AA3BE55"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60A1F534" w14:textId="6F26952B"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4048B4DE" w14:textId="3F79C3F8"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404F6E7B" w14:textId="220E2C9C"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424E499D" w14:textId="5C4356A3"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506AD936" w14:textId="51B1198F"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2E1BC9E8" w14:textId="18991853"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c>
          <w:tcPr>
            <w:tcW w:w="891" w:type="dxa"/>
            <w:tcBorders>
              <w:top w:val="single" w:sz="4" w:space="0" w:color="385623" w:themeColor="accent6" w:themeShade="80"/>
            </w:tcBorders>
            <w:shd w:val="clear" w:color="auto" w:fill="auto"/>
            <w:noWrap/>
            <w:vAlign w:val="center"/>
          </w:tcPr>
          <w:p w14:paraId="7B1D8239" w14:textId="6DCEDC5F" w:rsidR="006619D8" w:rsidRPr="009259F9" w:rsidRDefault="006619D8" w:rsidP="006619D8">
            <w:pPr>
              <w:spacing w:after="0"/>
              <w:jc w:val="right"/>
              <w:rPr>
                <w:rFonts w:cs="Calibri"/>
                <w:color w:val="000000"/>
                <w:sz w:val="18"/>
                <w:szCs w:val="18"/>
                <w:lang w:val="en-GB"/>
              </w:rPr>
            </w:pPr>
            <w:r>
              <w:rPr>
                <w:rFonts w:cs="Calibri"/>
                <w:color w:val="000000"/>
                <w:sz w:val="18"/>
                <w:szCs w:val="18"/>
              </w:rPr>
              <w:t> </w:t>
            </w:r>
          </w:p>
        </w:tc>
      </w:tr>
      <w:tr w:rsidR="006619D8" w:rsidRPr="009259F9" w14:paraId="4D225E1A" w14:textId="77777777" w:rsidTr="008451E0">
        <w:trPr>
          <w:trHeight w:val="300"/>
        </w:trPr>
        <w:tc>
          <w:tcPr>
            <w:tcW w:w="3330" w:type="dxa"/>
            <w:tcBorders>
              <w:bottom w:val="nil"/>
              <w:right w:val="single" w:sz="4" w:space="0" w:color="385623" w:themeColor="accent6" w:themeShade="80"/>
            </w:tcBorders>
            <w:shd w:val="clear" w:color="auto" w:fill="auto"/>
            <w:noWrap/>
            <w:vAlign w:val="center"/>
          </w:tcPr>
          <w:p w14:paraId="15E8ED4A" w14:textId="1F1C346F" w:rsidR="006619D8" w:rsidRPr="009259F9" w:rsidRDefault="006619D8" w:rsidP="006619D8">
            <w:pPr>
              <w:spacing w:before="20" w:after="20" w:line="240" w:lineRule="auto"/>
              <w:jc w:val="both"/>
              <w:rPr>
                <w:rFonts w:cs="Calibri"/>
                <w:color w:val="000000"/>
                <w:sz w:val="18"/>
                <w:szCs w:val="18"/>
                <w:lang w:val="en-GB"/>
              </w:rPr>
            </w:pPr>
            <w:r>
              <w:rPr>
                <w:rFonts w:cs="Calibri"/>
                <w:color w:val="000000"/>
                <w:sz w:val="18"/>
                <w:szCs w:val="18"/>
              </w:rPr>
              <w:t>Αποτέλεσμα Μετάλλου</w:t>
            </w:r>
            <w:r w:rsidRPr="00CC7FE6">
              <w:rPr>
                <w:rFonts w:cs="Calibri"/>
                <w:color w:val="000000"/>
                <w:sz w:val="18"/>
                <w:szCs w:val="18"/>
                <w:vertAlign w:val="superscript"/>
                <w:lang w:val="en-US"/>
              </w:rPr>
              <w:t xml:space="preserve"> (1)</w:t>
            </w:r>
          </w:p>
        </w:tc>
        <w:tc>
          <w:tcPr>
            <w:tcW w:w="891" w:type="dxa"/>
            <w:tcBorders>
              <w:left w:val="single" w:sz="4" w:space="0" w:color="385623" w:themeColor="accent6" w:themeShade="80"/>
              <w:bottom w:val="nil"/>
            </w:tcBorders>
            <w:shd w:val="clear" w:color="auto" w:fill="auto"/>
            <w:noWrap/>
            <w:vAlign w:val="center"/>
          </w:tcPr>
          <w:p w14:paraId="23E3FA10" w14:textId="3626A650" w:rsidR="006619D8" w:rsidRPr="009259F9" w:rsidRDefault="006619D8" w:rsidP="006619D8">
            <w:pPr>
              <w:spacing w:after="0"/>
              <w:jc w:val="right"/>
              <w:rPr>
                <w:rFonts w:cs="Calibri"/>
                <w:color w:val="000000"/>
                <w:sz w:val="18"/>
                <w:szCs w:val="18"/>
                <w:lang w:val="en-GB"/>
              </w:rPr>
            </w:pPr>
            <w:r>
              <w:rPr>
                <w:rFonts w:cs="Calibri"/>
                <w:color w:val="000000"/>
                <w:sz w:val="18"/>
                <w:szCs w:val="18"/>
              </w:rPr>
              <w:t>6.864</w:t>
            </w:r>
          </w:p>
        </w:tc>
        <w:tc>
          <w:tcPr>
            <w:tcW w:w="891" w:type="dxa"/>
            <w:tcBorders>
              <w:bottom w:val="nil"/>
              <w:right w:val="single" w:sz="4" w:space="0" w:color="385623" w:themeColor="accent6" w:themeShade="80"/>
            </w:tcBorders>
            <w:shd w:val="clear" w:color="auto" w:fill="auto"/>
            <w:noWrap/>
            <w:vAlign w:val="center"/>
          </w:tcPr>
          <w:p w14:paraId="7BFD0AE8" w14:textId="05A99417" w:rsidR="006619D8" w:rsidRPr="009259F9" w:rsidRDefault="006619D8" w:rsidP="006619D8">
            <w:pPr>
              <w:spacing w:after="0"/>
              <w:jc w:val="right"/>
              <w:rPr>
                <w:rFonts w:cs="Calibri"/>
                <w:color w:val="000000"/>
                <w:sz w:val="18"/>
                <w:szCs w:val="18"/>
                <w:lang w:val="en-GB"/>
              </w:rPr>
            </w:pPr>
            <w:r>
              <w:rPr>
                <w:rFonts w:cs="Calibri"/>
                <w:color w:val="000000"/>
                <w:sz w:val="18"/>
                <w:szCs w:val="18"/>
              </w:rPr>
              <w:t>2.399</w:t>
            </w:r>
          </w:p>
        </w:tc>
        <w:tc>
          <w:tcPr>
            <w:tcW w:w="891" w:type="dxa"/>
            <w:tcBorders>
              <w:left w:val="single" w:sz="4" w:space="0" w:color="385623" w:themeColor="accent6" w:themeShade="80"/>
              <w:bottom w:val="nil"/>
            </w:tcBorders>
            <w:shd w:val="clear" w:color="auto" w:fill="auto"/>
            <w:noWrap/>
            <w:vAlign w:val="center"/>
          </w:tcPr>
          <w:p w14:paraId="359850FB" w14:textId="43A91BE5" w:rsidR="006619D8" w:rsidRPr="009259F9" w:rsidRDefault="006619D8" w:rsidP="006619D8">
            <w:pPr>
              <w:spacing w:after="0"/>
              <w:jc w:val="right"/>
              <w:rPr>
                <w:rFonts w:cs="Calibri"/>
                <w:color w:val="000000"/>
                <w:sz w:val="18"/>
                <w:szCs w:val="18"/>
                <w:lang w:val="en-GB"/>
              </w:rPr>
            </w:pPr>
            <w:r>
              <w:rPr>
                <w:rFonts w:cs="Calibri"/>
                <w:color w:val="000000"/>
                <w:sz w:val="18"/>
                <w:szCs w:val="18"/>
                <w:lang w:val="en-US"/>
              </w:rPr>
              <w:t>-</w:t>
            </w:r>
            <w:r>
              <w:rPr>
                <w:rFonts w:cs="Calibri"/>
                <w:color w:val="000000"/>
                <w:sz w:val="18"/>
                <w:szCs w:val="18"/>
              </w:rPr>
              <w:t> </w:t>
            </w:r>
          </w:p>
        </w:tc>
        <w:tc>
          <w:tcPr>
            <w:tcW w:w="891" w:type="dxa"/>
            <w:tcBorders>
              <w:bottom w:val="nil"/>
              <w:right w:val="single" w:sz="4" w:space="0" w:color="385623" w:themeColor="accent6" w:themeShade="80"/>
            </w:tcBorders>
            <w:shd w:val="clear" w:color="auto" w:fill="auto"/>
            <w:noWrap/>
            <w:vAlign w:val="center"/>
          </w:tcPr>
          <w:p w14:paraId="2F6779D6" w14:textId="499FF2FD" w:rsidR="006619D8" w:rsidRPr="009259F9" w:rsidRDefault="006619D8" w:rsidP="006619D8">
            <w:pPr>
              <w:spacing w:after="0"/>
              <w:jc w:val="right"/>
              <w:rPr>
                <w:rFonts w:cs="Calibri"/>
                <w:color w:val="000000"/>
                <w:sz w:val="18"/>
                <w:szCs w:val="18"/>
                <w:lang w:val="en-GB"/>
              </w:rPr>
            </w:pPr>
            <w:r>
              <w:rPr>
                <w:rFonts w:cs="Calibri"/>
                <w:color w:val="000000"/>
                <w:sz w:val="18"/>
                <w:szCs w:val="18"/>
                <w:lang w:val="en-US"/>
              </w:rPr>
              <w:t>-</w:t>
            </w:r>
            <w:r>
              <w:rPr>
                <w:rFonts w:cs="Calibri"/>
                <w:color w:val="000000"/>
                <w:sz w:val="18"/>
                <w:szCs w:val="18"/>
              </w:rPr>
              <w:t> </w:t>
            </w:r>
          </w:p>
        </w:tc>
        <w:tc>
          <w:tcPr>
            <w:tcW w:w="891" w:type="dxa"/>
            <w:tcBorders>
              <w:left w:val="single" w:sz="4" w:space="0" w:color="385623" w:themeColor="accent6" w:themeShade="80"/>
              <w:bottom w:val="nil"/>
            </w:tcBorders>
            <w:shd w:val="clear" w:color="auto" w:fill="auto"/>
            <w:noWrap/>
            <w:vAlign w:val="center"/>
          </w:tcPr>
          <w:p w14:paraId="2FB9D99D" w14:textId="1839A2BD" w:rsidR="006619D8" w:rsidRPr="00F400A9" w:rsidRDefault="006619D8" w:rsidP="006619D8">
            <w:pPr>
              <w:spacing w:after="0"/>
              <w:jc w:val="right"/>
              <w:rPr>
                <w:rFonts w:cs="Calibri"/>
                <w:color w:val="000000"/>
                <w:sz w:val="18"/>
                <w:szCs w:val="18"/>
                <w:lang w:val="en-US"/>
              </w:rPr>
            </w:pPr>
            <w:r>
              <w:rPr>
                <w:rFonts w:cs="Calibri"/>
                <w:color w:val="000000"/>
                <w:sz w:val="18"/>
                <w:szCs w:val="18"/>
              </w:rPr>
              <w:t> </w:t>
            </w:r>
            <w:r>
              <w:rPr>
                <w:rFonts w:cs="Calibri"/>
                <w:color w:val="000000"/>
                <w:sz w:val="18"/>
                <w:szCs w:val="18"/>
                <w:lang w:val="en-US"/>
              </w:rPr>
              <w:t>-</w:t>
            </w:r>
          </w:p>
        </w:tc>
        <w:tc>
          <w:tcPr>
            <w:tcW w:w="891" w:type="dxa"/>
            <w:tcBorders>
              <w:bottom w:val="nil"/>
              <w:right w:val="single" w:sz="4" w:space="0" w:color="385623" w:themeColor="accent6" w:themeShade="80"/>
            </w:tcBorders>
            <w:shd w:val="clear" w:color="auto" w:fill="auto"/>
            <w:noWrap/>
            <w:vAlign w:val="center"/>
          </w:tcPr>
          <w:p w14:paraId="07DE31D5" w14:textId="7624E36E" w:rsidR="006619D8" w:rsidRPr="009259F9" w:rsidRDefault="006619D8" w:rsidP="006619D8">
            <w:pPr>
              <w:spacing w:after="0"/>
              <w:jc w:val="right"/>
              <w:rPr>
                <w:rFonts w:cs="Calibri"/>
                <w:color w:val="000000"/>
                <w:sz w:val="18"/>
                <w:szCs w:val="18"/>
                <w:lang w:val="en-GB"/>
              </w:rPr>
            </w:pPr>
            <w:r>
              <w:rPr>
                <w:rFonts w:cs="Calibri"/>
                <w:color w:val="000000"/>
                <w:sz w:val="18"/>
                <w:szCs w:val="18"/>
                <w:lang w:val="en-US"/>
              </w:rPr>
              <w:t>-</w:t>
            </w:r>
            <w:r>
              <w:rPr>
                <w:rFonts w:cs="Calibri"/>
                <w:color w:val="000000"/>
                <w:sz w:val="18"/>
                <w:szCs w:val="18"/>
              </w:rPr>
              <w:t> </w:t>
            </w:r>
          </w:p>
        </w:tc>
        <w:tc>
          <w:tcPr>
            <w:tcW w:w="891" w:type="dxa"/>
            <w:tcBorders>
              <w:left w:val="single" w:sz="4" w:space="0" w:color="385623" w:themeColor="accent6" w:themeShade="80"/>
              <w:bottom w:val="nil"/>
            </w:tcBorders>
            <w:shd w:val="clear" w:color="auto" w:fill="auto"/>
            <w:noWrap/>
            <w:vAlign w:val="center"/>
          </w:tcPr>
          <w:p w14:paraId="722A6B07" w14:textId="6780F013" w:rsidR="006619D8" w:rsidRPr="009259F9" w:rsidRDefault="006619D8" w:rsidP="006619D8">
            <w:pPr>
              <w:spacing w:after="0"/>
              <w:jc w:val="right"/>
              <w:rPr>
                <w:rFonts w:cs="Calibri"/>
                <w:color w:val="000000"/>
                <w:sz w:val="18"/>
                <w:szCs w:val="18"/>
                <w:lang w:val="en-GB"/>
              </w:rPr>
            </w:pPr>
            <w:r>
              <w:rPr>
                <w:rFonts w:cs="Calibri"/>
                <w:color w:val="000000"/>
                <w:sz w:val="18"/>
                <w:szCs w:val="18"/>
              </w:rPr>
              <w:t>6.864</w:t>
            </w:r>
          </w:p>
        </w:tc>
        <w:tc>
          <w:tcPr>
            <w:tcW w:w="891" w:type="dxa"/>
            <w:tcBorders>
              <w:bottom w:val="nil"/>
            </w:tcBorders>
            <w:shd w:val="clear" w:color="auto" w:fill="auto"/>
            <w:noWrap/>
            <w:vAlign w:val="center"/>
          </w:tcPr>
          <w:p w14:paraId="6058E3A7" w14:textId="4A08C0F2" w:rsidR="006619D8" w:rsidRPr="009259F9" w:rsidRDefault="006619D8" w:rsidP="006619D8">
            <w:pPr>
              <w:spacing w:after="0"/>
              <w:jc w:val="right"/>
              <w:rPr>
                <w:rFonts w:cs="Calibri"/>
                <w:color w:val="000000"/>
                <w:sz w:val="18"/>
                <w:szCs w:val="18"/>
                <w:lang w:val="en-GB"/>
              </w:rPr>
            </w:pPr>
            <w:r>
              <w:rPr>
                <w:rFonts w:cs="Calibri"/>
                <w:color w:val="000000"/>
                <w:sz w:val="18"/>
                <w:szCs w:val="18"/>
              </w:rPr>
              <w:t>2.399</w:t>
            </w:r>
          </w:p>
        </w:tc>
      </w:tr>
      <w:tr w:rsidR="006619D8" w:rsidRPr="00DE741B" w14:paraId="5934045A" w14:textId="77777777" w:rsidTr="008451E0">
        <w:trPr>
          <w:trHeight w:val="300"/>
        </w:trPr>
        <w:tc>
          <w:tcPr>
            <w:tcW w:w="3330" w:type="dxa"/>
            <w:tcBorders>
              <w:top w:val="nil"/>
              <w:bottom w:val="nil"/>
              <w:right w:val="single" w:sz="4" w:space="0" w:color="385623" w:themeColor="accent6" w:themeShade="80"/>
            </w:tcBorders>
            <w:shd w:val="clear" w:color="auto" w:fill="auto"/>
            <w:vAlign w:val="center"/>
          </w:tcPr>
          <w:p w14:paraId="1D0BB2CE" w14:textId="5BE314AB" w:rsidR="006619D8" w:rsidRPr="006619D8" w:rsidRDefault="006619D8" w:rsidP="006619D8">
            <w:pPr>
              <w:spacing w:before="20" w:after="20" w:line="240" w:lineRule="auto"/>
              <w:rPr>
                <w:rFonts w:eastAsia="Times New Roman" w:cs="Arial"/>
                <w:bCs/>
                <w:color w:val="000000"/>
                <w:sz w:val="18"/>
                <w:szCs w:val="18"/>
              </w:rPr>
            </w:pPr>
            <w:r w:rsidRPr="00AA6103">
              <w:rPr>
                <w:rFonts w:cs="Calibri"/>
                <w:color w:val="000000"/>
                <w:sz w:val="18"/>
                <w:szCs w:val="18"/>
              </w:rPr>
              <w:t>Κέρδη</w:t>
            </w:r>
            <w:r>
              <w:rPr>
                <w:rFonts w:cs="Calibri"/>
                <w:color w:val="000000"/>
                <w:sz w:val="18"/>
                <w:szCs w:val="18"/>
              </w:rPr>
              <w:t xml:space="preserve"> </w:t>
            </w:r>
            <w:r w:rsidRPr="00AA6103">
              <w:rPr>
                <w:rFonts w:cs="Calibri"/>
                <w:color w:val="000000"/>
                <w:sz w:val="18"/>
                <w:szCs w:val="18"/>
              </w:rPr>
              <w:t xml:space="preserve">από </w:t>
            </w:r>
            <w:r>
              <w:rPr>
                <w:rFonts w:cs="Calibri"/>
                <w:color w:val="000000"/>
                <w:sz w:val="18"/>
                <w:szCs w:val="18"/>
              </w:rPr>
              <w:t>πώληση</w:t>
            </w:r>
            <w:r w:rsidRPr="00AA6103">
              <w:rPr>
                <w:rFonts w:cs="Calibri"/>
                <w:color w:val="000000"/>
                <w:sz w:val="18"/>
                <w:szCs w:val="18"/>
              </w:rPr>
              <w:t xml:space="preserve"> πάγιων στοιχείων</w:t>
            </w:r>
          </w:p>
        </w:tc>
        <w:tc>
          <w:tcPr>
            <w:tcW w:w="891" w:type="dxa"/>
            <w:tcBorders>
              <w:top w:val="nil"/>
              <w:left w:val="single" w:sz="4" w:space="0" w:color="385623" w:themeColor="accent6" w:themeShade="80"/>
              <w:bottom w:val="nil"/>
            </w:tcBorders>
            <w:shd w:val="clear" w:color="auto" w:fill="auto"/>
            <w:noWrap/>
            <w:vAlign w:val="center"/>
          </w:tcPr>
          <w:p w14:paraId="64D73BB6" w14:textId="05F67B80"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right w:val="single" w:sz="4" w:space="0" w:color="385623" w:themeColor="accent6" w:themeShade="80"/>
            </w:tcBorders>
            <w:shd w:val="clear" w:color="auto" w:fill="auto"/>
            <w:noWrap/>
            <w:vAlign w:val="center"/>
          </w:tcPr>
          <w:p w14:paraId="301A9BC5" w14:textId="51A88700" w:rsidR="006619D8" w:rsidRPr="00DE741B" w:rsidRDefault="006619D8" w:rsidP="006619D8">
            <w:pPr>
              <w:spacing w:after="0"/>
              <w:jc w:val="right"/>
              <w:rPr>
                <w:rFonts w:cs="Calibri"/>
                <w:color w:val="000000"/>
                <w:sz w:val="18"/>
                <w:szCs w:val="18"/>
                <w:lang w:val="en-US"/>
              </w:rPr>
            </w:pPr>
            <w:r>
              <w:rPr>
                <w:rFonts w:cs="Calibri"/>
                <w:color w:val="000000"/>
                <w:sz w:val="18"/>
                <w:szCs w:val="18"/>
              </w:rPr>
              <w:t>(340)</w:t>
            </w:r>
          </w:p>
        </w:tc>
        <w:tc>
          <w:tcPr>
            <w:tcW w:w="891" w:type="dxa"/>
            <w:tcBorders>
              <w:top w:val="nil"/>
              <w:left w:val="single" w:sz="4" w:space="0" w:color="385623" w:themeColor="accent6" w:themeShade="80"/>
              <w:bottom w:val="nil"/>
            </w:tcBorders>
            <w:shd w:val="clear" w:color="auto" w:fill="auto"/>
            <w:noWrap/>
            <w:vAlign w:val="center"/>
          </w:tcPr>
          <w:p w14:paraId="07D6A891" w14:textId="6B5A7C34"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right w:val="single" w:sz="4" w:space="0" w:color="385623" w:themeColor="accent6" w:themeShade="80"/>
            </w:tcBorders>
            <w:shd w:val="clear" w:color="auto" w:fill="auto"/>
            <w:noWrap/>
            <w:vAlign w:val="center"/>
          </w:tcPr>
          <w:p w14:paraId="510D678A" w14:textId="073730DE"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left w:val="single" w:sz="4" w:space="0" w:color="385623" w:themeColor="accent6" w:themeShade="80"/>
              <w:bottom w:val="nil"/>
            </w:tcBorders>
            <w:shd w:val="clear" w:color="auto" w:fill="auto"/>
            <w:noWrap/>
            <w:vAlign w:val="center"/>
          </w:tcPr>
          <w:p w14:paraId="0A4A0110" w14:textId="0035EAB3"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right w:val="single" w:sz="4" w:space="0" w:color="385623" w:themeColor="accent6" w:themeShade="80"/>
            </w:tcBorders>
            <w:shd w:val="clear" w:color="auto" w:fill="auto"/>
            <w:noWrap/>
            <w:vAlign w:val="center"/>
          </w:tcPr>
          <w:p w14:paraId="541773D1" w14:textId="2F7992B2"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left w:val="single" w:sz="4" w:space="0" w:color="385623" w:themeColor="accent6" w:themeShade="80"/>
              <w:bottom w:val="nil"/>
            </w:tcBorders>
            <w:shd w:val="clear" w:color="auto" w:fill="auto"/>
            <w:noWrap/>
            <w:vAlign w:val="center"/>
          </w:tcPr>
          <w:p w14:paraId="22C2EAD3" w14:textId="5BEC85F6"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tcBorders>
            <w:shd w:val="clear" w:color="auto" w:fill="auto"/>
            <w:noWrap/>
            <w:vAlign w:val="center"/>
          </w:tcPr>
          <w:p w14:paraId="2AB76896" w14:textId="478FC708" w:rsidR="006619D8" w:rsidRPr="00DE741B" w:rsidRDefault="006619D8" w:rsidP="006619D8">
            <w:pPr>
              <w:spacing w:after="0"/>
              <w:jc w:val="right"/>
              <w:rPr>
                <w:rFonts w:cs="Calibri"/>
                <w:color w:val="000000"/>
                <w:sz w:val="18"/>
                <w:szCs w:val="18"/>
                <w:lang w:val="en-US"/>
              </w:rPr>
            </w:pPr>
            <w:r>
              <w:rPr>
                <w:rFonts w:cs="Calibri"/>
                <w:color w:val="000000"/>
                <w:sz w:val="18"/>
                <w:szCs w:val="18"/>
              </w:rPr>
              <w:t>(340)</w:t>
            </w:r>
          </w:p>
        </w:tc>
      </w:tr>
      <w:tr w:rsidR="006619D8" w:rsidRPr="00DE741B" w14:paraId="75510E30" w14:textId="77777777" w:rsidTr="008451E0">
        <w:trPr>
          <w:trHeight w:val="300"/>
        </w:trPr>
        <w:tc>
          <w:tcPr>
            <w:tcW w:w="3330" w:type="dxa"/>
            <w:tcBorders>
              <w:top w:val="nil"/>
              <w:bottom w:val="nil"/>
              <w:right w:val="single" w:sz="4" w:space="0" w:color="385623" w:themeColor="accent6" w:themeShade="80"/>
            </w:tcBorders>
            <w:shd w:val="clear" w:color="auto" w:fill="auto"/>
            <w:vAlign w:val="center"/>
          </w:tcPr>
          <w:p w14:paraId="3B97E3F0" w14:textId="66D6E507" w:rsidR="006619D8" w:rsidRPr="00982975" w:rsidRDefault="006619D8" w:rsidP="006619D8">
            <w:pPr>
              <w:spacing w:before="20" w:after="20" w:line="240" w:lineRule="auto"/>
              <w:rPr>
                <w:rFonts w:eastAsia="Times New Roman" w:cs="Arial"/>
                <w:bCs/>
                <w:color w:val="000000"/>
                <w:sz w:val="18"/>
                <w:szCs w:val="18"/>
                <w:lang w:val="en-GB"/>
              </w:rPr>
            </w:pPr>
            <w:r>
              <w:rPr>
                <w:rFonts w:cs="Calibri"/>
                <w:color w:val="000000"/>
                <w:sz w:val="18"/>
                <w:szCs w:val="18"/>
              </w:rPr>
              <w:t>Πρόβλεψη για αποζημίωση πελάτη</w:t>
            </w:r>
            <w:r>
              <w:rPr>
                <w:rFonts w:cs="Calibri"/>
                <w:color w:val="000000"/>
                <w:sz w:val="18"/>
                <w:szCs w:val="18"/>
                <w:lang w:val="en-US"/>
              </w:rPr>
              <w:t xml:space="preserve"> </w:t>
            </w:r>
            <w:r>
              <w:rPr>
                <w:rFonts w:eastAsia="SimSun" w:cs="Calibri"/>
                <w:sz w:val="20"/>
                <w:vertAlign w:val="superscript"/>
                <w:lang w:val="en-GB"/>
              </w:rPr>
              <w:t>(2</w:t>
            </w:r>
            <w:r w:rsidRPr="00413083">
              <w:rPr>
                <w:rFonts w:eastAsia="SimSun" w:cs="Calibri"/>
                <w:sz w:val="20"/>
                <w:vertAlign w:val="superscript"/>
                <w:lang w:val="en-GB"/>
              </w:rPr>
              <w:t>)</w:t>
            </w:r>
          </w:p>
        </w:tc>
        <w:tc>
          <w:tcPr>
            <w:tcW w:w="891" w:type="dxa"/>
            <w:tcBorders>
              <w:top w:val="nil"/>
              <w:left w:val="single" w:sz="4" w:space="0" w:color="385623" w:themeColor="accent6" w:themeShade="80"/>
              <w:bottom w:val="nil"/>
            </w:tcBorders>
            <w:shd w:val="clear" w:color="auto" w:fill="auto"/>
            <w:noWrap/>
            <w:vAlign w:val="center"/>
          </w:tcPr>
          <w:p w14:paraId="4D102F99" w14:textId="5693FA4F" w:rsidR="006619D8" w:rsidRPr="00F400A9" w:rsidRDefault="006619D8" w:rsidP="006619D8">
            <w:pPr>
              <w:spacing w:after="0"/>
              <w:jc w:val="right"/>
              <w:rPr>
                <w:rFonts w:cs="Calibri"/>
                <w:color w:val="000000"/>
                <w:sz w:val="18"/>
                <w:szCs w:val="18"/>
                <w:lang w:val="en-US"/>
              </w:rPr>
            </w:pPr>
            <w:r w:rsidRPr="001C0BAF">
              <w:rPr>
                <w:rFonts w:cs="Calibri"/>
                <w:color w:val="000000"/>
                <w:sz w:val="18"/>
                <w:szCs w:val="18"/>
                <w:lang w:val="en-US"/>
              </w:rPr>
              <w:t> </w:t>
            </w:r>
            <w:r>
              <w:rPr>
                <w:rFonts w:cs="Calibri"/>
                <w:color w:val="000000"/>
                <w:sz w:val="18"/>
                <w:szCs w:val="18"/>
                <w:lang w:val="en-US"/>
              </w:rPr>
              <w:t>-</w:t>
            </w:r>
          </w:p>
        </w:tc>
        <w:tc>
          <w:tcPr>
            <w:tcW w:w="891" w:type="dxa"/>
            <w:tcBorders>
              <w:top w:val="nil"/>
              <w:bottom w:val="nil"/>
              <w:right w:val="single" w:sz="4" w:space="0" w:color="385623" w:themeColor="accent6" w:themeShade="80"/>
            </w:tcBorders>
            <w:shd w:val="clear" w:color="auto" w:fill="auto"/>
            <w:noWrap/>
            <w:vAlign w:val="center"/>
          </w:tcPr>
          <w:p w14:paraId="00FEF061" w14:textId="2046C8D9"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left w:val="single" w:sz="4" w:space="0" w:color="385623" w:themeColor="accent6" w:themeShade="80"/>
              <w:bottom w:val="nil"/>
            </w:tcBorders>
            <w:shd w:val="clear" w:color="auto" w:fill="auto"/>
            <w:noWrap/>
            <w:vAlign w:val="center"/>
          </w:tcPr>
          <w:p w14:paraId="4F586D03" w14:textId="095BC2A4"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right w:val="single" w:sz="4" w:space="0" w:color="385623" w:themeColor="accent6" w:themeShade="80"/>
            </w:tcBorders>
            <w:shd w:val="clear" w:color="auto" w:fill="auto"/>
            <w:noWrap/>
            <w:vAlign w:val="center"/>
          </w:tcPr>
          <w:p w14:paraId="0E5AF9A4" w14:textId="1507EBBA" w:rsidR="006619D8" w:rsidRPr="00DE741B" w:rsidRDefault="006619D8" w:rsidP="006619D8">
            <w:pPr>
              <w:spacing w:after="0"/>
              <w:jc w:val="right"/>
              <w:rPr>
                <w:rFonts w:cs="Calibri"/>
                <w:color w:val="000000"/>
                <w:sz w:val="18"/>
                <w:szCs w:val="18"/>
                <w:lang w:val="en-US"/>
              </w:rPr>
            </w:pPr>
            <w:r>
              <w:rPr>
                <w:rFonts w:cs="Calibri"/>
                <w:color w:val="000000"/>
                <w:sz w:val="18"/>
                <w:szCs w:val="18"/>
              </w:rPr>
              <w:t>500</w:t>
            </w:r>
          </w:p>
        </w:tc>
        <w:tc>
          <w:tcPr>
            <w:tcW w:w="891" w:type="dxa"/>
            <w:tcBorders>
              <w:top w:val="nil"/>
              <w:left w:val="single" w:sz="4" w:space="0" w:color="385623" w:themeColor="accent6" w:themeShade="80"/>
              <w:bottom w:val="nil"/>
            </w:tcBorders>
            <w:shd w:val="clear" w:color="auto" w:fill="auto"/>
            <w:noWrap/>
            <w:vAlign w:val="center"/>
          </w:tcPr>
          <w:p w14:paraId="5327B695" w14:textId="48AF46AD"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right w:val="single" w:sz="4" w:space="0" w:color="385623" w:themeColor="accent6" w:themeShade="80"/>
            </w:tcBorders>
            <w:shd w:val="clear" w:color="auto" w:fill="auto"/>
            <w:noWrap/>
            <w:vAlign w:val="center"/>
          </w:tcPr>
          <w:p w14:paraId="35946033" w14:textId="65FD7CF2"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left w:val="single" w:sz="4" w:space="0" w:color="385623" w:themeColor="accent6" w:themeShade="80"/>
              <w:bottom w:val="nil"/>
            </w:tcBorders>
            <w:shd w:val="clear" w:color="auto" w:fill="auto"/>
            <w:noWrap/>
            <w:vAlign w:val="center"/>
          </w:tcPr>
          <w:p w14:paraId="183B57DA" w14:textId="1BDC0B81" w:rsidR="006619D8" w:rsidRPr="00DE741B" w:rsidRDefault="006619D8" w:rsidP="006619D8">
            <w:pPr>
              <w:spacing w:after="0"/>
              <w:jc w:val="right"/>
              <w:rPr>
                <w:rFonts w:cs="Calibri"/>
                <w:color w:val="000000"/>
                <w:sz w:val="18"/>
                <w:szCs w:val="18"/>
                <w:lang w:val="en-US"/>
              </w:rPr>
            </w:pPr>
            <w:r>
              <w:rPr>
                <w:rFonts w:cs="Calibri"/>
                <w:color w:val="000000"/>
                <w:sz w:val="18"/>
                <w:szCs w:val="18"/>
                <w:lang w:val="en-US"/>
              </w:rPr>
              <w:t>-</w:t>
            </w:r>
            <w:r>
              <w:rPr>
                <w:rFonts w:cs="Calibri"/>
                <w:color w:val="000000"/>
                <w:sz w:val="18"/>
                <w:szCs w:val="18"/>
              </w:rPr>
              <w:t> </w:t>
            </w:r>
          </w:p>
        </w:tc>
        <w:tc>
          <w:tcPr>
            <w:tcW w:w="891" w:type="dxa"/>
            <w:tcBorders>
              <w:top w:val="nil"/>
              <w:bottom w:val="nil"/>
            </w:tcBorders>
            <w:shd w:val="clear" w:color="auto" w:fill="auto"/>
            <w:noWrap/>
            <w:vAlign w:val="center"/>
          </w:tcPr>
          <w:p w14:paraId="37A5F913" w14:textId="7294DB3E" w:rsidR="006619D8" w:rsidRPr="00DE741B" w:rsidRDefault="006619D8" w:rsidP="006619D8">
            <w:pPr>
              <w:spacing w:after="0"/>
              <w:jc w:val="right"/>
              <w:rPr>
                <w:rFonts w:cs="Calibri"/>
                <w:color w:val="000000"/>
                <w:sz w:val="18"/>
                <w:szCs w:val="18"/>
                <w:lang w:val="en-US"/>
              </w:rPr>
            </w:pPr>
            <w:r>
              <w:rPr>
                <w:rFonts w:cs="Calibri"/>
                <w:color w:val="000000"/>
                <w:sz w:val="18"/>
                <w:szCs w:val="18"/>
              </w:rPr>
              <w:t>500</w:t>
            </w:r>
          </w:p>
        </w:tc>
      </w:tr>
      <w:tr w:rsidR="006619D8" w:rsidRPr="009259F9" w14:paraId="75B9916B" w14:textId="77777777" w:rsidTr="0050101D">
        <w:trPr>
          <w:trHeight w:val="300"/>
        </w:trPr>
        <w:tc>
          <w:tcPr>
            <w:tcW w:w="3330"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vAlign w:val="bottom"/>
            <w:hideMark/>
          </w:tcPr>
          <w:p w14:paraId="2E82072D" w14:textId="41392F36" w:rsidR="006619D8" w:rsidRPr="009259F9" w:rsidRDefault="006619D8" w:rsidP="006619D8">
            <w:pPr>
              <w:spacing w:before="20" w:after="20" w:line="240" w:lineRule="auto"/>
              <w:rPr>
                <w:rFonts w:eastAsia="Times New Roman" w:cs="Arial"/>
                <w:b/>
                <w:bCs/>
                <w:color w:val="000000"/>
                <w:sz w:val="18"/>
                <w:szCs w:val="18"/>
                <w:lang w:val="en-GB"/>
              </w:rPr>
            </w:pPr>
            <w:r w:rsidRPr="00AA6103">
              <w:rPr>
                <w:rFonts w:eastAsia="Times New Roman" w:cs="Arial"/>
                <w:b/>
                <w:bCs/>
                <w:color w:val="000000"/>
                <w:sz w:val="18"/>
                <w:szCs w:val="18"/>
              </w:rPr>
              <w:t>Αναπροσαρμοσμένα EBIT</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4D5A0C2F" w14:textId="1C332F32"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49.703</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129241D1" w14:textId="6F78FB30"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38.105</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0FF3A122" w14:textId="0AC2DFB6"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22.281</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10793D4B" w14:textId="237A31C8"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1631129B" w14:textId="71F25F98"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(373)</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73A38C29" w14:textId="0E6C4A8A"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61</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64450883" w14:textId="1ABEBF55"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71.611</w:t>
            </w:r>
          </w:p>
        </w:tc>
        <w:tc>
          <w:tcPr>
            <w:tcW w:w="891" w:type="dxa"/>
            <w:tcBorders>
              <w:top w:val="single" w:sz="4" w:space="0" w:color="385623" w:themeColor="accent6" w:themeShade="80"/>
              <w:bottom w:val="single" w:sz="4" w:space="0" w:color="385623" w:themeColor="accent6" w:themeShade="80"/>
            </w:tcBorders>
            <w:shd w:val="clear" w:color="auto" w:fill="E2EFD9"/>
            <w:noWrap/>
            <w:vAlign w:val="center"/>
          </w:tcPr>
          <w:p w14:paraId="4764811A" w14:textId="0FE14329"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38.169</w:t>
            </w:r>
          </w:p>
        </w:tc>
      </w:tr>
      <w:tr w:rsidR="006619D8" w:rsidRPr="009259F9" w14:paraId="71B1FED5" w14:textId="77777777" w:rsidTr="0050101D">
        <w:trPr>
          <w:trHeight w:val="300"/>
        </w:trPr>
        <w:tc>
          <w:tcPr>
            <w:tcW w:w="3330" w:type="dxa"/>
            <w:tcBorders>
              <w:top w:val="single" w:sz="4" w:space="0" w:color="385623" w:themeColor="accent6" w:themeShade="80"/>
              <w:right w:val="single" w:sz="4" w:space="0" w:color="385623" w:themeColor="accent6" w:themeShade="80"/>
            </w:tcBorders>
            <w:shd w:val="clear" w:color="auto" w:fill="auto"/>
            <w:noWrap/>
            <w:vAlign w:val="bottom"/>
          </w:tcPr>
          <w:p w14:paraId="6B0CA0F1" w14:textId="0CE4E4FF" w:rsidR="006619D8" w:rsidRPr="009259F9" w:rsidRDefault="006619D8" w:rsidP="006619D8">
            <w:pPr>
              <w:spacing w:before="20" w:after="20" w:line="240" w:lineRule="auto"/>
              <w:rPr>
                <w:rFonts w:eastAsia="Times New Roman" w:cs="Arial"/>
                <w:color w:val="000000"/>
                <w:sz w:val="18"/>
                <w:szCs w:val="18"/>
                <w:lang w:val="en-GB"/>
              </w:rPr>
            </w:pPr>
            <w:r w:rsidRPr="006C0543">
              <w:rPr>
                <w:b/>
                <w:i/>
                <w:color w:val="000000"/>
                <w:sz w:val="18"/>
                <w:u w:val="single"/>
              </w:rPr>
              <w:t>Επανενσωμάτωση:</w:t>
            </w: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5E872D1E" w14:textId="77777777" w:rsidR="006619D8" w:rsidRPr="009259F9" w:rsidRDefault="006619D8" w:rsidP="006619D8">
            <w:pPr>
              <w:spacing w:after="0"/>
              <w:jc w:val="right"/>
              <w:rPr>
                <w:rFonts w:cs="Calibri"/>
                <w:b/>
                <w:bCs/>
                <w:color w:val="000000"/>
                <w:sz w:val="18"/>
                <w:szCs w:val="18"/>
                <w:lang w:val="en-GB"/>
              </w:rPr>
            </w:pP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02DAC393"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1D8D928E"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5B3C153F"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2B08038E"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right w:val="single" w:sz="4" w:space="0" w:color="385623" w:themeColor="accent6" w:themeShade="80"/>
            </w:tcBorders>
            <w:shd w:val="clear" w:color="auto" w:fill="auto"/>
            <w:noWrap/>
            <w:vAlign w:val="center"/>
          </w:tcPr>
          <w:p w14:paraId="6D7D271D"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left w:val="single" w:sz="4" w:space="0" w:color="385623" w:themeColor="accent6" w:themeShade="80"/>
            </w:tcBorders>
            <w:shd w:val="clear" w:color="auto" w:fill="auto"/>
            <w:noWrap/>
            <w:vAlign w:val="center"/>
          </w:tcPr>
          <w:p w14:paraId="75527D24" w14:textId="77777777" w:rsidR="006619D8" w:rsidRPr="009259F9" w:rsidRDefault="006619D8" w:rsidP="006619D8">
            <w:pPr>
              <w:spacing w:after="0"/>
              <w:jc w:val="right"/>
              <w:rPr>
                <w:sz w:val="20"/>
                <w:szCs w:val="20"/>
                <w:lang w:val="en-GB"/>
              </w:rPr>
            </w:pPr>
          </w:p>
        </w:tc>
        <w:tc>
          <w:tcPr>
            <w:tcW w:w="891" w:type="dxa"/>
            <w:tcBorders>
              <w:top w:val="single" w:sz="4" w:space="0" w:color="385623" w:themeColor="accent6" w:themeShade="80"/>
            </w:tcBorders>
            <w:shd w:val="clear" w:color="auto" w:fill="auto"/>
            <w:noWrap/>
            <w:vAlign w:val="center"/>
          </w:tcPr>
          <w:p w14:paraId="7897C6C9" w14:textId="77777777" w:rsidR="006619D8" w:rsidRPr="009259F9" w:rsidRDefault="006619D8" w:rsidP="006619D8">
            <w:pPr>
              <w:spacing w:after="0"/>
              <w:jc w:val="right"/>
              <w:rPr>
                <w:sz w:val="20"/>
                <w:szCs w:val="20"/>
                <w:lang w:val="en-GB"/>
              </w:rPr>
            </w:pPr>
          </w:p>
        </w:tc>
      </w:tr>
      <w:tr w:rsidR="006619D8" w:rsidRPr="009259F9" w14:paraId="6FC5C34F" w14:textId="77777777" w:rsidTr="0050101D">
        <w:trPr>
          <w:trHeight w:val="300"/>
        </w:trPr>
        <w:tc>
          <w:tcPr>
            <w:tcW w:w="3330" w:type="dxa"/>
            <w:tcBorders>
              <w:right w:val="single" w:sz="4" w:space="0" w:color="385623" w:themeColor="accent6" w:themeShade="80"/>
            </w:tcBorders>
            <w:shd w:val="clear" w:color="auto" w:fill="auto"/>
            <w:noWrap/>
            <w:vAlign w:val="bottom"/>
          </w:tcPr>
          <w:p w14:paraId="548A2E49" w14:textId="456AF848" w:rsidR="006619D8" w:rsidRPr="009259F9" w:rsidRDefault="006619D8" w:rsidP="006619D8">
            <w:pPr>
              <w:spacing w:before="20" w:after="20" w:line="240" w:lineRule="auto"/>
              <w:rPr>
                <w:rFonts w:eastAsia="Times New Roman" w:cs="Arial"/>
                <w:color w:val="000000"/>
                <w:sz w:val="18"/>
                <w:szCs w:val="18"/>
                <w:lang w:val="en-GB"/>
              </w:rPr>
            </w:pPr>
            <w:r w:rsidRPr="006C0543">
              <w:rPr>
                <w:color w:val="000000"/>
                <w:sz w:val="18"/>
              </w:rPr>
              <w:t>Συνολικές αποσβέσεις</w:t>
            </w:r>
            <w:r>
              <w:rPr>
                <w:color w:val="000000"/>
                <w:sz w:val="18"/>
              </w:rPr>
              <w:t xml:space="preserve"> </w:t>
            </w:r>
          </w:p>
        </w:tc>
        <w:tc>
          <w:tcPr>
            <w:tcW w:w="891" w:type="dxa"/>
            <w:tcBorders>
              <w:left w:val="single" w:sz="4" w:space="0" w:color="385623" w:themeColor="accent6" w:themeShade="80"/>
            </w:tcBorders>
            <w:shd w:val="clear" w:color="auto" w:fill="auto"/>
            <w:noWrap/>
            <w:vAlign w:val="center"/>
          </w:tcPr>
          <w:p w14:paraId="541E7891" w14:textId="03AAFAE8" w:rsidR="006619D8" w:rsidRPr="009259F9" w:rsidRDefault="006619D8" w:rsidP="006619D8">
            <w:pPr>
              <w:spacing w:after="0"/>
              <w:jc w:val="right"/>
              <w:rPr>
                <w:rFonts w:cs="Calibri"/>
                <w:color w:val="000000"/>
                <w:sz w:val="18"/>
                <w:szCs w:val="18"/>
                <w:lang w:val="en-GB"/>
              </w:rPr>
            </w:pPr>
            <w:r>
              <w:rPr>
                <w:rFonts w:cs="Calibri"/>
                <w:color w:val="000000"/>
                <w:sz w:val="18"/>
                <w:szCs w:val="18"/>
              </w:rPr>
              <w:t>9.742</w:t>
            </w:r>
          </w:p>
        </w:tc>
        <w:tc>
          <w:tcPr>
            <w:tcW w:w="891" w:type="dxa"/>
            <w:tcBorders>
              <w:right w:val="single" w:sz="4" w:space="0" w:color="385623" w:themeColor="accent6" w:themeShade="80"/>
            </w:tcBorders>
            <w:shd w:val="clear" w:color="auto" w:fill="auto"/>
            <w:noWrap/>
            <w:vAlign w:val="center"/>
          </w:tcPr>
          <w:p w14:paraId="3004288B" w14:textId="29FC1C7A" w:rsidR="006619D8" w:rsidRPr="009259F9" w:rsidRDefault="006619D8" w:rsidP="006619D8">
            <w:pPr>
              <w:spacing w:after="0"/>
              <w:jc w:val="right"/>
              <w:rPr>
                <w:rFonts w:cs="Calibri"/>
                <w:color w:val="000000"/>
                <w:sz w:val="18"/>
                <w:szCs w:val="18"/>
                <w:lang w:val="en-GB"/>
              </w:rPr>
            </w:pPr>
            <w:r>
              <w:rPr>
                <w:rFonts w:cs="Calibri"/>
                <w:color w:val="000000"/>
                <w:sz w:val="18"/>
                <w:szCs w:val="18"/>
              </w:rPr>
              <w:t>9.004</w:t>
            </w:r>
          </w:p>
        </w:tc>
        <w:tc>
          <w:tcPr>
            <w:tcW w:w="891" w:type="dxa"/>
            <w:tcBorders>
              <w:left w:val="single" w:sz="4" w:space="0" w:color="385623" w:themeColor="accent6" w:themeShade="80"/>
            </w:tcBorders>
            <w:shd w:val="clear" w:color="auto" w:fill="auto"/>
            <w:noWrap/>
            <w:vAlign w:val="center"/>
          </w:tcPr>
          <w:p w14:paraId="2A943C7B" w14:textId="0CF2F044" w:rsidR="006619D8" w:rsidRPr="009259F9" w:rsidRDefault="006619D8" w:rsidP="006619D8">
            <w:pPr>
              <w:spacing w:after="0"/>
              <w:jc w:val="right"/>
              <w:rPr>
                <w:rFonts w:cs="Calibri"/>
                <w:color w:val="000000"/>
                <w:sz w:val="18"/>
                <w:szCs w:val="18"/>
                <w:lang w:val="en-GB"/>
              </w:rPr>
            </w:pPr>
            <w:r>
              <w:rPr>
                <w:rFonts w:cs="Calibri"/>
                <w:color w:val="000000"/>
                <w:sz w:val="18"/>
                <w:szCs w:val="18"/>
              </w:rPr>
              <w:t>4.753</w:t>
            </w:r>
          </w:p>
        </w:tc>
        <w:tc>
          <w:tcPr>
            <w:tcW w:w="891" w:type="dxa"/>
            <w:tcBorders>
              <w:right w:val="single" w:sz="4" w:space="0" w:color="385623" w:themeColor="accent6" w:themeShade="80"/>
            </w:tcBorders>
            <w:shd w:val="clear" w:color="auto" w:fill="auto"/>
            <w:noWrap/>
            <w:vAlign w:val="center"/>
          </w:tcPr>
          <w:p w14:paraId="13E10850" w14:textId="6C14526F" w:rsidR="006619D8" w:rsidRPr="009259F9" w:rsidRDefault="006619D8" w:rsidP="006619D8">
            <w:pPr>
              <w:spacing w:after="0"/>
              <w:jc w:val="right"/>
              <w:rPr>
                <w:rFonts w:cs="Calibri"/>
                <w:color w:val="000000"/>
                <w:sz w:val="18"/>
                <w:szCs w:val="18"/>
                <w:lang w:val="en-GB"/>
              </w:rPr>
            </w:pPr>
            <w:r>
              <w:rPr>
                <w:rFonts w:cs="Calibri"/>
                <w:color w:val="000000"/>
                <w:sz w:val="18"/>
                <w:szCs w:val="18"/>
              </w:rPr>
              <w:t>4.446</w:t>
            </w:r>
          </w:p>
        </w:tc>
        <w:tc>
          <w:tcPr>
            <w:tcW w:w="891" w:type="dxa"/>
            <w:tcBorders>
              <w:left w:val="single" w:sz="4" w:space="0" w:color="385623" w:themeColor="accent6" w:themeShade="80"/>
            </w:tcBorders>
            <w:shd w:val="clear" w:color="auto" w:fill="auto"/>
            <w:noWrap/>
            <w:vAlign w:val="center"/>
          </w:tcPr>
          <w:p w14:paraId="3B089F6F" w14:textId="3B8D2A49" w:rsidR="006619D8" w:rsidRPr="009259F9" w:rsidRDefault="006619D8" w:rsidP="006619D8">
            <w:pPr>
              <w:spacing w:after="0"/>
              <w:jc w:val="right"/>
              <w:rPr>
                <w:rFonts w:cs="Calibri"/>
                <w:color w:val="000000"/>
                <w:sz w:val="18"/>
                <w:szCs w:val="18"/>
                <w:lang w:val="en-GB"/>
              </w:rPr>
            </w:pPr>
            <w:r>
              <w:rPr>
                <w:rFonts w:cs="Calibri"/>
                <w:color w:val="000000"/>
                <w:sz w:val="18"/>
                <w:szCs w:val="18"/>
              </w:rPr>
              <w:t>6</w:t>
            </w:r>
          </w:p>
        </w:tc>
        <w:tc>
          <w:tcPr>
            <w:tcW w:w="891" w:type="dxa"/>
            <w:tcBorders>
              <w:right w:val="single" w:sz="4" w:space="0" w:color="385623" w:themeColor="accent6" w:themeShade="80"/>
            </w:tcBorders>
            <w:shd w:val="clear" w:color="auto" w:fill="auto"/>
            <w:noWrap/>
            <w:vAlign w:val="center"/>
          </w:tcPr>
          <w:p w14:paraId="54D92BE8" w14:textId="491D47E8" w:rsidR="006619D8" w:rsidRPr="009259F9" w:rsidRDefault="006619D8" w:rsidP="006619D8">
            <w:pPr>
              <w:spacing w:after="0"/>
              <w:jc w:val="right"/>
              <w:rPr>
                <w:rFonts w:cs="Calibri"/>
                <w:color w:val="000000"/>
                <w:sz w:val="18"/>
                <w:szCs w:val="18"/>
                <w:lang w:val="en-GB"/>
              </w:rPr>
            </w:pPr>
            <w:r>
              <w:rPr>
                <w:rFonts w:cs="Calibri"/>
                <w:color w:val="000000"/>
                <w:sz w:val="18"/>
                <w:szCs w:val="18"/>
              </w:rPr>
              <w:t>6</w:t>
            </w:r>
          </w:p>
        </w:tc>
        <w:tc>
          <w:tcPr>
            <w:tcW w:w="891" w:type="dxa"/>
            <w:tcBorders>
              <w:left w:val="single" w:sz="4" w:space="0" w:color="385623" w:themeColor="accent6" w:themeShade="80"/>
            </w:tcBorders>
            <w:shd w:val="clear" w:color="auto" w:fill="auto"/>
            <w:noWrap/>
            <w:vAlign w:val="center"/>
          </w:tcPr>
          <w:p w14:paraId="2A76412B" w14:textId="65414ADB" w:rsidR="006619D8" w:rsidRPr="009259F9" w:rsidRDefault="006619D8" w:rsidP="006619D8">
            <w:pPr>
              <w:spacing w:after="0"/>
              <w:jc w:val="right"/>
              <w:rPr>
                <w:rFonts w:cs="Calibri"/>
                <w:color w:val="000000"/>
                <w:sz w:val="18"/>
                <w:szCs w:val="18"/>
                <w:lang w:val="en-GB"/>
              </w:rPr>
            </w:pPr>
            <w:r>
              <w:rPr>
                <w:rFonts w:cs="Calibri"/>
                <w:color w:val="000000"/>
                <w:sz w:val="18"/>
                <w:szCs w:val="18"/>
              </w:rPr>
              <w:t>14.502</w:t>
            </w:r>
          </w:p>
        </w:tc>
        <w:tc>
          <w:tcPr>
            <w:tcW w:w="891" w:type="dxa"/>
            <w:shd w:val="clear" w:color="auto" w:fill="auto"/>
            <w:noWrap/>
            <w:vAlign w:val="center"/>
          </w:tcPr>
          <w:p w14:paraId="15AED8F4" w14:textId="311638E2" w:rsidR="006619D8" w:rsidRPr="009259F9" w:rsidRDefault="006619D8" w:rsidP="006619D8">
            <w:pPr>
              <w:spacing w:after="0"/>
              <w:jc w:val="right"/>
              <w:rPr>
                <w:rFonts w:cs="Calibri"/>
                <w:color w:val="000000"/>
                <w:sz w:val="18"/>
                <w:szCs w:val="18"/>
                <w:lang w:val="en-GB"/>
              </w:rPr>
            </w:pPr>
            <w:r>
              <w:rPr>
                <w:rFonts w:cs="Calibri"/>
                <w:color w:val="000000"/>
                <w:sz w:val="18"/>
                <w:szCs w:val="18"/>
              </w:rPr>
              <w:t>13.457</w:t>
            </w:r>
          </w:p>
        </w:tc>
      </w:tr>
      <w:tr w:rsidR="006619D8" w:rsidRPr="009259F9" w14:paraId="6E191953" w14:textId="77777777" w:rsidTr="0050101D">
        <w:trPr>
          <w:trHeight w:val="300"/>
        </w:trPr>
        <w:tc>
          <w:tcPr>
            <w:tcW w:w="3330"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vAlign w:val="bottom"/>
            <w:hideMark/>
          </w:tcPr>
          <w:p w14:paraId="10E29029" w14:textId="77B98FAD" w:rsidR="006619D8" w:rsidRPr="009259F9" w:rsidRDefault="006619D8" w:rsidP="006619D8">
            <w:pPr>
              <w:spacing w:before="20" w:after="20" w:line="240" w:lineRule="auto"/>
              <w:rPr>
                <w:rFonts w:eastAsia="Times New Roman" w:cs="Arial"/>
                <w:b/>
                <w:bCs/>
                <w:color w:val="000000"/>
                <w:sz w:val="18"/>
                <w:szCs w:val="18"/>
                <w:lang w:val="en-GB"/>
              </w:rPr>
            </w:pPr>
            <w:r w:rsidRPr="00AA6103">
              <w:rPr>
                <w:rFonts w:eastAsia="Times New Roman" w:cs="Arial"/>
                <w:b/>
                <w:bCs/>
                <w:color w:val="000000"/>
                <w:sz w:val="18"/>
                <w:szCs w:val="18"/>
              </w:rPr>
              <w:t>Αναπροσαρμοσμένα EBITDA</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5EC11C15" w14:textId="24C13ADA"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59.446</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315F2B65" w14:textId="0517AEDE"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47.109</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2B108C66" w14:textId="1CEF98CA"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27.034</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34E6DC34" w14:textId="5DC23BA9"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4.449</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179A84BE" w14:textId="38305768"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(367)</w:t>
            </w:r>
          </w:p>
        </w:tc>
        <w:tc>
          <w:tcPr>
            <w:tcW w:w="891"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1DE33C4D" w14:textId="62DA962D"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67</w:t>
            </w:r>
          </w:p>
        </w:tc>
        <w:tc>
          <w:tcPr>
            <w:tcW w:w="891"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318D1031" w14:textId="2EC20CA7"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86.113</w:t>
            </w:r>
          </w:p>
        </w:tc>
        <w:tc>
          <w:tcPr>
            <w:tcW w:w="891" w:type="dxa"/>
            <w:tcBorders>
              <w:top w:val="single" w:sz="4" w:space="0" w:color="385623" w:themeColor="accent6" w:themeShade="80"/>
              <w:bottom w:val="single" w:sz="4" w:space="0" w:color="385623" w:themeColor="accent6" w:themeShade="80"/>
            </w:tcBorders>
            <w:shd w:val="clear" w:color="auto" w:fill="E2EFD9"/>
            <w:noWrap/>
            <w:vAlign w:val="center"/>
          </w:tcPr>
          <w:p w14:paraId="0BB306D0" w14:textId="04EF922D" w:rsidR="006619D8" w:rsidRPr="009259F9" w:rsidRDefault="006619D8" w:rsidP="006619D8">
            <w:pPr>
              <w:spacing w:after="0"/>
              <w:jc w:val="right"/>
              <w:rPr>
                <w:rFonts w:cs="Calibri"/>
                <w:b/>
                <w:bCs/>
                <w:color w:val="000000"/>
                <w:sz w:val="18"/>
                <w:szCs w:val="18"/>
                <w:lang w:val="en-GB"/>
              </w:rPr>
            </w:pPr>
            <w:r>
              <w:rPr>
                <w:rFonts w:cs="Calibri"/>
                <w:b/>
                <w:bCs/>
                <w:color w:val="000000"/>
                <w:sz w:val="18"/>
                <w:szCs w:val="18"/>
              </w:rPr>
              <w:t>51.626</w:t>
            </w:r>
          </w:p>
        </w:tc>
      </w:tr>
    </w:tbl>
    <w:p w14:paraId="0E0DDA12" w14:textId="77777777" w:rsidR="00677257" w:rsidRPr="009259F9" w:rsidRDefault="00677257" w:rsidP="00B4712C">
      <w:pPr>
        <w:spacing w:after="120" w:line="240" w:lineRule="auto"/>
        <w:jc w:val="both"/>
        <w:rPr>
          <w:rFonts w:eastAsia="Times New Roman"/>
          <w:i/>
          <w:color w:val="000000"/>
          <w:sz w:val="16"/>
          <w:szCs w:val="16"/>
          <w:lang w:val="en-GB" w:eastAsia="el-GR"/>
        </w:rPr>
      </w:pPr>
    </w:p>
    <w:p w14:paraId="3A3BD46F" w14:textId="77777777" w:rsidR="006619D8" w:rsidRPr="00E43939" w:rsidRDefault="006619D8" w:rsidP="006619D8">
      <w:pPr>
        <w:numPr>
          <w:ilvl w:val="0"/>
          <w:numId w:val="2"/>
        </w:numPr>
        <w:spacing w:after="0"/>
        <w:ind w:left="284" w:hanging="284"/>
        <w:jc w:val="both"/>
        <w:rPr>
          <w:rFonts w:eastAsia="Times New Roman"/>
          <w:i/>
          <w:color w:val="000000"/>
          <w:sz w:val="18"/>
          <w:szCs w:val="18"/>
        </w:rPr>
      </w:pPr>
      <w:r w:rsidRPr="00E43939">
        <w:rPr>
          <w:i/>
          <w:color w:val="000000"/>
          <w:sz w:val="18"/>
        </w:rPr>
        <w:t>Το αποτέλεσμα μετάλλου είναι η επίδραση στα αποτελέσματα που προκύπτει από διακυμάνσεις των τιμών αγοράς των υποκείμενων μετάλλων (σιδηρούχα και μη σιδηρούχα) που χρησιμοποιούν οι θυγατρικές της Cenergy Holdings ως πρώτες ύλες στις διαδικασίες παραγωγής του τελικού προϊόντος τους.</w:t>
      </w:r>
    </w:p>
    <w:p w14:paraId="24518A5B" w14:textId="77777777" w:rsidR="006619D8" w:rsidRPr="00E43939" w:rsidRDefault="006619D8" w:rsidP="006619D8">
      <w:pPr>
        <w:spacing w:after="0"/>
        <w:ind w:left="284"/>
        <w:jc w:val="both"/>
        <w:rPr>
          <w:rFonts w:eastAsia="Times New Roman"/>
          <w:i/>
          <w:color w:val="000000"/>
          <w:sz w:val="18"/>
          <w:szCs w:val="18"/>
        </w:rPr>
      </w:pPr>
      <w:r w:rsidRPr="00E43939">
        <w:rPr>
          <w:i/>
          <w:color w:val="000000"/>
          <w:sz w:val="18"/>
        </w:rPr>
        <w:t>Το αποτέλεσμα μετάλλου προκύπτει λόγω:</w:t>
      </w:r>
    </w:p>
    <w:p w14:paraId="67358B57" w14:textId="77777777" w:rsidR="006619D8" w:rsidRPr="00E43939" w:rsidRDefault="006619D8" w:rsidP="006619D8">
      <w:pPr>
        <w:spacing w:after="0"/>
        <w:ind w:left="284"/>
        <w:jc w:val="both"/>
        <w:rPr>
          <w:rFonts w:eastAsia="Times New Roman"/>
          <w:i/>
          <w:color w:val="000000"/>
          <w:sz w:val="18"/>
          <w:szCs w:val="18"/>
        </w:rPr>
      </w:pPr>
      <w:r w:rsidRPr="00E43939">
        <w:rPr>
          <w:i/>
          <w:color w:val="000000"/>
          <w:sz w:val="18"/>
        </w:rPr>
        <w:t>(i)</w:t>
      </w:r>
      <w:r w:rsidRPr="00E43939">
        <w:rPr>
          <w:i/>
          <w:color w:val="000000"/>
          <w:sz w:val="18"/>
        </w:rPr>
        <w:tab/>
        <w:t>του χρονικού διαστήματος που μεσολαβεί ανάμεσα στην τιμολόγηση των αγορών μετάλλων, την κατοχή και επεξεργασία των μετάλλων, και στην τιμολόγηση της πώλησης των τελικών αποθεμάτων στους πελάτες,</w:t>
      </w:r>
    </w:p>
    <w:p w14:paraId="0C2F70FC" w14:textId="77777777" w:rsidR="006619D8" w:rsidRPr="00E43939" w:rsidRDefault="006619D8" w:rsidP="006619D8">
      <w:pPr>
        <w:spacing w:after="0"/>
        <w:ind w:left="284"/>
        <w:jc w:val="both"/>
        <w:rPr>
          <w:rFonts w:eastAsia="Times New Roman"/>
          <w:i/>
          <w:color w:val="000000"/>
          <w:sz w:val="18"/>
          <w:szCs w:val="18"/>
        </w:rPr>
      </w:pPr>
      <w:r w:rsidRPr="00E43939">
        <w:rPr>
          <w:i/>
          <w:color w:val="000000"/>
          <w:sz w:val="18"/>
        </w:rPr>
        <w:t>(ii)</w:t>
      </w:r>
      <w:r w:rsidRPr="00E43939">
        <w:rPr>
          <w:i/>
          <w:color w:val="000000"/>
          <w:sz w:val="18"/>
        </w:rPr>
        <w:tab/>
        <w:t>της επίδρασης του υπολοίπου αποθεμάτων κατά την αρχή της περιόδου (το οποίο, με τη σειρά του, επηρεάζεται από τις τιμές μετάλλων των προηγούμενων περιόδων) στο ποσό που αναφέρεται ως Κόστος Πωληθέντων, λόγω της χρησιμοποιούμενης μεθόδου κοστολόγησης (π.χ. σταθμισμένος μέσος όρος),</w:t>
      </w:r>
    </w:p>
    <w:p w14:paraId="4D79C161" w14:textId="77777777" w:rsidR="006619D8" w:rsidRDefault="006619D8" w:rsidP="006619D8">
      <w:pPr>
        <w:spacing w:after="0"/>
        <w:ind w:left="284"/>
        <w:jc w:val="both"/>
        <w:rPr>
          <w:i/>
          <w:color w:val="000000"/>
          <w:sz w:val="18"/>
        </w:rPr>
      </w:pPr>
      <w:r w:rsidRPr="00E43939">
        <w:rPr>
          <w:i/>
          <w:color w:val="000000"/>
          <w:sz w:val="18"/>
        </w:rPr>
        <w:t>(iii)</w:t>
      </w:r>
      <w:r w:rsidRPr="00E43939">
        <w:rPr>
          <w:i/>
          <w:color w:val="000000"/>
          <w:sz w:val="18"/>
        </w:rPr>
        <w:tab/>
        <w:t>ορισμένων συμβάσεων πελατών που περιέχουν δεσμεύσεις σταθερών τιμών και έχουν ως αποτέλεσμα την έκθεση σε μεταβολές των τιμών των μετάλλων για το χρονικό διάστημα από τη στιγμή που ορίζεται η τιμή πώλησης έως τη στιγμή της πραγματικής πώλησης.</w:t>
      </w:r>
      <w:bookmarkStart w:id="14" w:name="_Hlk112141107"/>
    </w:p>
    <w:p w14:paraId="017DB9F4" w14:textId="23B184C9" w:rsidR="006619D8" w:rsidRPr="006619D8" w:rsidRDefault="006619D8" w:rsidP="006619D8">
      <w:pPr>
        <w:spacing w:after="0"/>
        <w:ind w:left="284"/>
        <w:jc w:val="both"/>
        <w:rPr>
          <w:i/>
          <w:color w:val="000000"/>
          <w:sz w:val="18"/>
        </w:rPr>
      </w:pPr>
      <w:r w:rsidRPr="006619D8">
        <w:rPr>
          <w:i/>
          <w:color w:val="000000"/>
          <w:sz w:val="18"/>
        </w:rPr>
        <w:t xml:space="preserve">Οι θυγατρικές του </w:t>
      </w:r>
      <w:proofErr w:type="spellStart"/>
      <w:r w:rsidR="00B80DE8">
        <w:rPr>
          <w:i/>
          <w:color w:val="000000"/>
          <w:sz w:val="18"/>
        </w:rPr>
        <w:t>τομέα</w:t>
      </w:r>
      <w:r w:rsidRPr="006619D8">
        <w:rPr>
          <w:i/>
          <w:color w:val="000000"/>
          <w:sz w:val="18"/>
        </w:rPr>
        <w:t>υ</w:t>
      </w:r>
      <w:proofErr w:type="spellEnd"/>
      <w:r w:rsidRPr="006619D8">
        <w:rPr>
          <w:i/>
          <w:color w:val="000000"/>
          <w:sz w:val="18"/>
        </w:rPr>
        <w:t xml:space="preserve"> καλωδίων χρησιμοποιούν παράλληλη αντιστοίχιση των αγορών και των πωλήσεων, ή παράγωγα μέσα, προκειμένου να ελαχιστοποιηθεί η επίδραση της υστέρησης τιμής μετάλλων στα αποτελέσματά τους. Ωστόσο, θα υπάρχει πάντα κάποια επίδραση (θετική ή αρνητική) στα αποτελέσματα, δεδομένου ότι στον </w:t>
      </w:r>
      <w:r w:rsidR="00B80DE8">
        <w:rPr>
          <w:i/>
          <w:color w:val="000000"/>
          <w:sz w:val="18"/>
        </w:rPr>
        <w:t>τομέα</w:t>
      </w:r>
      <w:r w:rsidRPr="006619D8">
        <w:rPr>
          <w:i/>
          <w:color w:val="000000"/>
          <w:sz w:val="18"/>
        </w:rPr>
        <w:t xml:space="preserve"> καλωδίων μέρος των αποθεμάτων αντιμετωπίζεται ως πάγιο ενεργητικό και δεν αντισταθμίζεται. Στον </w:t>
      </w:r>
      <w:r w:rsidR="00B80DE8">
        <w:rPr>
          <w:i/>
          <w:color w:val="000000"/>
          <w:sz w:val="18"/>
        </w:rPr>
        <w:t>τομέα</w:t>
      </w:r>
      <w:r w:rsidRPr="006619D8">
        <w:rPr>
          <w:i/>
          <w:color w:val="000000"/>
          <w:sz w:val="18"/>
        </w:rPr>
        <w:t xml:space="preserve"> των σωλήνων χάλυβα δεν είναι δυνατή η αντιστάθμιση εμπορευμάτων.</w:t>
      </w:r>
    </w:p>
    <w:p w14:paraId="04A2CBD0" w14:textId="496C57C3" w:rsidR="006619D8" w:rsidRPr="00B448AD" w:rsidRDefault="000C2BB6" w:rsidP="002E0594">
      <w:pPr>
        <w:numPr>
          <w:ilvl w:val="0"/>
          <w:numId w:val="2"/>
        </w:numPr>
        <w:spacing w:after="120" w:line="240" w:lineRule="auto"/>
        <w:ind w:left="284" w:hanging="284"/>
        <w:contextualSpacing/>
        <w:jc w:val="both"/>
        <w:rPr>
          <w:rFonts w:eastAsia="Times New Roman"/>
          <w:i/>
          <w:color w:val="000000"/>
          <w:sz w:val="17"/>
          <w:szCs w:val="17"/>
          <w:lang w:eastAsia="el-GR"/>
        </w:rPr>
      </w:pPr>
      <w:r w:rsidRPr="000C2BB6">
        <w:rPr>
          <w:rFonts w:eastAsia="Times New Roman"/>
          <w:i/>
          <w:color w:val="000000"/>
          <w:sz w:val="17"/>
          <w:szCs w:val="17"/>
          <w:lang w:eastAsia="el-GR"/>
        </w:rPr>
        <w:lastRenderedPageBreak/>
        <w:t>Το 2013, η Σωληνουργεία Κορίνθου κατασκεύασε και προμήθευσε σωλήνες για έναν αγωγό στη Γαλλία.  Κατά τη διάρκεια του 2015, ο Γάλλος πελάτης υπέβαλε αίτημα για αποζημίωση κατά της Σωληνουργεία Κορίνθου, των ασφαλιστών της και των υπεργολάβων που ήταν υπεύθυνοι για τη συγκόλληση του αγωγού. Το εμπορικό δικαστήριο του Παρισιού εξέδωσε την απόφασή του στις 7 Ιουλίου 2022 και έκρινε ότι η Σωληνουργεία Κορίνθου πρέπει να θεωρηθεί υπεύθυνη για ελαττώματα στους σωλήνες, ωστόσο παράλληλα υπέδειξε και υπαιτιότητα στον Γάλλο πελάτη για τη ζημία που ο ίδιος υπέστη.  Κατά συνέπεια, δεδομένου ότι οι πωλήσεις του 2013 ήταν πλήρως ασφαλισμένες, η Σωληνουργεία Κορίνθου κατέγραψε υποχρέωση ύψους 500 χιλ. για την περίοδο που έληξε 30 Ιουνίου 2022 που αντιστοιχεί στη μέγιστη έκθεσή για τη συγκεκριμένη αξίωση σύμφωνα με το ασφαλιστήριο συμβόλαιο.</w:t>
      </w:r>
      <w:r w:rsidR="006619D8" w:rsidRPr="000C2BB6">
        <w:t xml:space="preserve"> </w:t>
      </w:r>
    </w:p>
    <w:bookmarkEnd w:id="14"/>
    <w:p w14:paraId="2E50072B" w14:textId="77777777" w:rsidR="000C2BB6" w:rsidRPr="006619D8" w:rsidRDefault="000C2BB6" w:rsidP="000C2BB6">
      <w:pPr>
        <w:spacing w:after="120" w:line="240" w:lineRule="auto"/>
        <w:contextualSpacing/>
        <w:jc w:val="both"/>
        <w:rPr>
          <w:rFonts w:eastAsia="Times New Roman"/>
          <w:i/>
          <w:color w:val="000000"/>
          <w:sz w:val="17"/>
          <w:szCs w:val="17"/>
          <w:lang w:eastAsia="el-GR"/>
        </w:rPr>
      </w:pPr>
    </w:p>
    <w:p w14:paraId="1ED5FA5A" w14:textId="77777777" w:rsidR="006619D8" w:rsidRPr="009259F9" w:rsidRDefault="006619D8" w:rsidP="006619D8">
      <w:pPr>
        <w:spacing w:after="120" w:line="240" w:lineRule="auto"/>
        <w:rPr>
          <w:rFonts w:cs="Calibri"/>
          <w:sz w:val="20"/>
          <w:szCs w:val="20"/>
          <w:lang w:val="en-GB" w:eastAsia="x-none"/>
        </w:rPr>
      </w:pPr>
      <w:r>
        <w:rPr>
          <w:rFonts w:cs="Calibri"/>
          <w:b/>
          <w:sz w:val="20"/>
          <w:szCs w:val="20"/>
          <w:u w:val="single"/>
          <w:lang w:eastAsia="x-none"/>
        </w:rPr>
        <w:t>Καθαρός δανεισμός</w:t>
      </w:r>
      <w:r w:rsidRPr="009259F9">
        <w:rPr>
          <w:rFonts w:cs="Calibri"/>
          <w:b/>
          <w:sz w:val="20"/>
          <w:szCs w:val="20"/>
          <w:u w:val="single"/>
          <w:lang w:val="en-GB" w:eastAsia="x-none"/>
        </w:rPr>
        <w:t>:</w:t>
      </w:r>
    </w:p>
    <w:tbl>
      <w:tblPr>
        <w:tblW w:w="10443"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blBorders>
        <w:tblLayout w:type="fixed"/>
        <w:tblLook w:val="04A0" w:firstRow="1" w:lastRow="0" w:firstColumn="1" w:lastColumn="0" w:noHBand="0" w:noVBand="1"/>
      </w:tblPr>
      <w:tblGrid>
        <w:gridCol w:w="2788"/>
        <w:gridCol w:w="956"/>
        <w:gridCol w:w="957"/>
        <w:gridCol w:w="957"/>
        <w:gridCol w:w="957"/>
        <w:gridCol w:w="957"/>
        <w:gridCol w:w="957"/>
        <w:gridCol w:w="957"/>
        <w:gridCol w:w="957"/>
      </w:tblGrid>
      <w:tr w:rsidR="006619D8" w:rsidRPr="009259F9" w14:paraId="71BA012E" w14:textId="77777777" w:rsidTr="00842565">
        <w:trPr>
          <w:trHeight w:val="300"/>
        </w:trPr>
        <w:tc>
          <w:tcPr>
            <w:tcW w:w="2788" w:type="dxa"/>
            <w:shd w:val="clear" w:color="auto" w:fill="476C2E"/>
            <w:noWrap/>
            <w:vAlign w:val="center"/>
            <w:hideMark/>
          </w:tcPr>
          <w:p w14:paraId="38882F5D" w14:textId="26F209A6" w:rsidR="006619D8" w:rsidRPr="009259F9" w:rsidRDefault="006619D8" w:rsidP="006619D8">
            <w:pPr>
              <w:spacing w:after="120" w:line="240" w:lineRule="auto"/>
              <w:jc w:val="both"/>
              <w:rPr>
                <w:rFonts w:eastAsia="Times New Roman"/>
                <w:b/>
                <w:bCs/>
                <w:color w:val="FFFFFF"/>
                <w:sz w:val="20"/>
                <w:szCs w:val="20"/>
                <w:lang w:val="en-GB" w:eastAsia="el-GR"/>
              </w:rPr>
            </w:pPr>
            <w:r w:rsidRPr="009259F9">
              <w:rPr>
                <w:rFonts w:eastAsia="Times New Roman"/>
                <w:b/>
                <w:bCs/>
                <w:color w:val="FFFFFF"/>
                <w:sz w:val="20"/>
                <w:szCs w:val="20"/>
                <w:lang w:val="en-GB" w:eastAsia="el-GR"/>
              </w:rPr>
              <w:t> </w:t>
            </w:r>
          </w:p>
        </w:tc>
        <w:tc>
          <w:tcPr>
            <w:tcW w:w="1913" w:type="dxa"/>
            <w:gridSpan w:val="2"/>
            <w:shd w:val="clear" w:color="auto" w:fill="476C2E"/>
            <w:noWrap/>
            <w:vAlign w:val="center"/>
            <w:hideMark/>
          </w:tcPr>
          <w:p w14:paraId="5B8DCA1E" w14:textId="0CDA6293" w:rsidR="006619D8" w:rsidRPr="009259F9" w:rsidRDefault="006619D8" w:rsidP="006619D8">
            <w:pPr>
              <w:spacing w:after="120" w:line="240" w:lineRule="auto"/>
              <w:jc w:val="center"/>
              <w:rPr>
                <w:rFonts w:eastAsia="Times New Roman"/>
                <w:b/>
                <w:bCs/>
                <w:color w:val="FFFFFF"/>
                <w:sz w:val="20"/>
                <w:szCs w:val="20"/>
                <w:u w:val="single"/>
                <w:lang w:val="en-GB" w:eastAsia="el-GR"/>
              </w:rPr>
            </w:pPr>
            <w:r w:rsidRPr="00A46933">
              <w:rPr>
                <w:b/>
                <w:color w:val="FFFFFF"/>
                <w:sz w:val="20"/>
                <w:u w:val="single"/>
              </w:rPr>
              <w:t>Καλώδια</w:t>
            </w:r>
          </w:p>
        </w:tc>
        <w:tc>
          <w:tcPr>
            <w:tcW w:w="1914" w:type="dxa"/>
            <w:gridSpan w:val="2"/>
            <w:shd w:val="clear" w:color="auto" w:fill="476C2E"/>
            <w:noWrap/>
            <w:vAlign w:val="center"/>
            <w:hideMark/>
          </w:tcPr>
          <w:p w14:paraId="698FB7BD" w14:textId="0E642B79" w:rsidR="006619D8" w:rsidRPr="009259F9" w:rsidRDefault="006619D8" w:rsidP="006619D8">
            <w:pPr>
              <w:spacing w:after="120" w:line="240" w:lineRule="auto"/>
              <w:jc w:val="center"/>
              <w:rPr>
                <w:rFonts w:eastAsia="Times New Roman"/>
                <w:b/>
                <w:bCs/>
                <w:color w:val="FFFFFF"/>
                <w:sz w:val="20"/>
                <w:szCs w:val="20"/>
                <w:u w:val="single"/>
                <w:lang w:val="en-GB" w:eastAsia="el-GR"/>
              </w:rPr>
            </w:pPr>
            <w:r w:rsidRPr="00A46933">
              <w:rPr>
                <w:b/>
                <w:color w:val="FFFFFF"/>
                <w:sz w:val="20"/>
                <w:u w:val="single"/>
              </w:rPr>
              <w:t>Σωλήνες χάλυβα</w:t>
            </w:r>
          </w:p>
        </w:tc>
        <w:tc>
          <w:tcPr>
            <w:tcW w:w="1914" w:type="dxa"/>
            <w:gridSpan w:val="2"/>
            <w:shd w:val="clear" w:color="auto" w:fill="476C2E"/>
            <w:noWrap/>
            <w:vAlign w:val="center"/>
            <w:hideMark/>
          </w:tcPr>
          <w:p w14:paraId="4988BB81" w14:textId="607E5F09" w:rsidR="006619D8" w:rsidRPr="009259F9" w:rsidRDefault="006619D8" w:rsidP="006619D8">
            <w:pPr>
              <w:spacing w:after="120" w:line="240" w:lineRule="auto"/>
              <w:jc w:val="center"/>
              <w:rPr>
                <w:rFonts w:eastAsia="Times New Roman"/>
                <w:b/>
                <w:bCs/>
                <w:color w:val="FFFFFF"/>
                <w:sz w:val="20"/>
                <w:szCs w:val="20"/>
                <w:u w:val="single"/>
                <w:lang w:val="en-GB" w:eastAsia="el-GR"/>
              </w:rPr>
            </w:pPr>
            <w:r w:rsidRPr="00A46933">
              <w:rPr>
                <w:b/>
                <w:color w:val="FFFFFF"/>
                <w:sz w:val="20"/>
                <w:u w:val="single"/>
              </w:rPr>
              <w:t>Λοιπές δραστηριότητες</w:t>
            </w:r>
          </w:p>
        </w:tc>
        <w:tc>
          <w:tcPr>
            <w:tcW w:w="1914" w:type="dxa"/>
            <w:gridSpan w:val="2"/>
            <w:shd w:val="clear" w:color="auto" w:fill="476C2E"/>
            <w:noWrap/>
            <w:vAlign w:val="center"/>
            <w:hideMark/>
          </w:tcPr>
          <w:p w14:paraId="1D8E28A5" w14:textId="7C9FB0E6" w:rsidR="006619D8" w:rsidRPr="009259F9" w:rsidRDefault="006619D8" w:rsidP="006619D8">
            <w:pPr>
              <w:spacing w:after="120" w:line="240" w:lineRule="auto"/>
              <w:jc w:val="center"/>
              <w:rPr>
                <w:rFonts w:eastAsia="Times New Roman"/>
                <w:b/>
                <w:bCs/>
                <w:color w:val="FFFFFF"/>
                <w:sz w:val="20"/>
                <w:szCs w:val="20"/>
                <w:lang w:val="en-GB" w:eastAsia="el-GR"/>
              </w:rPr>
            </w:pPr>
            <w:r w:rsidRPr="00A46933">
              <w:rPr>
                <w:b/>
                <w:color w:val="FFFFFF"/>
                <w:sz w:val="20"/>
                <w:u w:val="single"/>
              </w:rPr>
              <w:t>Σύνολο</w:t>
            </w:r>
          </w:p>
        </w:tc>
      </w:tr>
      <w:tr w:rsidR="000C2BB6" w:rsidRPr="009259F9" w14:paraId="5D40007C" w14:textId="77777777" w:rsidTr="00842565">
        <w:trPr>
          <w:trHeight w:val="300"/>
        </w:trPr>
        <w:tc>
          <w:tcPr>
            <w:tcW w:w="2788" w:type="dxa"/>
            <w:shd w:val="clear" w:color="auto" w:fill="476C2E"/>
            <w:noWrap/>
            <w:vAlign w:val="center"/>
            <w:hideMark/>
          </w:tcPr>
          <w:p w14:paraId="07CC273E" w14:textId="14EA94A8" w:rsidR="000C2BB6" w:rsidRPr="009259F9" w:rsidRDefault="000C2BB6" w:rsidP="000C2BB6">
            <w:pPr>
              <w:spacing w:after="120" w:line="240" w:lineRule="auto"/>
              <w:jc w:val="both"/>
              <w:rPr>
                <w:rFonts w:eastAsia="Times New Roman"/>
                <w:b/>
                <w:bCs/>
                <w:color w:val="FFFFFF"/>
                <w:sz w:val="20"/>
                <w:szCs w:val="20"/>
                <w:lang w:val="en-GB" w:eastAsia="el-GR"/>
              </w:rPr>
            </w:pPr>
            <w:r w:rsidRPr="00A46933">
              <w:rPr>
                <w:b/>
                <w:color w:val="FFFFFF"/>
                <w:sz w:val="20"/>
              </w:rPr>
              <w:t>Ποσά σε χιλιάδες ευρώ</w:t>
            </w:r>
          </w:p>
        </w:tc>
        <w:tc>
          <w:tcPr>
            <w:tcW w:w="956" w:type="dxa"/>
            <w:tcBorders>
              <w:bottom w:val="nil"/>
            </w:tcBorders>
            <w:shd w:val="clear" w:color="auto" w:fill="476C2E"/>
            <w:noWrap/>
            <w:vAlign w:val="center"/>
          </w:tcPr>
          <w:p w14:paraId="3E0A2DCC" w14:textId="228013C4" w:rsidR="000C2BB6" w:rsidRPr="009259F9" w:rsidRDefault="000C2BB6" w:rsidP="000C2BB6">
            <w:pPr>
              <w:spacing w:after="120" w:line="240" w:lineRule="auto"/>
              <w:jc w:val="right"/>
              <w:rPr>
                <w:rFonts w:cs="Arial"/>
                <w:b/>
                <w:bCs/>
                <w:color w:val="FFFFFF"/>
                <w:sz w:val="20"/>
                <w:szCs w:val="20"/>
                <w:lang w:val="en-GB"/>
              </w:rPr>
            </w:pPr>
            <w:r>
              <w:rPr>
                <w:rFonts w:cs="Arial"/>
                <w:b/>
                <w:bCs/>
                <w:color w:val="FFFFFF"/>
                <w:sz w:val="20"/>
                <w:szCs w:val="20"/>
                <w:lang w:val="en-GB"/>
              </w:rPr>
              <w:t>30</w:t>
            </w:r>
            <w:r w:rsidRPr="009259F9">
              <w:rPr>
                <w:rFonts w:cs="Arial"/>
                <w:b/>
                <w:bCs/>
                <w:color w:val="FFFFFF"/>
                <w:sz w:val="20"/>
                <w:szCs w:val="20"/>
                <w:lang w:val="en-GB"/>
              </w:rPr>
              <w:t xml:space="preserve"> </w:t>
            </w:r>
            <w:r>
              <w:rPr>
                <w:rFonts w:cs="Arial"/>
                <w:b/>
                <w:bCs/>
                <w:color w:val="FFFFFF"/>
                <w:sz w:val="20"/>
                <w:szCs w:val="20"/>
              </w:rPr>
              <w:t>Ιουν</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3</w:t>
            </w:r>
          </w:p>
        </w:tc>
        <w:tc>
          <w:tcPr>
            <w:tcW w:w="957" w:type="dxa"/>
            <w:tcBorders>
              <w:bottom w:val="nil"/>
            </w:tcBorders>
            <w:shd w:val="clear" w:color="auto" w:fill="476C2E"/>
            <w:noWrap/>
            <w:vAlign w:val="center"/>
            <w:hideMark/>
          </w:tcPr>
          <w:p w14:paraId="278BAE66" w14:textId="0C8E58E8" w:rsidR="000C2BB6" w:rsidRPr="009259F9" w:rsidRDefault="000C2BB6" w:rsidP="000C2BB6">
            <w:pPr>
              <w:spacing w:after="120" w:line="240" w:lineRule="auto"/>
              <w:jc w:val="right"/>
              <w:rPr>
                <w:rFonts w:cs="Arial"/>
                <w:b/>
                <w:bCs/>
                <w:color w:val="FFFFFF"/>
                <w:sz w:val="20"/>
                <w:szCs w:val="20"/>
                <w:lang w:val="en-GB"/>
              </w:rPr>
            </w:pPr>
            <w:r w:rsidRPr="009259F9">
              <w:rPr>
                <w:rFonts w:cs="Arial"/>
                <w:b/>
                <w:bCs/>
                <w:color w:val="FFFFFF"/>
                <w:sz w:val="20"/>
                <w:szCs w:val="20"/>
                <w:lang w:val="en-GB"/>
              </w:rPr>
              <w:t xml:space="preserve">31 </w:t>
            </w:r>
            <w:r>
              <w:rPr>
                <w:rFonts w:cs="Arial"/>
                <w:b/>
                <w:bCs/>
                <w:color w:val="FFFFFF"/>
                <w:sz w:val="20"/>
                <w:szCs w:val="20"/>
              </w:rPr>
              <w:t>Δεκ</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2</w:t>
            </w:r>
          </w:p>
        </w:tc>
        <w:tc>
          <w:tcPr>
            <w:tcW w:w="957" w:type="dxa"/>
            <w:shd w:val="clear" w:color="auto" w:fill="476C2E"/>
            <w:noWrap/>
            <w:vAlign w:val="center"/>
          </w:tcPr>
          <w:p w14:paraId="34AE36E1" w14:textId="2539EFB5" w:rsidR="000C2BB6" w:rsidRPr="009259F9" w:rsidRDefault="000C2BB6" w:rsidP="000C2BB6">
            <w:pPr>
              <w:spacing w:after="120" w:line="240" w:lineRule="auto"/>
              <w:jc w:val="right"/>
              <w:rPr>
                <w:rFonts w:cs="Arial"/>
                <w:b/>
                <w:bCs/>
                <w:color w:val="FFFFFF"/>
                <w:sz w:val="20"/>
                <w:szCs w:val="20"/>
                <w:lang w:val="en-GB"/>
              </w:rPr>
            </w:pPr>
            <w:r>
              <w:rPr>
                <w:rFonts w:cs="Arial"/>
                <w:b/>
                <w:bCs/>
                <w:color w:val="FFFFFF"/>
                <w:sz w:val="20"/>
                <w:szCs w:val="20"/>
                <w:lang w:val="en-GB"/>
              </w:rPr>
              <w:t>30</w:t>
            </w:r>
            <w:r w:rsidRPr="009259F9">
              <w:rPr>
                <w:rFonts w:cs="Arial"/>
                <w:b/>
                <w:bCs/>
                <w:color w:val="FFFFFF"/>
                <w:sz w:val="20"/>
                <w:szCs w:val="20"/>
                <w:lang w:val="en-GB"/>
              </w:rPr>
              <w:t xml:space="preserve"> </w:t>
            </w:r>
            <w:r>
              <w:rPr>
                <w:rFonts w:cs="Arial"/>
                <w:b/>
                <w:bCs/>
                <w:color w:val="FFFFFF"/>
                <w:sz w:val="20"/>
                <w:szCs w:val="20"/>
              </w:rPr>
              <w:t>Ιουν</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3</w:t>
            </w:r>
          </w:p>
        </w:tc>
        <w:tc>
          <w:tcPr>
            <w:tcW w:w="957" w:type="dxa"/>
            <w:shd w:val="clear" w:color="auto" w:fill="476C2E"/>
            <w:noWrap/>
            <w:vAlign w:val="center"/>
            <w:hideMark/>
          </w:tcPr>
          <w:p w14:paraId="1A7C1594" w14:textId="3419883C" w:rsidR="000C2BB6" w:rsidRPr="009259F9" w:rsidRDefault="000C2BB6" w:rsidP="000C2BB6">
            <w:pPr>
              <w:spacing w:after="120" w:line="240" w:lineRule="auto"/>
              <w:jc w:val="right"/>
              <w:rPr>
                <w:rFonts w:cs="Arial"/>
                <w:b/>
                <w:bCs/>
                <w:color w:val="FFFFFF"/>
                <w:sz w:val="20"/>
                <w:szCs w:val="20"/>
                <w:lang w:val="en-GB"/>
              </w:rPr>
            </w:pPr>
            <w:r w:rsidRPr="009259F9">
              <w:rPr>
                <w:rFonts w:cs="Arial"/>
                <w:b/>
                <w:bCs/>
                <w:color w:val="FFFFFF"/>
                <w:sz w:val="20"/>
                <w:szCs w:val="20"/>
                <w:lang w:val="en-GB"/>
              </w:rPr>
              <w:t xml:space="preserve">31 </w:t>
            </w:r>
            <w:r>
              <w:rPr>
                <w:rFonts w:cs="Arial"/>
                <w:b/>
                <w:bCs/>
                <w:color w:val="FFFFFF"/>
                <w:sz w:val="20"/>
                <w:szCs w:val="20"/>
              </w:rPr>
              <w:t>Δεκ</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2</w:t>
            </w:r>
          </w:p>
        </w:tc>
        <w:tc>
          <w:tcPr>
            <w:tcW w:w="957" w:type="dxa"/>
            <w:tcBorders>
              <w:bottom w:val="nil"/>
            </w:tcBorders>
            <w:shd w:val="clear" w:color="auto" w:fill="476C2E"/>
            <w:noWrap/>
            <w:vAlign w:val="center"/>
          </w:tcPr>
          <w:p w14:paraId="25549F51" w14:textId="3B21BBC5" w:rsidR="000C2BB6" w:rsidRPr="009259F9" w:rsidRDefault="000C2BB6" w:rsidP="000C2BB6">
            <w:pPr>
              <w:spacing w:after="120" w:line="240" w:lineRule="auto"/>
              <w:jc w:val="right"/>
              <w:rPr>
                <w:rFonts w:cs="Arial"/>
                <w:b/>
                <w:bCs/>
                <w:color w:val="FFFFFF"/>
                <w:sz w:val="20"/>
                <w:szCs w:val="20"/>
                <w:lang w:val="en-GB"/>
              </w:rPr>
            </w:pPr>
            <w:r>
              <w:rPr>
                <w:rFonts w:cs="Arial"/>
                <w:b/>
                <w:bCs/>
                <w:color w:val="FFFFFF"/>
                <w:sz w:val="20"/>
                <w:szCs w:val="20"/>
                <w:lang w:val="en-GB"/>
              </w:rPr>
              <w:t>30</w:t>
            </w:r>
            <w:r w:rsidRPr="009259F9">
              <w:rPr>
                <w:rFonts w:cs="Arial"/>
                <w:b/>
                <w:bCs/>
                <w:color w:val="FFFFFF"/>
                <w:sz w:val="20"/>
                <w:szCs w:val="20"/>
                <w:lang w:val="en-GB"/>
              </w:rPr>
              <w:t xml:space="preserve"> </w:t>
            </w:r>
            <w:r>
              <w:rPr>
                <w:rFonts w:cs="Arial"/>
                <w:b/>
                <w:bCs/>
                <w:color w:val="FFFFFF"/>
                <w:sz w:val="20"/>
                <w:szCs w:val="20"/>
              </w:rPr>
              <w:t>Ιουν</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3</w:t>
            </w:r>
          </w:p>
        </w:tc>
        <w:tc>
          <w:tcPr>
            <w:tcW w:w="957" w:type="dxa"/>
            <w:tcBorders>
              <w:bottom w:val="nil"/>
            </w:tcBorders>
            <w:shd w:val="clear" w:color="auto" w:fill="476C2E"/>
            <w:noWrap/>
            <w:vAlign w:val="center"/>
            <w:hideMark/>
          </w:tcPr>
          <w:p w14:paraId="3A70A404" w14:textId="1A3A5F15" w:rsidR="000C2BB6" w:rsidRPr="009259F9" w:rsidRDefault="000C2BB6" w:rsidP="000C2BB6">
            <w:pPr>
              <w:spacing w:after="120" w:line="240" w:lineRule="auto"/>
              <w:jc w:val="right"/>
              <w:rPr>
                <w:rFonts w:cs="Arial"/>
                <w:b/>
                <w:bCs/>
                <w:color w:val="FFFFFF"/>
                <w:sz w:val="20"/>
                <w:szCs w:val="20"/>
                <w:lang w:val="en-GB"/>
              </w:rPr>
            </w:pPr>
            <w:r w:rsidRPr="009259F9">
              <w:rPr>
                <w:rFonts w:cs="Arial"/>
                <w:b/>
                <w:bCs/>
                <w:color w:val="FFFFFF"/>
                <w:sz w:val="20"/>
                <w:szCs w:val="20"/>
                <w:lang w:val="en-GB"/>
              </w:rPr>
              <w:t xml:space="preserve">31 </w:t>
            </w:r>
            <w:r>
              <w:rPr>
                <w:rFonts w:cs="Arial"/>
                <w:b/>
                <w:bCs/>
                <w:color w:val="FFFFFF"/>
                <w:sz w:val="20"/>
                <w:szCs w:val="20"/>
              </w:rPr>
              <w:t>Δεκ</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2</w:t>
            </w:r>
          </w:p>
        </w:tc>
        <w:tc>
          <w:tcPr>
            <w:tcW w:w="957" w:type="dxa"/>
            <w:shd w:val="clear" w:color="auto" w:fill="476C2E"/>
            <w:noWrap/>
            <w:vAlign w:val="center"/>
            <w:hideMark/>
          </w:tcPr>
          <w:p w14:paraId="0E511322" w14:textId="70EE13ED" w:rsidR="000C2BB6" w:rsidRPr="009259F9" w:rsidRDefault="000C2BB6" w:rsidP="000C2BB6">
            <w:pPr>
              <w:spacing w:after="120" w:line="240" w:lineRule="auto"/>
              <w:jc w:val="right"/>
              <w:rPr>
                <w:rFonts w:cs="Arial"/>
                <w:b/>
                <w:bCs/>
                <w:color w:val="FFFFFF"/>
                <w:sz w:val="20"/>
                <w:szCs w:val="20"/>
                <w:lang w:val="en-GB"/>
              </w:rPr>
            </w:pPr>
            <w:r>
              <w:rPr>
                <w:rFonts w:cs="Arial"/>
                <w:b/>
                <w:bCs/>
                <w:color w:val="FFFFFF"/>
                <w:sz w:val="20"/>
                <w:szCs w:val="20"/>
                <w:lang w:val="en-GB"/>
              </w:rPr>
              <w:t>30</w:t>
            </w:r>
            <w:r w:rsidRPr="009259F9">
              <w:rPr>
                <w:rFonts w:cs="Arial"/>
                <w:b/>
                <w:bCs/>
                <w:color w:val="FFFFFF"/>
                <w:sz w:val="20"/>
                <w:szCs w:val="20"/>
                <w:lang w:val="en-GB"/>
              </w:rPr>
              <w:t xml:space="preserve"> </w:t>
            </w:r>
            <w:r>
              <w:rPr>
                <w:rFonts w:cs="Arial"/>
                <w:b/>
                <w:bCs/>
                <w:color w:val="FFFFFF"/>
                <w:sz w:val="20"/>
                <w:szCs w:val="20"/>
              </w:rPr>
              <w:t>Ιουν</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3</w:t>
            </w:r>
          </w:p>
        </w:tc>
        <w:tc>
          <w:tcPr>
            <w:tcW w:w="957" w:type="dxa"/>
            <w:shd w:val="clear" w:color="auto" w:fill="476C2E"/>
            <w:noWrap/>
            <w:vAlign w:val="center"/>
            <w:hideMark/>
          </w:tcPr>
          <w:p w14:paraId="5757C57C" w14:textId="4C07B1ED" w:rsidR="000C2BB6" w:rsidRPr="009259F9" w:rsidRDefault="000C2BB6" w:rsidP="000C2BB6">
            <w:pPr>
              <w:spacing w:after="120" w:line="240" w:lineRule="auto"/>
              <w:jc w:val="right"/>
              <w:rPr>
                <w:rFonts w:cs="Arial"/>
                <w:b/>
                <w:bCs/>
                <w:color w:val="FFFFFF"/>
                <w:sz w:val="20"/>
                <w:szCs w:val="20"/>
                <w:lang w:val="en-GB"/>
              </w:rPr>
            </w:pPr>
            <w:r w:rsidRPr="009259F9">
              <w:rPr>
                <w:rFonts w:cs="Arial"/>
                <w:b/>
                <w:bCs/>
                <w:color w:val="FFFFFF"/>
                <w:sz w:val="20"/>
                <w:szCs w:val="20"/>
                <w:lang w:val="en-GB"/>
              </w:rPr>
              <w:t xml:space="preserve">31 </w:t>
            </w:r>
            <w:r>
              <w:rPr>
                <w:rFonts w:cs="Arial"/>
                <w:b/>
                <w:bCs/>
                <w:color w:val="FFFFFF"/>
                <w:sz w:val="20"/>
                <w:szCs w:val="20"/>
              </w:rPr>
              <w:t>Δεκ</w:t>
            </w:r>
            <w:r w:rsidRPr="009259F9">
              <w:rPr>
                <w:rFonts w:cs="Arial"/>
                <w:b/>
                <w:bCs/>
                <w:color w:val="FFFFFF"/>
                <w:sz w:val="20"/>
                <w:szCs w:val="20"/>
                <w:lang w:val="en-GB"/>
              </w:rPr>
              <w:t xml:space="preserve"> 20</w:t>
            </w:r>
            <w:r>
              <w:rPr>
                <w:rFonts w:cs="Arial"/>
                <w:b/>
                <w:bCs/>
                <w:color w:val="FFFFFF"/>
                <w:sz w:val="20"/>
                <w:szCs w:val="20"/>
                <w:lang w:val="en-GB"/>
              </w:rPr>
              <w:t>2</w:t>
            </w:r>
            <w:r>
              <w:rPr>
                <w:rFonts w:cs="Arial"/>
                <w:b/>
                <w:bCs/>
                <w:color w:val="FFFFFF"/>
                <w:sz w:val="20"/>
                <w:szCs w:val="20"/>
              </w:rPr>
              <w:t>2</w:t>
            </w:r>
          </w:p>
        </w:tc>
      </w:tr>
      <w:tr w:rsidR="006619D8" w:rsidRPr="00EC25D1" w14:paraId="0C709E53" w14:textId="77777777" w:rsidTr="004F59F4">
        <w:trPr>
          <w:trHeight w:val="375"/>
        </w:trPr>
        <w:tc>
          <w:tcPr>
            <w:tcW w:w="2788" w:type="dxa"/>
            <w:tcBorders>
              <w:right w:val="single" w:sz="4" w:space="0" w:color="385623" w:themeColor="accent6" w:themeShade="80"/>
            </w:tcBorders>
            <w:shd w:val="clear" w:color="auto" w:fill="auto"/>
            <w:noWrap/>
            <w:vAlign w:val="bottom"/>
            <w:hideMark/>
          </w:tcPr>
          <w:p w14:paraId="7B5F7819" w14:textId="7B39995E" w:rsidR="006619D8" w:rsidRPr="006619D8" w:rsidRDefault="006619D8" w:rsidP="006619D8">
            <w:pPr>
              <w:spacing w:after="120" w:line="240" w:lineRule="auto"/>
              <w:rPr>
                <w:rFonts w:eastAsia="Times New Roman"/>
                <w:color w:val="000000"/>
                <w:sz w:val="18"/>
                <w:szCs w:val="18"/>
                <w:lang w:eastAsia="el-GR"/>
              </w:rPr>
            </w:pPr>
            <w:r w:rsidRPr="00AA6103">
              <w:rPr>
                <w:color w:val="000000"/>
                <w:sz w:val="18"/>
                <w:szCs w:val="18"/>
              </w:rPr>
              <w:t>Μακροπρόθεσμα δάνεια και υποχρεώσεις από μισθώσεις</w:t>
            </w:r>
          </w:p>
        </w:tc>
        <w:tc>
          <w:tcPr>
            <w:tcW w:w="956" w:type="dxa"/>
            <w:tcBorders>
              <w:top w:val="nil"/>
              <w:left w:val="single" w:sz="4" w:space="0" w:color="385623" w:themeColor="accent6" w:themeShade="80"/>
            </w:tcBorders>
            <w:shd w:val="clear" w:color="auto" w:fill="auto"/>
            <w:noWrap/>
            <w:vAlign w:val="center"/>
          </w:tcPr>
          <w:p w14:paraId="188F5C3B" w14:textId="5214D25D"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196.418</w:t>
            </w:r>
          </w:p>
        </w:tc>
        <w:tc>
          <w:tcPr>
            <w:tcW w:w="957" w:type="dxa"/>
            <w:tcBorders>
              <w:top w:val="nil"/>
              <w:right w:val="single" w:sz="4" w:space="0" w:color="385623" w:themeColor="accent6" w:themeShade="80"/>
            </w:tcBorders>
            <w:shd w:val="clear" w:color="auto" w:fill="auto"/>
            <w:noWrap/>
            <w:vAlign w:val="center"/>
          </w:tcPr>
          <w:p w14:paraId="4ED214BB" w14:textId="6DFBC894"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100.317</w:t>
            </w:r>
          </w:p>
        </w:tc>
        <w:tc>
          <w:tcPr>
            <w:tcW w:w="957" w:type="dxa"/>
            <w:tcBorders>
              <w:left w:val="single" w:sz="4" w:space="0" w:color="385623" w:themeColor="accent6" w:themeShade="80"/>
            </w:tcBorders>
            <w:shd w:val="clear" w:color="auto" w:fill="auto"/>
            <w:noWrap/>
            <w:vAlign w:val="center"/>
          </w:tcPr>
          <w:p w14:paraId="6C7226D8" w14:textId="22225DBF"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31.077</w:t>
            </w:r>
          </w:p>
        </w:tc>
        <w:tc>
          <w:tcPr>
            <w:tcW w:w="957" w:type="dxa"/>
            <w:tcBorders>
              <w:right w:val="single" w:sz="4" w:space="0" w:color="385623" w:themeColor="accent6" w:themeShade="80"/>
            </w:tcBorders>
            <w:shd w:val="clear" w:color="auto" w:fill="auto"/>
            <w:noWrap/>
            <w:vAlign w:val="center"/>
          </w:tcPr>
          <w:p w14:paraId="72490F4C" w14:textId="2C34259C"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29.047</w:t>
            </w:r>
          </w:p>
        </w:tc>
        <w:tc>
          <w:tcPr>
            <w:tcW w:w="957" w:type="dxa"/>
            <w:tcBorders>
              <w:top w:val="nil"/>
              <w:left w:val="single" w:sz="4" w:space="0" w:color="385623" w:themeColor="accent6" w:themeShade="80"/>
            </w:tcBorders>
            <w:shd w:val="clear" w:color="auto" w:fill="auto"/>
            <w:noWrap/>
            <w:vAlign w:val="center"/>
          </w:tcPr>
          <w:p w14:paraId="77DCC6EC" w14:textId="67FE8493"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23</w:t>
            </w:r>
          </w:p>
        </w:tc>
        <w:tc>
          <w:tcPr>
            <w:tcW w:w="957" w:type="dxa"/>
            <w:tcBorders>
              <w:top w:val="nil"/>
              <w:right w:val="single" w:sz="4" w:space="0" w:color="385623" w:themeColor="accent6" w:themeShade="80"/>
            </w:tcBorders>
            <w:shd w:val="clear" w:color="auto" w:fill="auto"/>
            <w:noWrap/>
            <w:vAlign w:val="center"/>
          </w:tcPr>
          <w:p w14:paraId="6BC856B9" w14:textId="32EC6998"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30</w:t>
            </w:r>
          </w:p>
        </w:tc>
        <w:tc>
          <w:tcPr>
            <w:tcW w:w="957" w:type="dxa"/>
            <w:tcBorders>
              <w:left w:val="single" w:sz="4" w:space="0" w:color="385623" w:themeColor="accent6" w:themeShade="80"/>
            </w:tcBorders>
            <w:shd w:val="clear" w:color="auto" w:fill="auto"/>
            <w:noWrap/>
            <w:vAlign w:val="center"/>
          </w:tcPr>
          <w:p w14:paraId="7FB3F54F" w14:textId="26C5D6A9"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227.518</w:t>
            </w:r>
          </w:p>
        </w:tc>
        <w:tc>
          <w:tcPr>
            <w:tcW w:w="957" w:type="dxa"/>
            <w:shd w:val="clear" w:color="auto" w:fill="auto"/>
            <w:noWrap/>
            <w:vAlign w:val="center"/>
          </w:tcPr>
          <w:p w14:paraId="35D6CC83" w14:textId="4AE44644"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129.393</w:t>
            </w:r>
          </w:p>
        </w:tc>
      </w:tr>
      <w:tr w:rsidR="006619D8" w:rsidRPr="00EC25D1" w14:paraId="772A1638" w14:textId="77777777" w:rsidTr="004F59F4">
        <w:trPr>
          <w:trHeight w:val="375"/>
        </w:trPr>
        <w:tc>
          <w:tcPr>
            <w:tcW w:w="2788" w:type="dxa"/>
            <w:tcBorders>
              <w:right w:val="single" w:sz="4" w:space="0" w:color="385623" w:themeColor="accent6" w:themeShade="80"/>
            </w:tcBorders>
            <w:shd w:val="clear" w:color="auto" w:fill="auto"/>
            <w:vAlign w:val="bottom"/>
            <w:hideMark/>
          </w:tcPr>
          <w:p w14:paraId="57769CBC" w14:textId="6380AEC0" w:rsidR="006619D8" w:rsidRPr="006619D8" w:rsidRDefault="006619D8" w:rsidP="006619D8">
            <w:pPr>
              <w:spacing w:after="120" w:line="240" w:lineRule="auto"/>
              <w:rPr>
                <w:rFonts w:eastAsia="Times New Roman"/>
                <w:color w:val="000000"/>
                <w:sz w:val="18"/>
                <w:szCs w:val="18"/>
                <w:lang w:eastAsia="el-GR"/>
              </w:rPr>
            </w:pPr>
            <w:r w:rsidRPr="00AA6103">
              <w:rPr>
                <w:color w:val="000000"/>
                <w:sz w:val="18"/>
                <w:szCs w:val="18"/>
              </w:rPr>
              <w:t>Βραχυπρόθεσμα δάνεια και υποχρεώσεις από μισθώσεις</w:t>
            </w:r>
          </w:p>
        </w:tc>
        <w:tc>
          <w:tcPr>
            <w:tcW w:w="956" w:type="dxa"/>
            <w:tcBorders>
              <w:left w:val="single" w:sz="4" w:space="0" w:color="385623" w:themeColor="accent6" w:themeShade="80"/>
            </w:tcBorders>
            <w:shd w:val="clear" w:color="auto" w:fill="auto"/>
            <w:noWrap/>
            <w:vAlign w:val="center"/>
          </w:tcPr>
          <w:p w14:paraId="7C67B62E" w14:textId="6B7B0E76"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304.157</w:t>
            </w:r>
          </w:p>
        </w:tc>
        <w:tc>
          <w:tcPr>
            <w:tcW w:w="957" w:type="dxa"/>
            <w:tcBorders>
              <w:right w:val="single" w:sz="4" w:space="0" w:color="385623" w:themeColor="accent6" w:themeShade="80"/>
            </w:tcBorders>
            <w:shd w:val="clear" w:color="auto" w:fill="auto"/>
            <w:noWrap/>
            <w:vAlign w:val="center"/>
          </w:tcPr>
          <w:p w14:paraId="31C4F367" w14:textId="2F65B4D8"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350.273</w:t>
            </w:r>
          </w:p>
        </w:tc>
        <w:tc>
          <w:tcPr>
            <w:tcW w:w="957" w:type="dxa"/>
            <w:tcBorders>
              <w:left w:val="single" w:sz="4" w:space="0" w:color="385623" w:themeColor="accent6" w:themeShade="80"/>
            </w:tcBorders>
            <w:shd w:val="clear" w:color="auto" w:fill="auto"/>
            <w:noWrap/>
            <w:vAlign w:val="center"/>
          </w:tcPr>
          <w:p w14:paraId="6BBA9773" w14:textId="4607FD3D"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208.227</w:t>
            </w:r>
          </w:p>
        </w:tc>
        <w:tc>
          <w:tcPr>
            <w:tcW w:w="957" w:type="dxa"/>
            <w:tcBorders>
              <w:right w:val="single" w:sz="4" w:space="0" w:color="385623" w:themeColor="accent6" w:themeShade="80"/>
            </w:tcBorders>
            <w:shd w:val="clear" w:color="auto" w:fill="auto"/>
            <w:noWrap/>
            <w:vAlign w:val="center"/>
          </w:tcPr>
          <w:p w14:paraId="7050F93B" w14:textId="5A70C0CF"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125.687</w:t>
            </w:r>
          </w:p>
        </w:tc>
        <w:tc>
          <w:tcPr>
            <w:tcW w:w="957" w:type="dxa"/>
            <w:tcBorders>
              <w:left w:val="single" w:sz="4" w:space="0" w:color="385623" w:themeColor="accent6" w:themeShade="80"/>
            </w:tcBorders>
            <w:shd w:val="clear" w:color="auto" w:fill="auto"/>
            <w:noWrap/>
            <w:vAlign w:val="center"/>
          </w:tcPr>
          <w:p w14:paraId="6D764058" w14:textId="530D96FF"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13</w:t>
            </w:r>
          </w:p>
        </w:tc>
        <w:tc>
          <w:tcPr>
            <w:tcW w:w="957" w:type="dxa"/>
            <w:tcBorders>
              <w:right w:val="single" w:sz="4" w:space="0" w:color="385623" w:themeColor="accent6" w:themeShade="80"/>
            </w:tcBorders>
            <w:shd w:val="clear" w:color="auto" w:fill="auto"/>
            <w:noWrap/>
            <w:vAlign w:val="center"/>
          </w:tcPr>
          <w:p w14:paraId="6C8F702B" w14:textId="370A804A" w:rsidR="006619D8" w:rsidRPr="009259F9" w:rsidRDefault="006619D8" w:rsidP="006619D8">
            <w:pPr>
              <w:spacing w:after="120" w:line="240" w:lineRule="auto"/>
              <w:jc w:val="right"/>
              <w:rPr>
                <w:sz w:val="20"/>
                <w:szCs w:val="20"/>
                <w:lang w:val="en-GB"/>
              </w:rPr>
            </w:pPr>
            <w:r>
              <w:rPr>
                <w:rFonts w:cs="Calibri"/>
                <w:color w:val="000000"/>
                <w:sz w:val="18"/>
                <w:szCs w:val="18"/>
              </w:rPr>
              <w:t>12</w:t>
            </w:r>
          </w:p>
        </w:tc>
        <w:tc>
          <w:tcPr>
            <w:tcW w:w="957" w:type="dxa"/>
            <w:tcBorders>
              <w:left w:val="single" w:sz="4" w:space="0" w:color="385623" w:themeColor="accent6" w:themeShade="80"/>
            </w:tcBorders>
            <w:shd w:val="clear" w:color="auto" w:fill="auto"/>
            <w:noWrap/>
            <w:vAlign w:val="center"/>
          </w:tcPr>
          <w:p w14:paraId="55CF19BB" w14:textId="7FD1B81C"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512.397</w:t>
            </w:r>
          </w:p>
        </w:tc>
        <w:tc>
          <w:tcPr>
            <w:tcW w:w="957" w:type="dxa"/>
            <w:shd w:val="clear" w:color="auto" w:fill="auto"/>
            <w:noWrap/>
            <w:vAlign w:val="center"/>
          </w:tcPr>
          <w:p w14:paraId="051AFB5F" w14:textId="73CF7312"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475.972</w:t>
            </w:r>
          </w:p>
        </w:tc>
      </w:tr>
      <w:tr w:rsidR="006619D8" w:rsidRPr="00EC25D1" w14:paraId="6FD7A297" w14:textId="77777777" w:rsidTr="004F59F4">
        <w:trPr>
          <w:trHeight w:val="375"/>
        </w:trPr>
        <w:tc>
          <w:tcPr>
            <w:tcW w:w="2788" w:type="dxa"/>
            <w:tcBorders>
              <w:bottom w:val="single" w:sz="4" w:space="0" w:color="385623" w:themeColor="accent6" w:themeShade="80"/>
              <w:right w:val="single" w:sz="4" w:space="0" w:color="385623" w:themeColor="accent6" w:themeShade="80"/>
            </w:tcBorders>
            <w:shd w:val="clear" w:color="auto" w:fill="auto"/>
            <w:noWrap/>
            <w:vAlign w:val="bottom"/>
            <w:hideMark/>
          </w:tcPr>
          <w:p w14:paraId="24A350B7" w14:textId="1EE113E7" w:rsidR="006619D8" w:rsidRPr="009259F9" w:rsidRDefault="006619D8" w:rsidP="006619D8">
            <w:pPr>
              <w:spacing w:after="120" w:line="240" w:lineRule="auto"/>
              <w:rPr>
                <w:rFonts w:eastAsia="Times New Roman"/>
                <w:color w:val="000000"/>
                <w:sz w:val="18"/>
                <w:szCs w:val="18"/>
                <w:lang w:val="en-GB" w:eastAsia="el-GR"/>
              </w:rPr>
            </w:pPr>
            <w:r w:rsidRPr="00C91C26">
              <w:rPr>
                <w:color w:val="000000"/>
                <w:sz w:val="18"/>
                <w:szCs w:val="18"/>
              </w:rPr>
              <w:t>Ταμειακά διαθέσιμα και ισοδύναμα</w:t>
            </w:r>
          </w:p>
        </w:tc>
        <w:tc>
          <w:tcPr>
            <w:tcW w:w="956" w:type="dxa"/>
            <w:tcBorders>
              <w:left w:val="single" w:sz="4" w:space="0" w:color="385623" w:themeColor="accent6" w:themeShade="80"/>
              <w:bottom w:val="single" w:sz="4" w:space="0" w:color="385623" w:themeColor="accent6" w:themeShade="80"/>
            </w:tcBorders>
            <w:shd w:val="clear" w:color="auto" w:fill="auto"/>
            <w:noWrap/>
            <w:vAlign w:val="center"/>
          </w:tcPr>
          <w:p w14:paraId="285C4563" w14:textId="25EEECE9"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(143.742)</w:t>
            </w:r>
          </w:p>
        </w:tc>
        <w:tc>
          <w:tcPr>
            <w:tcW w:w="957" w:type="dxa"/>
            <w:tcBorders>
              <w:bottom w:val="single" w:sz="4" w:space="0" w:color="385623" w:themeColor="accent6" w:themeShade="80"/>
              <w:right w:val="single" w:sz="4" w:space="0" w:color="385623" w:themeColor="accent6" w:themeShade="80"/>
            </w:tcBorders>
            <w:shd w:val="clear" w:color="auto" w:fill="auto"/>
            <w:noWrap/>
            <w:vAlign w:val="center"/>
          </w:tcPr>
          <w:p w14:paraId="76DEB6AF" w14:textId="4ED01B7C"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(115.196)</w:t>
            </w:r>
          </w:p>
        </w:tc>
        <w:tc>
          <w:tcPr>
            <w:tcW w:w="957" w:type="dxa"/>
            <w:tcBorders>
              <w:left w:val="single" w:sz="4" w:space="0" w:color="385623" w:themeColor="accent6" w:themeShade="80"/>
              <w:bottom w:val="single" w:sz="4" w:space="0" w:color="385623" w:themeColor="accent6" w:themeShade="80"/>
            </w:tcBorders>
            <w:shd w:val="clear" w:color="auto" w:fill="auto"/>
            <w:noWrap/>
            <w:vAlign w:val="center"/>
          </w:tcPr>
          <w:p w14:paraId="591361F7" w14:textId="4933CB4B"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(67.793)</w:t>
            </w:r>
          </w:p>
        </w:tc>
        <w:tc>
          <w:tcPr>
            <w:tcW w:w="957" w:type="dxa"/>
            <w:tcBorders>
              <w:bottom w:val="single" w:sz="4" w:space="0" w:color="385623" w:themeColor="accent6" w:themeShade="80"/>
              <w:right w:val="single" w:sz="4" w:space="0" w:color="385623" w:themeColor="accent6" w:themeShade="80"/>
            </w:tcBorders>
            <w:shd w:val="clear" w:color="auto" w:fill="auto"/>
            <w:noWrap/>
            <w:vAlign w:val="center"/>
          </w:tcPr>
          <w:p w14:paraId="57A22D73" w14:textId="324255FA"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(50.997)</w:t>
            </w:r>
          </w:p>
        </w:tc>
        <w:tc>
          <w:tcPr>
            <w:tcW w:w="957" w:type="dxa"/>
            <w:tcBorders>
              <w:left w:val="single" w:sz="4" w:space="0" w:color="385623" w:themeColor="accent6" w:themeShade="80"/>
              <w:bottom w:val="single" w:sz="4" w:space="0" w:color="385623" w:themeColor="accent6" w:themeShade="80"/>
            </w:tcBorders>
            <w:shd w:val="clear" w:color="auto" w:fill="auto"/>
            <w:noWrap/>
            <w:vAlign w:val="center"/>
          </w:tcPr>
          <w:p w14:paraId="03B68420" w14:textId="49E462F4"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(1.305)</w:t>
            </w:r>
          </w:p>
        </w:tc>
        <w:tc>
          <w:tcPr>
            <w:tcW w:w="957" w:type="dxa"/>
            <w:tcBorders>
              <w:bottom w:val="single" w:sz="4" w:space="0" w:color="385623" w:themeColor="accent6" w:themeShade="80"/>
              <w:right w:val="single" w:sz="4" w:space="0" w:color="385623" w:themeColor="accent6" w:themeShade="80"/>
            </w:tcBorders>
            <w:shd w:val="clear" w:color="auto" w:fill="auto"/>
            <w:noWrap/>
            <w:vAlign w:val="center"/>
          </w:tcPr>
          <w:p w14:paraId="0BF76FF5" w14:textId="5B7A3C15"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(967)</w:t>
            </w:r>
          </w:p>
        </w:tc>
        <w:tc>
          <w:tcPr>
            <w:tcW w:w="957" w:type="dxa"/>
            <w:tcBorders>
              <w:left w:val="single" w:sz="4" w:space="0" w:color="385623" w:themeColor="accent6" w:themeShade="80"/>
              <w:bottom w:val="single" w:sz="4" w:space="0" w:color="385623" w:themeColor="accent6" w:themeShade="80"/>
            </w:tcBorders>
            <w:shd w:val="clear" w:color="auto" w:fill="auto"/>
            <w:noWrap/>
            <w:vAlign w:val="center"/>
          </w:tcPr>
          <w:p w14:paraId="2E8EC38D" w14:textId="0E23CF42"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(212.840)</w:t>
            </w:r>
          </w:p>
        </w:tc>
        <w:tc>
          <w:tcPr>
            <w:tcW w:w="957" w:type="dxa"/>
            <w:tcBorders>
              <w:bottom w:val="single" w:sz="4" w:space="0" w:color="385623" w:themeColor="accent6" w:themeShade="80"/>
            </w:tcBorders>
            <w:shd w:val="clear" w:color="auto" w:fill="auto"/>
            <w:noWrap/>
            <w:vAlign w:val="center"/>
          </w:tcPr>
          <w:p w14:paraId="35F0BEE2" w14:textId="49963FD4" w:rsidR="006619D8" w:rsidRPr="009259F9" w:rsidRDefault="006619D8" w:rsidP="006619D8">
            <w:pPr>
              <w:spacing w:after="120" w:line="240" w:lineRule="auto"/>
              <w:jc w:val="right"/>
              <w:rPr>
                <w:rFonts w:cs="Calibri"/>
                <w:color w:val="000000"/>
                <w:sz w:val="18"/>
                <w:szCs w:val="18"/>
                <w:lang w:val="en-GB"/>
              </w:rPr>
            </w:pPr>
            <w:r>
              <w:rPr>
                <w:rFonts w:cs="Calibri"/>
                <w:color w:val="000000"/>
                <w:sz w:val="18"/>
                <w:szCs w:val="18"/>
              </w:rPr>
              <w:t>(167.160)</w:t>
            </w:r>
          </w:p>
        </w:tc>
      </w:tr>
      <w:tr w:rsidR="002E0594" w:rsidRPr="00EC25D1" w14:paraId="4AF74471" w14:textId="77777777" w:rsidTr="004F59F4">
        <w:trPr>
          <w:trHeight w:val="375"/>
        </w:trPr>
        <w:tc>
          <w:tcPr>
            <w:tcW w:w="2788"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vAlign w:val="bottom"/>
            <w:hideMark/>
          </w:tcPr>
          <w:p w14:paraId="3E85676D" w14:textId="3D263B29" w:rsidR="002E0594" w:rsidRPr="006619D8" w:rsidRDefault="006619D8" w:rsidP="002E0594">
            <w:pPr>
              <w:spacing w:after="120" w:line="240" w:lineRule="auto"/>
              <w:rPr>
                <w:rFonts w:eastAsia="Times New Roman"/>
                <w:b/>
                <w:bCs/>
                <w:color w:val="000000"/>
                <w:sz w:val="18"/>
                <w:szCs w:val="18"/>
                <w:lang w:eastAsia="el-GR"/>
              </w:rPr>
            </w:pPr>
            <w:r>
              <w:rPr>
                <w:rFonts w:eastAsia="Times New Roman"/>
                <w:b/>
                <w:bCs/>
                <w:color w:val="000000"/>
                <w:sz w:val="18"/>
                <w:szCs w:val="18"/>
                <w:lang w:eastAsia="el-GR"/>
              </w:rPr>
              <w:t>Καθαρός δανεισμός</w:t>
            </w:r>
          </w:p>
        </w:tc>
        <w:tc>
          <w:tcPr>
            <w:tcW w:w="956"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1EDDA215" w14:textId="4CBF1256"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356</w:t>
            </w:r>
            <w:r w:rsidR="006619D8">
              <w:rPr>
                <w:rFonts w:cs="Calibri"/>
                <w:b/>
                <w:bCs/>
                <w:color w:val="000000"/>
                <w:sz w:val="18"/>
                <w:szCs w:val="18"/>
              </w:rPr>
              <w:t>.</w:t>
            </w:r>
            <w:r>
              <w:rPr>
                <w:rFonts w:cs="Calibri"/>
                <w:b/>
                <w:bCs/>
                <w:color w:val="000000"/>
                <w:sz w:val="18"/>
                <w:szCs w:val="18"/>
              </w:rPr>
              <w:t>833</w:t>
            </w:r>
          </w:p>
        </w:tc>
        <w:tc>
          <w:tcPr>
            <w:tcW w:w="957"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379FBF2B" w14:textId="05EF007E"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335</w:t>
            </w:r>
            <w:r w:rsidR="006619D8">
              <w:rPr>
                <w:rFonts w:cs="Calibri"/>
                <w:b/>
                <w:bCs/>
                <w:color w:val="000000"/>
                <w:sz w:val="18"/>
                <w:szCs w:val="18"/>
              </w:rPr>
              <w:t>.</w:t>
            </w:r>
            <w:r>
              <w:rPr>
                <w:rFonts w:cs="Calibri"/>
                <w:b/>
                <w:bCs/>
                <w:color w:val="000000"/>
                <w:sz w:val="18"/>
                <w:szCs w:val="18"/>
              </w:rPr>
              <w:t>394</w:t>
            </w:r>
          </w:p>
        </w:tc>
        <w:tc>
          <w:tcPr>
            <w:tcW w:w="957"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0675AFAA" w14:textId="441D69D9"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171</w:t>
            </w:r>
            <w:r w:rsidR="006619D8">
              <w:rPr>
                <w:rFonts w:cs="Calibri"/>
                <w:b/>
                <w:bCs/>
                <w:color w:val="000000"/>
                <w:sz w:val="18"/>
                <w:szCs w:val="18"/>
              </w:rPr>
              <w:t>.</w:t>
            </w:r>
            <w:r>
              <w:rPr>
                <w:rFonts w:cs="Calibri"/>
                <w:b/>
                <w:bCs/>
                <w:color w:val="000000"/>
                <w:sz w:val="18"/>
                <w:szCs w:val="18"/>
              </w:rPr>
              <w:t>512</w:t>
            </w:r>
          </w:p>
        </w:tc>
        <w:tc>
          <w:tcPr>
            <w:tcW w:w="957"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6BE0B478" w14:textId="4131D823"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103</w:t>
            </w:r>
            <w:r w:rsidR="006619D8">
              <w:rPr>
                <w:rFonts w:cs="Calibri"/>
                <w:b/>
                <w:bCs/>
                <w:color w:val="000000"/>
                <w:sz w:val="18"/>
                <w:szCs w:val="18"/>
              </w:rPr>
              <w:t>.</w:t>
            </w:r>
            <w:r>
              <w:rPr>
                <w:rFonts w:cs="Calibri"/>
                <w:b/>
                <w:bCs/>
                <w:color w:val="000000"/>
                <w:sz w:val="18"/>
                <w:szCs w:val="18"/>
              </w:rPr>
              <w:t>737</w:t>
            </w:r>
          </w:p>
        </w:tc>
        <w:tc>
          <w:tcPr>
            <w:tcW w:w="957"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267843C6" w14:textId="441BF20D"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(1</w:t>
            </w:r>
            <w:r w:rsidR="006619D8">
              <w:rPr>
                <w:rFonts w:cs="Calibri"/>
                <w:b/>
                <w:bCs/>
                <w:color w:val="000000"/>
                <w:sz w:val="18"/>
                <w:szCs w:val="18"/>
              </w:rPr>
              <w:t>.</w:t>
            </w:r>
            <w:r>
              <w:rPr>
                <w:rFonts w:cs="Calibri"/>
                <w:b/>
                <w:bCs/>
                <w:color w:val="000000"/>
                <w:sz w:val="18"/>
                <w:szCs w:val="18"/>
              </w:rPr>
              <w:t>270)</w:t>
            </w:r>
          </w:p>
        </w:tc>
        <w:tc>
          <w:tcPr>
            <w:tcW w:w="957" w:type="dxa"/>
            <w:tcBorders>
              <w:top w:val="single" w:sz="4" w:space="0" w:color="385623" w:themeColor="accent6" w:themeShade="80"/>
              <w:bottom w:val="single" w:sz="4" w:space="0" w:color="385623" w:themeColor="accent6" w:themeShade="80"/>
              <w:right w:val="single" w:sz="4" w:space="0" w:color="385623" w:themeColor="accent6" w:themeShade="80"/>
            </w:tcBorders>
            <w:shd w:val="clear" w:color="auto" w:fill="E2EFD9"/>
            <w:noWrap/>
            <w:vAlign w:val="center"/>
          </w:tcPr>
          <w:p w14:paraId="6ECCD739" w14:textId="2491897A"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(925)</w:t>
            </w:r>
          </w:p>
        </w:tc>
        <w:tc>
          <w:tcPr>
            <w:tcW w:w="957" w:type="dxa"/>
            <w:tcBorders>
              <w:top w:val="single" w:sz="4" w:space="0" w:color="385623" w:themeColor="accent6" w:themeShade="80"/>
              <w:left w:val="single" w:sz="4" w:space="0" w:color="385623" w:themeColor="accent6" w:themeShade="80"/>
              <w:bottom w:val="single" w:sz="4" w:space="0" w:color="385623" w:themeColor="accent6" w:themeShade="80"/>
            </w:tcBorders>
            <w:shd w:val="clear" w:color="auto" w:fill="E2EFD9"/>
            <w:noWrap/>
            <w:vAlign w:val="center"/>
          </w:tcPr>
          <w:p w14:paraId="43698CCF" w14:textId="4D14B096"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527</w:t>
            </w:r>
            <w:r w:rsidR="006619D8">
              <w:rPr>
                <w:rFonts w:cs="Calibri"/>
                <w:b/>
                <w:bCs/>
                <w:color w:val="000000"/>
                <w:sz w:val="18"/>
                <w:szCs w:val="18"/>
              </w:rPr>
              <w:t>.</w:t>
            </w:r>
            <w:r>
              <w:rPr>
                <w:rFonts w:cs="Calibri"/>
                <w:b/>
                <w:bCs/>
                <w:color w:val="000000"/>
                <w:sz w:val="18"/>
                <w:szCs w:val="18"/>
              </w:rPr>
              <w:t>075</w:t>
            </w:r>
          </w:p>
        </w:tc>
        <w:tc>
          <w:tcPr>
            <w:tcW w:w="957" w:type="dxa"/>
            <w:tcBorders>
              <w:top w:val="single" w:sz="4" w:space="0" w:color="385623" w:themeColor="accent6" w:themeShade="80"/>
              <w:bottom w:val="single" w:sz="4" w:space="0" w:color="385623" w:themeColor="accent6" w:themeShade="80"/>
            </w:tcBorders>
            <w:shd w:val="clear" w:color="auto" w:fill="E2EFD9"/>
            <w:noWrap/>
            <w:vAlign w:val="center"/>
          </w:tcPr>
          <w:p w14:paraId="434BB8A4" w14:textId="4FDD4AD4" w:rsidR="002E0594" w:rsidRPr="009259F9" w:rsidRDefault="002E0594" w:rsidP="002E0594">
            <w:pPr>
              <w:spacing w:after="120" w:line="240" w:lineRule="auto"/>
              <w:jc w:val="right"/>
              <w:rPr>
                <w:rFonts w:cs="Calibri"/>
                <w:b/>
                <w:bCs/>
                <w:color w:val="000000"/>
                <w:sz w:val="18"/>
                <w:szCs w:val="18"/>
                <w:lang w:val="en-GB"/>
              </w:rPr>
            </w:pPr>
            <w:r>
              <w:rPr>
                <w:rFonts w:cs="Calibri"/>
                <w:b/>
                <w:bCs/>
                <w:color w:val="000000"/>
                <w:sz w:val="18"/>
                <w:szCs w:val="18"/>
              </w:rPr>
              <w:t>438</w:t>
            </w:r>
            <w:r w:rsidR="006619D8">
              <w:rPr>
                <w:rFonts w:cs="Calibri"/>
                <w:b/>
                <w:bCs/>
                <w:color w:val="000000"/>
                <w:sz w:val="18"/>
                <w:szCs w:val="18"/>
              </w:rPr>
              <w:t>.</w:t>
            </w:r>
            <w:r>
              <w:rPr>
                <w:rFonts w:cs="Calibri"/>
                <w:b/>
                <w:bCs/>
                <w:color w:val="000000"/>
                <w:sz w:val="18"/>
                <w:szCs w:val="18"/>
              </w:rPr>
              <w:t>206</w:t>
            </w:r>
          </w:p>
        </w:tc>
      </w:tr>
    </w:tbl>
    <w:p w14:paraId="0B098D3A" w14:textId="77777777" w:rsidR="0030155B" w:rsidRPr="009259F9" w:rsidRDefault="0030155B" w:rsidP="006B321F">
      <w:pPr>
        <w:spacing w:after="120" w:line="240" w:lineRule="auto"/>
        <w:jc w:val="both"/>
        <w:rPr>
          <w:rFonts w:cs="Calibri"/>
          <w:sz w:val="20"/>
          <w:szCs w:val="20"/>
          <w:lang w:val="en-GB" w:eastAsia="x-none"/>
        </w:rPr>
      </w:pPr>
    </w:p>
    <w:sectPr w:rsidR="0030155B" w:rsidRPr="009259F9" w:rsidSect="00D452F2">
      <w:headerReference w:type="first" r:id="rId19"/>
      <w:pgSz w:w="11906" w:h="16838" w:code="9"/>
      <w:pgMar w:top="1684" w:right="851" w:bottom="284" w:left="1077" w:header="0"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A6C5" w14:textId="77777777" w:rsidR="00586D54" w:rsidRDefault="00586D54" w:rsidP="009010E3">
      <w:pPr>
        <w:spacing w:after="0" w:line="240" w:lineRule="auto"/>
      </w:pPr>
      <w:r>
        <w:separator/>
      </w:r>
    </w:p>
  </w:endnote>
  <w:endnote w:type="continuationSeparator" w:id="0">
    <w:p w14:paraId="469C7A64" w14:textId="77777777" w:rsidR="00586D54" w:rsidRDefault="00586D54" w:rsidP="009010E3">
      <w:pPr>
        <w:spacing w:after="0" w:line="240" w:lineRule="auto"/>
      </w:pPr>
      <w:r>
        <w:continuationSeparator/>
      </w:r>
    </w:p>
  </w:endnote>
  <w:endnote w:type="continuationNotice" w:id="1">
    <w:p w14:paraId="138E4389" w14:textId="77777777" w:rsidR="00586D54" w:rsidRDefault="00586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HGGothicM">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GMinchoB">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Corbel">
    <w:panose1 w:val="020B0503020204020204"/>
    <w:charset w:val="A1"/>
    <w:family w:val="swiss"/>
    <w:pitch w:val="variable"/>
    <w:sig w:usb0="A00002EF" w:usb1="4000A44B" w:usb2="00000000" w:usb3="00000000" w:csb0="0000019F" w:csb1="00000000"/>
  </w:font>
  <w:font w:name="Gotham">
    <w:altName w:val="Calibri"/>
    <w:panose1 w:val="02000604040000020004"/>
    <w:charset w:val="00"/>
    <w:family w:val="modern"/>
    <w:notTrueType/>
    <w:pitch w:val="variable"/>
    <w:sig w:usb0="800000AF" w:usb1="4000004A"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F08" w14:textId="77777777" w:rsidR="00B4712C" w:rsidRPr="00B4712C" w:rsidRDefault="00B4712C" w:rsidP="00B4712C">
    <w:pPr>
      <w:pStyle w:val="Footer"/>
      <w:framePr w:w="1186" w:wrap="around" w:vAnchor="text" w:hAnchor="page" w:x="91" w:y="17"/>
      <w:jc w:val="right"/>
      <w:rPr>
        <w:rStyle w:val="PageNumber"/>
        <w:b/>
        <w:lang w:val="en-US"/>
      </w:rPr>
    </w:pPr>
    <w:r w:rsidRPr="00CF2C09">
      <w:rPr>
        <w:rStyle w:val="PageNumber"/>
        <w:b/>
      </w:rPr>
      <w:fldChar w:fldCharType="begin"/>
    </w:r>
    <w:r w:rsidRPr="00B4712C">
      <w:rPr>
        <w:rStyle w:val="PageNumber"/>
        <w:b/>
        <w:lang w:val="en-US"/>
      </w:rPr>
      <w:instrText xml:space="preserve">PAGE  </w:instrText>
    </w:r>
    <w:r w:rsidRPr="00CF2C09">
      <w:rPr>
        <w:rStyle w:val="PageNumber"/>
        <w:b/>
      </w:rPr>
      <w:fldChar w:fldCharType="separate"/>
    </w:r>
    <w:r w:rsidRPr="00B4712C">
      <w:rPr>
        <w:rStyle w:val="PageNumber"/>
        <w:b/>
        <w:lang w:val="en-US"/>
      </w:rPr>
      <w:t>13</w:t>
    </w:r>
    <w:r w:rsidRPr="00CF2C09">
      <w:rPr>
        <w:rStyle w:val="PageNumber"/>
        <w:b/>
      </w:rPr>
      <w:fldChar w:fldCharType="end"/>
    </w:r>
  </w:p>
  <w:p w14:paraId="11C62D47" w14:textId="27EA7D24" w:rsidR="00B4712C" w:rsidRPr="00B258B5" w:rsidRDefault="00B4712C" w:rsidP="00B4712C">
    <w:pPr>
      <w:pStyle w:val="Footer"/>
      <w:spacing w:before="20"/>
      <w:ind w:left="426"/>
    </w:pPr>
    <w:r>
      <w:rPr>
        <w:noProof/>
        <w:lang w:val="en-US"/>
      </w:rPr>
      <mc:AlternateContent>
        <mc:Choice Requires="wps">
          <w:drawing>
            <wp:anchor distT="0" distB="0" distL="114300" distR="114300" simplePos="0" relativeHeight="251659264" behindDoc="1" locked="0" layoutInCell="1" allowOverlap="1" wp14:anchorId="3B1660F7" wp14:editId="5594D4A1">
              <wp:simplePos x="0" y="0"/>
              <wp:positionH relativeFrom="page">
                <wp:align>left</wp:align>
              </wp:positionH>
              <wp:positionV relativeFrom="paragraph">
                <wp:posOffset>-19685</wp:posOffset>
              </wp:positionV>
              <wp:extent cx="876300" cy="238125"/>
              <wp:effectExtent l="0" t="0" r="0" b="9525"/>
              <wp:wrapNone/>
              <wp:docPr id="26" name="Rectangle 26"/>
              <wp:cNvGraphicFramePr/>
              <a:graphic xmlns:a="http://schemas.openxmlformats.org/drawingml/2006/main">
                <a:graphicData uri="http://schemas.microsoft.com/office/word/2010/wordprocessingShape">
                  <wps:wsp>
                    <wps:cNvSpPr/>
                    <wps:spPr>
                      <a:xfrm>
                        <a:off x="0" y="0"/>
                        <a:ext cx="876300" cy="238125"/>
                      </a:xfrm>
                      <a:prstGeom prst="rect">
                        <a:avLst/>
                      </a:prstGeom>
                      <a:solidFill>
                        <a:srgbClr val="BCD0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D4327" id="Rectangle 26" o:spid="_x0000_s1026" style="position:absolute;margin-left:0;margin-top:-1.55pt;width:69pt;height:18.75pt;z-index:-25165721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" fillcolor="#bcd090" stroked="f" strokeweight="1pt">
              <w10:wrap anchorx="page"/>
            </v:rect>
          </w:pict>
        </mc:Fallback>
      </mc:AlternateContent>
    </w:r>
    <w:r w:rsidR="00B258B5">
      <w:t>ΟΙΚΟΝΟΜΙΚΑ ΑΠΟΤΕΛΕΣΜΑΤΑ Α΄ΕΞΑΜΗΝΟΥ 2023</w:t>
    </w:r>
  </w:p>
  <w:p w14:paraId="68992029" w14:textId="77777777" w:rsidR="00B4712C" w:rsidRPr="00B4712C" w:rsidRDefault="00B4712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2A12" w14:textId="77777777" w:rsidR="00D452F2" w:rsidRPr="00B4712C" w:rsidRDefault="00D452F2" w:rsidP="00D452F2">
    <w:pPr>
      <w:pStyle w:val="Footer"/>
      <w:framePr w:w="1186" w:wrap="around" w:vAnchor="text" w:hAnchor="page" w:x="91" w:y="1"/>
      <w:jc w:val="right"/>
      <w:rPr>
        <w:rStyle w:val="PageNumber"/>
        <w:b/>
        <w:lang w:val="en-US"/>
      </w:rPr>
    </w:pPr>
    <w:r w:rsidRPr="00CF2C09">
      <w:rPr>
        <w:rStyle w:val="PageNumber"/>
        <w:b/>
      </w:rPr>
      <w:fldChar w:fldCharType="begin"/>
    </w:r>
    <w:r w:rsidRPr="00B4712C">
      <w:rPr>
        <w:rStyle w:val="PageNumber"/>
        <w:b/>
        <w:lang w:val="en-US"/>
      </w:rPr>
      <w:instrText xml:space="preserve">PAGE  </w:instrText>
    </w:r>
    <w:r w:rsidRPr="00CF2C09">
      <w:rPr>
        <w:rStyle w:val="PageNumber"/>
        <w:b/>
      </w:rPr>
      <w:fldChar w:fldCharType="separate"/>
    </w:r>
    <w:r w:rsidRPr="00D452F2">
      <w:rPr>
        <w:rStyle w:val="PageNumber"/>
        <w:b/>
        <w:lang w:val="en-US"/>
      </w:rPr>
      <w:t>3</w:t>
    </w:r>
    <w:r w:rsidRPr="00CF2C09">
      <w:rPr>
        <w:rStyle w:val="PageNumber"/>
        <w:b/>
      </w:rPr>
      <w:fldChar w:fldCharType="end"/>
    </w:r>
  </w:p>
  <w:p w14:paraId="180DE2BB" w14:textId="77777777" w:rsidR="00D452F2" w:rsidRPr="00B4712C" w:rsidRDefault="00D452F2" w:rsidP="00D452F2">
    <w:pPr>
      <w:pStyle w:val="Footer"/>
      <w:spacing w:before="20"/>
      <w:ind w:left="426"/>
      <w:rPr>
        <w:lang w:val="en-US"/>
      </w:rPr>
    </w:pPr>
    <w:r>
      <w:rPr>
        <w:noProof/>
        <w:lang w:val="en-US"/>
      </w:rPr>
      <mc:AlternateContent>
        <mc:Choice Requires="wps">
          <w:drawing>
            <wp:anchor distT="0" distB="0" distL="114300" distR="114300" simplePos="0" relativeHeight="251663360" behindDoc="1" locked="0" layoutInCell="1" allowOverlap="1" wp14:anchorId="67BFEE9B" wp14:editId="4931A5DF">
              <wp:simplePos x="0" y="0"/>
              <wp:positionH relativeFrom="page">
                <wp:align>left</wp:align>
              </wp:positionH>
              <wp:positionV relativeFrom="paragraph">
                <wp:posOffset>-19685</wp:posOffset>
              </wp:positionV>
              <wp:extent cx="876300" cy="238125"/>
              <wp:effectExtent l="0" t="0" r="0" b="9525"/>
              <wp:wrapNone/>
              <wp:docPr id="32" name="Rectangle 32"/>
              <wp:cNvGraphicFramePr/>
              <a:graphic xmlns:a="http://schemas.openxmlformats.org/drawingml/2006/main">
                <a:graphicData uri="http://schemas.microsoft.com/office/word/2010/wordprocessingShape">
                  <wps:wsp>
                    <wps:cNvSpPr/>
                    <wps:spPr>
                      <a:xfrm>
                        <a:off x="0" y="0"/>
                        <a:ext cx="876300" cy="238125"/>
                      </a:xfrm>
                      <a:prstGeom prst="rect">
                        <a:avLst/>
                      </a:prstGeom>
                      <a:solidFill>
                        <a:srgbClr val="BCD0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E883C" id="Rectangle 32" o:spid="_x0000_s1026" style="position:absolute;margin-left:0;margin-top:-1.55pt;width:69pt;height:18.75pt;z-index:-25165312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" fillcolor="#bcd090" stroked="f" strokeweight="1pt">
              <w10:wrap anchorx="page"/>
            </v:rect>
          </w:pict>
        </mc:Fallback>
      </mc:AlternateContent>
    </w:r>
    <w:r w:rsidRPr="00B4712C">
      <w:rPr>
        <w:lang w:val="en-US"/>
      </w:rPr>
      <w:t>202</w:t>
    </w:r>
    <w:r>
      <w:rPr>
        <w:lang w:val="en-ZA"/>
      </w:rPr>
      <w:t>3</w:t>
    </w:r>
    <w:r w:rsidRPr="00B4712C">
      <w:rPr>
        <w:lang w:val="en-US"/>
      </w:rPr>
      <w:t xml:space="preserve"> FIRST HALF YEAR FINANCIAL RESULTS</w:t>
    </w:r>
  </w:p>
  <w:p w14:paraId="5BB2C3C0" w14:textId="77777777" w:rsidR="00137066" w:rsidRPr="00D452F2" w:rsidRDefault="0013706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3BFE" w14:textId="77777777" w:rsidR="00586D54" w:rsidRDefault="00586D54" w:rsidP="009010E3">
      <w:pPr>
        <w:spacing w:after="0" w:line="240" w:lineRule="auto"/>
      </w:pPr>
      <w:r>
        <w:separator/>
      </w:r>
    </w:p>
  </w:footnote>
  <w:footnote w:type="continuationSeparator" w:id="0">
    <w:p w14:paraId="46243AFF" w14:textId="77777777" w:rsidR="00586D54" w:rsidRDefault="00586D54" w:rsidP="009010E3">
      <w:pPr>
        <w:spacing w:after="0" w:line="240" w:lineRule="auto"/>
      </w:pPr>
      <w:r>
        <w:continuationSeparator/>
      </w:r>
    </w:p>
  </w:footnote>
  <w:footnote w:type="continuationNotice" w:id="1">
    <w:p w14:paraId="2AEA55FD" w14:textId="77777777" w:rsidR="00586D54" w:rsidRDefault="00586D54">
      <w:pPr>
        <w:spacing w:after="0" w:line="240" w:lineRule="auto"/>
      </w:pPr>
    </w:p>
  </w:footnote>
  <w:footnote w:id="2">
    <w:p w14:paraId="7B80733A" w14:textId="2007267A" w:rsidR="008A25C7" w:rsidRPr="00B22FB5" w:rsidRDefault="008A25C7" w:rsidP="008A25C7">
      <w:pPr>
        <w:pStyle w:val="FootnoteText"/>
        <w:spacing w:after="0" w:line="240" w:lineRule="auto"/>
        <w:rPr>
          <w:rFonts w:eastAsia="SimSun" w:cs="Calibri"/>
          <w:i/>
          <w:sz w:val="18"/>
          <w:szCs w:val="18"/>
        </w:rPr>
      </w:pPr>
      <w:r>
        <w:rPr>
          <w:rStyle w:val="FootnoteReference"/>
        </w:rPr>
        <w:footnoteRef/>
      </w:r>
      <w:r w:rsidRPr="00B22FB5">
        <w:t xml:space="preserve"> </w:t>
      </w:r>
      <w:r w:rsidR="00B22FB5">
        <w:rPr>
          <w:rFonts w:eastAsia="SimSun" w:cs="Calibri"/>
          <w:i/>
          <w:sz w:val="18"/>
          <w:szCs w:val="18"/>
        </w:rPr>
        <w:t>Το</w:t>
      </w:r>
      <w:r w:rsidR="00B22FB5" w:rsidRPr="00B22FB5">
        <w:rPr>
          <w:rFonts w:eastAsia="SimSun" w:cs="Calibri"/>
          <w:i/>
          <w:sz w:val="18"/>
          <w:szCs w:val="18"/>
        </w:rPr>
        <w:t xml:space="preserve"> </w:t>
      </w:r>
      <w:r w:rsidR="00B22FB5">
        <w:rPr>
          <w:rFonts w:eastAsia="SimSun" w:cs="Calibri"/>
          <w:i/>
          <w:sz w:val="18"/>
          <w:szCs w:val="18"/>
        </w:rPr>
        <w:t>ανεκτέλεστο</w:t>
      </w:r>
      <w:r w:rsidR="00B22FB5" w:rsidRPr="00B22FB5">
        <w:rPr>
          <w:rFonts w:eastAsia="SimSun" w:cs="Calibri"/>
          <w:i/>
          <w:sz w:val="18"/>
          <w:szCs w:val="18"/>
        </w:rPr>
        <w:t xml:space="preserve"> </w:t>
      </w:r>
      <w:r w:rsidR="00B22FB5">
        <w:rPr>
          <w:rFonts w:eastAsia="SimSun" w:cs="Calibri"/>
          <w:i/>
          <w:sz w:val="18"/>
          <w:szCs w:val="18"/>
        </w:rPr>
        <w:t>υπόλοιπο</w:t>
      </w:r>
      <w:r w:rsidR="00B22FB5" w:rsidRPr="00B22FB5">
        <w:rPr>
          <w:rFonts w:eastAsia="SimSun" w:cs="Calibri"/>
          <w:i/>
          <w:sz w:val="18"/>
          <w:szCs w:val="18"/>
        </w:rPr>
        <w:t xml:space="preserve"> </w:t>
      </w:r>
      <w:r w:rsidR="00B22FB5">
        <w:rPr>
          <w:rFonts w:eastAsia="SimSun" w:cs="Calibri"/>
          <w:i/>
          <w:sz w:val="18"/>
          <w:szCs w:val="18"/>
        </w:rPr>
        <w:t>παραγγελιών</w:t>
      </w:r>
      <w:r w:rsidR="00B22FB5" w:rsidRPr="00B22FB5">
        <w:rPr>
          <w:rFonts w:eastAsia="SimSun" w:cs="Calibri"/>
          <w:i/>
          <w:sz w:val="18"/>
          <w:szCs w:val="18"/>
        </w:rPr>
        <w:t xml:space="preserve"> </w:t>
      </w:r>
      <w:r w:rsidR="00B22FB5">
        <w:rPr>
          <w:rFonts w:eastAsia="SimSun" w:cs="Calibri"/>
          <w:i/>
          <w:sz w:val="18"/>
          <w:szCs w:val="18"/>
        </w:rPr>
        <w:t>περιλαμβάνει</w:t>
      </w:r>
      <w:r w:rsidR="00B22FB5" w:rsidRPr="00B22FB5">
        <w:rPr>
          <w:rFonts w:eastAsia="SimSun" w:cs="Calibri"/>
          <w:i/>
          <w:sz w:val="18"/>
          <w:szCs w:val="18"/>
        </w:rPr>
        <w:t xml:space="preserve"> </w:t>
      </w:r>
      <w:r w:rsidR="00B22FB5">
        <w:rPr>
          <w:rFonts w:eastAsia="SimSun" w:cs="Calibri"/>
          <w:i/>
          <w:sz w:val="18"/>
          <w:szCs w:val="18"/>
        </w:rPr>
        <w:t>υπογεγραμμένες</w:t>
      </w:r>
      <w:r w:rsidR="00B22FB5" w:rsidRPr="00B22FB5">
        <w:rPr>
          <w:rFonts w:eastAsia="SimSun" w:cs="Calibri"/>
          <w:i/>
          <w:sz w:val="18"/>
          <w:szCs w:val="18"/>
        </w:rPr>
        <w:t xml:space="preserve"> </w:t>
      </w:r>
      <w:r w:rsidR="00B22FB5">
        <w:rPr>
          <w:rFonts w:eastAsia="SimSun" w:cs="Calibri"/>
          <w:i/>
          <w:sz w:val="18"/>
          <w:szCs w:val="18"/>
        </w:rPr>
        <w:t>συμβάσεις</w:t>
      </w:r>
      <w:r w:rsidR="00B22FB5" w:rsidRPr="00B22FB5">
        <w:rPr>
          <w:rFonts w:eastAsia="SimSun" w:cs="Calibri"/>
          <w:i/>
          <w:sz w:val="18"/>
          <w:szCs w:val="18"/>
        </w:rPr>
        <w:t xml:space="preserve">, </w:t>
      </w:r>
      <w:r w:rsidR="00B22FB5">
        <w:rPr>
          <w:rFonts w:eastAsia="SimSun" w:cs="Calibri"/>
          <w:i/>
          <w:sz w:val="18"/>
          <w:szCs w:val="18"/>
        </w:rPr>
        <w:t>καθώς</w:t>
      </w:r>
      <w:r w:rsidR="00B22FB5" w:rsidRPr="00B22FB5">
        <w:rPr>
          <w:rFonts w:eastAsia="SimSun" w:cs="Calibri"/>
          <w:i/>
          <w:sz w:val="18"/>
          <w:szCs w:val="18"/>
        </w:rPr>
        <w:t xml:space="preserve"> </w:t>
      </w:r>
      <w:r w:rsidR="00B22FB5">
        <w:rPr>
          <w:rFonts w:eastAsia="SimSun" w:cs="Calibri"/>
          <w:i/>
          <w:sz w:val="18"/>
          <w:szCs w:val="18"/>
        </w:rPr>
        <w:t>και</w:t>
      </w:r>
      <w:r w:rsidR="00B22FB5" w:rsidRPr="00B22FB5">
        <w:rPr>
          <w:rFonts w:eastAsia="SimSun" w:cs="Calibri"/>
          <w:i/>
          <w:sz w:val="18"/>
          <w:szCs w:val="18"/>
        </w:rPr>
        <w:t xml:space="preserve"> </w:t>
      </w:r>
      <w:r w:rsidR="00B22FB5">
        <w:rPr>
          <w:rFonts w:eastAsia="SimSun" w:cs="Calibri"/>
          <w:i/>
          <w:sz w:val="18"/>
          <w:szCs w:val="18"/>
        </w:rPr>
        <w:t>έργα</w:t>
      </w:r>
      <w:r w:rsidR="00B22FB5" w:rsidRPr="00B22FB5">
        <w:rPr>
          <w:rFonts w:eastAsia="SimSun" w:cs="Calibri"/>
          <w:i/>
          <w:sz w:val="18"/>
          <w:szCs w:val="18"/>
        </w:rPr>
        <w:t xml:space="preserve"> </w:t>
      </w:r>
      <w:r w:rsidR="00B22FB5">
        <w:rPr>
          <w:rFonts w:eastAsia="SimSun" w:cs="Calibri"/>
          <w:i/>
          <w:sz w:val="18"/>
          <w:szCs w:val="18"/>
        </w:rPr>
        <w:t>που</w:t>
      </w:r>
      <w:r w:rsidR="00B22FB5" w:rsidRPr="00B22FB5">
        <w:rPr>
          <w:rFonts w:eastAsia="SimSun" w:cs="Calibri"/>
          <w:i/>
          <w:sz w:val="18"/>
          <w:szCs w:val="18"/>
        </w:rPr>
        <w:t xml:space="preserve"> </w:t>
      </w:r>
      <w:r w:rsidR="00B22FB5">
        <w:rPr>
          <w:rFonts w:eastAsia="SimSun" w:cs="Calibri"/>
          <w:i/>
          <w:sz w:val="18"/>
          <w:szCs w:val="18"/>
        </w:rPr>
        <w:t>δεν</w:t>
      </w:r>
      <w:r w:rsidR="00B22FB5" w:rsidRPr="00B22FB5">
        <w:rPr>
          <w:rFonts w:eastAsia="SimSun" w:cs="Calibri"/>
          <w:i/>
          <w:sz w:val="18"/>
          <w:szCs w:val="18"/>
        </w:rPr>
        <w:t xml:space="preserve"> </w:t>
      </w:r>
      <w:r w:rsidR="00B22FB5">
        <w:rPr>
          <w:rFonts w:eastAsia="SimSun" w:cs="Calibri"/>
          <w:i/>
          <w:sz w:val="18"/>
          <w:szCs w:val="18"/>
        </w:rPr>
        <w:t>έχουν</w:t>
      </w:r>
      <w:r w:rsidR="00B22FB5" w:rsidRPr="00B22FB5">
        <w:rPr>
          <w:rFonts w:eastAsia="SimSun" w:cs="Calibri"/>
          <w:i/>
          <w:sz w:val="18"/>
          <w:szCs w:val="18"/>
        </w:rPr>
        <w:t xml:space="preserve"> </w:t>
      </w:r>
      <w:r w:rsidR="00B22FB5">
        <w:rPr>
          <w:rFonts w:eastAsia="SimSun" w:cs="Calibri"/>
          <w:i/>
          <w:sz w:val="18"/>
          <w:szCs w:val="18"/>
        </w:rPr>
        <w:t>ακόμα υπογραφεί</w:t>
      </w:r>
      <w:r w:rsidR="00B22FB5" w:rsidRPr="00B22FB5">
        <w:rPr>
          <w:rFonts w:eastAsia="SimSun" w:cs="Calibri"/>
          <w:i/>
          <w:sz w:val="18"/>
          <w:szCs w:val="18"/>
        </w:rPr>
        <w:t xml:space="preserve"> </w:t>
      </w:r>
      <w:r w:rsidR="00B22FB5">
        <w:rPr>
          <w:rFonts w:eastAsia="SimSun" w:cs="Calibri"/>
          <w:i/>
          <w:sz w:val="18"/>
          <w:szCs w:val="18"/>
        </w:rPr>
        <w:t>για</w:t>
      </w:r>
      <w:r w:rsidR="00B22FB5" w:rsidRPr="00B22FB5">
        <w:rPr>
          <w:rFonts w:eastAsia="SimSun" w:cs="Calibri"/>
          <w:i/>
          <w:sz w:val="18"/>
          <w:szCs w:val="18"/>
        </w:rPr>
        <w:t xml:space="preserve"> </w:t>
      </w:r>
      <w:r w:rsidR="00B22FB5">
        <w:rPr>
          <w:rFonts w:eastAsia="SimSun" w:cs="Calibri"/>
          <w:i/>
          <w:sz w:val="18"/>
          <w:szCs w:val="18"/>
        </w:rPr>
        <w:t>τα</w:t>
      </w:r>
      <w:r w:rsidR="00B22FB5" w:rsidRPr="00B22FB5">
        <w:rPr>
          <w:rFonts w:eastAsia="SimSun" w:cs="Calibri"/>
          <w:i/>
          <w:sz w:val="18"/>
          <w:szCs w:val="18"/>
        </w:rPr>
        <w:t xml:space="preserve"> </w:t>
      </w:r>
      <w:r w:rsidR="00B22FB5">
        <w:rPr>
          <w:rFonts w:eastAsia="SimSun" w:cs="Calibri"/>
          <w:i/>
          <w:sz w:val="18"/>
          <w:szCs w:val="18"/>
        </w:rPr>
        <w:t>οποία</w:t>
      </w:r>
      <w:r w:rsidR="00B22FB5" w:rsidRPr="00B22FB5">
        <w:rPr>
          <w:rFonts w:eastAsia="SimSun" w:cs="Calibri"/>
          <w:i/>
          <w:sz w:val="18"/>
          <w:szCs w:val="18"/>
        </w:rPr>
        <w:t xml:space="preserve"> </w:t>
      </w:r>
      <w:r w:rsidR="00B22FB5">
        <w:rPr>
          <w:rFonts w:eastAsia="SimSun" w:cs="Calibri"/>
          <w:i/>
          <w:sz w:val="18"/>
          <w:szCs w:val="18"/>
        </w:rPr>
        <w:t>οι</w:t>
      </w:r>
      <w:r w:rsidR="00B22FB5" w:rsidRPr="00B22FB5">
        <w:rPr>
          <w:rFonts w:eastAsia="SimSun" w:cs="Calibri"/>
          <w:i/>
          <w:sz w:val="18"/>
          <w:szCs w:val="18"/>
        </w:rPr>
        <w:t xml:space="preserve"> </w:t>
      </w:r>
      <w:r w:rsidR="00B22FB5">
        <w:rPr>
          <w:rFonts w:eastAsia="SimSun" w:cs="Calibri"/>
          <w:i/>
          <w:sz w:val="18"/>
          <w:szCs w:val="18"/>
        </w:rPr>
        <w:t>θυγατρικές</w:t>
      </w:r>
      <w:r w:rsidR="00B22FB5" w:rsidRPr="00B22FB5">
        <w:rPr>
          <w:rFonts w:eastAsia="SimSun" w:cs="Calibri"/>
          <w:i/>
          <w:sz w:val="18"/>
          <w:szCs w:val="18"/>
        </w:rPr>
        <w:t xml:space="preserve"> </w:t>
      </w:r>
      <w:r w:rsidR="00B22FB5">
        <w:rPr>
          <w:rFonts w:eastAsia="SimSun" w:cs="Calibri"/>
          <w:i/>
          <w:sz w:val="18"/>
          <w:szCs w:val="18"/>
        </w:rPr>
        <w:t>εταιρείες</w:t>
      </w:r>
      <w:r w:rsidR="00B22FB5" w:rsidRPr="00B22FB5">
        <w:rPr>
          <w:rFonts w:eastAsia="SimSun" w:cs="Calibri"/>
          <w:i/>
          <w:sz w:val="18"/>
          <w:szCs w:val="18"/>
        </w:rPr>
        <w:t xml:space="preserve"> </w:t>
      </w:r>
      <w:r w:rsidR="00B22FB5">
        <w:rPr>
          <w:rFonts w:eastAsia="SimSun" w:cs="Calibri"/>
          <w:i/>
          <w:sz w:val="18"/>
          <w:szCs w:val="18"/>
        </w:rPr>
        <w:t>έχουν λάβει επιστολή κατακύρωσης ή έχουν ανακηρυχθεί ως ο προτιμητέος ανάδοχος («</w:t>
      </w:r>
      <w:proofErr w:type="spellStart"/>
      <w:r w:rsidR="00B22FB5" w:rsidRPr="00B22FB5">
        <w:rPr>
          <w:rFonts w:eastAsia="SimSun" w:cs="Calibri"/>
          <w:i/>
          <w:sz w:val="18"/>
          <w:szCs w:val="18"/>
        </w:rPr>
        <w:t>preferred</w:t>
      </w:r>
      <w:proofErr w:type="spellEnd"/>
      <w:r w:rsidR="00B22FB5" w:rsidRPr="00B22FB5">
        <w:rPr>
          <w:rFonts w:eastAsia="SimSun" w:cs="Calibri"/>
          <w:i/>
          <w:sz w:val="18"/>
          <w:szCs w:val="18"/>
        </w:rPr>
        <w:t xml:space="preserve"> </w:t>
      </w:r>
      <w:proofErr w:type="spellStart"/>
      <w:r w:rsidR="00B22FB5" w:rsidRPr="00B22FB5">
        <w:rPr>
          <w:rFonts w:eastAsia="SimSun" w:cs="Calibri"/>
          <w:i/>
          <w:sz w:val="18"/>
          <w:szCs w:val="18"/>
        </w:rPr>
        <w:t>bidder</w:t>
      </w:r>
      <w:proofErr w:type="spellEnd"/>
      <w:r w:rsidR="00B22FB5">
        <w:rPr>
          <w:rFonts w:eastAsia="SimSun" w:cs="Calibri"/>
          <w:i/>
          <w:sz w:val="18"/>
          <w:szCs w:val="18"/>
        </w:rPr>
        <w:t>»).</w:t>
      </w:r>
    </w:p>
    <w:p w14:paraId="1267272F" w14:textId="77777777" w:rsidR="00C755AC" w:rsidRPr="00B22FB5" w:rsidRDefault="00C755AC" w:rsidP="008A25C7">
      <w:pPr>
        <w:pStyle w:val="FootnoteText"/>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3197" w14:textId="2703DA2A" w:rsidR="00C755AC" w:rsidRDefault="00C755AC">
    <w:pPr>
      <w:pStyle w:val="Header"/>
    </w:pPr>
    <w:r>
      <w:rPr>
        <w:noProof/>
        <w:lang w:val="en-US"/>
      </w:rPr>
      <w:drawing>
        <wp:anchor distT="0" distB="0" distL="114300" distR="114300" simplePos="0" relativeHeight="251661312" behindDoc="0" locked="0" layoutInCell="1" allowOverlap="1" wp14:anchorId="59D55226" wp14:editId="7C6E8AC5">
          <wp:simplePos x="0" y="0"/>
          <wp:positionH relativeFrom="margin">
            <wp:posOffset>-238125</wp:posOffset>
          </wp:positionH>
          <wp:positionV relativeFrom="paragraph">
            <wp:posOffset>-47625</wp:posOffset>
          </wp:positionV>
          <wp:extent cx="6869430" cy="1111333"/>
          <wp:effectExtent l="0" t="0" r="7620" b="0"/>
          <wp:wrapNone/>
          <wp:docPr id="31" name="Picture 3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t="1162" b="87401"/>
                  <a:stretch/>
                </pic:blipFill>
                <pic:spPr bwMode="auto">
                  <a:xfrm>
                    <a:off x="0" y="0"/>
                    <a:ext cx="6869430" cy="11113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EA4D" w14:textId="77777777" w:rsidR="00D452F2" w:rsidRDefault="00D4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589"/>
    <w:multiLevelType w:val="hybridMultilevel"/>
    <w:tmpl w:val="7EE8ED6C"/>
    <w:lvl w:ilvl="0" w:tplc="59B880E0">
      <w:start w:val="3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33457"/>
    <w:multiLevelType w:val="hybridMultilevel"/>
    <w:tmpl w:val="3A68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35110"/>
    <w:multiLevelType w:val="hybridMultilevel"/>
    <w:tmpl w:val="B5029F08"/>
    <w:lvl w:ilvl="0" w:tplc="6A560484">
      <w:numFmt w:val="bullet"/>
      <w:lvlText w:val="-"/>
      <w:lvlJc w:val="left"/>
      <w:pPr>
        <w:ind w:left="408" w:hanging="360"/>
      </w:pPr>
      <w:rPr>
        <w:rFonts w:ascii="Calibri" w:eastAsia="Calibr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15:restartNumberingAfterBreak="0">
    <w:nsid w:val="43196112"/>
    <w:multiLevelType w:val="hybridMultilevel"/>
    <w:tmpl w:val="5596C17E"/>
    <w:lvl w:ilvl="0" w:tplc="550647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855DD"/>
    <w:multiLevelType w:val="multilevel"/>
    <w:tmpl w:val="A7364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02BD0"/>
    <w:multiLevelType w:val="hybridMultilevel"/>
    <w:tmpl w:val="2620E10A"/>
    <w:lvl w:ilvl="0" w:tplc="04090001">
      <w:start w:val="1"/>
      <w:numFmt w:val="bullet"/>
      <w:lvlText w:val=""/>
      <w:lvlJc w:val="left"/>
      <w:pPr>
        <w:ind w:left="1778" w:hanging="360"/>
      </w:pPr>
      <w:rPr>
        <w:rFonts w:ascii="Symbol" w:hAnsi="Symbol" w:hint="default"/>
        <w:b w:val="0"/>
        <w:color w:val="auto"/>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6" w15:restartNumberingAfterBreak="0">
    <w:nsid w:val="568A2A08"/>
    <w:multiLevelType w:val="hybridMultilevel"/>
    <w:tmpl w:val="4810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B6C1D"/>
    <w:multiLevelType w:val="hybridMultilevel"/>
    <w:tmpl w:val="C8227E50"/>
    <w:lvl w:ilvl="0" w:tplc="350A230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9322C"/>
    <w:multiLevelType w:val="hybridMultilevel"/>
    <w:tmpl w:val="E7D8EA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832560"/>
    <w:multiLevelType w:val="hybridMultilevel"/>
    <w:tmpl w:val="55A62418"/>
    <w:lvl w:ilvl="0" w:tplc="04090005">
      <w:start w:val="1"/>
      <w:numFmt w:val="bullet"/>
      <w:lvlText w:val=""/>
      <w:lvlJc w:val="left"/>
      <w:pPr>
        <w:ind w:left="720" w:hanging="360"/>
      </w:pPr>
      <w:rPr>
        <w:rFonts w:ascii="Wingdings" w:hAnsi="Wingdings" w:hint="default"/>
      </w:rPr>
    </w:lvl>
    <w:lvl w:ilvl="1" w:tplc="A3C09DC2">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E0A75"/>
    <w:multiLevelType w:val="hybridMultilevel"/>
    <w:tmpl w:val="FE6C1DFE"/>
    <w:lvl w:ilvl="0" w:tplc="FA82F282">
      <w:start w:val="2019"/>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5FE8254C"/>
    <w:multiLevelType w:val="hybridMultilevel"/>
    <w:tmpl w:val="300C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27768"/>
    <w:multiLevelType w:val="hybridMultilevel"/>
    <w:tmpl w:val="54328334"/>
    <w:lvl w:ilvl="0" w:tplc="550647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B5F07"/>
    <w:multiLevelType w:val="hybridMultilevel"/>
    <w:tmpl w:val="8EA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45DB"/>
    <w:multiLevelType w:val="hybridMultilevel"/>
    <w:tmpl w:val="DDBE4078"/>
    <w:lvl w:ilvl="0" w:tplc="2332A2AA">
      <w:start w:val="1"/>
      <w:numFmt w:val="decimal"/>
      <w:lvlText w:val="(%1)"/>
      <w:lvlJc w:val="left"/>
      <w:pPr>
        <w:ind w:left="54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5" w15:restartNumberingAfterBreak="0">
    <w:nsid w:val="77095BF2"/>
    <w:multiLevelType w:val="hybridMultilevel"/>
    <w:tmpl w:val="363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2078B"/>
    <w:multiLevelType w:val="hybridMultilevel"/>
    <w:tmpl w:val="46020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1779B8"/>
    <w:multiLevelType w:val="hybridMultilevel"/>
    <w:tmpl w:val="269A24D8"/>
    <w:lvl w:ilvl="0" w:tplc="7822348C">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893896">
    <w:abstractNumId w:val="9"/>
  </w:num>
  <w:num w:numId="2" w16cid:durableId="861674045">
    <w:abstractNumId w:val="14"/>
  </w:num>
  <w:num w:numId="3" w16cid:durableId="173152780">
    <w:abstractNumId w:val="5"/>
  </w:num>
  <w:num w:numId="4" w16cid:durableId="934092456">
    <w:abstractNumId w:val="6"/>
  </w:num>
  <w:num w:numId="5" w16cid:durableId="1417360083">
    <w:abstractNumId w:val="12"/>
  </w:num>
  <w:num w:numId="6" w16cid:durableId="218562574">
    <w:abstractNumId w:val="3"/>
  </w:num>
  <w:num w:numId="7" w16cid:durableId="2100590656">
    <w:abstractNumId w:val="7"/>
  </w:num>
  <w:num w:numId="8" w16cid:durableId="1235816139">
    <w:abstractNumId w:val="10"/>
  </w:num>
  <w:num w:numId="9" w16cid:durableId="1449398560">
    <w:abstractNumId w:val="2"/>
  </w:num>
  <w:num w:numId="10" w16cid:durableId="1213346986">
    <w:abstractNumId w:val="2"/>
  </w:num>
  <w:num w:numId="11" w16cid:durableId="1042363356">
    <w:abstractNumId w:val="11"/>
  </w:num>
  <w:num w:numId="12" w16cid:durableId="2125152323">
    <w:abstractNumId w:val="5"/>
  </w:num>
  <w:num w:numId="13" w16cid:durableId="1443916419">
    <w:abstractNumId w:val="13"/>
  </w:num>
  <w:num w:numId="14" w16cid:durableId="64229239">
    <w:abstractNumId w:val="1"/>
  </w:num>
  <w:num w:numId="15" w16cid:durableId="29191397">
    <w:abstractNumId w:val="17"/>
  </w:num>
  <w:num w:numId="16" w16cid:durableId="159588210">
    <w:abstractNumId w:val="8"/>
  </w:num>
  <w:num w:numId="17" w16cid:durableId="780228381">
    <w:abstractNumId w:val="0"/>
  </w:num>
  <w:num w:numId="18" w16cid:durableId="2026125874">
    <w:abstractNumId w:val="15"/>
  </w:num>
  <w:num w:numId="19" w16cid:durableId="492794702">
    <w:abstractNumId w:val="16"/>
  </w:num>
  <w:num w:numId="20" w16cid:durableId="4218055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F1"/>
    <w:rsid w:val="0000061B"/>
    <w:rsid w:val="00000639"/>
    <w:rsid w:val="00000987"/>
    <w:rsid w:val="000014FF"/>
    <w:rsid w:val="00002145"/>
    <w:rsid w:val="000021C0"/>
    <w:rsid w:val="0000454D"/>
    <w:rsid w:val="0000542B"/>
    <w:rsid w:val="00005762"/>
    <w:rsid w:val="00005819"/>
    <w:rsid w:val="00006C4D"/>
    <w:rsid w:val="00007355"/>
    <w:rsid w:val="000131C8"/>
    <w:rsid w:val="0001455D"/>
    <w:rsid w:val="0001569D"/>
    <w:rsid w:val="00017012"/>
    <w:rsid w:val="000215FF"/>
    <w:rsid w:val="00021B7F"/>
    <w:rsid w:val="000220FB"/>
    <w:rsid w:val="000234A8"/>
    <w:rsid w:val="000244FC"/>
    <w:rsid w:val="00024705"/>
    <w:rsid w:val="00025596"/>
    <w:rsid w:val="000261CF"/>
    <w:rsid w:val="00026BDA"/>
    <w:rsid w:val="00027BEE"/>
    <w:rsid w:val="00027C08"/>
    <w:rsid w:val="00027C2C"/>
    <w:rsid w:val="00027EBC"/>
    <w:rsid w:val="00027FB0"/>
    <w:rsid w:val="00030541"/>
    <w:rsid w:val="000311CF"/>
    <w:rsid w:val="0003303D"/>
    <w:rsid w:val="0003385C"/>
    <w:rsid w:val="00033CEA"/>
    <w:rsid w:val="000340EA"/>
    <w:rsid w:val="0003585B"/>
    <w:rsid w:val="00035A34"/>
    <w:rsid w:val="000367F3"/>
    <w:rsid w:val="0003735A"/>
    <w:rsid w:val="00037B49"/>
    <w:rsid w:val="00037F54"/>
    <w:rsid w:val="0004016F"/>
    <w:rsid w:val="000407D2"/>
    <w:rsid w:val="0004125D"/>
    <w:rsid w:val="000416E5"/>
    <w:rsid w:val="00041B3A"/>
    <w:rsid w:val="00042154"/>
    <w:rsid w:val="00042FB2"/>
    <w:rsid w:val="0004493A"/>
    <w:rsid w:val="00044DA4"/>
    <w:rsid w:val="00046361"/>
    <w:rsid w:val="0004672B"/>
    <w:rsid w:val="0004692C"/>
    <w:rsid w:val="00046FD9"/>
    <w:rsid w:val="000472FE"/>
    <w:rsid w:val="00050A31"/>
    <w:rsid w:val="00051855"/>
    <w:rsid w:val="00051CD6"/>
    <w:rsid w:val="00053842"/>
    <w:rsid w:val="00054B74"/>
    <w:rsid w:val="00054FBA"/>
    <w:rsid w:val="00056343"/>
    <w:rsid w:val="000567F9"/>
    <w:rsid w:val="0005732C"/>
    <w:rsid w:val="0005755D"/>
    <w:rsid w:val="00057C36"/>
    <w:rsid w:val="00060243"/>
    <w:rsid w:val="000606A3"/>
    <w:rsid w:val="00061363"/>
    <w:rsid w:val="00061E69"/>
    <w:rsid w:val="00061F2E"/>
    <w:rsid w:val="00062125"/>
    <w:rsid w:val="000622A0"/>
    <w:rsid w:val="00062B86"/>
    <w:rsid w:val="000634AF"/>
    <w:rsid w:val="00063756"/>
    <w:rsid w:val="00063FAC"/>
    <w:rsid w:val="0006401B"/>
    <w:rsid w:val="000656BD"/>
    <w:rsid w:val="000656E9"/>
    <w:rsid w:val="00066DE5"/>
    <w:rsid w:val="000675C0"/>
    <w:rsid w:val="0006762B"/>
    <w:rsid w:val="000676B9"/>
    <w:rsid w:val="00067839"/>
    <w:rsid w:val="0006796C"/>
    <w:rsid w:val="00071458"/>
    <w:rsid w:val="00071638"/>
    <w:rsid w:val="00071B89"/>
    <w:rsid w:val="0007202E"/>
    <w:rsid w:val="000720F7"/>
    <w:rsid w:val="000722ED"/>
    <w:rsid w:val="00072601"/>
    <w:rsid w:val="00072651"/>
    <w:rsid w:val="00072D0A"/>
    <w:rsid w:val="0007341F"/>
    <w:rsid w:val="0007345B"/>
    <w:rsid w:val="000748A7"/>
    <w:rsid w:val="00074D11"/>
    <w:rsid w:val="0007602D"/>
    <w:rsid w:val="000775D8"/>
    <w:rsid w:val="000777BD"/>
    <w:rsid w:val="00080950"/>
    <w:rsid w:val="000825C3"/>
    <w:rsid w:val="00082910"/>
    <w:rsid w:val="000829A8"/>
    <w:rsid w:val="000832D0"/>
    <w:rsid w:val="0008364D"/>
    <w:rsid w:val="00083F54"/>
    <w:rsid w:val="00084DD8"/>
    <w:rsid w:val="0008679B"/>
    <w:rsid w:val="00086E4F"/>
    <w:rsid w:val="000879AD"/>
    <w:rsid w:val="00087FFB"/>
    <w:rsid w:val="00090A4D"/>
    <w:rsid w:val="00090E14"/>
    <w:rsid w:val="000933A4"/>
    <w:rsid w:val="00095A71"/>
    <w:rsid w:val="000960C7"/>
    <w:rsid w:val="000961FE"/>
    <w:rsid w:val="00096444"/>
    <w:rsid w:val="00097159"/>
    <w:rsid w:val="000972CB"/>
    <w:rsid w:val="0009734B"/>
    <w:rsid w:val="00097B8D"/>
    <w:rsid w:val="000A0ADB"/>
    <w:rsid w:val="000A1996"/>
    <w:rsid w:val="000A19DE"/>
    <w:rsid w:val="000A2D70"/>
    <w:rsid w:val="000A3BA2"/>
    <w:rsid w:val="000A4290"/>
    <w:rsid w:val="000A49FE"/>
    <w:rsid w:val="000A4CEB"/>
    <w:rsid w:val="000A5303"/>
    <w:rsid w:val="000A62EA"/>
    <w:rsid w:val="000A6801"/>
    <w:rsid w:val="000A68D2"/>
    <w:rsid w:val="000B09D0"/>
    <w:rsid w:val="000B11DE"/>
    <w:rsid w:val="000B148B"/>
    <w:rsid w:val="000B1A4F"/>
    <w:rsid w:val="000B20D9"/>
    <w:rsid w:val="000B22EE"/>
    <w:rsid w:val="000B43CE"/>
    <w:rsid w:val="000B6116"/>
    <w:rsid w:val="000B6869"/>
    <w:rsid w:val="000B6E3F"/>
    <w:rsid w:val="000C0267"/>
    <w:rsid w:val="000C1470"/>
    <w:rsid w:val="000C1801"/>
    <w:rsid w:val="000C2A35"/>
    <w:rsid w:val="000C2BB6"/>
    <w:rsid w:val="000C34D8"/>
    <w:rsid w:val="000C3BB4"/>
    <w:rsid w:val="000C49A6"/>
    <w:rsid w:val="000C4F3C"/>
    <w:rsid w:val="000C51B6"/>
    <w:rsid w:val="000C5F43"/>
    <w:rsid w:val="000C6187"/>
    <w:rsid w:val="000C649E"/>
    <w:rsid w:val="000C6D99"/>
    <w:rsid w:val="000D04A1"/>
    <w:rsid w:val="000D0B0A"/>
    <w:rsid w:val="000D13F7"/>
    <w:rsid w:val="000D1F17"/>
    <w:rsid w:val="000D2190"/>
    <w:rsid w:val="000D234C"/>
    <w:rsid w:val="000D25C7"/>
    <w:rsid w:val="000D3537"/>
    <w:rsid w:val="000D3701"/>
    <w:rsid w:val="000D3B05"/>
    <w:rsid w:val="000D40EA"/>
    <w:rsid w:val="000D48DC"/>
    <w:rsid w:val="000D48F0"/>
    <w:rsid w:val="000D76D3"/>
    <w:rsid w:val="000D7826"/>
    <w:rsid w:val="000D7E76"/>
    <w:rsid w:val="000E185D"/>
    <w:rsid w:val="000E235D"/>
    <w:rsid w:val="000E41FF"/>
    <w:rsid w:val="000E430D"/>
    <w:rsid w:val="000E4C1B"/>
    <w:rsid w:val="000E4D8D"/>
    <w:rsid w:val="000E58C8"/>
    <w:rsid w:val="000E633F"/>
    <w:rsid w:val="000E6744"/>
    <w:rsid w:val="000F0213"/>
    <w:rsid w:val="000F037D"/>
    <w:rsid w:val="000F076F"/>
    <w:rsid w:val="000F0CF7"/>
    <w:rsid w:val="000F1D7A"/>
    <w:rsid w:val="000F204E"/>
    <w:rsid w:val="000F30EF"/>
    <w:rsid w:val="000F3C9E"/>
    <w:rsid w:val="000F3F2A"/>
    <w:rsid w:val="000F453F"/>
    <w:rsid w:val="000F4918"/>
    <w:rsid w:val="000F4DDB"/>
    <w:rsid w:val="000F4F15"/>
    <w:rsid w:val="000F54F0"/>
    <w:rsid w:val="000F5B43"/>
    <w:rsid w:val="000F5C92"/>
    <w:rsid w:val="000F61EE"/>
    <w:rsid w:val="000F744F"/>
    <w:rsid w:val="000F777B"/>
    <w:rsid w:val="000F7D7F"/>
    <w:rsid w:val="001004E4"/>
    <w:rsid w:val="00101A8B"/>
    <w:rsid w:val="00101CC6"/>
    <w:rsid w:val="0010282E"/>
    <w:rsid w:val="00103D30"/>
    <w:rsid w:val="00103F3C"/>
    <w:rsid w:val="001040B3"/>
    <w:rsid w:val="00104893"/>
    <w:rsid w:val="001054DC"/>
    <w:rsid w:val="00105BE8"/>
    <w:rsid w:val="00106A4F"/>
    <w:rsid w:val="00106EAF"/>
    <w:rsid w:val="00106EEF"/>
    <w:rsid w:val="00107CD0"/>
    <w:rsid w:val="0011328F"/>
    <w:rsid w:val="00113694"/>
    <w:rsid w:val="0011394E"/>
    <w:rsid w:val="00113A43"/>
    <w:rsid w:val="00113D2C"/>
    <w:rsid w:val="00114B72"/>
    <w:rsid w:val="00114ECC"/>
    <w:rsid w:val="00115595"/>
    <w:rsid w:val="00115D53"/>
    <w:rsid w:val="00115FDC"/>
    <w:rsid w:val="001161B5"/>
    <w:rsid w:val="001163BF"/>
    <w:rsid w:val="001202F3"/>
    <w:rsid w:val="00120786"/>
    <w:rsid w:val="00121679"/>
    <w:rsid w:val="0012210D"/>
    <w:rsid w:val="001226C0"/>
    <w:rsid w:val="00123CA2"/>
    <w:rsid w:val="00123D81"/>
    <w:rsid w:val="0012490F"/>
    <w:rsid w:val="00126338"/>
    <w:rsid w:val="001263EF"/>
    <w:rsid w:val="001269E1"/>
    <w:rsid w:val="001276D9"/>
    <w:rsid w:val="00127E61"/>
    <w:rsid w:val="00130BF8"/>
    <w:rsid w:val="0013252E"/>
    <w:rsid w:val="00134386"/>
    <w:rsid w:val="0013445A"/>
    <w:rsid w:val="00134E09"/>
    <w:rsid w:val="00135660"/>
    <w:rsid w:val="00135748"/>
    <w:rsid w:val="00135D0B"/>
    <w:rsid w:val="00136154"/>
    <w:rsid w:val="00136629"/>
    <w:rsid w:val="00136EBC"/>
    <w:rsid w:val="00136F2E"/>
    <w:rsid w:val="00136F2F"/>
    <w:rsid w:val="00137066"/>
    <w:rsid w:val="00140248"/>
    <w:rsid w:val="0014033D"/>
    <w:rsid w:val="0014041A"/>
    <w:rsid w:val="00140C5A"/>
    <w:rsid w:val="0014157E"/>
    <w:rsid w:val="001415B7"/>
    <w:rsid w:val="0014240C"/>
    <w:rsid w:val="00142653"/>
    <w:rsid w:val="0014274F"/>
    <w:rsid w:val="00143157"/>
    <w:rsid w:val="00143996"/>
    <w:rsid w:val="00143BA2"/>
    <w:rsid w:val="00143F2D"/>
    <w:rsid w:val="0014421A"/>
    <w:rsid w:val="0014533B"/>
    <w:rsid w:val="001456AD"/>
    <w:rsid w:val="00146DEA"/>
    <w:rsid w:val="0014745C"/>
    <w:rsid w:val="001479C6"/>
    <w:rsid w:val="00147A26"/>
    <w:rsid w:val="001504A9"/>
    <w:rsid w:val="00151E47"/>
    <w:rsid w:val="0015231D"/>
    <w:rsid w:val="001527A8"/>
    <w:rsid w:val="00152AFF"/>
    <w:rsid w:val="00152B92"/>
    <w:rsid w:val="001536EB"/>
    <w:rsid w:val="00153C8C"/>
    <w:rsid w:val="00153DEB"/>
    <w:rsid w:val="00153F7E"/>
    <w:rsid w:val="00154BF6"/>
    <w:rsid w:val="0015517A"/>
    <w:rsid w:val="00155277"/>
    <w:rsid w:val="001552CA"/>
    <w:rsid w:val="00156698"/>
    <w:rsid w:val="00156820"/>
    <w:rsid w:val="00156832"/>
    <w:rsid w:val="00156DBB"/>
    <w:rsid w:val="00157591"/>
    <w:rsid w:val="00157A3D"/>
    <w:rsid w:val="0016021D"/>
    <w:rsid w:val="00160221"/>
    <w:rsid w:val="0016123A"/>
    <w:rsid w:val="00161C16"/>
    <w:rsid w:val="00161E0E"/>
    <w:rsid w:val="00162420"/>
    <w:rsid w:val="001639D5"/>
    <w:rsid w:val="001658A9"/>
    <w:rsid w:val="00165B92"/>
    <w:rsid w:val="001665AF"/>
    <w:rsid w:val="0016743C"/>
    <w:rsid w:val="0016782B"/>
    <w:rsid w:val="00167FE0"/>
    <w:rsid w:val="001705C8"/>
    <w:rsid w:val="0017125D"/>
    <w:rsid w:val="00171DD3"/>
    <w:rsid w:val="00172028"/>
    <w:rsid w:val="0017241A"/>
    <w:rsid w:val="00172F4B"/>
    <w:rsid w:val="001732CC"/>
    <w:rsid w:val="001736C4"/>
    <w:rsid w:val="00174E83"/>
    <w:rsid w:val="001751CB"/>
    <w:rsid w:val="00176208"/>
    <w:rsid w:val="00177C1B"/>
    <w:rsid w:val="001805E4"/>
    <w:rsid w:val="001811DD"/>
    <w:rsid w:val="0018165E"/>
    <w:rsid w:val="001819E9"/>
    <w:rsid w:val="00181C20"/>
    <w:rsid w:val="00181C87"/>
    <w:rsid w:val="0018256F"/>
    <w:rsid w:val="001838C3"/>
    <w:rsid w:val="0018587B"/>
    <w:rsid w:val="00185968"/>
    <w:rsid w:val="00185EB5"/>
    <w:rsid w:val="00186F8F"/>
    <w:rsid w:val="00187039"/>
    <w:rsid w:val="0018746F"/>
    <w:rsid w:val="001913F1"/>
    <w:rsid w:val="00191FB0"/>
    <w:rsid w:val="001928D5"/>
    <w:rsid w:val="00192A3F"/>
    <w:rsid w:val="00192CBD"/>
    <w:rsid w:val="001941EF"/>
    <w:rsid w:val="00194465"/>
    <w:rsid w:val="00197599"/>
    <w:rsid w:val="00197E40"/>
    <w:rsid w:val="00197FDE"/>
    <w:rsid w:val="001A0A63"/>
    <w:rsid w:val="001A0A8C"/>
    <w:rsid w:val="001A0C36"/>
    <w:rsid w:val="001A0CFA"/>
    <w:rsid w:val="001A0EEF"/>
    <w:rsid w:val="001A12E5"/>
    <w:rsid w:val="001A15D2"/>
    <w:rsid w:val="001A178E"/>
    <w:rsid w:val="001A22FC"/>
    <w:rsid w:val="001A2B13"/>
    <w:rsid w:val="001A3045"/>
    <w:rsid w:val="001A6404"/>
    <w:rsid w:val="001A6C9A"/>
    <w:rsid w:val="001A7122"/>
    <w:rsid w:val="001A7631"/>
    <w:rsid w:val="001A7B5C"/>
    <w:rsid w:val="001B0E51"/>
    <w:rsid w:val="001B1C26"/>
    <w:rsid w:val="001B1D87"/>
    <w:rsid w:val="001B2109"/>
    <w:rsid w:val="001B2347"/>
    <w:rsid w:val="001B2FFD"/>
    <w:rsid w:val="001B3CD1"/>
    <w:rsid w:val="001B4674"/>
    <w:rsid w:val="001B4D66"/>
    <w:rsid w:val="001B5096"/>
    <w:rsid w:val="001B534C"/>
    <w:rsid w:val="001B63C4"/>
    <w:rsid w:val="001B6D8F"/>
    <w:rsid w:val="001B6EF1"/>
    <w:rsid w:val="001B7399"/>
    <w:rsid w:val="001B79AE"/>
    <w:rsid w:val="001C0111"/>
    <w:rsid w:val="001C0BAF"/>
    <w:rsid w:val="001C10F8"/>
    <w:rsid w:val="001C1E5D"/>
    <w:rsid w:val="001C1F39"/>
    <w:rsid w:val="001C332A"/>
    <w:rsid w:val="001C3851"/>
    <w:rsid w:val="001C3955"/>
    <w:rsid w:val="001C429C"/>
    <w:rsid w:val="001C5C62"/>
    <w:rsid w:val="001C61C6"/>
    <w:rsid w:val="001C6C67"/>
    <w:rsid w:val="001D091F"/>
    <w:rsid w:val="001D197B"/>
    <w:rsid w:val="001D1A48"/>
    <w:rsid w:val="001D34FC"/>
    <w:rsid w:val="001D3864"/>
    <w:rsid w:val="001D46CE"/>
    <w:rsid w:val="001D5CE0"/>
    <w:rsid w:val="001D68AB"/>
    <w:rsid w:val="001D6A02"/>
    <w:rsid w:val="001D74E7"/>
    <w:rsid w:val="001D7A73"/>
    <w:rsid w:val="001D7BB6"/>
    <w:rsid w:val="001E3C22"/>
    <w:rsid w:val="001E5010"/>
    <w:rsid w:val="001E5080"/>
    <w:rsid w:val="001E5286"/>
    <w:rsid w:val="001E7AF1"/>
    <w:rsid w:val="001F0CD8"/>
    <w:rsid w:val="001F22FF"/>
    <w:rsid w:val="001F255A"/>
    <w:rsid w:val="001F3002"/>
    <w:rsid w:val="001F38D3"/>
    <w:rsid w:val="001F4070"/>
    <w:rsid w:val="001F4C3F"/>
    <w:rsid w:val="001F5440"/>
    <w:rsid w:val="001F57E3"/>
    <w:rsid w:val="001F6954"/>
    <w:rsid w:val="001F719C"/>
    <w:rsid w:val="001F785A"/>
    <w:rsid w:val="001F78F5"/>
    <w:rsid w:val="0020017C"/>
    <w:rsid w:val="0020041B"/>
    <w:rsid w:val="002012B3"/>
    <w:rsid w:val="002012E8"/>
    <w:rsid w:val="00201CFC"/>
    <w:rsid w:val="00201EEB"/>
    <w:rsid w:val="0020247C"/>
    <w:rsid w:val="00202B71"/>
    <w:rsid w:val="0020356F"/>
    <w:rsid w:val="002038FF"/>
    <w:rsid w:val="00205D39"/>
    <w:rsid w:val="00206134"/>
    <w:rsid w:val="00206334"/>
    <w:rsid w:val="002064B8"/>
    <w:rsid w:val="00206704"/>
    <w:rsid w:val="00206FA7"/>
    <w:rsid w:val="002075D3"/>
    <w:rsid w:val="00207C65"/>
    <w:rsid w:val="002104A2"/>
    <w:rsid w:val="00211118"/>
    <w:rsid w:val="002114FB"/>
    <w:rsid w:val="002123A4"/>
    <w:rsid w:val="002128BD"/>
    <w:rsid w:val="00212E60"/>
    <w:rsid w:val="00213495"/>
    <w:rsid w:val="002143B6"/>
    <w:rsid w:val="0021446E"/>
    <w:rsid w:val="0021575D"/>
    <w:rsid w:val="00215FDA"/>
    <w:rsid w:val="00216789"/>
    <w:rsid w:val="00217402"/>
    <w:rsid w:val="002175D2"/>
    <w:rsid w:val="002218FD"/>
    <w:rsid w:val="002221B0"/>
    <w:rsid w:val="002224B1"/>
    <w:rsid w:val="00222E65"/>
    <w:rsid w:val="0022336F"/>
    <w:rsid w:val="00223BEA"/>
    <w:rsid w:val="002241C9"/>
    <w:rsid w:val="00224ADC"/>
    <w:rsid w:val="00225FC2"/>
    <w:rsid w:val="00225FCD"/>
    <w:rsid w:val="00226227"/>
    <w:rsid w:val="0022692E"/>
    <w:rsid w:val="00226BC9"/>
    <w:rsid w:val="00227FED"/>
    <w:rsid w:val="00230200"/>
    <w:rsid w:val="00230CDC"/>
    <w:rsid w:val="00231738"/>
    <w:rsid w:val="00232B9F"/>
    <w:rsid w:val="00232D2D"/>
    <w:rsid w:val="0023302D"/>
    <w:rsid w:val="002343AE"/>
    <w:rsid w:val="0023601F"/>
    <w:rsid w:val="002370BC"/>
    <w:rsid w:val="00237917"/>
    <w:rsid w:val="0024026E"/>
    <w:rsid w:val="00240C3B"/>
    <w:rsid w:val="002410B1"/>
    <w:rsid w:val="00241471"/>
    <w:rsid w:val="00241845"/>
    <w:rsid w:val="00241936"/>
    <w:rsid w:val="00242229"/>
    <w:rsid w:val="00242731"/>
    <w:rsid w:val="00242900"/>
    <w:rsid w:val="00242D40"/>
    <w:rsid w:val="00243C73"/>
    <w:rsid w:val="00245487"/>
    <w:rsid w:val="00245BDD"/>
    <w:rsid w:val="00245C47"/>
    <w:rsid w:val="00245E3B"/>
    <w:rsid w:val="002469C9"/>
    <w:rsid w:val="00247074"/>
    <w:rsid w:val="0024708B"/>
    <w:rsid w:val="0024763C"/>
    <w:rsid w:val="00247746"/>
    <w:rsid w:val="0024778D"/>
    <w:rsid w:val="00251FA1"/>
    <w:rsid w:val="0025247F"/>
    <w:rsid w:val="00252CE8"/>
    <w:rsid w:val="002535C1"/>
    <w:rsid w:val="002535FA"/>
    <w:rsid w:val="002541CA"/>
    <w:rsid w:val="002545C5"/>
    <w:rsid w:val="00254BD0"/>
    <w:rsid w:val="002558CC"/>
    <w:rsid w:val="00255ABD"/>
    <w:rsid w:val="00256075"/>
    <w:rsid w:val="00257733"/>
    <w:rsid w:val="00257B22"/>
    <w:rsid w:val="00260067"/>
    <w:rsid w:val="0026100C"/>
    <w:rsid w:val="00261093"/>
    <w:rsid w:val="002612AB"/>
    <w:rsid w:val="00261928"/>
    <w:rsid w:val="00262516"/>
    <w:rsid w:val="00263A0F"/>
    <w:rsid w:val="00263D21"/>
    <w:rsid w:val="00264593"/>
    <w:rsid w:val="00264AA5"/>
    <w:rsid w:val="002658FB"/>
    <w:rsid w:val="00266007"/>
    <w:rsid w:val="0026679C"/>
    <w:rsid w:val="002674DB"/>
    <w:rsid w:val="002675E6"/>
    <w:rsid w:val="00267F0D"/>
    <w:rsid w:val="00270564"/>
    <w:rsid w:val="00271C8A"/>
    <w:rsid w:val="002722FD"/>
    <w:rsid w:val="00273122"/>
    <w:rsid w:val="0027423C"/>
    <w:rsid w:val="00274C89"/>
    <w:rsid w:val="0027660A"/>
    <w:rsid w:val="0027741E"/>
    <w:rsid w:val="00277C8B"/>
    <w:rsid w:val="00281089"/>
    <w:rsid w:val="00281666"/>
    <w:rsid w:val="00281CFA"/>
    <w:rsid w:val="00282499"/>
    <w:rsid w:val="00284E8E"/>
    <w:rsid w:val="00285212"/>
    <w:rsid w:val="00285584"/>
    <w:rsid w:val="002864B9"/>
    <w:rsid w:val="00287666"/>
    <w:rsid w:val="00287ADD"/>
    <w:rsid w:val="002900A2"/>
    <w:rsid w:val="00290E99"/>
    <w:rsid w:val="002919FF"/>
    <w:rsid w:val="00293665"/>
    <w:rsid w:val="002939FA"/>
    <w:rsid w:val="00294D55"/>
    <w:rsid w:val="00295F7A"/>
    <w:rsid w:val="002978E8"/>
    <w:rsid w:val="002A13FC"/>
    <w:rsid w:val="002A1714"/>
    <w:rsid w:val="002A2A62"/>
    <w:rsid w:val="002A45C0"/>
    <w:rsid w:val="002A49D8"/>
    <w:rsid w:val="002A4ADC"/>
    <w:rsid w:val="002A5CA6"/>
    <w:rsid w:val="002A64FC"/>
    <w:rsid w:val="002A65B6"/>
    <w:rsid w:val="002A6755"/>
    <w:rsid w:val="002A6B4D"/>
    <w:rsid w:val="002A6BFC"/>
    <w:rsid w:val="002A6DF9"/>
    <w:rsid w:val="002A735B"/>
    <w:rsid w:val="002A754C"/>
    <w:rsid w:val="002A7AB5"/>
    <w:rsid w:val="002A7EE7"/>
    <w:rsid w:val="002A7F45"/>
    <w:rsid w:val="002B0128"/>
    <w:rsid w:val="002B1C31"/>
    <w:rsid w:val="002B2B6F"/>
    <w:rsid w:val="002B47CA"/>
    <w:rsid w:val="002B47F7"/>
    <w:rsid w:val="002B4F21"/>
    <w:rsid w:val="002B5340"/>
    <w:rsid w:val="002B5B1B"/>
    <w:rsid w:val="002B5B5C"/>
    <w:rsid w:val="002B603B"/>
    <w:rsid w:val="002B6558"/>
    <w:rsid w:val="002B7B7D"/>
    <w:rsid w:val="002B7D64"/>
    <w:rsid w:val="002C02B1"/>
    <w:rsid w:val="002C131F"/>
    <w:rsid w:val="002C2851"/>
    <w:rsid w:val="002C33C0"/>
    <w:rsid w:val="002C33D3"/>
    <w:rsid w:val="002C4DC0"/>
    <w:rsid w:val="002C4ECA"/>
    <w:rsid w:val="002C5F54"/>
    <w:rsid w:val="002C61C1"/>
    <w:rsid w:val="002C6C22"/>
    <w:rsid w:val="002C78BC"/>
    <w:rsid w:val="002D2A2A"/>
    <w:rsid w:val="002D381E"/>
    <w:rsid w:val="002D4997"/>
    <w:rsid w:val="002D5159"/>
    <w:rsid w:val="002D56D5"/>
    <w:rsid w:val="002D5E33"/>
    <w:rsid w:val="002D6206"/>
    <w:rsid w:val="002D6375"/>
    <w:rsid w:val="002D64FA"/>
    <w:rsid w:val="002D6AAE"/>
    <w:rsid w:val="002D6E8A"/>
    <w:rsid w:val="002D7CDE"/>
    <w:rsid w:val="002D7D8D"/>
    <w:rsid w:val="002E0594"/>
    <w:rsid w:val="002E2385"/>
    <w:rsid w:val="002E2491"/>
    <w:rsid w:val="002E2B6C"/>
    <w:rsid w:val="002E53CC"/>
    <w:rsid w:val="002E549D"/>
    <w:rsid w:val="002E58CC"/>
    <w:rsid w:val="002E5950"/>
    <w:rsid w:val="002E5CCB"/>
    <w:rsid w:val="002E5F44"/>
    <w:rsid w:val="002E63EF"/>
    <w:rsid w:val="002E6530"/>
    <w:rsid w:val="002E67C4"/>
    <w:rsid w:val="002E7322"/>
    <w:rsid w:val="002E7D30"/>
    <w:rsid w:val="002E7F8C"/>
    <w:rsid w:val="002F08E2"/>
    <w:rsid w:val="002F1490"/>
    <w:rsid w:val="002F191A"/>
    <w:rsid w:val="002F25F8"/>
    <w:rsid w:val="002F2BDC"/>
    <w:rsid w:val="002F2E46"/>
    <w:rsid w:val="002F3049"/>
    <w:rsid w:val="002F3176"/>
    <w:rsid w:val="002F359C"/>
    <w:rsid w:val="002F4E8D"/>
    <w:rsid w:val="002F5672"/>
    <w:rsid w:val="002F60EA"/>
    <w:rsid w:val="002F699C"/>
    <w:rsid w:val="002F6E1F"/>
    <w:rsid w:val="002F7263"/>
    <w:rsid w:val="002F79E1"/>
    <w:rsid w:val="003002F9"/>
    <w:rsid w:val="00300FA3"/>
    <w:rsid w:val="0030100B"/>
    <w:rsid w:val="0030155B"/>
    <w:rsid w:val="00301622"/>
    <w:rsid w:val="00301708"/>
    <w:rsid w:val="003021E5"/>
    <w:rsid w:val="00302F7B"/>
    <w:rsid w:val="0030306E"/>
    <w:rsid w:val="00303AB5"/>
    <w:rsid w:val="00303E8D"/>
    <w:rsid w:val="0030519E"/>
    <w:rsid w:val="00305A83"/>
    <w:rsid w:val="00307754"/>
    <w:rsid w:val="0031000B"/>
    <w:rsid w:val="00310160"/>
    <w:rsid w:val="00310B3B"/>
    <w:rsid w:val="00312C08"/>
    <w:rsid w:val="00313C39"/>
    <w:rsid w:val="003141D5"/>
    <w:rsid w:val="00314352"/>
    <w:rsid w:val="00315652"/>
    <w:rsid w:val="00315CB9"/>
    <w:rsid w:val="00316377"/>
    <w:rsid w:val="0031728F"/>
    <w:rsid w:val="00317569"/>
    <w:rsid w:val="00317E84"/>
    <w:rsid w:val="00322BB0"/>
    <w:rsid w:val="00323471"/>
    <w:rsid w:val="00323612"/>
    <w:rsid w:val="00323C15"/>
    <w:rsid w:val="00324EAD"/>
    <w:rsid w:val="00326700"/>
    <w:rsid w:val="003272C2"/>
    <w:rsid w:val="0032749A"/>
    <w:rsid w:val="00327E04"/>
    <w:rsid w:val="00330B03"/>
    <w:rsid w:val="00331A2C"/>
    <w:rsid w:val="00331EF8"/>
    <w:rsid w:val="003321AE"/>
    <w:rsid w:val="003324CB"/>
    <w:rsid w:val="00332E12"/>
    <w:rsid w:val="00333445"/>
    <w:rsid w:val="003338D8"/>
    <w:rsid w:val="003341FC"/>
    <w:rsid w:val="00335642"/>
    <w:rsid w:val="00335A0E"/>
    <w:rsid w:val="00335B17"/>
    <w:rsid w:val="00340098"/>
    <w:rsid w:val="0034042E"/>
    <w:rsid w:val="00340869"/>
    <w:rsid w:val="0034087E"/>
    <w:rsid w:val="00340AAA"/>
    <w:rsid w:val="00341D49"/>
    <w:rsid w:val="0034258B"/>
    <w:rsid w:val="00343100"/>
    <w:rsid w:val="0034327C"/>
    <w:rsid w:val="00343B27"/>
    <w:rsid w:val="00344840"/>
    <w:rsid w:val="003456C3"/>
    <w:rsid w:val="00345F4C"/>
    <w:rsid w:val="00346149"/>
    <w:rsid w:val="00346353"/>
    <w:rsid w:val="00346964"/>
    <w:rsid w:val="00346D1C"/>
    <w:rsid w:val="0035055E"/>
    <w:rsid w:val="003507C6"/>
    <w:rsid w:val="00350ADB"/>
    <w:rsid w:val="00350D60"/>
    <w:rsid w:val="00350DAB"/>
    <w:rsid w:val="00352073"/>
    <w:rsid w:val="00352080"/>
    <w:rsid w:val="003521E8"/>
    <w:rsid w:val="00352B1C"/>
    <w:rsid w:val="003559AA"/>
    <w:rsid w:val="00355B96"/>
    <w:rsid w:val="00356086"/>
    <w:rsid w:val="00356640"/>
    <w:rsid w:val="00356E07"/>
    <w:rsid w:val="00357526"/>
    <w:rsid w:val="003578B1"/>
    <w:rsid w:val="00360173"/>
    <w:rsid w:val="00361B44"/>
    <w:rsid w:val="003634A6"/>
    <w:rsid w:val="00364E52"/>
    <w:rsid w:val="00365022"/>
    <w:rsid w:val="0036685A"/>
    <w:rsid w:val="0036759D"/>
    <w:rsid w:val="0037008C"/>
    <w:rsid w:val="00370FA7"/>
    <w:rsid w:val="00371811"/>
    <w:rsid w:val="00372706"/>
    <w:rsid w:val="003738F2"/>
    <w:rsid w:val="00373922"/>
    <w:rsid w:val="00374D7F"/>
    <w:rsid w:val="003751B7"/>
    <w:rsid w:val="0037559C"/>
    <w:rsid w:val="00376407"/>
    <w:rsid w:val="0038032B"/>
    <w:rsid w:val="00380442"/>
    <w:rsid w:val="003804F7"/>
    <w:rsid w:val="00380D94"/>
    <w:rsid w:val="00381E2A"/>
    <w:rsid w:val="003824B0"/>
    <w:rsid w:val="00382E6D"/>
    <w:rsid w:val="00382F6E"/>
    <w:rsid w:val="00383F30"/>
    <w:rsid w:val="00383F42"/>
    <w:rsid w:val="00384579"/>
    <w:rsid w:val="0038633E"/>
    <w:rsid w:val="0038784E"/>
    <w:rsid w:val="00390896"/>
    <w:rsid w:val="00393682"/>
    <w:rsid w:val="00393D1B"/>
    <w:rsid w:val="003948C3"/>
    <w:rsid w:val="00394A3C"/>
    <w:rsid w:val="00394C89"/>
    <w:rsid w:val="00394DB5"/>
    <w:rsid w:val="003950F1"/>
    <w:rsid w:val="003953E2"/>
    <w:rsid w:val="00395BE2"/>
    <w:rsid w:val="00395C9A"/>
    <w:rsid w:val="003963A0"/>
    <w:rsid w:val="0039683B"/>
    <w:rsid w:val="00396F48"/>
    <w:rsid w:val="003974FA"/>
    <w:rsid w:val="00397542"/>
    <w:rsid w:val="003A027F"/>
    <w:rsid w:val="003A0B5C"/>
    <w:rsid w:val="003A0FE5"/>
    <w:rsid w:val="003A1995"/>
    <w:rsid w:val="003A2356"/>
    <w:rsid w:val="003A354A"/>
    <w:rsid w:val="003A5797"/>
    <w:rsid w:val="003A5991"/>
    <w:rsid w:val="003A7741"/>
    <w:rsid w:val="003A7A6E"/>
    <w:rsid w:val="003B0D96"/>
    <w:rsid w:val="003B17E2"/>
    <w:rsid w:val="003B1B4F"/>
    <w:rsid w:val="003B2509"/>
    <w:rsid w:val="003B34D7"/>
    <w:rsid w:val="003B384A"/>
    <w:rsid w:val="003B3DA7"/>
    <w:rsid w:val="003B58BA"/>
    <w:rsid w:val="003B604B"/>
    <w:rsid w:val="003B7679"/>
    <w:rsid w:val="003B77F3"/>
    <w:rsid w:val="003B791E"/>
    <w:rsid w:val="003C0127"/>
    <w:rsid w:val="003C02D3"/>
    <w:rsid w:val="003C04B4"/>
    <w:rsid w:val="003C213A"/>
    <w:rsid w:val="003C2FE6"/>
    <w:rsid w:val="003C31E9"/>
    <w:rsid w:val="003C4882"/>
    <w:rsid w:val="003C5B2E"/>
    <w:rsid w:val="003C5C7A"/>
    <w:rsid w:val="003C5FCD"/>
    <w:rsid w:val="003C65D2"/>
    <w:rsid w:val="003C721F"/>
    <w:rsid w:val="003C7AC5"/>
    <w:rsid w:val="003C7C80"/>
    <w:rsid w:val="003D0A4E"/>
    <w:rsid w:val="003D0FC2"/>
    <w:rsid w:val="003D1441"/>
    <w:rsid w:val="003D1D0B"/>
    <w:rsid w:val="003D1D0E"/>
    <w:rsid w:val="003D2D24"/>
    <w:rsid w:val="003D2E23"/>
    <w:rsid w:val="003D316C"/>
    <w:rsid w:val="003D380E"/>
    <w:rsid w:val="003D3A76"/>
    <w:rsid w:val="003D3ED5"/>
    <w:rsid w:val="003D46E1"/>
    <w:rsid w:val="003D4976"/>
    <w:rsid w:val="003D5897"/>
    <w:rsid w:val="003D5DB4"/>
    <w:rsid w:val="003D610B"/>
    <w:rsid w:val="003D6B33"/>
    <w:rsid w:val="003D6B41"/>
    <w:rsid w:val="003D771E"/>
    <w:rsid w:val="003E02A1"/>
    <w:rsid w:val="003E19A7"/>
    <w:rsid w:val="003E20FA"/>
    <w:rsid w:val="003E23D3"/>
    <w:rsid w:val="003E36E4"/>
    <w:rsid w:val="003E39DB"/>
    <w:rsid w:val="003E5259"/>
    <w:rsid w:val="003E5EE3"/>
    <w:rsid w:val="003E685B"/>
    <w:rsid w:val="003E6F81"/>
    <w:rsid w:val="003E72D2"/>
    <w:rsid w:val="003E7775"/>
    <w:rsid w:val="003E78BE"/>
    <w:rsid w:val="003E7B9A"/>
    <w:rsid w:val="003F02A2"/>
    <w:rsid w:val="003F0327"/>
    <w:rsid w:val="003F1288"/>
    <w:rsid w:val="003F20FD"/>
    <w:rsid w:val="003F42A2"/>
    <w:rsid w:val="003F4602"/>
    <w:rsid w:val="003F46D7"/>
    <w:rsid w:val="003F4F9A"/>
    <w:rsid w:val="003F56A4"/>
    <w:rsid w:val="003F7BAF"/>
    <w:rsid w:val="003F7C71"/>
    <w:rsid w:val="00400432"/>
    <w:rsid w:val="004005B2"/>
    <w:rsid w:val="00402214"/>
    <w:rsid w:val="00403447"/>
    <w:rsid w:val="00403764"/>
    <w:rsid w:val="004037C6"/>
    <w:rsid w:val="004041E7"/>
    <w:rsid w:val="0040621C"/>
    <w:rsid w:val="00406933"/>
    <w:rsid w:val="00407361"/>
    <w:rsid w:val="00410410"/>
    <w:rsid w:val="00412D6D"/>
    <w:rsid w:val="00413083"/>
    <w:rsid w:val="0041333D"/>
    <w:rsid w:val="0041389C"/>
    <w:rsid w:val="00414439"/>
    <w:rsid w:val="00414DD0"/>
    <w:rsid w:val="0041552A"/>
    <w:rsid w:val="00415FA3"/>
    <w:rsid w:val="00416021"/>
    <w:rsid w:val="00416E41"/>
    <w:rsid w:val="00416F1A"/>
    <w:rsid w:val="00417350"/>
    <w:rsid w:val="00420E1E"/>
    <w:rsid w:val="00422C00"/>
    <w:rsid w:val="00423217"/>
    <w:rsid w:val="004273B1"/>
    <w:rsid w:val="0042756D"/>
    <w:rsid w:val="00427870"/>
    <w:rsid w:val="0043018F"/>
    <w:rsid w:val="0043065B"/>
    <w:rsid w:val="00431A1D"/>
    <w:rsid w:val="004328E7"/>
    <w:rsid w:val="00433712"/>
    <w:rsid w:val="0043458D"/>
    <w:rsid w:val="00434687"/>
    <w:rsid w:val="0043515E"/>
    <w:rsid w:val="004362D2"/>
    <w:rsid w:val="00436303"/>
    <w:rsid w:val="00437913"/>
    <w:rsid w:val="0043797F"/>
    <w:rsid w:val="00437F20"/>
    <w:rsid w:val="004408AD"/>
    <w:rsid w:val="0044133A"/>
    <w:rsid w:val="004419E2"/>
    <w:rsid w:val="00441CE3"/>
    <w:rsid w:val="00441CF5"/>
    <w:rsid w:val="00441EF3"/>
    <w:rsid w:val="00442525"/>
    <w:rsid w:val="00442BD1"/>
    <w:rsid w:val="004433AA"/>
    <w:rsid w:val="0044379B"/>
    <w:rsid w:val="004440BC"/>
    <w:rsid w:val="0044436C"/>
    <w:rsid w:val="004471DE"/>
    <w:rsid w:val="004476BD"/>
    <w:rsid w:val="00451323"/>
    <w:rsid w:val="0045136D"/>
    <w:rsid w:val="00453411"/>
    <w:rsid w:val="0045532C"/>
    <w:rsid w:val="004565B9"/>
    <w:rsid w:val="00456BE4"/>
    <w:rsid w:val="004604F0"/>
    <w:rsid w:val="00460A69"/>
    <w:rsid w:val="00460F07"/>
    <w:rsid w:val="00461053"/>
    <w:rsid w:val="004610B4"/>
    <w:rsid w:val="00461CC8"/>
    <w:rsid w:val="0046252C"/>
    <w:rsid w:val="004626FA"/>
    <w:rsid w:val="004628E3"/>
    <w:rsid w:val="004637CF"/>
    <w:rsid w:val="004639CF"/>
    <w:rsid w:val="00464513"/>
    <w:rsid w:val="00465A2B"/>
    <w:rsid w:val="00465D58"/>
    <w:rsid w:val="00466F9E"/>
    <w:rsid w:val="00467FFE"/>
    <w:rsid w:val="00470A1D"/>
    <w:rsid w:val="00470F0D"/>
    <w:rsid w:val="00470F90"/>
    <w:rsid w:val="00471FD6"/>
    <w:rsid w:val="004729F4"/>
    <w:rsid w:val="00472A23"/>
    <w:rsid w:val="00472E59"/>
    <w:rsid w:val="00473320"/>
    <w:rsid w:val="004738C2"/>
    <w:rsid w:val="00474D93"/>
    <w:rsid w:val="0047525A"/>
    <w:rsid w:val="00475D10"/>
    <w:rsid w:val="004772A6"/>
    <w:rsid w:val="00477339"/>
    <w:rsid w:val="00480BFC"/>
    <w:rsid w:val="0048162B"/>
    <w:rsid w:val="00482051"/>
    <w:rsid w:val="00482543"/>
    <w:rsid w:val="00482FFE"/>
    <w:rsid w:val="00483269"/>
    <w:rsid w:val="00483293"/>
    <w:rsid w:val="004836F4"/>
    <w:rsid w:val="00483BC8"/>
    <w:rsid w:val="00483D61"/>
    <w:rsid w:val="00484315"/>
    <w:rsid w:val="00484B44"/>
    <w:rsid w:val="00484E63"/>
    <w:rsid w:val="004853CC"/>
    <w:rsid w:val="00485729"/>
    <w:rsid w:val="00485832"/>
    <w:rsid w:val="0048665D"/>
    <w:rsid w:val="00487536"/>
    <w:rsid w:val="004875D6"/>
    <w:rsid w:val="00490000"/>
    <w:rsid w:val="00490026"/>
    <w:rsid w:val="00490D01"/>
    <w:rsid w:val="00490E4B"/>
    <w:rsid w:val="00491A98"/>
    <w:rsid w:val="00492FE8"/>
    <w:rsid w:val="00494715"/>
    <w:rsid w:val="004947E4"/>
    <w:rsid w:val="004953F2"/>
    <w:rsid w:val="004954CC"/>
    <w:rsid w:val="00495EB6"/>
    <w:rsid w:val="00496002"/>
    <w:rsid w:val="004965C8"/>
    <w:rsid w:val="004970E1"/>
    <w:rsid w:val="004974D8"/>
    <w:rsid w:val="004A01CE"/>
    <w:rsid w:val="004A0563"/>
    <w:rsid w:val="004A23B8"/>
    <w:rsid w:val="004A23D2"/>
    <w:rsid w:val="004A30AA"/>
    <w:rsid w:val="004A3773"/>
    <w:rsid w:val="004A3BF0"/>
    <w:rsid w:val="004A4D84"/>
    <w:rsid w:val="004A7748"/>
    <w:rsid w:val="004A77D2"/>
    <w:rsid w:val="004A7E71"/>
    <w:rsid w:val="004B08E1"/>
    <w:rsid w:val="004B10F4"/>
    <w:rsid w:val="004B1FF8"/>
    <w:rsid w:val="004B231C"/>
    <w:rsid w:val="004B417F"/>
    <w:rsid w:val="004B5CEA"/>
    <w:rsid w:val="004B653C"/>
    <w:rsid w:val="004B65DC"/>
    <w:rsid w:val="004B6ADE"/>
    <w:rsid w:val="004B6DF4"/>
    <w:rsid w:val="004B7206"/>
    <w:rsid w:val="004C01CC"/>
    <w:rsid w:val="004C01D1"/>
    <w:rsid w:val="004C0BCA"/>
    <w:rsid w:val="004C103D"/>
    <w:rsid w:val="004C19F1"/>
    <w:rsid w:val="004C24D2"/>
    <w:rsid w:val="004C3BE7"/>
    <w:rsid w:val="004C5723"/>
    <w:rsid w:val="004C5B8A"/>
    <w:rsid w:val="004C67C9"/>
    <w:rsid w:val="004C6AD8"/>
    <w:rsid w:val="004C72DC"/>
    <w:rsid w:val="004C7645"/>
    <w:rsid w:val="004C7E4D"/>
    <w:rsid w:val="004D09DA"/>
    <w:rsid w:val="004D0DB9"/>
    <w:rsid w:val="004D0F2D"/>
    <w:rsid w:val="004D1500"/>
    <w:rsid w:val="004D1881"/>
    <w:rsid w:val="004D1978"/>
    <w:rsid w:val="004D1A7E"/>
    <w:rsid w:val="004D3A43"/>
    <w:rsid w:val="004D3AA0"/>
    <w:rsid w:val="004D41E7"/>
    <w:rsid w:val="004D47BA"/>
    <w:rsid w:val="004D50CE"/>
    <w:rsid w:val="004D5960"/>
    <w:rsid w:val="004D597A"/>
    <w:rsid w:val="004D64C7"/>
    <w:rsid w:val="004D7088"/>
    <w:rsid w:val="004D714B"/>
    <w:rsid w:val="004D732F"/>
    <w:rsid w:val="004D7394"/>
    <w:rsid w:val="004D75BF"/>
    <w:rsid w:val="004D7A3A"/>
    <w:rsid w:val="004E0850"/>
    <w:rsid w:val="004E183D"/>
    <w:rsid w:val="004E1900"/>
    <w:rsid w:val="004E1AE3"/>
    <w:rsid w:val="004E1FFD"/>
    <w:rsid w:val="004E2075"/>
    <w:rsid w:val="004E263B"/>
    <w:rsid w:val="004E2925"/>
    <w:rsid w:val="004E492F"/>
    <w:rsid w:val="004E4CD7"/>
    <w:rsid w:val="004E4DB7"/>
    <w:rsid w:val="004E5101"/>
    <w:rsid w:val="004E6C5E"/>
    <w:rsid w:val="004E7F97"/>
    <w:rsid w:val="004F086A"/>
    <w:rsid w:val="004F0948"/>
    <w:rsid w:val="004F1184"/>
    <w:rsid w:val="004F1E9B"/>
    <w:rsid w:val="004F25A2"/>
    <w:rsid w:val="004F2917"/>
    <w:rsid w:val="004F2C5A"/>
    <w:rsid w:val="004F2E79"/>
    <w:rsid w:val="004F3B21"/>
    <w:rsid w:val="004F4E88"/>
    <w:rsid w:val="004F528B"/>
    <w:rsid w:val="004F59B2"/>
    <w:rsid w:val="004F59F4"/>
    <w:rsid w:val="004F5CD3"/>
    <w:rsid w:val="004F609A"/>
    <w:rsid w:val="004F6E1E"/>
    <w:rsid w:val="004F70F7"/>
    <w:rsid w:val="004F73DE"/>
    <w:rsid w:val="00501517"/>
    <w:rsid w:val="00501911"/>
    <w:rsid w:val="005025CB"/>
    <w:rsid w:val="005032A9"/>
    <w:rsid w:val="00503688"/>
    <w:rsid w:val="005036D2"/>
    <w:rsid w:val="005043FF"/>
    <w:rsid w:val="0050499D"/>
    <w:rsid w:val="00505044"/>
    <w:rsid w:val="00505EFC"/>
    <w:rsid w:val="00505FCD"/>
    <w:rsid w:val="005064A4"/>
    <w:rsid w:val="00506668"/>
    <w:rsid w:val="00506A10"/>
    <w:rsid w:val="0051000B"/>
    <w:rsid w:val="0051008B"/>
    <w:rsid w:val="0051089F"/>
    <w:rsid w:val="00510B03"/>
    <w:rsid w:val="005115F2"/>
    <w:rsid w:val="005116A8"/>
    <w:rsid w:val="00511A82"/>
    <w:rsid w:val="00513E61"/>
    <w:rsid w:val="00514E77"/>
    <w:rsid w:val="005170E1"/>
    <w:rsid w:val="00517F5A"/>
    <w:rsid w:val="00520765"/>
    <w:rsid w:val="00520F0A"/>
    <w:rsid w:val="00523268"/>
    <w:rsid w:val="00523C67"/>
    <w:rsid w:val="00524051"/>
    <w:rsid w:val="00524099"/>
    <w:rsid w:val="00524354"/>
    <w:rsid w:val="00524B13"/>
    <w:rsid w:val="00524C58"/>
    <w:rsid w:val="005262FE"/>
    <w:rsid w:val="005269DA"/>
    <w:rsid w:val="00526E7D"/>
    <w:rsid w:val="0053122A"/>
    <w:rsid w:val="00531263"/>
    <w:rsid w:val="00531808"/>
    <w:rsid w:val="005323B2"/>
    <w:rsid w:val="00533492"/>
    <w:rsid w:val="00534284"/>
    <w:rsid w:val="00534972"/>
    <w:rsid w:val="005354AC"/>
    <w:rsid w:val="00535635"/>
    <w:rsid w:val="005356E4"/>
    <w:rsid w:val="005363C5"/>
    <w:rsid w:val="00536E22"/>
    <w:rsid w:val="00537DB5"/>
    <w:rsid w:val="00540024"/>
    <w:rsid w:val="0054028E"/>
    <w:rsid w:val="0054048E"/>
    <w:rsid w:val="00541263"/>
    <w:rsid w:val="00541786"/>
    <w:rsid w:val="00542341"/>
    <w:rsid w:val="005430D2"/>
    <w:rsid w:val="005434BC"/>
    <w:rsid w:val="0054382E"/>
    <w:rsid w:val="005440CF"/>
    <w:rsid w:val="00545214"/>
    <w:rsid w:val="005455F1"/>
    <w:rsid w:val="00546D2E"/>
    <w:rsid w:val="00547E66"/>
    <w:rsid w:val="00547F27"/>
    <w:rsid w:val="0055027A"/>
    <w:rsid w:val="00551543"/>
    <w:rsid w:val="00551951"/>
    <w:rsid w:val="00551A50"/>
    <w:rsid w:val="00551A60"/>
    <w:rsid w:val="00552093"/>
    <w:rsid w:val="00552D35"/>
    <w:rsid w:val="00553268"/>
    <w:rsid w:val="00554AAA"/>
    <w:rsid w:val="00554B40"/>
    <w:rsid w:val="0055518B"/>
    <w:rsid w:val="005553FB"/>
    <w:rsid w:val="00555D7E"/>
    <w:rsid w:val="00557390"/>
    <w:rsid w:val="005601A6"/>
    <w:rsid w:val="005608E3"/>
    <w:rsid w:val="00560A50"/>
    <w:rsid w:val="00561777"/>
    <w:rsid w:val="005624AB"/>
    <w:rsid w:val="005624B4"/>
    <w:rsid w:val="005627CD"/>
    <w:rsid w:val="0056381C"/>
    <w:rsid w:val="005638E0"/>
    <w:rsid w:val="00563BB1"/>
    <w:rsid w:val="00564888"/>
    <w:rsid w:val="00564AF5"/>
    <w:rsid w:val="00564FE3"/>
    <w:rsid w:val="005657FD"/>
    <w:rsid w:val="00565F54"/>
    <w:rsid w:val="00565F8E"/>
    <w:rsid w:val="005660A7"/>
    <w:rsid w:val="00566534"/>
    <w:rsid w:val="00566E11"/>
    <w:rsid w:val="00570D8F"/>
    <w:rsid w:val="00571A65"/>
    <w:rsid w:val="00571B5A"/>
    <w:rsid w:val="00571C55"/>
    <w:rsid w:val="0057245D"/>
    <w:rsid w:val="00572C13"/>
    <w:rsid w:val="00573E49"/>
    <w:rsid w:val="0057418C"/>
    <w:rsid w:val="00574355"/>
    <w:rsid w:val="00574B9D"/>
    <w:rsid w:val="00574BAF"/>
    <w:rsid w:val="00574CFF"/>
    <w:rsid w:val="005757FA"/>
    <w:rsid w:val="005763B8"/>
    <w:rsid w:val="0057679A"/>
    <w:rsid w:val="005779F0"/>
    <w:rsid w:val="00577B78"/>
    <w:rsid w:val="00580041"/>
    <w:rsid w:val="00581559"/>
    <w:rsid w:val="005819DB"/>
    <w:rsid w:val="0058264B"/>
    <w:rsid w:val="00582B2F"/>
    <w:rsid w:val="005834D8"/>
    <w:rsid w:val="00583B27"/>
    <w:rsid w:val="005843EF"/>
    <w:rsid w:val="005846C8"/>
    <w:rsid w:val="005848B2"/>
    <w:rsid w:val="00585C27"/>
    <w:rsid w:val="00585C34"/>
    <w:rsid w:val="00586329"/>
    <w:rsid w:val="0058644F"/>
    <w:rsid w:val="00586AE2"/>
    <w:rsid w:val="00586D54"/>
    <w:rsid w:val="00586EF6"/>
    <w:rsid w:val="0058795F"/>
    <w:rsid w:val="00591174"/>
    <w:rsid w:val="00591F32"/>
    <w:rsid w:val="00593B71"/>
    <w:rsid w:val="00595717"/>
    <w:rsid w:val="00595860"/>
    <w:rsid w:val="005968C2"/>
    <w:rsid w:val="00596A0B"/>
    <w:rsid w:val="00596ABD"/>
    <w:rsid w:val="00596CE5"/>
    <w:rsid w:val="005972F4"/>
    <w:rsid w:val="00597536"/>
    <w:rsid w:val="005A0148"/>
    <w:rsid w:val="005A0EE7"/>
    <w:rsid w:val="005A18F4"/>
    <w:rsid w:val="005A2469"/>
    <w:rsid w:val="005A2C73"/>
    <w:rsid w:val="005A499C"/>
    <w:rsid w:val="005A5154"/>
    <w:rsid w:val="005A6267"/>
    <w:rsid w:val="005A6716"/>
    <w:rsid w:val="005A7050"/>
    <w:rsid w:val="005B0893"/>
    <w:rsid w:val="005B1D60"/>
    <w:rsid w:val="005B1EEB"/>
    <w:rsid w:val="005B1F2E"/>
    <w:rsid w:val="005B299D"/>
    <w:rsid w:val="005B51D1"/>
    <w:rsid w:val="005B536A"/>
    <w:rsid w:val="005B617A"/>
    <w:rsid w:val="005B627B"/>
    <w:rsid w:val="005B7AAD"/>
    <w:rsid w:val="005C04FC"/>
    <w:rsid w:val="005C0EA3"/>
    <w:rsid w:val="005C1056"/>
    <w:rsid w:val="005C1B7E"/>
    <w:rsid w:val="005C2302"/>
    <w:rsid w:val="005C2442"/>
    <w:rsid w:val="005C38AA"/>
    <w:rsid w:val="005C3E84"/>
    <w:rsid w:val="005C3FD6"/>
    <w:rsid w:val="005C47EC"/>
    <w:rsid w:val="005C484E"/>
    <w:rsid w:val="005C4EEE"/>
    <w:rsid w:val="005C5746"/>
    <w:rsid w:val="005C5F24"/>
    <w:rsid w:val="005C6A96"/>
    <w:rsid w:val="005C6CEC"/>
    <w:rsid w:val="005C7773"/>
    <w:rsid w:val="005C7D9B"/>
    <w:rsid w:val="005D0107"/>
    <w:rsid w:val="005D0379"/>
    <w:rsid w:val="005D0615"/>
    <w:rsid w:val="005D0BD6"/>
    <w:rsid w:val="005D1436"/>
    <w:rsid w:val="005D2D31"/>
    <w:rsid w:val="005D378E"/>
    <w:rsid w:val="005D4D23"/>
    <w:rsid w:val="005D4D37"/>
    <w:rsid w:val="005D5BB7"/>
    <w:rsid w:val="005D7712"/>
    <w:rsid w:val="005E0DDD"/>
    <w:rsid w:val="005E109C"/>
    <w:rsid w:val="005E258B"/>
    <w:rsid w:val="005E36E6"/>
    <w:rsid w:val="005E3C0B"/>
    <w:rsid w:val="005E472F"/>
    <w:rsid w:val="005E4AA4"/>
    <w:rsid w:val="005E5F20"/>
    <w:rsid w:val="005E6062"/>
    <w:rsid w:val="005E6932"/>
    <w:rsid w:val="005E7957"/>
    <w:rsid w:val="005E7E03"/>
    <w:rsid w:val="005F08E8"/>
    <w:rsid w:val="005F1E60"/>
    <w:rsid w:val="005F3758"/>
    <w:rsid w:val="005F4000"/>
    <w:rsid w:val="005F44E0"/>
    <w:rsid w:val="005F46C3"/>
    <w:rsid w:val="005F505B"/>
    <w:rsid w:val="005F50E4"/>
    <w:rsid w:val="005F5183"/>
    <w:rsid w:val="005F62A0"/>
    <w:rsid w:val="005F63C3"/>
    <w:rsid w:val="005F6668"/>
    <w:rsid w:val="005F677B"/>
    <w:rsid w:val="005F74A7"/>
    <w:rsid w:val="005F7C17"/>
    <w:rsid w:val="00601963"/>
    <w:rsid w:val="00601EA4"/>
    <w:rsid w:val="006025B1"/>
    <w:rsid w:val="0060370B"/>
    <w:rsid w:val="00604A75"/>
    <w:rsid w:val="006064CC"/>
    <w:rsid w:val="00607884"/>
    <w:rsid w:val="00607AB8"/>
    <w:rsid w:val="00607FF9"/>
    <w:rsid w:val="00610633"/>
    <w:rsid w:val="00610D47"/>
    <w:rsid w:val="006111A6"/>
    <w:rsid w:val="006116B7"/>
    <w:rsid w:val="00611B81"/>
    <w:rsid w:val="00611F39"/>
    <w:rsid w:val="00612490"/>
    <w:rsid w:val="00613B83"/>
    <w:rsid w:val="00613F78"/>
    <w:rsid w:val="006159F6"/>
    <w:rsid w:val="00616299"/>
    <w:rsid w:val="00616A25"/>
    <w:rsid w:val="0061782F"/>
    <w:rsid w:val="006200B9"/>
    <w:rsid w:val="006200E9"/>
    <w:rsid w:val="006209F8"/>
    <w:rsid w:val="00621D58"/>
    <w:rsid w:val="00624B12"/>
    <w:rsid w:val="0062592B"/>
    <w:rsid w:val="00625BAA"/>
    <w:rsid w:val="0062612D"/>
    <w:rsid w:val="006264D3"/>
    <w:rsid w:val="006265CC"/>
    <w:rsid w:val="00626A2A"/>
    <w:rsid w:val="00626AE3"/>
    <w:rsid w:val="00627097"/>
    <w:rsid w:val="006273ED"/>
    <w:rsid w:val="00630264"/>
    <w:rsid w:val="006306A0"/>
    <w:rsid w:val="00630AA9"/>
    <w:rsid w:val="00631084"/>
    <w:rsid w:val="0063166B"/>
    <w:rsid w:val="00631EBC"/>
    <w:rsid w:val="00632729"/>
    <w:rsid w:val="006346A5"/>
    <w:rsid w:val="00634F8A"/>
    <w:rsid w:val="00635231"/>
    <w:rsid w:val="00635851"/>
    <w:rsid w:val="00635B30"/>
    <w:rsid w:val="00635EE5"/>
    <w:rsid w:val="00636560"/>
    <w:rsid w:val="0063761C"/>
    <w:rsid w:val="00637F41"/>
    <w:rsid w:val="00640379"/>
    <w:rsid w:val="0064066E"/>
    <w:rsid w:val="0064087A"/>
    <w:rsid w:val="00640A81"/>
    <w:rsid w:val="00640AA9"/>
    <w:rsid w:val="006417B3"/>
    <w:rsid w:val="006419F6"/>
    <w:rsid w:val="00641E71"/>
    <w:rsid w:val="00642BBD"/>
    <w:rsid w:val="00642E83"/>
    <w:rsid w:val="00642FD8"/>
    <w:rsid w:val="00643D02"/>
    <w:rsid w:val="00644358"/>
    <w:rsid w:val="006449AE"/>
    <w:rsid w:val="0064545A"/>
    <w:rsid w:val="006459A3"/>
    <w:rsid w:val="0064628B"/>
    <w:rsid w:val="00646885"/>
    <w:rsid w:val="00647C0B"/>
    <w:rsid w:val="00650938"/>
    <w:rsid w:val="00650AF5"/>
    <w:rsid w:val="006525BF"/>
    <w:rsid w:val="00652814"/>
    <w:rsid w:val="00652B50"/>
    <w:rsid w:val="00652BD9"/>
    <w:rsid w:val="0065341A"/>
    <w:rsid w:val="00653A0C"/>
    <w:rsid w:val="00654AAD"/>
    <w:rsid w:val="00654EFA"/>
    <w:rsid w:val="00656893"/>
    <w:rsid w:val="00657534"/>
    <w:rsid w:val="006613D4"/>
    <w:rsid w:val="006619D8"/>
    <w:rsid w:val="00661C21"/>
    <w:rsid w:val="00662291"/>
    <w:rsid w:val="00662767"/>
    <w:rsid w:val="00662A19"/>
    <w:rsid w:val="00664AB0"/>
    <w:rsid w:val="00665051"/>
    <w:rsid w:val="0066605F"/>
    <w:rsid w:val="006668D2"/>
    <w:rsid w:val="00667428"/>
    <w:rsid w:val="006674C3"/>
    <w:rsid w:val="00667719"/>
    <w:rsid w:val="00670AF5"/>
    <w:rsid w:val="006715A0"/>
    <w:rsid w:val="00671C75"/>
    <w:rsid w:val="006722CD"/>
    <w:rsid w:val="006723CB"/>
    <w:rsid w:val="00672C1E"/>
    <w:rsid w:val="00673977"/>
    <w:rsid w:val="00675B36"/>
    <w:rsid w:val="00676109"/>
    <w:rsid w:val="006764E0"/>
    <w:rsid w:val="006765A4"/>
    <w:rsid w:val="00676680"/>
    <w:rsid w:val="00676793"/>
    <w:rsid w:val="0067691D"/>
    <w:rsid w:val="00677257"/>
    <w:rsid w:val="006777F4"/>
    <w:rsid w:val="006779CC"/>
    <w:rsid w:val="006808D5"/>
    <w:rsid w:val="00680F9D"/>
    <w:rsid w:val="0068183E"/>
    <w:rsid w:val="006818F3"/>
    <w:rsid w:val="00681FAF"/>
    <w:rsid w:val="0068297E"/>
    <w:rsid w:val="0068410E"/>
    <w:rsid w:val="00684E31"/>
    <w:rsid w:val="0068516B"/>
    <w:rsid w:val="006856AB"/>
    <w:rsid w:val="00685AFF"/>
    <w:rsid w:val="0068629A"/>
    <w:rsid w:val="00686EF3"/>
    <w:rsid w:val="00686F8A"/>
    <w:rsid w:val="00687083"/>
    <w:rsid w:val="006902EB"/>
    <w:rsid w:val="00690719"/>
    <w:rsid w:val="00690A3F"/>
    <w:rsid w:val="006943EF"/>
    <w:rsid w:val="006956D0"/>
    <w:rsid w:val="00696022"/>
    <w:rsid w:val="0069636F"/>
    <w:rsid w:val="0069696D"/>
    <w:rsid w:val="00696F68"/>
    <w:rsid w:val="006A0A72"/>
    <w:rsid w:val="006A1521"/>
    <w:rsid w:val="006A20E2"/>
    <w:rsid w:val="006A23FC"/>
    <w:rsid w:val="006A2834"/>
    <w:rsid w:val="006A3447"/>
    <w:rsid w:val="006A4332"/>
    <w:rsid w:val="006A5A4F"/>
    <w:rsid w:val="006A6AAE"/>
    <w:rsid w:val="006A6DA6"/>
    <w:rsid w:val="006A7FF1"/>
    <w:rsid w:val="006B1554"/>
    <w:rsid w:val="006B16BC"/>
    <w:rsid w:val="006B199A"/>
    <w:rsid w:val="006B21B6"/>
    <w:rsid w:val="006B23B8"/>
    <w:rsid w:val="006B2A65"/>
    <w:rsid w:val="006B2DDE"/>
    <w:rsid w:val="006B321F"/>
    <w:rsid w:val="006B5B06"/>
    <w:rsid w:val="006B5BFB"/>
    <w:rsid w:val="006B63A2"/>
    <w:rsid w:val="006B6606"/>
    <w:rsid w:val="006B7385"/>
    <w:rsid w:val="006C1922"/>
    <w:rsid w:val="006C38B3"/>
    <w:rsid w:val="006C3C9D"/>
    <w:rsid w:val="006C41EB"/>
    <w:rsid w:val="006C46F1"/>
    <w:rsid w:val="006C4850"/>
    <w:rsid w:val="006C4AAB"/>
    <w:rsid w:val="006C532C"/>
    <w:rsid w:val="006C6136"/>
    <w:rsid w:val="006C6463"/>
    <w:rsid w:val="006C685C"/>
    <w:rsid w:val="006C6B4B"/>
    <w:rsid w:val="006D0D89"/>
    <w:rsid w:val="006D1A16"/>
    <w:rsid w:val="006D1F63"/>
    <w:rsid w:val="006D1FBA"/>
    <w:rsid w:val="006D2101"/>
    <w:rsid w:val="006D2E1A"/>
    <w:rsid w:val="006D437E"/>
    <w:rsid w:val="006D4BF8"/>
    <w:rsid w:val="006D7CC0"/>
    <w:rsid w:val="006E0EE3"/>
    <w:rsid w:val="006E104A"/>
    <w:rsid w:val="006E2E68"/>
    <w:rsid w:val="006E32CA"/>
    <w:rsid w:val="006E3468"/>
    <w:rsid w:val="006E3624"/>
    <w:rsid w:val="006E4DEA"/>
    <w:rsid w:val="006E546D"/>
    <w:rsid w:val="006E5BD1"/>
    <w:rsid w:val="006E5CAE"/>
    <w:rsid w:val="006E6215"/>
    <w:rsid w:val="006E6C45"/>
    <w:rsid w:val="006F0491"/>
    <w:rsid w:val="006F06BB"/>
    <w:rsid w:val="006F1DF1"/>
    <w:rsid w:val="006F238E"/>
    <w:rsid w:val="006F2AA8"/>
    <w:rsid w:val="006F2DB5"/>
    <w:rsid w:val="006F3421"/>
    <w:rsid w:val="006F3462"/>
    <w:rsid w:val="006F3551"/>
    <w:rsid w:val="006F3A9F"/>
    <w:rsid w:val="006F3B0B"/>
    <w:rsid w:val="006F3F71"/>
    <w:rsid w:val="006F54B0"/>
    <w:rsid w:val="006F5C52"/>
    <w:rsid w:val="006F62BD"/>
    <w:rsid w:val="006F6B01"/>
    <w:rsid w:val="006F7C63"/>
    <w:rsid w:val="00700077"/>
    <w:rsid w:val="00700886"/>
    <w:rsid w:val="00700901"/>
    <w:rsid w:val="00701088"/>
    <w:rsid w:val="007033AA"/>
    <w:rsid w:val="007037B1"/>
    <w:rsid w:val="007038F0"/>
    <w:rsid w:val="007044A3"/>
    <w:rsid w:val="0070756B"/>
    <w:rsid w:val="00707582"/>
    <w:rsid w:val="0070783B"/>
    <w:rsid w:val="007079FE"/>
    <w:rsid w:val="00707EC3"/>
    <w:rsid w:val="00710923"/>
    <w:rsid w:val="00711D4F"/>
    <w:rsid w:val="00711DFE"/>
    <w:rsid w:val="007130A3"/>
    <w:rsid w:val="007137E1"/>
    <w:rsid w:val="0071419F"/>
    <w:rsid w:val="00716D03"/>
    <w:rsid w:val="00720124"/>
    <w:rsid w:val="007225A9"/>
    <w:rsid w:val="0072284F"/>
    <w:rsid w:val="0072288F"/>
    <w:rsid w:val="00722B10"/>
    <w:rsid w:val="00723523"/>
    <w:rsid w:val="007244BC"/>
    <w:rsid w:val="00724704"/>
    <w:rsid w:val="00725119"/>
    <w:rsid w:val="00725289"/>
    <w:rsid w:val="0072554A"/>
    <w:rsid w:val="00725D01"/>
    <w:rsid w:val="0072641A"/>
    <w:rsid w:val="007270C7"/>
    <w:rsid w:val="007275D3"/>
    <w:rsid w:val="007275F5"/>
    <w:rsid w:val="007306E6"/>
    <w:rsid w:val="00730B65"/>
    <w:rsid w:val="00730EC0"/>
    <w:rsid w:val="00730F10"/>
    <w:rsid w:val="00731EC4"/>
    <w:rsid w:val="00731F6F"/>
    <w:rsid w:val="0073294C"/>
    <w:rsid w:val="007330AB"/>
    <w:rsid w:val="0073322F"/>
    <w:rsid w:val="0073336A"/>
    <w:rsid w:val="00733A0C"/>
    <w:rsid w:val="00733D3E"/>
    <w:rsid w:val="00733D55"/>
    <w:rsid w:val="00736912"/>
    <w:rsid w:val="007402FD"/>
    <w:rsid w:val="0074091E"/>
    <w:rsid w:val="00740A0D"/>
    <w:rsid w:val="0074126C"/>
    <w:rsid w:val="00741808"/>
    <w:rsid w:val="00742180"/>
    <w:rsid w:val="00742191"/>
    <w:rsid w:val="0074227B"/>
    <w:rsid w:val="00742636"/>
    <w:rsid w:val="00743428"/>
    <w:rsid w:val="00743F5D"/>
    <w:rsid w:val="00743F63"/>
    <w:rsid w:val="00744FB3"/>
    <w:rsid w:val="007468CE"/>
    <w:rsid w:val="00746D50"/>
    <w:rsid w:val="00747156"/>
    <w:rsid w:val="007476C1"/>
    <w:rsid w:val="00747A71"/>
    <w:rsid w:val="00747C70"/>
    <w:rsid w:val="007501BF"/>
    <w:rsid w:val="00750B29"/>
    <w:rsid w:val="00750C4B"/>
    <w:rsid w:val="00751422"/>
    <w:rsid w:val="00751986"/>
    <w:rsid w:val="00751E68"/>
    <w:rsid w:val="00751FEE"/>
    <w:rsid w:val="00752C5D"/>
    <w:rsid w:val="00752DDE"/>
    <w:rsid w:val="00752EE2"/>
    <w:rsid w:val="007535F0"/>
    <w:rsid w:val="00753686"/>
    <w:rsid w:val="007539A8"/>
    <w:rsid w:val="00754774"/>
    <w:rsid w:val="00754846"/>
    <w:rsid w:val="00755111"/>
    <w:rsid w:val="007559EF"/>
    <w:rsid w:val="00757111"/>
    <w:rsid w:val="007576DC"/>
    <w:rsid w:val="00761F27"/>
    <w:rsid w:val="007622A2"/>
    <w:rsid w:val="007624F4"/>
    <w:rsid w:val="007625D9"/>
    <w:rsid w:val="007629D6"/>
    <w:rsid w:val="007644C4"/>
    <w:rsid w:val="00765B02"/>
    <w:rsid w:val="00766049"/>
    <w:rsid w:val="00766479"/>
    <w:rsid w:val="0076793B"/>
    <w:rsid w:val="00767B55"/>
    <w:rsid w:val="00767DBF"/>
    <w:rsid w:val="00770023"/>
    <w:rsid w:val="00770B41"/>
    <w:rsid w:val="00770B47"/>
    <w:rsid w:val="00770DCD"/>
    <w:rsid w:val="007722FC"/>
    <w:rsid w:val="00772E7E"/>
    <w:rsid w:val="007739A4"/>
    <w:rsid w:val="00773C06"/>
    <w:rsid w:val="00773F9F"/>
    <w:rsid w:val="007747AA"/>
    <w:rsid w:val="00776229"/>
    <w:rsid w:val="007772BB"/>
    <w:rsid w:val="00777842"/>
    <w:rsid w:val="00777BE3"/>
    <w:rsid w:val="00780347"/>
    <w:rsid w:val="00781E8E"/>
    <w:rsid w:val="007824BD"/>
    <w:rsid w:val="0078296B"/>
    <w:rsid w:val="00782AF2"/>
    <w:rsid w:val="00782B99"/>
    <w:rsid w:val="007833C1"/>
    <w:rsid w:val="007835F2"/>
    <w:rsid w:val="007846F5"/>
    <w:rsid w:val="00785A2A"/>
    <w:rsid w:val="00785C59"/>
    <w:rsid w:val="00785E48"/>
    <w:rsid w:val="00786950"/>
    <w:rsid w:val="00786A3E"/>
    <w:rsid w:val="00786F93"/>
    <w:rsid w:val="0079043C"/>
    <w:rsid w:val="00790E5E"/>
    <w:rsid w:val="00791A80"/>
    <w:rsid w:val="00792033"/>
    <w:rsid w:val="00793170"/>
    <w:rsid w:val="0079358D"/>
    <w:rsid w:val="007935DF"/>
    <w:rsid w:val="00794F48"/>
    <w:rsid w:val="00795B86"/>
    <w:rsid w:val="00796034"/>
    <w:rsid w:val="007963BF"/>
    <w:rsid w:val="00796CB7"/>
    <w:rsid w:val="00797085"/>
    <w:rsid w:val="007A0BF6"/>
    <w:rsid w:val="007A2409"/>
    <w:rsid w:val="007A265B"/>
    <w:rsid w:val="007A373D"/>
    <w:rsid w:val="007A5441"/>
    <w:rsid w:val="007A612F"/>
    <w:rsid w:val="007A68E1"/>
    <w:rsid w:val="007A693D"/>
    <w:rsid w:val="007A71BF"/>
    <w:rsid w:val="007A754E"/>
    <w:rsid w:val="007A75EF"/>
    <w:rsid w:val="007A7693"/>
    <w:rsid w:val="007A7DC0"/>
    <w:rsid w:val="007B055B"/>
    <w:rsid w:val="007B0C3D"/>
    <w:rsid w:val="007B1CDE"/>
    <w:rsid w:val="007B2C05"/>
    <w:rsid w:val="007B2CA4"/>
    <w:rsid w:val="007B383C"/>
    <w:rsid w:val="007B6610"/>
    <w:rsid w:val="007B7DDF"/>
    <w:rsid w:val="007C00E6"/>
    <w:rsid w:val="007C0179"/>
    <w:rsid w:val="007C03F9"/>
    <w:rsid w:val="007C0AD9"/>
    <w:rsid w:val="007C0FE8"/>
    <w:rsid w:val="007C16D3"/>
    <w:rsid w:val="007C3B18"/>
    <w:rsid w:val="007C4D9A"/>
    <w:rsid w:val="007C50D7"/>
    <w:rsid w:val="007C527C"/>
    <w:rsid w:val="007C5883"/>
    <w:rsid w:val="007C6948"/>
    <w:rsid w:val="007C70EE"/>
    <w:rsid w:val="007C74EC"/>
    <w:rsid w:val="007D04B2"/>
    <w:rsid w:val="007D149D"/>
    <w:rsid w:val="007D3370"/>
    <w:rsid w:val="007D337D"/>
    <w:rsid w:val="007D3652"/>
    <w:rsid w:val="007D4676"/>
    <w:rsid w:val="007D5050"/>
    <w:rsid w:val="007D51AD"/>
    <w:rsid w:val="007D570D"/>
    <w:rsid w:val="007D5A0B"/>
    <w:rsid w:val="007D5C67"/>
    <w:rsid w:val="007D653C"/>
    <w:rsid w:val="007D6857"/>
    <w:rsid w:val="007D69BB"/>
    <w:rsid w:val="007D7DF8"/>
    <w:rsid w:val="007E0179"/>
    <w:rsid w:val="007E07EC"/>
    <w:rsid w:val="007E1ABB"/>
    <w:rsid w:val="007E3459"/>
    <w:rsid w:val="007E6570"/>
    <w:rsid w:val="007E6EFE"/>
    <w:rsid w:val="007F05D9"/>
    <w:rsid w:val="007F2680"/>
    <w:rsid w:val="007F2CF1"/>
    <w:rsid w:val="007F308A"/>
    <w:rsid w:val="007F322E"/>
    <w:rsid w:val="007F4AB3"/>
    <w:rsid w:val="007F64F1"/>
    <w:rsid w:val="007F6B04"/>
    <w:rsid w:val="007F6BE9"/>
    <w:rsid w:val="007F7096"/>
    <w:rsid w:val="007F7393"/>
    <w:rsid w:val="007F74CD"/>
    <w:rsid w:val="00802883"/>
    <w:rsid w:val="0080291F"/>
    <w:rsid w:val="00802F8A"/>
    <w:rsid w:val="008031B6"/>
    <w:rsid w:val="00805462"/>
    <w:rsid w:val="008055B9"/>
    <w:rsid w:val="00805CBA"/>
    <w:rsid w:val="00806317"/>
    <w:rsid w:val="00806372"/>
    <w:rsid w:val="00806ACE"/>
    <w:rsid w:val="00807EF0"/>
    <w:rsid w:val="008117F1"/>
    <w:rsid w:val="00811A9F"/>
    <w:rsid w:val="00812C06"/>
    <w:rsid w:val="00813041"/>
    <w:rsid w:val="0081314C"/>
    <w:rsid w:val="008142F5"/>
    <w:rsid w:val="008147EC"/>
    <w:rsid w:val="00814A64"/>
    <w:rsid w:val="00816359"/>
    <w:rsid w:val="0081650C"/>
    <w:rsid w:val="00816871"/>
    <w:rsid w:val="00817290"/>
    <w:rsid w:val="008172EC"/>
    <w:rsid w:val="00817B85"/>
    <w:rsid w:val="00817F5B"/>
    <w:rsid w:val="00820C61"/>
    <w:rsid w:val="008229EC"/>
    <w:rsid w:val="00822AA7"/>
    <w:rsid w:val="00822F5F"/>
    <w:rsid w:val="008238C6"/>
    <w:rsid w:val="00824043"/>
    <w:rsid w:val="00824668"/>
    <w:rsid w:val="00825A6B"/>
    <w:rsid w:val="0082634B"/>
    <w:rsid w:val="008269E2"/>
    <w:rsid w:val="0082716A"/>
    <w:rsid w:val="008274E2"/>
    <w:rsid w:val="008278F8"/>
    <w:rsid w:val="008308CD"/>
    <w:rsid w:val="00831B61"/>
    <w:rsid w:val="00831C30"/>
    <w:rsid w:val="00831E93"/>
    <w:rsid w:val="0083254E"/>
    <w:rsid w:val="00832EDF"/>
    <w:rsid w:val="00833180"/>
    <w:rsid w:val="0083383E"/>
    <w:rsid w:val="00833ACA"/>
    <w:rsid w:val="008340E0"/>
    <w:rsid w:val="00834452"/>
    <w:rsid w:val="008346AD"/>
    <w:rsid w:val="00834E80"/>
    <w:rsid w:val="00835803"/>
    <w:rsid w:val="008366EA"/>
    <w:rsid w:val="008374E1"/>
    <w:rsid w:val="00837676"/>
    <w:rsid w:val="00837CFF"/>
    <w:rsid w:val="0084001E"/>
    <w:rsid w:val="008405CD"/>
    <w:rsid w:val="00840B93"/>
    <w:rsid w:val="008416E9"/>
    <w:rsid w:val="00841B6F"/>
    <w:rsid w:val="00842565"/>
    <w:rsid w:val="00842C5E"/>
    <w:rsid w:val="00842CC6"/>
    <w:rsid w:val="00842DDC"/>
    <w:rsid w:val="00842E44"/>
    <w:rsid w:val="0084415D"/>
    <w:rsid w:val="00844591"/>
    <w:rsid w:val="008448CB"/>
    <w:rsid w:val="0084589F"/>
    <w:rsid w:val="00845933"/>
    <w:rsid w:val="00847FD2"/>
    <w:rsid w:val="00850DDB"/>
    <w:rsid w:val="008521C7"/>
    <w:rsid w:val="00854701"/>
    <w:rsid w:val="00854AD9"/>
    <w:rsid w:val="00855176"/>
    <w:rsid w:val="00855A36"/>
    <w:rsid w:val="00855FFA"/>
    <w:rsid w:val="00856588"/>
    <w:rsid w:val="00860454"/>
    <w:rsid w:val="008604F0"/>
    <w:rsid w:val="0086117C"/>
    <w:rsid w:val="008613DD"/>
    <w:rsid w:val="0086243B"/>
    <w:rsid w:val="0086301C"/>
    <w:rsid w:val="0086350F"/>
    <w:rsid w:val="0086398E"/>
    <w:rsid w:val="00863BDD"/>
    <w:rsid w:val="00863D32"/>
    <w:rsid w:val="0086487A"/>
    <w:rsid w:val="00864BD3"/>
    <w:rsid w:val="00866331"/>
    <w:rsid w:val="0087040E"/>
    <w:rsid w:val="00870C94"/>
    <w:rsid w:val="00871258"/>
    <w:rsid w:val="00871B83"/>
    <w:rsid w:val="00871FE2"/>
    <w:rsid w:val="00872626"/>
    <w:rsid w:val="00872CCC"/>
    <w:rsid w:val="008738DC"/>
    <w:rsid w:val="0087434B"/>
    <w:rsid w:val="008750AA"/>
    <w:rsid w:val="00876B68"/>
    <w:rsid w:val="008771D1"/>
    <w:rsid w:val="00877511"/>
    <w:rsid w:val="00877CF0"/>
    <w:rsid w:val="008808AC"/>
    <w:rsid w:val="00881875"/>
    <w:rsid w:val="00882180"/>
    <w:rsid w:val="008825E1"/>
    <w:rsid w:val="008827AA"/>
    <w:rsid w:val="0088312E"/>
    <w:rsid w:val="0088373A"/>
    <w:rsid w:val="00883BC9"/>
    <w:rsid w:val="0088409E"/>
    <w:rsid w:val="0088431F"/>
    <w:rsid w:val="008849CE"/>
    <w:rsid w:val="00884D2C"/>
    <w:rsid w:val="00884F06"/>
    <w:rsid w:val="00885A48"/>
    <w:rsid w:val="00886622"/>
    <w:rsid w:val="0088683A"/>
    <w:rsid w:val="00887EA1"/>
    <w:rsid w:val="00890B40"/>
    <w:rsid w:val="00894D33"/>
    <w:rsid w:val="008953A1"/>
    <w:rsid w:val="008967D4"/>
    <w:rsid w:val="00896DD2"/>
    <w:rsid w:val="00897831"/>
    <w:rsid w:val="00897C41"/>
    <w:rsid w:val="008A0A10"/>
    <w:rsid w:val="008A19E0"/>
    <w:rsid w:val="008A1EEC"/>
    <w:rsid w:val="008A25C7"/>
    <w:rsid w:val="008A2E99"/>
    <w:rsid w:val="008A3676"/>
    <w:rsid w:val="008A3755"/>
    <w:rsid w:val="008A3E7C"/>
    <w:rsid w:val="008A41BF"/>
    <w:rsid w:val="008A41F2"/>
    <w:rsid w:val="008A446E"/>
    <w:rsid w:val="008A48F1"/>
    <w:rsid w:val="008A52B6"/>
    <w:rsid w:val="008A63D3"/>
    <w:rsid w:val="008A6C5F"/>
    <w:rsid w:val="008A7D76"/>
    <w:rsid w:val="008A7DF6"/>
    <w:rsid w:val="008A7F6D"/>
    <w:rsid w:val="008A7F88"/>
    <w:rsid w:val="008B05ED"/>
    <w:rsid w:val="008B0EEA"/>
    <w:rsid w:val="008B1899"/>
    <w:rsid w:val="008B2525"/>
    <w:rsid w:val="008B2E4B"/>
    <w:rsid w:val="008B3A07"/>
    <w:rsid w:val="008B3E89"/>
    <w:rsid w:val="008B49F2"/>
    <w:rsid w:val="008B5645"/>
    <w:rsid w:val="008B5B84"/>
    <w:rsid w:val="008B61D8"/>
    <w:rsid w:val="008B70F5"/>
    <w:rsid w:val="008B7C6A"/>
    <w:rsid w:val="008B7F70"/>
    <w:rsid w:val="008C06E8"/>
    <w:rsid w:val="008C073A"/>
    <w:rsid w:val="008C2740"/>
    <w:rsid w:val="008C361E"/>
    <w:rsid w:val="008C364F"/>
    <w:rsid w:val="008C3985"/>
    <w:rsid w:val="008C3D79"/>
    <w:rsid w:val="008C4191"/>
    <w:rsid w:val="008C4B43"/>
    <w:rsid w:val="008C4BAA"/>
    <w:rsid w:val="008C4E94"/>
    <w:rsid w:val="008C5E08"/>
    <w:rsid w:val="008D172C"/>
    <w:rsid w:val="008D17E6"/>
    <w:rsid w:val="008D1B87"/>
    <w:rsid w:val="008D276D"/>
    <w:rsid w:val="008D2AC8"/>
    <w:rsid w:val="008D3341"/>
    <w:rsid w:val="008D3E6B"/>
    <w:rsid w:val="008D4188"/>
    <w:rsid w:val="008D4FF4"/>
    <w:rsid w:val="008D5760"/>
    <w:rsid w:val="008D6CF5"/>
    <w:rsid w:val="008D713A"/>
    <w:rsid w:val="008D7AA2"/>
    <w:rsid w:val="008D7D2C"/>
    <w:rsid w:val="008E0120"/>
    <w:rsid w:val="008E1BAC"/>
    <w:rsid w:val="008E2F9B"/>
    <w:rsid w:val="008E4CFE"/>
    <w:rsid w:val="008E6CDC"/>
    <w:rsid w:val="008E7315"/>
    <w:rsid w:val="008E765C"/>
    <w:rsid w:val="008E7B78"/>
    <w:rsid w:val="008E7F31"/>
    <w:rsid w:val="008F088E"/>
    <w:rsid w:val="008F08C3"/>
    <w:rsid w:val="008F0B0C"/>
    <w:rsid w:val="008F1052"/>
    <w:rsid w:val="008F1433"/>
    <w:rsid w:val="008F17CF"/>
    <w:rsid w:val="008F206E"/>
    <w:rsid w:val="008F2CA1"/>
    <w:rsid w:val="008F41EC"/>
    <w:rsid w:val="008F4B30"/>
    <w:rsid w:val="008F4EBF"/>
    <w:rsid w:val="008F5B6A"/>
    <w:rsid w:val="008F670D"/>
    <w:rsid w:val="008F68A3"/>
    <w:rsid w:val="008F73E4"/>
    <w:rsid w:val="0090006A"/>
    <w:rsid w:val="00900368"/>
    <w:rsid w:val="009010E3"/>
    <w:rsid w:val="00901239"/>
    <w:rsid w:val="00901F20"/>
    <w:rsid w:val="00903C3D"/>
    <w:rsid w:val="009041C2"/>
    <w:rsid w:val="009043DC"/>
    <w:rsid w:val="009049B3"/>
    <w:rsid w:val="009058F3"/>
    <w:rsid w:val="009074AD"/>
    <w:rsid w:val="00907B64"/>
    <w:rsid w:val="00912426"/>
    <w:rsid w:val="00912753"/>
    <w:rsid w:val="00912A5F"/>
    <w:rsid w:val="00912B65"/>
    <w:rsid w:val="00912F01"/>
    <w:rsid w:val="00914B3A"/>
    <w:rsid w:val="00915062"/>
    <w:rsid w:val="009152DC"/>
    <w:rsid w:val="00916B33"/>
    <w:rsid w:val="00916BF1"/>
    <w:rsid w:val="00920FEB"/>
    <w:rsid w:val="00921562"/>
    <w:rsid w:val="0092337E"/>
    <w:rsid w:val="009250BD"/>
    <w:rsid w:val="009253FA"/>
    <w:rsid w:val="0092549D"/>
    <w:rsid w:val="009259F9"/>
    <w:rsid w:val="00925F33"/>
    <w:rsid w:val="00926233"/>
    <w:rsid w:val="00927060"/>
    <w:rsid w:val="00927797"/>
    <w:rsid w:val="009301EE"/>
    <w:rsid w:val="00930B09"/>
    <w:rsid w:val="00931193"/>
    <w:rsid w:val="0093182E"/>
    <w:rsid w:val="009319C3"/>
    <w:rsid w:val="00932196"/>
    <w:rsid w:val="00932397"/>
    <w:rsid w:val="0093388C"/>
    <w:rsid w:val="009340F4"/>
    <w:rsid w:val="009351A4"/>
    <w:rsid w:val="00935353"/>
    <w:rsid w:val="00935A15"/>
    <w:rsid w:val="00935DB9"/>
    <w:rsid w:val="0093606B"/>
    <w:rsid w:val="00936A19"/>
    <w:rsid w:val="00936B1A"/>
    <w:rsid w:val="00937F1E"/>
    <w:rsid w:val="009400C5"/>
    <w:rsid w:val="009405FF"/>
    <w:rsid w:val="009407B8"/>
    <w:rsid w:val="00940A75"/>
    <w:rsid w:val="00940E9B"/>
    <w:rsid w:val="009416DD"/>
    <w:rsid w:val="00941D24"/>
    <w:rsid w:val="0094488D"/>
    <w:rsid w:val="0094581E"/>
    <w:rsid w:val="00945FED"/>
    <w:rsid w:val="009473B4"/>
    <w:rsid w:val="00947806"/>
    <w:rsid w:val="00947DD7"/>
    <w:rsid w:val="00947FF3"/>
    <w:rsid w:val="00950179"/>
    <w:rsid w:val="00950554"/>
    <w:rsid w:val="00950797"/>
    <w:rsid w:val="00950C7E"/>
    <w:rsid w:val="00950D24"/>
    <w:rsid w:val="00951F25"/>
    <w:rsid w:val="009524A1"/>
    <w:rsid w:val="00952734"/>
    <w:rsid w:val="00954AA5"/>
    <w:rsid w:val="00954BFB"/>
    <w:rsid w:val="009551B5"/>
    <w:rsid w:val="00955B07"/>
    <w:rsid w:val="00956B87"/>
    <w:rsid w:val="00957224"/>
    <w:rsid w:val="00957D44"/>
    <w:rsid w:val="009615CA"/>
    <w:rsid w:val="00961776"/>
    <w:rsid w:val="00961A59"/>
    <w:rsid w:val="00962C8D"/>
    <w:rsid w:val="00962EC2"/>
    <w:rsid w:val="00963C0A"/>
    <w:rsid w:val="00963E96"/>
    <w:rsid w:val="00964674"/>
    <w:rsid w:val="0096564A"/>
    <w:rsid w:val="00965E7B"/>
    <w:rsid w:val="00966C9F"/>
    <w:rsid w:val="00966F62"/>
    <w:rsid w:val="0096723F"/>
    <w:rsid w:val="00967BBC"/>
    <w:rsid w:val="00970068"/>
    <w:rsid w:val="009711D0"/>
    <w:rsid w:val="009721D5"/>
    <w:rsid w:val="009725CC"/>
    <w:rsid w:val="009742E5"/>
    <w:rsid w:val="00975CF1"/>
    <w:rsid w:val="00976749"/>
    <w:rsid w:val="00977074"/>
    <w:rsid w:val="00977394"/>
    <w:rsid w:val="00977DE3"/>
    <w:rsid w:val="009802F7"/>
    <w:rsid w:val="009812C0"/>
    <w:rsid w:val="0098158E"/>
    <w:rsid w:val="00982434"/>
    <w:rsid w:val="009828B2"/>
    <w:rsid w:val="00982A1B"/>
    <w:rsid w:val="00983148"/>
    <w:rsid w:val="009837C8"/>
    <w:rsid w:val="009840A9"/>
    <w:rsid w:val="009843AC"/>
    <w:rsid w:val="00984889"/>
    <w:rsid w:val="00984933"/>
    <w:rsid w:val="0098506B"/>
    <w:rsid w:val="009854DC"/>
    <w:rsid w:val="00985A00"/>
    <w:rsid w:val="00986ED9"/>
    <w:rsid w:val="00987B5D"/>
    <w:rsid w:val="00987E41"/>
    <w:rsid w:val="00990498"/>
    <w:rsid w:val="00991581"/>
    <w:rsid w:val="0099200A"/>
    <w:rsid w:val="009924BE"/>
    <w:rsid w:val="00993652"/>
    <w:rsid w:val="00994083"/>
    <w:rsid w:val="00994230"/>
    <w:rsid w:val="00995152"/>
    <w:rsid w:val="00995884"/>
    <w:rsid w:val="0099621E"/>
    <w:rsid w:val="0099795F"/>
    <w:rsid w:val="009A0AF0"/>
    <w:rsid w:val="009A2359"/>
    <w:rsid w:val="009A23AA"/>
    <w:rsid w:val="009A387D"/>
    <w:rsid w:val="009A3A55"/>
    <w:rsid w:val="009A3E53"/>
    <w:rsid w:val="009A4708"/>
    <w:rsid w:val="009A54F2"/>
    <w:rsid w:val="009A62EB"/>
    <w:rsid w:val="009A634F"/>
    <w:rsid w:val="009A6863"/>
    <w:rsid w:val="009A7EA8"/>
    <w:rsid w:val="009B02C4"/>
    <w:rsid w:val="009B03CD"/>
    <w:rsid w:val="009B0B6A"/>
    <w:rsid w:val="009B0EA0"/>
    <w:rsid w:val="009B120D"/>
    <w:rsid w:val="009B185E"/>
    <w:rsid w:val="009B327F"/>
    <w:rsid w:val="009B37C1"/>
    <w:rsid w:val="009B3AF9"/>
    <w:rsid w:val="009B3BFD"/>
    <w:rsid w:val="009B4546"/>
    <w:rsid w:val="009B4E57"/>
    <w:rsid w:val="009B4FB3"/>
    <w:rsid w:val="009B706A"/>
    <w:rsid w:val="009B783C"/>
    <w:rsid w:val="009C06B5"/>
    <w:rsid w:val="009C0ECD"/>
    <w:rsid w:val="009C1093"/>
    <w:rsid w:val="009C1136"/>
    <w:rsid w:val="009C152E"/>
    <w:rsid w:val="009C1A04"/>
    <w:rsid w:val="009C1C45"/>
    <w:rsid w:val="009C21D5"/>
    <w:rsid w:val="009C300D"/>
    <w:rsid w:val="009C30EA"/>
    <w:rsid w:val="009C3F71"/>
    <w:rsid w:val="009C4060"/>
    <w:rsid w:val="009C4BC3"/>
    <w:rsid w:val="009C4D37"/>
    <w:rsid w:val="009C621A"/>
    <w:rsid w:val="009C65DB"/>
    <w:rsid w:val="009C72DA"/>
    <w:rsid w:val="009C748D"/>
    <w:rsid w:val="009D0C56"/>
    <w:rsid w:val="009D138C"/>
    <w:rsid w:val="009D1DE0"/>
    <w:rsid w:val="009D2042"/>
    <w:rsid w:val="009D3A51"/>
    <w:rsid w:val="009D423F"/>
    <w:rsid w:val="009D4940"/>
    <w:rsid w:val="009D4F54"/>
    <w:rsid w:val="009D6003"/>
    <w:rsid w:val="009D60D4"/>
    <w:rsid w:val="009D6895"/>
    <w:rsid w:val="009D7D30"/>
    <w:rsid w:val="009E0A8D"/>
    <w:rsid w:val="009E0F54"/>
    <w:rsid w:val="009E218A"/>
    <w:rsid w:val="009E241A"/>
    <w:rsid w:val="009E254A"/>
    <w:rsid w:val="009E257D"/>
    <w:rsid w:val="009E3462"/>
    <w:rsid w:val="009E3EE5"/>
    <w:rsid w:val="009E4E9B"/>
    <w:rsid w:val="009E56E2"/>
    <w:rsid w:val="009E56FE"/>
    <w:rsid w:val="009E5AE2"/>
    <w:rsid w:val="009E5B64"/>
    <w:rsid w:val="009E5DFD"/>
    <w:rsid w:val="009E640A"/>
    <w:rsid w:val="009E6D31"/>
    <w:rsid w:val="009E6F24"/>
    <w:rsid w:val="009E73BA"/>
    <w:rsid w:val="009E76B5"/>
    <w:rsid w:val="009F220D"/>
    <w:rsid w:val="009F250E"/>
    <w:rsid w:val="009F268E"/>
    <w:rsid w:val="009F2855"/>
    <w:rsid w:val="009F2C8A"/>
    <w:rsid w:val="009F3878"/>
    <w:rsid w:val="009F4118"/>
    <w:rsid w:val="009F49E2"/>
    <w:rsid w:val="009F4B1C"/>
    <w:rsid w:val="009F52D5"/>
    <w:rsid w:val="009F5563"/>
    <w:rsid w:val="009F686E"/>
    <w:rsid w:val="009F686F"/>
    <w:rsid w:val="009F6AA4"/>
    <w:rsid w:val="009F6D80"/>
    <w:rsid w:val="009F7BD7"/>
    <w:rsid w:val="00A01389"/>
    <w:rsid w:val="00A0213F"/>
    <w:rsid w:val="00A04AAD"/>
    <w:rsid w:val="00A04EEF"/>
    <w:rsid w:val="00A04F51"/>
    <w:rsid w:val="00A06167"/>
    <w:rsid w:val="00A06C9B"/>
    <w:rsid w:val="00A06F8F"/>
    <w:rsid w:val="00A07528"/>
    <w:rsid w:val="00A07BAF"/>
    <w:rsid w:val="00A10F94"/>
    <w:rsid w:val="00A118E0"/>
    <w:rsid w:val="00A12A5A"/>
    <w:rsid w:val="00A12AE2"/>
    <w:rsid w:val="00A12DFD"/>
    <w:rsid w:val="00A13543"/>
    <w:rsid w:val="00A13F8F"/>
    <w:rsid w:val="00A14470"/>
    <w:rsid w:val="00A14DC3"/>
    <w:rsid w:val="00A15421"/>
    <w:rsid w:val="00A169E5"/>
    <w:rsid w:val="00A16AE0"/>
    <w:rsid w:val="00A16ED5"/>
    <w:rsid w:val="00A2188E"/>
    <w:rsid w:val="00A21E3C"/>
    <w:rsid w:val="00A239B7"/>
    <w:rsid w:val="00A23E8B"/>
    <w:rsid w:val="00A269D9"/>
    <w:rsid w:val="00A2734C"/>
    <w:rsid w:val="00A27A74"/>
    <w:rsid w:val="00A32B78"/>
    <w:rsid w:val="00A34849"/>
    <w:rsid w:val="00A35BA8"/>
    <w:rsid w:val="00A36510"/>
    <w:rsid w:val="00A419FB"/>
    <w:rsid w:val="00A41A39"/>
    <w:rsid w:val="00A41CB7"/>
    <w:rsid w:val="00A4352E"/>
    <w:rsid w:val="00A43726"/>
    <w:rsid w:val="00A43843"/>
    <w:rsid w:val="00A4415D"/>
    <w:rsid w:val="00A44203"/>
    <w:rsid w:val="00A446FE"/>
    <w:rsid w:val="00A44AF1"/>
    <w:rsid w:val="00A45143"/>
    <w:rsid w:val="00A45254"/>
    <w:rsid w:val="00A45A8D"/>
    <w:rsid w:val="00A45FF3"/>
    <w:rsid w:val="00A5180A"/>
    <w:rsid w:val="00A523B2"/>
    <w:rsid w:val="00A527EA"/>
    <w:rsid w:val="00A5319F"/>
    <w:rsid w:val="00A5378C"/>
    <w:rsid w:val="00A53A1D"/>
    <w:rsid w:val="00A54304"/>
    <w:rsid w:val="00A55DF3"/>
    <w:rsid w:val="00A564DE"/>
    <w:rsid w:val="00A56840"/>
    <w:rsid w:val="00A568AA"/>
    <w:rsid w:val="00A568BE"/>
    <w:rsid w:val="00A57873"/>
    <w:rsid w:val="00A600F6"/>
    <w:rsid w:val="00A6049C"/>
    <w:rsid w:val="00A609B7"/>
    <w:rsid w:val="00A61A31"/>
    <w:rsid w:val="00A61A36"/>
    <w:rsid w:val="00A61D51"/>
    <w:rsid w:val="00A62270"/>
    <w:rsid w:val="00A62579"/>
    <w:rsid w:val="00A62A7F"/>
    <w:rsid w:val="00A62D4B"/>
    <w:rsid w:val="00A62DDD"/>
    <w:rsid w:val="00A63185"/>
    <w:rsid w:val="00A640F1"/>
    <w:rsid w:val="00A64C8C"/>
    <w:rsid w:val="00A64CAD"/>
    <w:rsid w:val="00A65B12"/>
    <w:rsid w:val="00A66CBA"/>
    <w:rsid w:val="00A66E7E"/>
    <w:rsid w:val="00A70821"/>
    <w:rsid w:val="00A72A25"/>
    <w:rsid w:val="00A753AC"/>
    <w:rsid w:val="00A75A46"/>
    <w:rsid w:val="00A75DF9"/>
    <w:rsid w:val="00A76758"/>
    <w:rsid w:val="00A767F2"/>
    <w:rsid w:val="00A76AD3"/>
    <w:rsid w:val="00A7733D"/>
    <w:rsid w:val="00A80A05"/>
    <w:rsid w:val="00A81022"/>
    <w:rsid w:val="00A81AF8"/>
    <w:rsid w:val="00A81DC6"/>
    <w:rsid w:val="00A833E8"/>
    <w:rsid w:val="00A83401"/>
    <w:rsid w:val="00A83A59"/>
    <w:rsid w:val="00A83AFD"/>
    <w:rsid w:val="00A84AF6"/>
    <w:rsid w:val="00A8557D"/>
    <w:rsid w:val="00A85B21"/>
    <w:rsid w:val="00A85B76"/>
    <w:rsid w:val="00A86E80"/>
    <w:rsid w:val="00A879CE"/>
    <w:rsid w:val="00A905BD"/>
    <w:rsid w:val="00A9102D"/>
    <w:rsid w:val="00A9134F"/>
    <w:rsid w:val="00A91752"/>
    <w:rsid w:val="00A91EC6"/>
    <w:rsid w:val="00A9214C"/>
    <w:rsid w:val="00A922D2"/>
    <w:rsid w:val="00A92304"/>
    <w:rsid w:val="00A92425"/>
    <w:rsid w:val="00A92CF4"/>
    <w:rsid w:val="00A92F0E"/>
    <w:rsid w:val="00A931BB"/>
    <w:rsid w:val="00A9391F"/>
    <w:rsid w:val="00A93B2B"/>
    <w:rsid w:val="00A944F4"/>
    <w:rsid w:val="00A95E71"/>
    <w:rsid w:val="00A9702D"/>
    <w:rsid w:val="00A97209"/>
    <w:rsid w:val="00AA0E60"/>
    <w:rsid w:val="00AA0EB8"/>
    <w:rsid w:val="00AA1334"/>
    <w:rsid w:val="00AA1FFA"/>
    <w:rsid w:val="00AA2D46"/>
    <w:rsid w:val="00AA3CAC"/>
    <w:rsid w:val="00AA43E8"/>
    <w:rsid w:val="00AA4D14"/>
    <w:rsid w:val="00AA58BE"/>
    <w:rsid w:val="00AA595D"/>
    <w:rsid w:val="00AA61B8"/>
    <w:rsid w:val="00AA723D"/>
    <w:rsid w:val="00AA787D"/>
    <w:rsid w:val="00AB0525"/>
    <w:rsid w:val="00AB0C0F"/>
    <w:rsid w:val="00AB1830"/>
    <w:rsid w:val="00AB3A01"/>
    <w:rsid w:val="00AB3B95"/>
    <w:rsid w:val="00AB44CC"/>
    <w:rsid w:val="00AB585E"/>
    <w:rsid w:val="00AB7A9D"/>
    <w:rsid w:val="00AC0316"/>
    <w:rsid w:val="00AC0C20"/>
    <w:rsid w:val="00AC0EC0"/>
    <w:rsid w:val="00AC1751"/>
    <w:rsid w:val="00AC18CC"/>
    <w:rsid w:val="00AC190B"/>
    <w:rsid w:val="00AC22A6"/>
    <w:rsid w:val="00AC4696"/>
    <w:rsid w:val="00AC67CE"/>
    <w:rsid w:val="00AC6A72"/>
    <w:rsid w:val="00AC7563"/>
    <w:rsid w:val="00AC7FF2"/>
    <w:rsid w:val="00AD04D9"/>
    <w:rsid w:val="00AD0FCC"/>
    <w:rsid w:val="00AD248A"/>
    <w:rsid w:val="00AD2B49"/>
    <w:rsid w:val="00AD2D60"/>
    <w:rsid w:val="00AD42EA"/>
    <w:rsid w:val="00AD4B07"/>
    <w:rsid w:val="00AD5ADE"/>
    <w:rsid w:val="00AD6866"/>
    <w:rsid w:val="00AE08F5"/>
    <w:rsid w:val="00AE1E7D"/>
    <w:rsid w:val="00AE1F10"/>
    <w:rsid w:val="00AE25E9"/>
    <w:rsid w:val="00AE3BE9"/>
    <w:rsid w:val="00AE42D3"/>
    <w:rsid w:val="00AE437A"/>
    <w:rsid w:val="00AE44E5"/>
    <w:rsid w:val="00AE4B64"/>
    <w:rsid w:val="00AE4EE4"/>
    <w:rsid w:val="00AE5122"/>
    <w:rsid w:val="00AE58A5"/>
    <w:rsid w:val="00AE5ED7"/>
    <w:rsid w:val="00AE79EF"/>
    <w:rsid w:val="00AF02EB"/>
    <w:rsid w:val="00AF058E"/>
    <w:rsid w:val="00AF08F8"/>
    <w:rsid w:val="00AF0901"/>
    <w:rsid w:val="00AF10B5"/>
    <w:rsid w:val="00AF154D"/>
    <w:rsid w:val="00AF1FE6"/>
    <w:rsid w:val="00AF2499"/>
    <w:rsid w:val="00AF2A4A"/>
    <w:rsid w:val="00AF309C"/>
    <w:rsid w:val="00AF3194"/>
    <w:rsid w:val="00AF383B"/>
    <w:rsid w:val="00AF4450"/>
    <w:rsid w:val="00AF46B1"/>
    <w:rsid w:val="00AF5431"/>
    <w:rsid w:val="00AF55DC"/>
    <w:rsid w:val="00AF688E"/>
    <w:rsid w:val="00AF6A6E"/>
    <w:rsid w:val="00AF7735"/>
    <w:rsid w:val="00AF7FC2"/>
    <w:rsid w:val="00B007E9"/>
    <w:rsid w:val="00B0133A"/>
    <w:rsid w:val="00B01A65"/>
    <w:rsid w:val="00B0257E"/>
    <w:rsid w:val="00B0362A"/>
    <w:rsid w:val="00B04940"/>
    <w:rsid w:val="00B05480"/>
    <w:rsid w:val="00B06F5E"/>
    <w:rsid w:val="00B070D2"/>
    <w:rsid w:val="00B07BA2"/>
    <w:rsid w:val="00B07E9D"/>
    <w:rsid w:val="00B10DA3"/>
    <w:rsid w:val="00B1171A"/>
    <w:rsid w:val="00B11982"/>
    <w:rsid w:val="00B11CD2"/>
    <w:rsid w:val="00B11E8D"/>
    <w:rsid w:val="00B12BC4"/>
    <w:rsid w:val="00B14ABA"/>
    <w:rsid w:val="00B1509A"/>
    <w:rsid w:val="00B2071A"/>
    <w:rsid w:val="00B2095C"/>
    <w:rsid w:val="00B22BA5"/>
    <w:rsid w:val="00B22FB5"/>
    <w:rsid w:val="00B23487"/>
    <w:rsid w:val="00B2393B"/>
    <w:rsid w:val="00B23F13"/>
    <w:rsid w:val="00B258B5"/>
    <w:rsid w:val="00B259A8"/>
    <w:rsid w:val="00B26D63"/>
    <w:rsid w:val="00B30943"/>
    <w:rsid w:val="00B323FE"/>
    <w:rsid w:val="00B32B27"/>
    <w:rsid w:val="00B33373"/>
    <w:rsid w:val="00B33397"/>
    <w:rsid w:val="00B334F4"/>
    <w:rsid w:val="00B34608"/>
    <w:rsid w:val="00B35A0B"/>
    <w:rsid w:val="00B36528"/>
    <w:rsid w:val="00B3777B"/>
    <w:rsid w:val="00B37D51"/>
    <w:rsid w:val="00B402F6"/>
    <w:rsid w:val="00B41594"/>
    <w:rsid w:val="00B41728"/>
    <w:rsid w:val="00B4192C"/>
    <w:rsid w:val="00B42563"/>
    <w:rsid w:val="00B42A37"/>
    <w:rsid w:val="00B43492"/>
    <w:rsid w:val="00B444D2"/>
    <w:rsid w:val="00B448AD"/>
    <w:rsid w:val="00B44906"/>
    <w:rsid w:val="00B449A9"/>
    <w:rsid w:val="00B45003"/>
    <w:rsid w:val="00B451DF"/>
    <w:rsid w:val="00B45B70"/>
    <w:rsid w:val="00B46906"/>
    <w:rsid w:val="00B46A09"/>
    <w:rsid w:val="00B4712C"/>
    <w:rsid w:val="00B472F6"/>
    <w:rsid w:val="00B474E4"/>
    <w:rsid w:val="00B51EA1"/>
    <w:rsid w:val="00B52D08"/>
    <w:rsid w:val="00B53299"/>
    <w:rsid w:val="00B53734"/>
    <w:rsid w:val="00B53AB3"/>
    <w:rsid w:val="00B54598"/>
    <w:rsid w:val="00B546BE"/>
    <w:rsid w:val="00B54816"/>
    <w:rsid w:val="00B5524E"/>
    <w:rsid w:val="00B553B3"/>
    <w:rsid w:val="00B55CA2"/>
    <w:rsid w:val="00B56954"/>
    <w:rsid w:val="00B56A23"/>
    <w:rsid w:val="00B56F09"/>
    <w:rsid w:val="00B57D84"/>
    <w:rsid w:val="00B601FF"/>
    <w:rsid w:val="00B60962"/>
    <w:rsid w:val="00B6144B"/>
    <w:rsid w:val="00B61988"/>
    <w:rsid w:val="00B630A1"/>
    <w:rsid w:val="00B633AD"/>
    <w:rsid w:val="00B6388B"/>
    <w:rsid w:val="00B63AD7"/>
    <w:rsid w:val="00B6407B"/>
    <w:rsid w:val="00B64A64"/>
    <w:rsid w:val="00B66CEC"/>
    <w:rsid w:val="00B67F57"/>
    <w:rsid w:val="00B703A2"/>
    <w:rsid w:val="00B70620"/>
    <w:rsid w:val="00B70D71"/>
    <w:rsid w:val="00B711C5"/>
    <w:rsid w:val="00B718B0"/>
    <w:rsid w:val="00B71C9C"/>
    <w:rsid w:val="00B71D78"/>
    <w:rsid w:val="00B721A3"/>
    <w:rsid w:val="00B72AF1"/>
    <w:rsid w:val="00B74331"/>
    <w:rsid w:val="00B74C60"/>
    <w:rsid w:val="00B750C9"/>
    <w:rsid w:val="00B7519E"/>
    <w:rsid w:val="00B76058"/>
    <w:rsid w:val="00B7768E"/>
    <w:rsid w:val="00B80029"/>
    <w:rsid w:val="00B80DE8"/>
    <w:rsid w:val="00B80F94"/>
    <w:rsid w:val="00B812D6"/>
    <w:rsid w:val="00B81423"/>
    <w:rsid w:val="00B814F4"/>
    <w:rsid w:val="00B81FF9"/>
    <w:rsid w:val="00B82A17"/>
    <w:rsid w:val="00B82ABB"/>
    <w:rsid w:val="00B83441"/>
    <w:rsid w:val="00B83AA7"/>
    <w:rsid w:val="00B83DC4"/>
    <w:rsid w:val="00B8445A"/>
    <w:rsid w:val="00B866B6"/>
    <w:rsid w:val="00B86CD9"/>
    <w:rsid w:val="00B876D8"/>
    <w:rsid w:val="00B8780E"/>
    <w:rsid w:val="00B87928"/>
    <w:rsid w:val="00B907C0"/>
    <w:rsid w:val="00B90C00"/>
    <w:rsid w:val="00B91159"/>
    <w:rsid w:val="00B91399"/>
    <w:rsid w:val="00B9158B"/>
    <w:rsid w:val="00B91E3C"/>
    <w:rsid w:val="00B91FE0"/>
    <w:rsid w:val="00B92B13"/>
    <w:rsid w:val="00B92DD0"/>
    <w:rsid w:val="00B94F98"/>
    <w:rsid w:val="00B95188"/>
    <w:rsid w:val="00B96632"/>
    <w:rsid w:val="00B966C4"/>
    <w:rsid w:val="00B96A9F"/>
    <w:rsid w:val="00B96BCC"/>
    <w:rsid w:val="00B97308"/>
    <w:rsid w:val="00B97625"/>
    <w:rsid w:val="00BA009E"/>
    <w:rsid w:val="00BA07EA"/>
    <w:rsid w:val="00BA2772"/>
    <w:rsid w:val="00BA2E85"/>
    <w:rsid w:val="00BA3077"/>
    <w:rsid w:val="00BA33EB"/>
    <w:rsid w:val="00BA3422"/>
    <w:rsid w:val="00BA4872"/>
    <w:rsid w:val="00BA5A1B"/>
    <w:rsid w:val="00BA5BE0"/>
    <w:rsid w:val="00BA5C6B"/>
    <w:rsid w:val="00BA60C5"/>
    <w:rsid w:val="00BA6875"/>
    <w:rsid w:val="00BA6CA9"/>
    <w:rsid w:val="00BA775D"/>
    <w:rsid w:val="00BA777C"/>
    <w:rsid w:val="00BA7D1E"/>
    <w:rsid w:val="00BB0AEF"/>
    <w:rsid w:val="00BB0CA0"/>
    <w:rsid w:val="00BB0F0A"/>
    <w:rsid w:val="00BB1566"/>
    <w:rsid w:val="00BB23F1"/>
    <w:rsid w:val="00BB2626"/>
    <w:rsid w:val="00BB384A"/>
    <w:rsid w:val="00BB411E"/>
    <w:rsid w:val="00BB4653"/>
    <w:rsid w:val="00BB471A"/>
    <w:rsid w:val="00BB4B04"/>
    <w:rsid w:val="00BB51CC"/>
    <w:rsid w:val="00BB5F49"/>
    <w:rsid w:val="00BB65A0"/>
    <w:rsid w:val="00BB6BB3"/>
    <w:rsid w:val="00BB6D39"/>
    <w:rsid w:val="00BB7A58"/>
    <w:rsid w:val="00BC099E"/>
    <w:rsid w:val="00BC1100"/>
    <w:rsid w:val="00BC1174"/>
    <w:rsid w:val="00BC1BA0"/>
    <w:rsid w:val="00BC2E25"/>
    <w:rsid w:val="00BC3361"/>
    <w:rsid w:val="00BC4CFF"/>
    <w:rsid w:val="00BC4F08"/>
    <w:rsid w:val="00BC568D"/>
    <w:rsid w:val="00BC5AD5"/>
    <w:rsid w:val="00BC61D6"/>
    <w:rsid w:val="00BC6892"/>
    <w:rsid w:val="00BC72BA"/>
    <w:rsid w:val="00BD0A17"/>
    <w:rsid w:val="00BD1140"/>
    <w:rsid w:val="00BD24A0"/>
    <w:rsid w:val="00BD4A60"/>
    <w:rsid w:val="00BD6379"/>
    <w:rsid w:val="00BD7F8B"/>
    <w:rsid w:val="00BE0584"/>
    <w:rsid w:val="00BE09F4"/>
    <w:rsid w:val="00BE0C81"/>
    <w:rsid w:val="00BE1183"/>
    <w:rsid w:val="00BE1228"/>
    <w:rsid w:val="00BE23C3"/>
    <w:rsid w:val="00BE44AB"/>
    <w:rsid w:val="00BE522B"/>
    <w:rsid w:val="00BE619A"/>
    <w:rsid w:val="00BE6591"/>
    <w:rsid w:val="00BE7FA4"/>
    <w:rsid w:val="00BF02B9"/>
    <w:rsid w:val="00BF195F"/>
    <w:rsid w:val="00BF1F1E"/>
    <w:rsid w:val="00BF2072"/>
    <w:rsid w:val="00BF276B"/>
    <w:rsid w:val="00BF30B7"/>
    <w:rsid w:val="00BF3E60"/>
    <w:rsid w:val="00BF6EE5"/>
    <w:rsid w:val="00BF71D4"/>
    <w:rsid w:val="00C000B3"/>
    <w:rsid w:val="00C00BC1"/>
    <w:rsid w:val="00C023B5"/>
    <w:rsid w:val="00C03B47"/>
    <w:rsid w:val="00C03F8B"/>
    <w:rsid w:val="00C04956"/>
    <w:rsid w:val="00C05080"/>
    <w:rsid w:val="00C0515C"/>
    <w:rsid w:val="00C06046"/>
    <w:rsid w:val="00C07C94"/>
    <w:rsid w:val="00C111F9"/>
    <w:rsid w:val="00C11BBF"/>
    <w:rsid w:val="00C120BF"/>
    <w:rsid w:val="00C13A6A"/>
    <w:rsid w:val="00C13E08"/>
    <w:rsid w:val="00C14783"/>
    <w:rsid w:val="00C14D36"/>
    <w:rsid w:val="00C158CC"/>
    <w:rsid w:val="00C15CB5"/>
    <w:rsid w:val="00C15D64"/>
    <w:rsid w:val="00C16537"/>
    <w:rsid w:val="00C16B61"/>
    <w:rsid w:val="00C170CA"/>
    <w:rsid w:val="00C1763C"/>
    <w:rsid w:val="00C17751"/>
    <w:rsid w:val="00C21928"/>
    <w:rsid w:val="00C221CC"/>
    <w:rsid w:val="00C22707"/>
    <w:rsid w:val="00C2283A"/>
    <w:rsid w:val="00C22CF4"/>
    <w:rsid w:val="00C22EB7"/>
    <w:rsid w:val="00C23669"/>
    <w:rsid w:val="00C23A53"/>
    <w:rsid w:val="00C23DA1"/>
    <w:rsid w:val="00C25201"/>
    <w:rsid w:val="00C25633"/>
    <w:rsid w:val="00C25FB1"/>
    <w:rsid w:val="00C2604C"/>
    <w:rsid w:val="00C27209"/>
    <w:rsid w:val="00C3009D"/>
    <w:rsid w:val="00C3128B"/>
    <w:rsid w:val="00C317B7"/>
    <w:rsid w:val="00C32BD6"/>
    <w:rsid w:val="00C32DDD"/>
    <w:rsid w:val="00C33291"/>
    <w:rsid w:val="00C334B1"/>
    <w:rsid w:val="00C33FC8"/>
    <w:rsid w:val="00C34FDB"/>
    <w:rsid w:val="00C3592F"/>
    <w:rsid w:val="00C35EE4"/>
    <w:rsid w:val="00C36C45"/>
    <w:rsid w:val="00C37913"/>
    <w:rsid w:val="00C40237"/>
    <w:rsid w:val="00C40B16"/>
    <w:rsid w:val="00C40D76"/>
    <w:rsid w:val="00C41070"/>
    <w:rsid w:val="00C457BF"/>
    <w:rsid w:val="00C45F9D"/>
    <w:rsid w:val="00C463DB"/>
    <w:rsid w:val="00C476BA"/>
    <w:rsid w:val="00C50294"/>
    <w:rsid w:val="00C5190F"/>
    <w:rsid w:val="00C52C0B"/>
    <w:rsid w:val="00C53217"/>
    <w:rsid w:val="00C53441"/>
    <w:rsid w:val="00C537CA"/>
    <w:rsid w:val="00C53914"/>
    <w:rsid w:val="00C53AE7"/>
    <w:rsid w:val="00C55A94"/>
    <w:rsid w:val="00C55CB0"/>
    <w:rsid w:val="00C55E15"/>
    <w:rsid w:val="00C56A24"/>
    <w:rsid w:val="00C56ADC"/>
    <w:rsid w:val="00C56FF1"/>
    <w:rsid w:val="00C570E1"/>
    <w:rsid w:val="00C57EB0"/>
    <w:rsid w:val="00C57F61"/>
    <w:rsid w:val="00C600F7"/>
    <w:rsid w:val="00C6023F"/>
    <w:rsid w:val="00C608CD"/>
    <w:rsid w:val="00C60C8F"/>
    <w:rsid w:val="00C610CD"/>
    <w:rsid w:val="00C61CC9"/>
    <w:rsid w:val="00C62946"/>
    <w:rsid w:val="00C633FB"/>
    <w:rsid w:val="00C64BF7"/>
    <w:rsid w:val="00C704D9"/>
    <w:rsid w:val="00C72605"/>
    <w:rsid w:val="00C73906"/>
    <w:rsid w:val="00C745FA"/>
    <w:rsid w:val="00C748CA"/>
    <w:rsid w:val="00C755AC"/>
    <w:rsid w:val="00C757BC"/>
    <w:rsid w:val="00C75831"/>
    <w:rsid w:val="00C772DB"/>
    <w:rsid w:val="00C81499"/>
    <w:rsid w:val="00C81930"/>
    <w:rsid w:val="00C81AA8"/>
    <w:rsid w:val="00C81D98"/>
    <w:rsid w:val="00C840E3"/>
    <w:rsid w:val="00C84687"/>
    <w:rsid w:val="00C90745"/>
    <w:rsid w:val="00C9182D"/>
    <w:rsid w:val="00C91D98"/>
    <w:rsid w:val="00C9439C"/>
    <w:rsid w:val="00C95457"/>
    <w:rsid w:val="00C957C1"/>
    <w:rsid w:val="00C958CB"/>
    <w:rsid w:val="00C96484"/>
    <w:rsid w:val="00C97961"/>
    <w:rsid w:val="00CA0FC8"/>
    <w:rsid w:val="00CA430C"/>
    <w:rsid w:val="00CA5D97"/>
    <w:rsid w:val="00CA6890"/>
    <w:rsid w:val="00CB0160"/>
    <w:rsid w:val="00CB0C8E"/>
    <w:rsid w:val="00CB1746"/>
    <w:rsid w:val="00CB17CB"/>
    <w:rsid w:val="00CB2A1A"/>
    <w:rsid w:val="00CB372F"/>
    <w:rsid w:val="00CB3A4F"/>
    <w:rsid w:val="00CB521A"/>
    <w:rsid w:val="00CB556A"/>
    <w:rsid w:val="00CB7CC1"/>
    <w:rsid w:val="00CC097D"/>
    <w:rsid w:val="00CC1147"/>
    <w:rsid w:val="00CC14E3"/>
    <w:rsid w:val="00CC1BE7"/>
    <w:rsid w:val="00CC29E7"/>
    <w:rsid w:val="00CC2E61"/>
    <w:rsid w:val="00CC3BED"/>
    <w:rsid w:val="00CC3DAA"/>
    <w:rsid w:val="00CC5495"/>
    <w:rsid w:val="00CC5729"/>
    <w:rsid w:val="00CC5930"/>
    <w:rsid w:val="00CC6196"/>
    <w:rsid w:val="00CC6218"/>
    <w:rsid w:val="00CC6ABF"/>
    <w:rsid w:val="00CC6CE5"/>
    <w:rsid w:val="00CC78E3"/>
    <w:rsid w:val="00CD01D3"/>
    <w:rsid w:val="00CD026D"/>
    <w:rsid w:val="00CD0386"/>
    <w:rsid w:val="00CD0945"/>
    <w:rsid w:val="00CD122D"/>
    <w:rsid w:val="00CD1323"/>
    <w:rsid w:val="00CD2229"/>
    <w:rsid w:val="00CD2BE6"/>
    <w:rsid w:val="00CD2D55"/>
    <w:rsid w:val="00CD2F30"/>
    <w:rsid w:val="00CD33EB"/>
    <w:rsid w:val="00CD355B"/>
    <w:rsid w:val="00CD3C18"/>
    <w:rsid w:val="00CD3EC8"/>
    <w:rsid w:val="00CD415D"/>
    <w:rsid w:val="00CD476C"/>
    <w:rsid w:val="00CD5675"/>
    <w:rsid w:val="00CD567B"/>
    <w:rsid w:val="00CD579D"/>
    <w:rsid w:val="00CD5AB9"/>
    <w:rsid w:val="00CD7240"/>
    <w:rsid w:val="00CD7473"/>
    <w:rsid w:val="00CE00A6"/>
    <w:rsid w:val="00CE0407"/>
    <w:rsid w:val="00CE0581"/>
    <w:rsid w:val="00CE06E8"/>
    <w:rsid w:val="00CE0A64"/>
    <w:rsid w:val="00CE1C61"/>
    <w:rsid w:val="00CE1ED0"/>
    <w:rsid w:val="00CE20FF"/>
    <w:rsid w:val="00CE267B"/>
    <w:rsid w:val="00CE2DBE"/>
    <w:rsid w:val="00CE4F7A"/>
    <w:rsid w:val="00CF02B4"/>
    <w:rsid w:val="00CF10FE"/>
    <w:rsid w:val="00CF120B"/>
    <w:rsid w:val="00CF12C7"/>
    <w:rsid w:val="00CF1796"/>
    <w:rsid w:val="00CF1C41"/>
    <w:rsid w:val="00CF28BE"/>
    <w:rsid w:val="00CF2938"/>
    <w:rsid w:val="00CF2C09"/>
    <w:rsid w:val="00CF2D9B"/>
    <w:rsid w:val="00CF49F1"/>
    <w:rsid w:val="00CF4A78"/>
    <w:rsid w:val="00CF5107"/>
    <w:rsid w:val="00CF5A2E"/>
    <w:rsid w:val="00CF61AC"/>
    <w:rsid w:val="00CF678F"/>
    <w:rsid w:val="00D000AB"/>
    <w:rsid w:val="00D00231"/>
    <w:rsid w:val="00D00818"/>
    <w:rsid w:val="00D00872"/>
    <w:rsid w:val="00D02793"/>
    <w:rsid w:val="00D02C63"/>
    <w:rsid w:val="00D02EA4"/>
    <w:rsid w:val="00D0332C"/>
    <w:rsid w:val="00D03660"/>
    <w:rsid w:val="00D0384C"/>
    <w:rsid w:val="00D0433D"/>
    <w:rsid w:val="00D04C47"/>
    <w:rsid w:val="00D04D65"/>
    <w:rsid w:val="00D04EC2"/>
    <w:rsid w:val="00D04FC0"/>
    <w:rsid w:val="00D05096"/>
    <w:rsid w:val="00D077FD"/>
    <w:rsid w:val="00D0797B"/>
    <w:rsid w:val="00D12A1D"/>
    <w:rsid w:val="00D12D54"/>
    <w:rsid w:val="00D12DB5"/>
    <w:rsid w:val="00D13EA2"/>
    <w:rsid w:val="00D14535"/>
    <w:rsid w:val="00D14B44"/>
    <w:rsid w:val="00D168C3"/>
    <w:rsid w:val="00D17AF1"/>
    <w:rsid w:val="00D208A2"/>
    <w:rsid w:val="00D2104E"/>
    <w:rsid w:val="00D21301"/>
    <w:rsid w:val="00D21C91"/>
    <w:rsid w:val="00D22065"/>
    <w:rsid w:val="00D22314"/>
    <w:rsid w:val="00D23924"/>
    <w:rsid w:val="00D23C1A"/>
    <w:rsid w:val="00D23D18"/>
    <w:rsid w:val="00D24526"/>
    <w:rsid w:val="00D24A9C"/>
    <w:rsid w:val="00D2552A"/>
    <w:rsid w:val="00D263D0"/>
    <w:rsid w:val="00D277D6"/>
    <w:rsid w:val="00D279B8"/>
    <w:rsid w:val="00D30489"/>
    <w:rsid w:val="00D31474"/>
    <w:rsid w:val="00D31CBC"/>
    <w:rsid w:val="00D31F81"/>
    <w:rsid w:val="00D32EF3"/>
    <w:rsid w:val="00D32F0B"/>
    <w:rsid w:val="00D3496B"/>
    <w:rsid w:val="00D350C6"/>
    <w:rsid w:val="00D355CE"/>
    <w:rsid w:val="00D356D0"/>
    <w:rsid w:val="00D35BB8"/>
    <w:rsid w:val="00D365CE"/>
    <w:rsid w:val="00D36D08"/>
    <w:rsid w:val="00D37878"/>
    <w:rsid w:val="00D40A6B"/>
    <w:rsid w:val="00D4155C"/>
    <w:rsid w:val="00D423F5"/>
    <w:rsid w:val="00D43E9A"/>
    <w:rsid w:val="00D451B2"/>
    <w:rsid w:val="00D452F2"/>
    <w:rsid w:val="00D45562"/>
    <w:rsid w:val="00D46F10"/>
    <w:rsid w:val="00D47AAD"/>
    <w:rsid w:val="00D47DA2"/>
    <w:rsid w:val="00D50A4B"/>
    <w:rsid w:val="00D50D9A"/>
    <w:rsid w:val="00D51EEC"/>
    <w:rsid w:val="00D52653"/>
    <w:rsid w:val="00D5349C"/>
    <w:rsid w:val="00D54827"/>
    <w:rsid w:val="00D54955"/>
    <w:rsid w:val="00D54EBB"/>
    <w:rsid w:val="00D54F65"/>
    <w:rsid w:val="00D55B58"/>
    <w:rsid w:val="00D560B6"/>
    <w:rsid w:val="00D56BC0"/>
    <w:rsid w:val="00D57E22"/>
    <w:rsid w:val="00D600F8"/>
    <w:rsid w:val="00D60235"/>
    <w:rsid w:val="00D60EE9"/>
    <w:rsid w:val="00D625CA"/>
    <w:rsid w:val="00D62DC0"/>
    <w:rsid w:val="00D62E3B"/>
    <w:rsid w:val="00D631D6"/>
    <w:rsid w:val="00D647EF"/>
    <w:rsid w:val="00D65D11"/>
    <w:rsid w:val="00D66951"/>
    <w:rsid w:val="00D67935"/>
    <w:rsid w:val="00D70431"/>
    <w:rsid w:val="00D70515"/>
    <w:rsid w:val="00D7060C"/>
    <w:rsid w:val="00D71B90"/>
    <w:rsid w:val="00D7219E"/>
    <w:rsid w:val="00D73123"/>
    <w:rsid w:val="00D7321A"/>
    <w:rsid w:val="00D7427F"/>
    <w:rsid w:val="00D74A17"/>
    <w:rsid w:val="00D74AF4"/>
    <w:rsid w:val="00D74DD5"/>
    <w:rsid w:val="00D75CB2"/>
    <w:rsid w:val="00D765C7"/>
    <w:rsid w:val="00D76763"/>
    <w:rsid w:val="00D76C58"/>
    <w:rsid w:val="00D77062"/>
    <w:rsid w:val="00D80949"/>
    <w:rsid w:val="00D8111F"/>
    <w:rsid w:val="00D81780"/>
    <w:rsid w:val="00D8218E"/>
    <w:rsid w:val="00D823CD"/>
    <w:rsid w:val="00D83868"/>
    <w:rsid w:val="00D84100"/>
    <w:rsid w:val="00D842B7"/>
    <w:rsid w:val="00D85D80"/>
    <w:rsid w:val="00D86CF8"/>
    <w:rsid w:val="00D86E5F"/>
    <w:rsid w:val="00D87187"/>
    <w:rsid w:val="00D87B50"/>
    <w:rsid w:val="00D90469"/>
    <w:rsid w:val="00D90ED9"/>
    <w:rsid w:val="00D91BDC"/>
    <w:rsid w:val="00D92062"/>
    <w:rsid w:val="00D9276B"/>
    <w:rsid w:val="00D93421"/>
    <w:rsid w:val="00D935A5"/>
    <w:rsid w:val="00D941D2"/>
    <w:rsid w:val="00D95F1A"/>
    <w:rsid w:val="00D96920"/>
    <w:rsid w:val="00D96A8A"/>
    <w:rsid w:val="00D96DFA"/>
    <w:rsid w:val="00D97824"/>
    <w:rsid w:val="00DA0593"/>
    <w:rsid w:val="00DA16D4"/>
    <w:rsid w:val="00DA171E"/>
    <w:rsid w:val="00DA1962"/>
    <w:rsid w:val="00DA1A70"/>
    <w:rsid w:val="00DA1E0A"/>
    <w:rsid w:val="00DA22F1"/>
    <w:rsid w:val="00DA24FF"/>
    <w:rsid w:val="00DA25F5"/>
    <w:rsid w:val="00DA42B0"/>
    <w:rsid w:val="00DA58EF"/>
    <w:rsid w:val="00DA5E7F"/>
    <w:rsid w:val="00DA6106"/>
    <w:rsid w:val="00DB11C0"/>
    <w:rsid w:val="00DB1528"/>
    <w:rsid w:val="00DB1BF4"/>
    <w:rsid w:val="00DB20C5"/>
    <w:rsid w:val="00DB2136"/>
    <w:rsid w:val="00DB2343"/>
    <w:rsid w:val="00DB310F"/>
    <w:rsid w:val="00DB61CA"/>
    <w:rsid w:val="00DB696C"/>
    <w:rsid w:val="00DB75A6"/>
    <w:rsid w:val="00DB7A95"/>
    <w:rsid w:val="00DB7D87"/>
    <w:rsid w:val="00DB7FDD"/>
    <w:rsid w:val="00DC1252"/>
    <w:rsid w:val="00DC16BD"/>
    <w:rsid w:val="00DC1712"/>
    <w:rsid w:val="00DC251D"/>
    <w:rsid w:val="00DC29A2"/>
    <w:rsid w:val="00DC3622"/>
    <w:rsid w:val="00DC445D"/>
    <w:rsid w:val="00DC6D00"/>
    <w:rsid w:val="00DC6E12"/>
    <w:rsid w:val="00DC6F2E"/>
    <w:rsid w:val="00DC6F52"/>
    <w:rsid w:val="00DD03E6"/>
    <w:rsid w:val="00DD0E46"/>
    <w:rsid w:val="00DD0F30"/>
    <w:rsid w:val="00DD105B"/>
    <w:rsid w:val="00DD115C"/>
    <w:rsid w:val="00DD31F9"/>
    <w:rsid w:val="00DD3BEB"/>
    <w:rsid w:val="00DD3F2C"/>
    <w:rsid w:val="00DD46CC"/>
    <w:rsid w:val="00DD47BD"/>
    <w:rsid w:val="00DD4BCD"/>
    <w:rsid w:val="00DD4D7F"/>
    <w:rsid w:val="00DD4DE0"/>
    <w:rsid w:val="00DD521F"/>
    <w:rsid w:val="00DD6D6F"/>
    <w:rsid w:val="00DD71F1"/>
    <w:rsid w:val="00DD759C"/>
    <w:rsid w:val="00DE0204"/>
    <w:rsid w:val="00DE1078"/>
    <w:rsid w:val="00DE127B"/>
    <w:rsid w:val="00DE1B46"/>
    <w:rsid w:val="00DE3401"/>
    <w:rsid w:val="00DE3FC9"/>
    <w:rsid w:val="00DE3FEE"/>
    <w:rsid w:val="00DE4C27"/>
    <w:rsid w:val="00DE577F"/>
    <w:rsid w:val="00DE5784"/>
    <w:rsid w:val="00DE5AAC"/>
    <w:rsid w:val="00DE7840"/>
    <w:rsid w:val="00DF0160"/>
    <w:rsid w:val="00DF0D4A"/>
    <w:rsid w:val="00DF14C5"/>
    <w:rsid w:val="00DF1A90"/>
    <w:rsid w:val="00DF3502"/>
    <w:rsid w:val="00DF3F0A"/>
    <w:rsid w:val="00DF4536"/>
    <w:rsid w:val="00DF47FE"/>
    <w:rsid w:val="00DF481E"/>
    <w:rsid w:val="00DF4B59"/>
    <w:rsid w:val="00DF5F81"/>
    <w:rsid w:val="00DF63B9"/>
    <w:rsid w:val="00DF7D31"/>
    <w:rsid w:val="00E00027"/>
    <w:rsid w:val="00E003C2"/>
    <w:rsid w:val="00E01704"/>
    <w:rsid w:val="00E01C03"/>
    <w:rsid w:val="00E0264B"/>
    <w:rsid w:val="00E031A2"/>
    <w:rsid w:val="00E036B1"/>
    <w:rsid w:val="00E03E1F"/>
    <w:rsid w:val="00E0404A"/>
    <w:rsid w:val="00E043A4"/>
    <w:rsid w:val="00E04624"/>
    <w:rsid w:val="00E06466"/>
    <w:rsid w:val="00E07531"/>
    <w:rsid w:val="00E07B66"/>
    <w:rsid w:val="00E10087"/>
    <w:rsid w:val="00E12378"/>
    <w:rsid w:val="00E1265A"/>
    <w:rsid w:val="00E126A1"/>
    <w:rsid w:val="00E13293"/>
    <w:rsid w:val="00E147D4"/>
    <w:rsid w:val="00E14AAC"/>
    <w:rsid w:val="00E1514F"/>
    <w:rsid w:val="00E15C9C"/>
    <w:rsid w:val="00E163A1"/>
    <w:rsid w:val="00E1696B"/>
    <w:rsid w:val="00E179C3"/>
    <w:rsid w:val="00E17D9F"/>
    <w:rsid w:val="00E20609"/>
    <w:rsid w:val="00E2121A"/>
    <w:rsid w:val="00E212BA"/>
    <w:rsid w:val="00E23C05"/>
    <w:rsid w:val="00E2460F"/>
    <w:rsid w:val="00E24A71"/>
    <w:rsid w:val="00E2503F"/>
    <w:rsid w:val="00E2523C"/>
    <w:rsid w:val="00E27ACB"/>
    <w:rsid w:val="00E27BF5"/>
    <w:rsid w:val="00E27F4E"/>
    <w:rsid w:val="00E31234"/>
    <w:rsid w:val="00E31C88"/>
    <w:rsid w:val="00E32E3C"/>
    <w:rsid w:val="00E33313"/>
    <w:rsid w:val="00E33992"/>
    <w:rsid w:val="00E34C5F"/>
    <w:rsid w:val="00E34C92"/>
    <w:rsid w:val="00E356BE"/>
    <w:rsid w:val="00E361AF"/>
    <w:rsid w:val="00E36683"/>
    <w:rsid w:val="00E36802"/>
    <w:rsid w:val="00E36AAC"/>
    <w:rsid w:val="00E37C42"/>
    <w:rsid w:val="00E402C5"/>
    <w:rsid w:val="00E40908"/>
    <w:rsid w:val="00E4100F"/>
    <w:rsid w:val="00E427CC"/>
    <w:rsid w:val="00E42B44"/>
    <w:rsid w:val="00E4342B"/>
    <w:rsid w:val="00E440FF"/>
    <w:rsid w:val="00E4439C"/>
    <w:rsid w:val="00E44573"/>
    <w:rsid w:val="00E44B59"/>
    <w:rsid w:val="00E44C2E"/>
    <w:rsid w:val="00E4527B"/>
    <w:rsid w:val="00E45E7D"/>
    <w:rsid w:val="00E46FCD"/>
    <w:rsid w:val="00E47B48"/>
    <w:rsid w:val="00E50CE3"/>
    <w:rsid w:val="00E51020"/>
    <w:rsid w:val="00E51C4B"/>
    <w:rsid w:val="00E52478"/>
    <w:rsid w:val="00E53C8F"/>
    <w:rsid w:val="00E53F30"/>
    <w:rsid w:val="00E5403C"/>
    <w:rsid w:val="00E54AD1"/>
    <w:rsid w:val="00E557CD"/>
    <w:rsid w:val="00E558AE"/>
    <w:rsid w:val="00E55CED"/>
    <w:rsid w:val="00E56099"/>
    <w:rsid w:val="00E563B6"/>
    <w:rsid w:val="00E5670E"/>
    <w:rsid w:val="00E604FF"/>
    <w:rsid w:val="00E61C3F"/>
    <w:rsid w:val="00E62E1E"/>
    <w:rsid w:val="00E62F94"/>
    <w:rsid w:val="00E63E80"/>
    <w:rsid w:val="00E64735"/>
    <w:rsid w:val="00E67AB9"/>
    <w:rsid w:val="00E67F02"/>
    <w:rsid w:val="00E703E8"/>
    <w:rsid w:val="00E70B9A"/>
    <w:rsid w:val="00E71578"/>
    <w:rsid w:val="00E72AF7"/>
    <w:rsid w:val="00E73ACE"/>
    <w:rsid w:val="00E73FC7"/>
    <w:rsid w:val="00E7479A"/>
    <w:rsid w:val="00E74EED"/>
    <w:rsid w:val="00E7588B"/>
    <w:rsid w:val="00E75A9D"/>
    <w:rsid w:val="00E75FA9"/>
    <w:rsid w:val="00E7693E"/>
    <w:rsid w:val="00E774B1"/>
    <w:rsid w:val="00E77AF5"/>
    <w:rsid w:val="00E77DE0"/>
    <w:rsid w:val="00E77F51"/>
    <w:rsid w:val="00E80567"/>
    <w:rsid w:val="00E80A34"/>
    <w:rsid w:val="00E81538"/>
    <w:rsid w:val="00E81EF3"/>
    <w:rsid w:val="00E831C7"/>
    <w:rsid w:val="00E83804"/>
    <w:rsid w:val="00E84041"/>
    <w:rsid w:val="00E8434F"/>
    <w:rsid w:val="00E86901"/>
    <w:rsid w:val="00E86944"/>
    <w:rsid w:val="00E86EEE"/>
    <w:rsid w:val="00E8719A"/>
    <w:rsid w:val="00E91103"/>
    <w:rsid w:val="00E911F7"/>
    <w:rsid w:val="00E91367"/>
    <w:rsid w:val="00E919EC"/>
    <w:rsid w:val="00E91AAD"/>
    <w:rsid w:val="00E91C5D"/>
    <w:rsid w:val="00E92EDE"/>
    <w:rsid w:val="00E93FCD"/>
    <w:rsid w:val="00E94FCF"/>
    <w:rsid w:val="00EA234E"/>
    <w:rsid w:val="00EA42B4"/>
    <w:rsid w:val="00EA5302"/>
    <w:rsid w:val="00EA6598"/>
    <w:rsid w:val="00EA69A1"/>
    <w:rsid w:val="00EA7207"/>
    <w:rsid w:val="00EA7AD1"/>
    <w:rsid w:val="00EB1702"/>
    <w:rsid w:val="00EB2306"/>
    <w:rsid w:val="00EB257A"/>
    <w:rsid w:val="00EB3021"/>
    <w:rsid w:val="00EB36CD"/>
    <w:rsid w:val="00EB3838"/>
    <w:rsid w:val="00EB408B"/>
    <w:rsid w:val="00EB4410"/>
    <w:rsid w:val="00EB44C2"/>
    <w:rsid w:val="00EB4D78"/>
    <w:rsid w:val="00EB57AC"/>
    <w:rsid w:val="00EB652D"/>
    <w:rsid w:val="00EB65B2"/>
    <w:rsid w:val="00EB6D0B"/>
    <w:rsid w:val="00EB6FC8"/>
    <w:rsid w:val="00EB77A4"/>
    <w:rsid w:val="00EB7F76"/>
    <w:rsid w:val="00EC0501"/>
    <w:rsid w:val="00EC0878"/>
    <w:rsid w:val="00EC0D39"/>
    <w:rsid w:val="00EC2104"/>
    <w:rsid w:val="00EC25D1"/>
    <w:rsid w:val="00EC26A3"/>
    <w:rsid w:val="00EC3F44"/>
    <w:rsid w:val="00EC7DEF"/>
    <w:rsid w:val="00ED04BA"/>
    <w:rsid w:val="00ED0905"/>
    <w:rsid w:val="00ED0A7D"/>
    <w:rsid w:val="00ED1426"/>
    <w:rsid w:val="00ED1559"/>
    <w:rsid w:val="00ED1B5E"/>
    <w:rsid w:val="00ED1ECF"/>
    <w:rsid w:val="00ED2202"/>
    <w:rsid w:val="00ED33F7"/>
    <w:rsid w:val="00ED3452"/>
    <w:rsid w:val="00ED36DD"/>
    <w:rsid w:val="00ED39D2"/>
    <w:rsid w:val="00ED40D7"/>
    <w:rsid w:val="00ED5025"/>
    <w:rsid w:val="00ED5A03"/>
    <w:rsid w:val="00ED6FD5"/>
    <w:rsid w:val="00EE0C82"/>
    <w:rsid w:val="00EE2015"/>
    <w:rsid w:val="00EE25D9"/>
    <w:rsid w:val="00EE2B99"/>
    <w:rsid w:val="00EE2E33"/>
    <w:rsid w:val="00EE31CF"/>
    <w:rsid w:val="00EE3A4A"/>
    <w:rsid w:val="00EE3B90"/>
    <w:rsid w:val="00EE4E09"/>
    <w:rsid w:val="00EE5A40"/>
    <w:rsid w:val="00EF0601"/>
    <w:rsid w:val="00EF0BE9"/>
    <w:rsid w:val="00EF1DD5"/>
    <w:rsid w:val="00EF53A5"/>
    <w:rsid w:val="00EF6282"/>
    <w:rsid w:val="00EF640E"/>
    <w:rsid w:val="00EF7672"/>
    <w:rsid w:val="00EF7BCA"/>
    <w:rsid w:val="00F00AA4"/>
    <w:rsid w:val="00F0153F"/>
    <w:rsid w:val="00F01574"/>
    <w:rsid w:val="00F018F2"/>
    <w:rsid w:val="00F01B6B"/>
    <w:rsid w:val="00F01EFE"/>
    <w:rsid w:val="00F042B5"/>
    <w:rsid w:val="00F04428"/>
    <w:rsid w:val="00F06331"/>
    <w:rsid w:val="00F068F3"/>
    <w:rsid w:val="00F06D5F"/>
    <w:rsid w:val="00F06EEC"/>
    <w:rsid w:val="00F10234"/>
    <w:rsid w:val="00F1033F"/>
    <w:rsid w:val="00F10990"/>
    <w:rsid w:val="00F115DB"/>
    <w:rsid w:val="00F1164F"/>
    <w:rsid w:val="00F119A6"/>
    <w:rsid w:val="00F14414"/>
    <w:rsid w:val="00F14CFC"/>
    <w:rsid w:val="00F14F0B"/>
    <w:rsid w:val="00F153A9"/>
    <w:rsid w:val="00F16FBC"/>
    <w:rsid w:val="00F174A2"/>
    <w:rsid w:val="00F17724"/>
    <w:rsid w:val="00F17A9A"/>
    <w:rsid w:val="00F20D54"/>
    <w:rsid w:val="00F20F4A"/>
    <w:rsid w:val="00F220CD"/>
    <w:rsid w:val="00F22238"/>
    <w:rsid w:val="00F2243F"/>
    <w:rsid w:val="00F22B2B"/>
    <w:rsid w:val="00F22E82"/>
    <w:rsid w:val="00F23127"/>
    <w:rsid w:val="00F2377C"/>
    <w:rsid w:val="00F249E4"/>
    <w:rsid w:val="00F24CE5"/>
    <w:rsid w:val="00F24E7A"/>
    <w:rsid w:val="00F24F71"/>
    <w:rsid w:val="00F2517F"/>
    <w:rsid w:val="00F27181"/>
    <w:rsid w:val="00F27235"/>
    <w:rsid w:val="00F27779"/>
    <w:rsid w:val="00F27B40"/>
    <w:rsid w:val="00F30189"/>
    <w:rsid w:val="00F306B3"/>
    <w:rsid w:val="00F31139"/>
    <w:rsid w:val="00F32F7B"/>
    <w:rsid w:val="00F3330A"/>
    <w:rsid w:val="00F3528D"/>
    <w:rsid w:val="00F355A3"/>
    <w:rsid w:val="00F3572B"/>
    <w:rsid w:val="00F35EA4"/>
    <w:rsid w:val="00F3722C"/>
    <w:rsid w:val="00F37F04"/>
    <w:rsid w:val="00F400A9"/>
    <w:rsid w:val="00F40CB3"/>
    <w:rsid w:val="00F4154D"/>
    <w:rsid w:val="00F4156E"/>
    <w:rsid w:val="00F41596"/>
    <w:rsid w:val="00F418D3"/>
    <w:rsid w:val="00F41D69"/>
    <w:rsid w:val="00F4308B"/>
    <w:rsid w:val="00F43BE6"/>
    <w:rsid w:val="00F43CA7"/>
    <w:rsid w:val="00F442FF"/>
    <w:rsid w:val="00F44BAB"/>
    <w:rsid w:val="00F45501"/>
    <w:rsid w:val="00F455E7"/>
    <w:rsid w:val="00F45ECB"/>
    <w:rsid w:val="00F467F6"/>
    <w:rsid w:val="00F472E6"/>
    <w:rsid w:val="00F4734C"/>
    <w:rsid w:val="00F47B3A"/>
    <w:rsid w:val="00F503CE"/>
    <w:rsid w:val="00F506F9"/>
    <w:rsid w:val="00F508C4"/>
    <w:rsid w:val="00F50D8D"/>
    <w:rsid w:val="00F51EBD"/>
    <w:rsid w:val="00F525C5"/>
    <w:rsid w:val="00F53A13"/>
    <w:rsid w:val="00F54141"/>
    <w:rsid w:val="00F5478A"/>
    <w:rsid w:val="00F54CE7"/>
    <w:rsid w:val="00F55863"/>
    <w:rsid w:val="00F5662E"/>
    <w:rsid w:val="00F56A99"/>
    <w:rsid w:val="00F57324"/>
    <w:rsid w:val="00F623B2"/>
    <w:rsid w:val="00F63049"/>
    <w:rsid w:val="00F63240"/>
    <w:rsid w:val="00F63E31"/>
    <w:rsid w:val="00F6410E"/>
    <w:rsid w:val="00F648F6"/>
    <w:rsid w:val="00F655DE"/>
    <w:rsid w:val="00F658CD"/>
    <w:rsid w:val="00F65EE7"/>
    <w:rsid w:val="00F66BFE"/>
    <w:rsid w:val="00F70CCF"/>
    <w:rsid w:val="00F71127"/>
    <w:rsid w:val="00F71496"/>
    <w:rsid w:val="00F72836"/>
    <w:rsid w:val="00F72DFD"/>
    <w:rsid w:val="00F74D1A"/>
    <w:rsid w:val="00F754F0"/>
    <w:rsid w:val="00F75838"/>
    <w:rsid w:val="00F75DA9"/>
    <w:rsid w:val="00F77A9E"/>
    <w:rsid w:val="00F80471"/>
    <w:rsid w:val="00F80D40"/>
    <w:rsid w:val="00F81D09"/>
    <w:rsid w:val="00F83C42"/>
    <w:rsid w:val="00F8458A"/>
    <w:rsid w:val="00F849AD"/>
    <w:rsid w:val="00F85B38"/>
    <w:rsid w:val="00F8785C"/>
    <w:rsid w:val="00F91AED"/>
    <w:rsid w:val="00F934E0"/>
    <w:rsid w:val="00F93D5C"/>
    <w:rsid w:val="00F97A45"/>
    <w:rsid w:val="00FA0906"/>
    <w:rsid w:val="00FA130E"/>
    <w:rsid w:val="00FA1394"/>
    <w:rsid w:val="00FA2BEB"/>
    <w:rsid w:val="00FA3C31"/>
    <w:rsid w:val="00FA4737"/>
    <w:rsid w:val="00FA4A4D"/>
    <w:rsid w:val="00FA70F5"/>
    <w:rsid w:val="00FB05BC"/>
    <w:rsid w:val="00FB10E1"/>
    <w:rsid w:val="00FB148A"/>
    <w:rsid w:val="00FB15C0"/>
    <w:rsid w:val="00FB16D8"/>
    <w:rsid w:val="00FB22A2"/>
    <w:rsid w:val="00FB457F"/>
    <w:rsid w:val="00FB728C"/>
    <w:rsid w:val="00FB7494"/>
    <w:rsid w:val="00FB7881"/>
    <w:rsid w:val="00FC01BC"/>
    <w:rsid w:val="00FC022D"/>
    <w:rsid w:val="00FC081F"/>
    <w:rsid w:val="00FC0D40"/>
    <w:rsid w:val="00FC0E6B"/>
    <w:rsid w:val="00FC1230"/>
    <w:rsid w:val="00FC180F"/>
    <w:rsid w:val="00FC2636"/>
    <w:rsid w:val="00FC28D2"/>
    <w:rsid w:val="00FC2A5F"/>
    <w:rsid w:val="00FC2E67"/>
    <w:rsid w:val="00FC31C7"/>
    <w:rsid w:val="00FC49C9"/>
    <w:rsid w:val="00FC50E1"/>
    <w:rsid w:val="00FC5803"/>
    <w:rsid w:val="00FC64BF"/>
    <w:rsid w:val="00FC6583"/>
    <w:rsid w:val="00FC6760"/>
    <w:rsid w:val="00FC6ED4"/>
    <w:rsid w:val="00FC6FE4"/>
    <w:rsid w:val="00FC7375"/>
    <w:rsid w:val="00FC73FA"/>
    <w:rsid w:val="00FC7B44"/>
    <w:rsid w:val="00FD0415"/>
    <w:rsid w:val="00FD0AF4"/>
    <w:rsid w:val="00FD107B"/>
    <w:rsid w:val="00FD15E6"/>
    <w:rsid w:val="00FD3A8D"/>
    <w:rsid w:val="00FD40E5"/>
    <w:rsid w:val="00FD5087"/>
    <w:rsid w:val="00FD5E6A"/>
    <w:rsid w:val="00FD5F76"/>
    <w:rsid w:val="00FD6CF5"/>
    <w:rsid w:val="00FD727C"/>
    <w:rsid w:val="00FD7620"/>
    <w:rsid w:val="00FE06F2"/>
    <w:rsid w:val="00FE08A0"/>
    <w:rsid w:val="00FE11D6"/>
    <w:rsid w:val="00FE1466"/>
    <w:rsid w:val="00FE1F14"/>
    <w:rsid w:val="00FE326A"/>
    <w:rsid w:val="00FE4A6B"/>
    <w:rsid w:val="00FE537A"/>
    <w:rsid w:val="00FE5392"/>
    <w:rsid w:val="00FE5B80"/>
    <w:rsid w:val="00FE5C90"/>
    <w:rsid w:val="00FE5C99"/>
    <w:rsid w:val="00FE61B1"/>
    <w:rsid w:val="00FE6725"/>
    <w:rsid w:val="00FE7449"/>
    <w:rsid w:val="00FE74FE"/>
    <w:rsid w:val="00FF0107"/>
    <w:rsid w:val="00FF055A"/>
    <w:rsid w:val="00FF0A20"/>
    <w:rsid w:val="00FF10DD"/>
    <w:rsid w:val="00FF1F9D"/>
    <w:rsid w:val="00FF329B"/>
    <w:rsid w:val="00FF32C7"/>
    <w:rsid w:val="00FF343A"/>
    <w:rsid w:val="00FF3A87"/>
    <w:rsid w:val="00FF4290"/>
    <w:rsid w:val="00FF44C0"/>
    <w:rsid w:val="00FF466F"/>
    <w:rsid w:val="00FF54B6"/>
    <w:rsid w:val="00FF613B"/>
    <w:rsid w:val="00FF622E"/>
    <w:rsid w:val="00FF76D1"/>
    <w:rsid w:val="00FF784A"/>
    <w:rsid w:val="00FF79A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2AEBC730"/>
  <w15:docId w15:val="{5B7DD6ED-00EA-44AE-A825-FCECD2C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6C"/>
    <w:pPr>
      <w:spacing w:after="200" w:line="276" w:lineRule="auto"/>
    </w:pPr>
    <w:rPr>
      <w:sz w:val="22"/>
      <w:szCs w:val="22"/>
      <w:lang w:val="el-GR"/>
    </w:rPr>
  </w:style>
  <w:style w:type="paragraph" w:styleId="Heading1">
    <w:name w:val="heading 1"/>
    <w:basedOn w:val="Normal"/>
    <w:next w:val="Normal"/>
    <w:link w:val="Heading1Char"/>
    <w:uiPriority w:val="9"/>
    <w:qFormat/>
    <w:rsid w:val="009010E3"/>
    <w:pPr>
      <w:keepNext/>
      <w:keepLines/>
      <w:spacing w:before="480" w:after="0"/>
      <w:outlineLvl w:val="0"/>
    </w:pPr>
    <w:rPr>
      <w:rFonts w:ascii="Cambria" w:eastAsia="SimSun" w:hAnsi="Cambria"/>
      <w:b/>
      <w:bCs/>
      <w:color w:val="365F91"/>
      <w:sz w:val="28"/>
      <w:szCs w:val="28"/>
      <w:lang w:val="x-none" w:eastAsia="x-none"/>
    </w:rPr>
  </w:style>
  <w:style w:type="paragraph" w:styleId="Heading2">
    <w:name w:val="heading 2"/>
    <w:basedOn w:val="Normal"/>
    <w:next w:val="Normal"/>
    <w:link w:val="Heading2Char"/>
    <w:uiPriority w:val="9"/>
    <w:qFormat/>
    <w:rsid w:val="00C90745"/>
    <w:pPr>
      <w:keepNext/>
      <w:keepLines/>
      <w:spacing w:before="200" w:after="0"/>
      <w:jc w:val="center"/>
      <w:outlineLvl w:val="1"/>
    </w:pPr>
    <w:rPr>
      <w:rFonts w:ascii="Cambria" w:eastAsia="SimSun" w:hAnsi="Cambria"/>
      <w:b/>
      <w:bCs/>
      <w:color w:val="4F81BD"/>
      <w:sz w:val="26"/>
      <w:szCs w:val="26"/>
      <w:lang w:eastAsia="x-none"/>
    </w:rPr>
  </w:style>
  <w:style w:type="paragraph" w:styleId="Heading3">
    <w:name w:val="heading 3"/>
    <w:basedOn w:val="Normal"/>
    <w:next w:val="Normal"/>
    <w:link w:val="Heading3Char"/>
    <w:uiPriority w:val="9"/>
    <w:qFormat/>
    <w:rsid w:val="00DA22F1"/>
    <w:pPr>
      <w:keepNext/>
      <w:keepLines/>
      <w:spacing w:before="200" w:after="0"/>
      <w:outlineLvl w:val="2"/>
    </w:pPr>
    <w:rPr>
      <w:rFonts w:ascii="Cambria" w:eastAsia="SimSun" w:hAnsi="Cambria"/>
      <w:b/>
      <w:bCs/>
      <w:color w:val="4F81BD"/>
      <w:sz w:val="20"/>
      <w:szCs w:val="20"/>
      <w:lang w:val="x-none" w:eastAsia="x-none"/>
    </w:rPr>
  </w:style>
  <w:style w:type="paragraph" w:styleId="Heading4">
    <w:name w:val="heading 4"/>
    <w:basedOn w:val="Normal"/>
    <w:next w:val="Normal"/>
    <w:link w:val="Heading4Char"/>
    <w:uiPriority w:val="9"/>
    <w:qFormat/>
    <w:rsid w:val="00DA22F1"/>
    <w:pPr>
      <w:pBdr>
        <w:bottom w:val="dotted" w:sz="4" w:space="1" w:color="943634"/>
      </w:pBdr>
      <w:spacing w:after="120" w:line="252" w:lineRule="auto"/>
      <w:jc w:val="center"/>
      <w:outlineLvl w:val="3"/>
    </w:pPr>
    <w:rPr>
      <w:rFonts w:ascii="Cambria" w:eastAsia="SimSun" w:hAnsi="Cambria"/>
      <w:caps/>
      <w:color w:val="622423"/>
      <w:spacing w:val="10"/>
      <w:sz w:val="20"/>
      <w:szCs w:val="20"/>
      <w:lang w:val="en-GB" w:eastAsia="x-none"/>
    </w:rPr>
  </w:style>
  <w:style w:type="paragraph" w:styleId="Heading5">
    <w:name w:val="heading 5"/>
    <w:basedOn w:val="Normal"/>
    <w:next w:val="Normal"/>
    <w:link w:val="Heading5Char"/>
    <w:uiPriority w:val="9"/>
    <w:qFormat/>
    <w:rsid w:val="00167FE0"/>
    <w:pPr>
      <w:spacing w:before="320" w:after="120" w:line="252" w:lineRule="auto"/>
      <w:jc w:val="center"/>
      <w:outlineLvl w:val="4"/>
    </w:pPr>
    <w:rPr>
      <w:rFonts w:eastAsia="HGGothicM"/>
      <w:caps/>
      <w:color w:val="004D6C"/>
      <w:spacing w:val="10"/>
      <w:lang w:val="en-GB" w:eastAsia="x-none"/>
    </w:rPr>
  </w:style>
  <w:style w:type="paragraph" w:styleId="Heading6">
    <w:name w:val="heading 6"/>
    <w:basedOn w:val="Normal"/>
    <w:next w:val="Normal"/>
    <w:link w:val="Heading6Char"/>
    <w:uiPriority w:val="9"/>
    <w:qFormat/>
    <w:rsid w:val="00167FE0"/>
    <w:pPr>
      <w:spacing w:after="120" w:line="252" w:lineRule="auto"/>
      <w:jc w:val="center"/>
      <w:outlineLvl w:val="5"/>
    </w:pPr>
    <w:rPr>
      <w:rFonts w:eastAsia="HGGothicM"/>
      <w:caps/>
      <w:color w:val="0075A2"/>
      <w:spacing w:val="10"/>
      <w:lang w:val="en-GB" w:eastAsia="x-none"/>
    </w:rPr>
  </w:style>
  <w:style w:type="paragraph" w:styleId="Heading7">
    <w:name w:val="heading 7"/>
    <w:basedOn w:val="Normal"/>
    <w:next w:val="Normal"/>
    <w:link w:val="Heading7Char"/>
    <w:uiPriority w:val="9"/>
    <w:qFormat/>
    <w:rsid w:val="00167FE0"/>
    <w:pPr>
      <w:spacing w:after="120" w:line="252" w:lineRule="auto"/>
      <w:jc w:val="center"/>
      <w:outlineLvl w:val="6"/>
    </w:pPr>
    <w:rPr>
      <w:rFonts w:eastAsia="HGGothicM"/>
      <w:i/>
      <w:iCs/>
      <w:caps/>
      <w:color w:val="0075A2"/>
      <w:spacing w:val="10"/>
      <w:lang w:val="en-GB" w:eastAsia="x-none"/>
    </w:rPr>
  </w:style>
  <w:style w:type="paragraph" w:styleId="Heading8">
    <w:name w:val="heading 8"/>
    <w:basedOn w:val="Normal"/>
    <w:next w:val="Normal"/>
    <w:link w:val="Heading8Char"/>
    <w:uiPriority w:val="9"/>
    <w:qFormat/>
    <w:rsid w:val="00167FE0"/>
    <w:pPr>
      <w:spacing w:after="120" w:line="252" w:lineRule="auto"/>
      <w:jc w:val="center"/>
      <w:outlineLvl w:val="7"/>
    </w:pPr>
    <w:rPr>
      <w:rFonts w:eastAsia="HGGothicM"/>
      <w:caps/>
      <w:spacing w:val="10"/>
      <w:sz w:val="20"/>
      <w:szCs w:val="20"/>
      <w:lang w:val="en-GB" w:eastAsia="x-none"/>
    </w:rPr>
  </w:style>
  <w:style w:type="paragraph" w:styleId="Heading9">
    <w:name w:val="heading 9"/>
    <w:basedOn w:val="Normal"/>
    <w:next w:val="Normal"/>
    <w:link w:val="Heading9Char"/>
    <w:uiPriority w:val="9"/>
    <w:qFormat/>
    <w:rsid w:val="00167FE0"/>
    <w:pPr>
      <w:spacing w:after="120" w:line="252" w:lineRule="auto"/>
      <w:jc w:val="center"/>
      <w:outlineLvl w:val="8"/>
    </w:pPr>
    <w:rPr>
      <w:rFonts w:eastAsia="HGGothicM"/>
      <w:i/>
      <w:iCs/>
      <w:caps/>
      <w:spacing w:val="1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10E3"/>
    <w:rPr>
      <w:rFonts w:ascii="Cambria" w:eastAsia="SimSun" w:hAnsi="Cambria" w:cs="Times New Roman"/>
      <w:b/>
      <w:bCs/>
      <w:color w:val="365F91"/>
      <w:sz w:val="28"/>
      <w:szCs w:val="28"/>
    </w:rPr>
  </w:style>
  <w:style w:type="character" w:customStyle="1" w:styleId="Heading2Char">
    <w:name w:val="Heading 2 Char"/>
    <w:link w:val="Heading2"/>
    <w:uiPriority w:val="9"/>
    <w:rsid w:val="00C90745"/>
    <w:rPr>
      <w:rFonts w:ascii="Cambria" w:eastAsia="SimSun" w:hAnsi="Cambria"/>
      <w:b/>
      <w:bCs/>
      <w:color w:val="4F81BD"/>
      <w:sz w:val="26"/>
      <w:szCs w:val="26"/>
      <w:lang w:val="el-GR"/>
    </w:rPr>
  </w:style>
  <w:style w:type="character" w:customStyle="1" w:styleId="Heading3Char">
    <w:name w:val="Heading 3 Char"/>
    <w:link w:val="Heading3"/>
    <w:uiPriority w:val="9"/>
    <w:rsid w:val="00DA22F1"/>
    <w:rPr>
      <w:rFonts w:ascii="Cambria" w:eastAsia="SimSun" w:hAnsi="Cambria" w:cs="Times New Roman"/>
      <w:b/>
      <w:bCs/>
      <w:color w:val="4F81BD"/>
    </w:rPr>
  </w:style>
  <w:style w:type="character" w:customStyle="1" w:styleId="Heading4Char">
    <w:name w:val="Heading 4 Char"/>
    <w:link w:val="Heading4"/>
    <w:uiPriority w:val="9"/>
    <w:semiHidden/>
    <w:rsid w:val="00DA22F1"/>
    <w:rPr>
      <w:rFonts w:ascii="Cambria" w:eastAsia="SimSun" w:hAnsi="Cambria" w:cs="Times New Roman"/>
      <w:caps/>
      <w:color w:val="622423"/>
      <w:spacing w:val="10"/>
      <w:lang w:val="en-GB"/>
    </w:rPr>
  </w:style>
  <w:style w:type="character" w:customStyle="1" w:styleId="Heading5Char">
    <w:name w:val="Heading 5 Char"/>
    <w:link w:val="Heading5"/>
    <w:uiPriority w:val="9"/>
    <w:semiHidden/>
    <w:rsid w:val="00167FE0"/>
    <w:rPr>
      <w:rFonts w:eastAsia="HGGothicM"/>
      <w:caps/>
      <w:color w:val="004D6C"/>
      <w:spacing w:val="10"/>
      <w:sz w:val="22"/>
      <w:szCs w:val="22"/>
      <w:lang w:val="en-GB"/>
    </w:rPr>
  </w:style>
  <w:style w:type="character" w:customStyle="1" w:styleId="Heading6Char">
    <w:name w:val="Heading 6 Char"/>
    <w:link w:val="Heading6"/>
    <w:uiPriority w:val="9"/>
    <w:semiHidden/>
    <w:rsid w:val="00167FE0"/>
    <w:rPr>
      <w:rFonts w:eastAsia="HGGothicM"/>
      <w:caps/>
      <w:color w:val="0075A2"/>
      <w:spacing w:val="10"/>
      <w:sz w:val="22"/>
      <w:szCs w:val="22"/>
      <w:lang w:val="en-GB"/>
    </w:rPr>
  </w:style>
  <w:style w:type="character" w:customStyle="1" w:styleId="Heading7Char">
    <w:name w:val="Heading 7 Char"/>
    <w:link w:val="Heading7"/>
    <w:uiPriority w:val="9"/>
    <w:semiHidden/>
    <w:rsid w:val="00167FE0"/>
    <w:rPr>
      <w:rFonts w:eastAsia="HGGothicM"/>
      <w:i/>
      <w:iCs/>
      <w:caps/>
      <w:color w:val="0075A2"/>
      <w:spacing w:val="10"/>
      <w:sz w:val="22"/>
      <w:szCs w:val="22"/>
      <w:lang w:val="en-GB"/>
    </w:rPr>
  </w:style>
  <w:style w:type="character" w:customStyle="1" w:styleId="Heading8Char">
    <w:name w:val="Heading 8 Char"/>
    <w:link w:val="Heading8"/>
    <w:uiPriority w:val="9"/>
    <w:semiHidden/>
    <w:rsid w:val="00167FE0"/>
    <w:rPr>
      <w:rFonts w:eastAsia="HGGothicM"/>
      <w:caps/>
      <w:spacing w:val="10"/>
      <w:lang w:val="en-GB"/>
    </w:rPr>
  </w:style>
  <w:style w:type="character" w:customStyle="1" w:styleId="Heading9Char">
    <w:name w:val="Heading 9 Char"/>
    <w:link w:val="Heading9"/>
    <w:uiPriority w:val="9"/>
    <w:semiHidden/>
    <w:rsid w:val="00167FE0"/>
    <w:rPr>
      <w:rFonts w:eastAsia="HGGothicM"/>
      <w:i/>
      <w:iCs/>
      <w:caps/>
      <w:spacing w:val="10"/>
      <w:lang w:val="en-GB"/>
    </w:rPr>
  </w:style>
  <w:style w:type="character" w:styleId="CommentReference">
    <w:name w:val="annotation reference"/>
    <w:uiPriority w:val="99"/>
    <w:semiHidden/>
    <w:unhideWhenUsed/>
    <w:rsid w:val="00DA22F1"/>
    <w:rPr>
      <w:sz w:val="16"/>
      <w:szCs w:val="16"/>
    </w:rPr>
  </w:style>
  <w:style w:type="paragraph" w:styleId="CommentText">
    <w:name w:val="annotation text"/>
    <w:basedOn w:val="Normal"/>
    <w:link w:val="CommentTextChar"/>
    <w:uiPriority w:val="99"/>
    <w:unhideWhenUsed/>
    <w:rsid w:val="00DA22F1"/>
    <w:pPr>
      <w:spacing w:line="240" w:lineRule="auto"/>
    </w:pPr>
    <w:rPr>
      <w:rFonts w:ascii="Cambria" w:eastAsia="SimSun" w:hAnsi="Cambria"/>
      <w:sz w:val="20"/>
      <w:szCs w:val="20"/>
      <w:lang w:val="en-GB" w:eastAsia="x-none"/>
    </w:rPr>
  </w:style>
  <w:style w:type="character" w:customStyle="1" w:styleId="CommentTextChar">
    <w:name w:val="Comment Text Char"/>
    <w:link w:val="CommentText"/>
    <w:uiPriority w:val="99"/>
    <w:rsid w:val="00DA22F1"/>
    <w:rPr>
      <w:rFonts w:ascii="Cambria" w:eastAsia="SimSun" w:hAnsi="Cambria" w:cs="Times New Roman"/>
      <w:sz w:val="20"/>
      <w:szCs w:val="20"/>
      <w:lang w:val="en-GB"/>
    </w:rPr>
  </w:style>
  <w:style w:type="paragraph" w:styleId="ListParagraph">
    <w:name w:val="List Paragraph"/>
    <w:basedOn w:val="Normal"/>
    <w:uiPriority w:val="34"/>
    <w:qFormat/>
    <w:rsid w:val="00DA22F1"/>
    <w:pPr>
      <w:spacing w:line="252" w:lineRule="auto"/>
      <w:ind w:left="720"/>
      <w:contextualSpacing/>
    </w:pPr>
    <w:rPr>
      <w:rFonts w:ascii="Cambria" w:eastAsia="SimSun" w:hAnsi="Cambria"/>
      <w:lang w:val="en-GB"/>
    </w:rPr>
  </w:style>
  <w:style w:type="table" w:customStyle="1" w:styleId="LightList-Accent12">
    <w:name w:val="Light List - Accent 12"/>
    <w:basedOn w:val="TableNormal"/>
    <w:uiPriority w:val="61"/>
    <w:rsid w:val="00DA22F1"/>
    <w:rPr>
      <w:rFonts w:ascii="Cambria" w:eastAsia="SimSun" w:hAnsi="Cambria"/>
      <w:lang w:val="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2"/>
    <w:uiPriority w:val="61"/>
    <w:rsid w:val="00DA22F1"/>
    <w:rPr>
      <w:rFonts w:ascii="Cambria" w:eastAsia="SimSun" w:hAnsi="Cambria"/>
      <w:lang w:val="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DA22F1"/>
    <w:rPr>
      <w:color w:val="0000FF"/>
      <w:u w:val="single"/>
    </w:rPr>
  </w:style>
  <w:style w:type="paragraph" w:styleId="BalloonText">
    <w:name w:val="Balloon Text"/>
    <w:basedOn w:val="Normal"/>
    <w:link w:val="BalloonTextChar"/>
    <w:uiPriority w:val="99"/>
    <w:semiHidden/>
    <w:unhideWhenUsed/>
    <w:rsid w:val="00DA22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A22F1"/>
    <w:rPr>
      <w:rFonts w:ascii="Tahoma" w:hAnsi="Tahoma" w:cs="Tahoma"/>
      <w:sz w:val="16"/>
      <w:szCs w:val="16"/>
    </w:rPr>
  </w:style>
  <w:style w:type="table" w:styleId="LightShading-Accent5">
    <w:name w:val="Light Shading Accent 5"/>
    <w:basedOn w:val="TableNormal"/>
    <w:uiPriority w:val="60"/>
    <w:rsid w:val="00DA22F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DA22F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TableNormal"/>
    <w:uiPriority w:val="60"/>
    <w:rsid w:val="00DA22F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2C5F54"/>
    <w:rPr>
      <w:color w:val="000000"/>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NoSpacing">
    <w:name w:val="No Spacing"/>
    <w:link w:val="NoSpacingChar"/>
    <w:uiPriority w:val="1"/>
    <w:qFormat/>
    <w:rsid w:val="001C1F39"/>
    <w:rPr>
      <w:rFonts w:eastAsia="SimSun"/>
      <w:lang w:eastAsia="ja-JP"/>
    </w:rPr>
  </w:style>
  <w:style w:type="character" w:customStyle="1" w:styleId="NoSpacingChar">
    <w:name w:val="No Spacing Char"/>
    <w:link w:val="NoSpacing"/>
    <w:uiPriority w:val="1"/>
    <w:rsid w:val="001C1F39"/>
    <w:rPr>
      <w:rFonts w:eastAsia="SimSun"/>
      <w:lang w:val="en-US" w:eastAsia="ja-JP" w:bidi="ar-SA"/>
    </w:rPr>
  </w:style>
  <w:style w:type="paragraph" w:styleId="Header">
    <w:name w:val="header"/>
    <w:basedOn w:val="Normal"/>
    <w:link w:val="HeaderChar"/>
    <w:uiPriority w:val="99"/>
    <w:unhideWhenUsed/>
    <w:rsid w:val="009010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0E3"/>
  </w:style>
  <w:style w:type="paragraph" w:styleId="Footer">
    <w:name w:val="footer"/>
    <w:basedOn w:val="Normal"/>
    <w:link w:val="FooterChar"/>
    <w:uiPriority w:val="99"/>
    <w:unhideWhenUsed/>
    <w:rsid w:val="009010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0E3"/>
  </w:style>
  <w:style w:type="paragraph" w:customStyle="1" w:styleId="Default">
    <w:name w:val="Default"/>
    <w:rsid w:val="009010E3"/>
    <w:pPr>
      <w:autoSpaceDE w:val="0"/>
      <w:autoSpaceDN w:val="0"/>
      <w:adjustRightInd w:val="0"/>
    </w:pPr>
    <w:rPr>
      <w:rFonts w:ascii="Tahoma" w:eastAsia="SimSun" w:hAnsi="Tahoma" w:cs="Tahoma"/>
      <w:color w:val="000000"/>
      <w:sz w:val="24"/>
      <w:szCs w:val="24"/>
      <w:lang w:val="fr-BE"/>
    </w:rPr>
  </w:style>
  <w:style w:type="paragraph" w:styleId="NormalWeb">
    <w:name w:val="Normal (Web)"/>
    <w:basedOn w:val="Normal"/>
    <w:uiPriority w:val="99"/>
    <w:unhideWhenUsed/>
    <w:rsid w:val="00033CE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mmentSubjectChar">
    <w:name w:val="Comment Subject Char"/>
    <w:link w:val="CommentSubject"/>
    <w:uiPriority w:val="99"/>
    <w:semiHidden/>
    <w:rsid w:val="00167FE0"/>
    <w:rPr>
      <w:rFonts w:ascii="Cambria" w:eastAsia="HGGothicM" w:hAnsi="Cambria"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167FE0"/>
    <w:rPr>
      <w:rFonts w:eastAsia="HGGothicM"/>
      <w:b/>
      <w:bCs/>
    </w:rPr>
  </w:style>
  <w:style w:type="table" w:styleId="TableGrid">
    <w:name w:val="Table Grid"/>
    <w:basedOn w:val="TableNormal"/>
    <w:uiPriority w:val="59"/>
    <w:rsid w:val="00167FE0"/>
    <w:rPr>
      <w:rFonts w:eastAsia="HGGothi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67FE0"/>
    <w:pPr>
      <w:pBdr>
        <w:top w:val="dotted" w:sz="2" w:space="1" w:color="004E6C"/>
        <w:bottom w:val="dotted" w:sz="2" w:space="6" w:color="004E6C"/>
      </w:pBdr>
      <w:spacing w:before="500" w:after="300" w:line="240" w:lineRule="auto"/>
      <w:jc w:val="center"/>
    </w:pPr>
    <w:rPr>
      <w:rFonts w:eastAsia="HGGothicM"/>
      <w:caps/>
      <w:color w:val="004E6C"/>
      <w:spacing w:val="50"/>
      <w:sz w:val="44"/>
      <w:szCs w:val="44"/>
      <w:lang w:val="en-GB" w:eastAsia="x-none"/>
    </w:rPr>
  </w:style>
  <w:style w:type="character" w:customStyle="1" w:styleId="TitleChar">
    <w:name w:val="Title Char"/>
    <w:link w:val="Title"/>
    <w:uiPriority w:val="10"/>
    <w:rsid w:val="00167FE0"/>
    <w:rPr>
      <w:rFonts w:eastAsia="HGGothicM"/>
      <w:caps/>
      <w:color w:val="004E6C"/>
      <w:spacing w:val="50"/>
      <w:sz w:val="44"/>
      <w:szCs w:val="44"/>
      <w:lang w:val="en-GB"/>
    </w:rPr>
  </w:style>
  <w:style w:type="paragraph" w:styleId="Subtitle">
    <w:name w:val="Subtitle"/>
    <w:basedOn w:val="Normal"/>
    <w:next w:val="Normal"/>
    <w:link w:val="SubtitleChar"/>
    <w:uiPriority w:val="11"/>
    <w:qFormat/>
    <w:rsid w:val="00167FE0"/>
    <w:pPr>
      <w:spacing w:after="560" w:line="240" w:lineRule="auto"/>
      <w:jc w:val="center"/>
    </w:pPr>
    <w:rPr>
      <w:rFonts w:eastAsia="HGGothicM"/>
      <w:caps/>
      <w:spacing w:val="20"/>
      <w:sz w:val="18"/>
      <w:szCs w:val="18"/>
      <w:lang w:val="en-GB" w:eastAsia="x-none"/>
    </w:rPr>
  </w:style>
  <w:style w:type="character" w:customStyle="1" w:styleId="SubtitleChar">
    <w:name w:val="Subtitle Char"/>
    <w:link w:val="Subtitle"/>
    <w:uiPriority w:val="11"/>
    <w:rsid w:val="00167FE0"/>
    <w:rPr>
      <w:rFonts w:eastAsia="HGGothicM"/>
      <w:caps/>
      <w:spacing w:val="20"/>
      <w:sz w:val="18"/>
      <w:szCs w:val="18"/>
      <w:lang w:val="en-GB"/>
    </w:rPr>
  </w:style>
  <w:style w:type="character" w:styleId="Strong">
    <w:name w:val="Strong"/>
    <w:uiPriority w:val="22"/>
    <w:qFormat/>
    <w:rsid w:val="00167FE0"/>
    <w:rPr>
      <w:b/>
      <w:bCs/>
      <w:color w:val="0075A2"/>
      <w:spacing w:val="5"/>
    </w:rPr>
  </w:style>
  <w:style w:type="character" w:styleId="Emphasis">
    <w:name w:val="Emphasis"/>
    <w:uiPriority w:val="20"/>
    <w:qFormat/>
    <w:rsid w:val="00167FE0"/>
    <w:rPr>
      <w:caps/>
      <w:spacing w:val="5"/>
      <w:sz w:val="20"/>
      <w:szCs w:val="20"/>
    </w:rPr>
  </w:style>
  <w:style w:type="paragraph" w:styleId="Quote">
    <w:name w:val="Quote"/>
    <w:basedOn w:val="Normal"/>
    <w:next w:val="Normal"/>
    <w:link w:val="QuoteChar"/>
    <w:uiPriority w:val="29"/>
    <w:qFormat/>
    <w:rsid w:val="00167FE0"/>
    <w:pPr>
      <w:spacing w:line="252" w:lineRule="auto"/>
    </w:pPr>
    <w:rPr>
      <w:rFonts w:eastAsia="HGGothicM"/>
      <w:i/>
      <w:iCs/>
      <w:lang w:val="en-GB" w:eastAsia="x-none"/>
    </w:rPr>
  </w:style>
  <w:style w:type="character" w:customStyle="1" w:styleId="QuoteChar">
    <w:name w:val="Quote Char"/>
    <w:link w:val="Quote"/>
    <w:uiPriority w:val="29"/>
    <w:rsid w:val="00167FE0"/>
    <w:rPr>
      <w:rFonts w:eastAsia="HGGothicM"/>
      <w:i/>
      <w:iCs/>
      <w:sz w:val="22"/>
      <w:szCs w:val="22"/>
      <w:lang w:val="en-GB"/>
    </w:rPr>
  </w:style>
  <w:style w:type="paragraph" w:styleId="IntenseQuote">
    <w:name w:val="Intense Quote"/>
    <w:basedOn w:val="Normal"/>
    <w:next w:val="Normal"/>
    <w:link w:val="IntenseQuoteChar"/>
    <w:uiPriority w:val="30"/>
    <w:qFormat/>
    <w:rsid w:val="00167FE0"/>
    <w:pPr>
      <w:pBdr>
        <w:top w:val="dotted" w:sz="2" w:space="10" w:color="004E6C"/>
        <w:bottom w:val="dotted" w:sz="2" w:space="4" w:color="004E6C"/>
      </w:pBdr>
      <w:spacing w:before="160" w:line="300" w:lineRule="auto"/>
      <w:ind w:left="1440" w:right="1440"/>
    </w:pPr>
    <w:rPr>
      <w:rFonts w:eastAsia="HGGothicM"/>
      <w:caps/>
      <w:color w:val="004D6C"/>
      <w:spacing w:val="5"/>
      <w:sz w:val="20"/>
      <w:szCs w:val="20"/>
      <w:lang w:val="en-GB" w:eastAsia="x-none"/>
    </w:rPr>
  </w:style>
  <w:style w:type="character" w:customStyle="1" w:styleId="IntenseQuoteChar">
    <w:name w:val="Intense Quote Char"/>
    <w:link w:val="IntenseQuote"/>
    <w:uiPriority w:val="30"/>
    <w:rsid w:val="00167FE0"/>
    <w:rPr>
      <w:rFonts w:eastAsia="HGGothicM"/>
      <w:caps/>
      <w:color w:val="004D6C"/>
      <w:spacing w:val="5"/>
      <w:lang w:val="en-GB"/>
    </w:rPr>
  </w:style>
  <w:style w:type="character" w:styleId="SubtleEmphasis">
    <w:name w:val="Subtle Emphasis"/>
    <w:uiPriority w:val="19"/>
    <w:qFormat/>
    <w:rsid w:val="00167FE0"/>
    <w:rPr>
      <w:i/>
      <w:iCs/>
    </w:rPr>
  </w:style>
  <w:style w:type="character" w:styleId="IntenseEmphasis">
    <w:name w:val="Intense Emphasis"/>
    <w:uiPriority w:val="21"/>
    <w:qFormat/>
    <w:rsid w:val="00167FE0"/>
    <w:rPr>
      <w:i/>
      <w:iCs/>
      <w:caps/>
      <w:spacing w:val="10"/>
      <w:sz w:val="20"/>
      <w:szCs w:val="20"/>
    </w:rPr>
  </w:style>
  <w:style w:type="character" w:styleId="SubtleReference">
    <w:name w:val="Subtle Reference"/>
    <w:uiPriority w:val="31"/>
    <w:qFormat/>
    <w:rsid w:val="00167FE0"/>
    <w:rPr>
      <w:rFonts w:ascii="Cambria" w:eastAsia="HGMinchoB" w:hAnsi="Cambria" w:cs="Times New Roman"/>
      <w:i/>
      <w:iCs/>
      <w:color w:val="004D6C"/>
    </w:rPr>
  </w:style>
  <w:style w:type="character" w:styleId="IntenseReference">
    <w:name w:val="Intense Reference"/>
    <w:uiPriority w:val="32"/>
    <w:qFormat/>
    <w:rsid w:val="00167FE0"/>
    <w:rPr>
      <w:rFonts w:ascii="Cambria" w:eastAsia="HGMinchoB" w:hAnsi="Cambria" w:cs="Times New Roman"/>
      <w:b/>
      <w:bCs/>
      <w:i/>
      <w:iCs/>
      <w:color w:val="004D6C"/>
    </w:rPr>
  </w:style>
  <w:style w:type="character" w:styleId="BookTitle">
    <w:name w:val="Book Title"/>
    <w:uiPriority w:val="33"/>
    <w:qFormat/>
    <w:rsid w:val="00167FE0"/>
    <w:rPr>
      <w:caps/>
      <w:color w:val="004D6C"/>
      <w:spacing w:val="5"/>
      <w:u w:color="004D6C"/>
    </w:rPr>
  </w:style>
  <w:style w:type="paragraph" w:styleId="TOCHeading">
    <w:name w:val="TOC Heading"/>
    <w:basedOn w:val="Heading1"/>
    <w:next w:val="Normal"/>
    <w:uiPriority w:val="39"/>
    <w:qFormat/>
    <w:rsid w:val="00167FE0"/>
    <w:pPr>
      <w:keepNext w:val="0"/>
      <w:keepLines w:val="0"/>
      <w:pBdr>
        <w:bottom w:val="thinThickSmallGap" w:sz="12" w:space="1" w:color="943634"/>
      </w:pBdr>
      <w:spacing w:before="400" w:after="200" w:line="252" w:lineRule="auto"/>
      <w:jc w:val="center"/>
      <w:outlineLvl w:val="9"/>
    </w:pPr>
    <w:rPr>
      <w:rFonts w:ascii="Calibri" w:eastAsia="HGGothicM" w:hAnsi="Calibri"/>
      <w:b w:val="0"/>
      <w:bCs w:val="0"/>
      <w:caps/>
      <w:color w:val="632423"/>
      <w:spacing w:val="20"/>
      <w:lang w:val="en-GB" w:bidi="en-US"/>
    </w:rPr>
  </w:style>
  <w:style w:type="paragraph" w:styleId="BodyText">
    <w:name w:val="Body Text"/>
    <w:basedOn w:val="Normal"/>
    <w:link w:val="BodyTextChar1"/>
    <w:rsid w:val="00167FE0"/>
    <w:pPr>
      <w:spacing w:before="240" w:after="240" w:line="240" w:lineRule="auto"/>
      <w:jc w:val="both"/>
    </w:pPr>
    <w:rPr>
      <w:rFonts w:ascii="Times New Roman" w:eastAsia="Times New Roman" w:hAnsi="Times New Roman"/>
      <w:sz w:val="20"/>
      <w:szCs w:val="24"/>
      <w:lang w:eastAsia="el-GR"/>
    </w:rPr>
  </w:style>
  <w:style w:type="character" w:customStyle="1" w:styleId="BodyTextChar1">
    <w:name w:val="Body Text Char1"/>
    <w:link w:val="BodyText"/>
    <w:rsid w:val="00167FE0"/>
    <w:rPr>
      <w:rFonts w:ascii="Times New Roman" w:eastAsia="Times New Roman" w:hAnsi="Times New Roman"/>
      <w:szCs w:val="24"/>
      <w:lang w:val="el-GR" w:eastAsia="el-GR"/>
    </w:rPr>
  </w:style>
  <w:style w:type="character" w:customStyle="1" w:styleId="BodyTextChar">
    <w:name w:val="Body Text Char"/>
    <w:uiPriority w:val="99"/>
    <w:semiHidden/>
    <w:rsid w:val="00167FE0"/>
    <w:rPr>
      <w:sz w:val="22"/>
      <w:szCs w:val="22"/>
      <w:lang w:val="el-GR"/>
    </w:rPr>
  </w:style>
  <w:style w:type="table" w:styleId="LightList-Accent2">
    <w:name w:val="Light List Accent 2"/>
    <w:basedOn w:val="TableNormal"/>
    <w:uiPriority w:val="61"/>
    <w:rsid w:val="00167FE0"/>
    <w:rPr>
      <w:rFonts w:eastAsia="HGGothicM"/>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
    <w:name w:val="Light Shading1"/>
    <w:basedOn w:val="TableNormal"/>
    <w:uiPriority w:val="60"/>
    <w:rsid w:val="00167FE0"/>
    <w:rPr>
      <w:rFonts w:ascii="Cambria" w:eastAsia="Cambria" w:hAnsi="Cambria"/>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71"/>
    <w:rsid w:val="00167FE0"/>
    <w:rPr>
      <w:rFonts w:eastAsia="HGGothicM"/>
      <w:sz w:val="22"/>
      <w:szCs w:val="22"/>
      <w:lang w:val="en-GB"/>
    </w:rPr>
  </w:style>
  <w:style w:type="table" w:customStyle="1" w:styleId="MediumShading1-Accent11">
    <w:name w:val="Medium Shading 1 - Accent 11"/>
    <w:basedOn w:val="TableNormal"/>
    <w:uiPriority w:val="68"/>
    <w:rsid w:val="00D17AF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B8780E"/>
    <w:rPr>
      <w:sz w:val="24"/>
      <w:szCs w:val="24"/>
      <w:lang w:eastAsia="x-none"/>
    </w:rPr>
  </w:style>
  <w:style w:type="character" w:customStyle="1" w:styleId="FootnoteTextChar">
    <w:name w:val="Footnote Text Char"/>
    <w:link w:val="FootnoteText"/>
    <w:uiPriority w:val="99"/>
    <w:rsid w:val="00B8780E"/>
    <w:rPr>
      <w:sz w:val="24"/>
      <w:szCs w:val="24"/>
      <w:lang w:val="el-GR"/>
    </w:rPr>
  </w:style>
  <w:style w:type="character" w:styleId="FootnoteReference">
    <w:name w:val="footnote reference"/>
    <w:uiPriority w:val="99"/>
    <w:unhideWhenUsed/>
    <w:rsid w:val="00B8780E"/>
    <w:rPr>
      <w:vertAlign w:val="superscript"/>
    </w:rPr>
  </w:style>
  <w:style w:type="character" w:styleId="PageNumber">
    <w:name w:val="page number"/>
    <w:uiPriority w:val="99"/>
    <w:semiHidden/>
    <w:unhideWhenUsed/>
    <w:rsid w:val="00B8780E"/>
  </w:style>
  <w:style w:type="numbering" w:customStyle="1" w:styleId="NoList1">
    <w:name w:val="No List1"/>
    <w:next w:val="NoList"/>
    <w:uiPriority w:val="99"/>
    <w:semiHidden/>
    <w:unhideWhenUsed/>
    <w:rsid w:val="003A5991"/>
  </w:style>
  <w:style w:type="paragraph" w:customStyle="1" w:styleId="ColorfulList-Accent11">
    <w:name w:val="Colorful List - Accent 11"/>
    <w:basedOn w:val="Normal"/>
    <w:uiPriority w:val="34"/>
    <w:qFormat/>
    <w:rsid w:val="003A5991"/>
    <w:pPr>
      <w:spacing w:line="252" w:lineRule="auto"/>
      <w:ind w:left="720"/>
      <w:contextualSpacing/>
    </w:pPr>
    <w:rPr>
      <w:rFonts w:ascii="Cambria" w:eastAsia="SimSun" w:hAnsi="Cambria"/>
      <w:lang w:val="en-GB"/>
    </w:rPr>
  </w:style>
  <w:style w:type="table" w:styleId="MediumList2-Accent1">
    <w:name w:val="Medium List 2 Accent 1"/>
    <w:basedOn w:val="TableNormal"/>
    <w:uiPriority w:val="61"/>
    <w:rsid w:val="003A5991"/>
    <w:rPr>
      <w:rFonts w:ascii="Cambria" w:eastAsia="SimSun" w:hAnsi="Cambria"/>
      <w:lang w:val="fr-BE"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next w:val="MediumList2-Accent1"/>
    <w:uiPriority w:val="61"/>
    <w:rsid w:val="003A5991"/>
    <w:rPr>
      <w:rFonts w:ascii="Cambria" w:eastAsia="SimSun" w:hAnsi="Cambria"/>
      <w:lang w:val="fr-BE"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5">
    <w:name w:val="Medium Grid 3 Accent 5"/>
    <w:basedOn w:val="TableNormal"/>
    <w:uiPriority w:val="60"/>
    <w:rsid w:val="003A5991"/>
    <w:rPr>
      <w:color w:val="31849B"/>
      <w:lang w:val="fr-BE" w:eastAsia="fr-B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6">
    <w:name w:val="Light List Accent 6"/>
    <w:basedOn w:val="TableNormal"/>
    <w:uiPriority w:val="66"/>
    <w:rsid w:val="003A5991"/>
    <w:rPr>
      <w:rFonts w:ascii="Cambria" w:eastAsia="SimSun" w:hAnsi="Cambria"/>
      <w:color w:val="000000"/>
      <w:lang w:val="fr-BE" w:eastAsia="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
    <w:name w:val="Intense Quote1"/>
    <w:basedOn w:val="TableNormal"/>
    <w:uiPriority w:val="60"/>
    <w:qFormat/>
    <w:rsid w:val="003A5991"/>
    <w:rPr>
      <w:color w:val="365F91"/>
      <w:lang w:val="fr-BE" w:eastAsia="fr-B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DarkList-Accent1">
    <w:name w:val="Dark List Accent 1"/>
    <w:basedOn w:val="TableNormal"/>
    <w:uiPriority w:val="65"/>
    <w:rsid w:val="003A5991"/>
    <w:rPr>
      <w:color w:val="000000"/>
      <w:lang w:val="fr-BE" w:eastAsia="fr-BE"/>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MediumGrid21">
    <w:name w:val="Medium Grid 21"/>
    <w:link w:val="MediumGrid2Char"/>
    <w:uiPriority w:val="1"/>
    <w:qFormat/>
    <w:rsid w:val="003A5991"/>
    <w:rPr>
      <w:rFonts w:eastAsia="SimSun"/>
      <w:sz w:val="22"/>
      <w:szCs w:val="22"/>
      <w:lang w:eastAsia="ja-JP"/>
    </w:rPr>
  </w:style>
  <w:style w:type="character" w:customStyle="1" w:styleId="MediumGrid2Char">
    <w:name w:val="Medium Grid 2 Char"/>
    <w:link w:val="MediumGrid21"/>
    <w:uiPriority w:val="1"/>
    <w:rsid w:val="003A5991"/>
    <w:rPr>
      <w:rFonts w:eastAsia="SimSun"/>
      <w:sz w:val="22"/>
      <w:szCs w:val="22"/>
      <w:lang w:val="en-US" w:eastAsia="ja-JP" w:bidi="ar-SA"/>
    </w:rPr>
  </w:style>
  <w:style w:type="table" w:customStyle="1" w:styleId="TableGrid1">
    <w:name w:val="Table Grid1"/>
    <w:basedOn w:val="TableNormal"/>
    <w:next w:val="TableGrid"/>
    <w:uiPriority w:val="59"/>
    <w:rsid w:val="003A5991"/>
    <w:rPr>
      <w:rFonts w:eastAsia="HGGothicM"/>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11">
    <w:name w:val="Colorful Grid - Accent 11"/>
    <w:basedOn w:val="Normal"/>
    <w:next w:val="Normal"/>
    <w:link w:val="ColorfulGrid-Accent1Char"/>
    <w:uiPriority w:val="29"/>
    <w:qFormat/>
    <w:rsid w:val="003A5991"/>
    <w:pPr>
      <w:spacing w:line="252" w:lineRule="auto"/>
    </w:pPr>
    <w:rPr>
      <w:rFonts w:eastAsia="HGGothicM"/>
      <w:i/>
      <w:iCs/>
      <w:lang w:val="en-GB"/>
    </w:rPr>
  </w:style>
  <w:style w:type="character" w:customStyle="1" w:styleId="ColorfulGrid-Accent1Char">
    <w:name w:val="Colorful Grid - Accent 1 Char"/>
    <w:link w:val="ColorfulGrid-Accent11"/>
    <w:uiPriority w:val="29"/>
    <w:rsid w:val="003A5991"/>
    <w:rPr>
      <w:rFonts w:eastAsia="HGGothicM"/>
      <w:i/>
      <w:iCs/>
      <w:sz w:val="22"/>
      <w:szCs w:val="22"/>
      <w:lang w:val="en-GB" w:eastAsia="en-US"/>
    </w:rPr>
  </w:style>
  <w:style w:type="paragraph" w:customStyle="1" w:styleId="LightShading-Accent21">
    <w:name w:val="Light Shading - Accent 21"/>
    <w:basedOn w:val="Normal"/>
    <w:next w:val="Normal"/>
    <w:link w:val="LightShading-Accent2Char"/>
    <w:uiPriority w:val="30"/>
    <w:qFormat/>
    <w:rsid w:val="003A5991"/>
    <w:pPr>
      <w:pBdr>
        <w:top w:val="dotted" w:sz="2" w:space="10" w:color="004E6C"/>
        <w:bottom w:val="dotted" w:sz="2" w:space="4" w:color="004E6C"/>
      </w:pBdr>
      <w:spacing w:before="160" w:line="300" w:lineRule="auto"/>
      <w:ind w:left="1440" w:right="1440"/>
    </w:pPr>
    <w:rPr>
      <w:rFonts w:eastAsia="HGGothicM"/>
      <w:caps/>
      <w:color w:val="004D6C"/>
      <w:spacing w:val="5"/>
      <w:sz w:val="20"/>
      <w:szCs w:val="20"/>
      <w:lang w:val="en-GB"/>
    </w:rPr>
  </w:style>
  <w:style w:type="character" w:customStyle="1" w:styleId="LightShading-Accent2Char">
    <w:name w:val="Light Shading - Accent 2 Char"/>
    <w:link w:val="LightShading-Accent21"/>
    <w:uiPriority w:val="30"/>
    <w:rsid w:val="003A5991"/>
    <w:rPr>
      <w:rFonts w:eastAsia="HGGothicM"/>
      <w:caps/>
      <w:color w:val="004D6C"/>
      <w:spacing w:val="5"/>
      <w:lang w:val="en-GB" w:eastAsia="en-US"/>
    </w:rPr>
  </w:style>
  <w:style w:type="character" w:customStyle="1" w:styleId="SubtleEmphasis1">
    <w:name w:val="Subtle Emphasis1"/>
    <w:uiPriority w:val="19"/>
    <w:qFormat/>
    <w:rsid w:val="003A5991"/>
    <w:rPr>
      <w:i/>
      <w:iCs/>
    </w:rPr>
  </w:style>
  <w:style w:type="character" w:customStyle="1" w:styleId="IntenseEmphasis1">
    <w:name w:val="Intense Emphasis1"/>
    <w:uiPriority w:val="21"/>
    <w:qFormat/>
    <w:rsid w:val="003A5991"/>
    <w:rPr>
      <w:i/>
      <w:iCs/>
      <w:caps/>
      <w:spacing w:val="10"/>
      <w:sz w:val="20"/>
      <w:szCs w:val="20"/>
    </w:rPr>
  </w:style>
  <w:style w:type="character" w:customStyle="1" w:styleId="SubtleReference1">
    <w:name w:val="Subtle Reference1"/>
    <w:uiPriority w:val="31"/>
    <w:qFormat/>
    <w:rsid w:val="003A5991"/>
    <w:rPr>
      <w:rFonts w:ascii="Cambria" w:eastAsia="HGMinchoB" w:hAnsi="Cambria" w:cs="Times New Roman"/>
      <w:i/>
      <w:iCs/>
      <w:color w:val="004D6C"/>
    </w:rPr>
  </w:style>
  <w:style w:type="character" w:customStyle="1" w:styleId="IntenseReference1">
    <w:name w:val="Intense Reference1"/>
    <w:uiPriority w:val="32"/>
    <w:qFormat/>
    <w:rsid w:val="003A5991"/>
    <w:rPr>
      <w:rFonts w:ascii="Cambria" w:eastAsia="HGMinchoB" w:hAnsi="Cambria" w:cs="Times New Roman"/>
      <w:b/>
      <w:bCs/>
      <w:i/>
      <w:iCs/>
      <w:color w:val="004D6C"/>
    </w:rPr>
  </w:style>
  <w:style w:type="character" w:customStyle="1" w:styleId="BookTitle1">
    <w:name w:val="Book Title1"/>
    <w:uiPriority w:val="33"/>
    <w:qFormat/>
    <w:rsid w:val="003A5991"/>
    <w:rPr>
      <w:caps/>
      <w:color w:val="004D6C"/>
      <w:spacing w:val="5"/>
      <w:u w:color="004D6C"/>
    </w:rPr>
  </w:style>
  <w:style w:type="paragraph" w:customStyle="1" w:styleId="TOCHeading1">
    <w:name w:val="TOC Heading1"/>
    <w:basedOn w:val="Heading1"/>
    <w:next w:val="Normal"/>
    <w:uiPriority w:val="39"/>
    <w:qFormat/>
    <w:rsid w:val="003A5991"/>
    <w:pPr>
      <w:keepNext w:val="0"/>
      <w:keepLines w:val="0"/>
      <w:pBdr>
        <w:bottom w:val="thinThickSmallGap" w:sz="12" w:space="1" w:color="943634"/>
      </w:pBdr>
      <w:spacing w:before="400" w:after="200" w:line="252" w:lineRule="auto"/>
      <w:jc w:val="center"/>
      <w:outlineLvl w:val="9"/>
    </w:pPr>
    <w:rPr>
      <w:rFonts w:ascii="Calibri" w:eastAsia="HGGothicM" w:hAnsi="Calibri"/>
      <w:b w:val="0"/>
      <w:bCs w:val="0"/>
      <w:caps/>
      <w:color w:val="632423"/>
      <w:spacing w:val="20"/>
      <w:lang w:val="en-GB" w:bidi="en-US"/>
    </w:rPr>
  </w:style>
  <w:style w:type="table" w:styleId="DarkList-Accent2">
    <w:name w:val="Dark List Accent 2"/>
    <w:basedOn w:val="TableNormal"/>
    <w:uiPriority w:val="61"/>
    <w:rsid w:val="003A5991"/>
    <w:rPr>
      <w:rFonts w:eastAsia="HGGothicM"/>
      <w:lang w:val="fr-BE" w:eastAsia="fr-BE"/>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
    <w:name w:val="Medium Grid 31"/>
    <w:basedOn w:val="TableNormal"/>
    <w:uiPriority w:val="60"/>
    <w:rsid w:val="003A5991"/>
    <w:rPr>
      <w:rFonts w:ascii="Cambria" w:eastAsia="Cambria" w:hAnsi="Cambria"/>
      <w:color w:val="000000"/>
      <w:lang w:val="en-GB"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rsid w:val="003A5991"/>
    <w:rPr>
      <w:rFonts w:eastAsia="HGGothicM"/>
      <w:sz w:val="22"/>
      <w:szCs w:val="22"/>
      <w:lang w:val="en-GB"/>
    </w:rPr>
  </w:style>
  <w:style w:type="table" w:styleId="MediumGrid2-Accent1">
    <w:name w:val="Medium Grid 2 Accent 1"/>
    <w:basedOn w:val="TableNormal"/>
    <w:uiPriority w:val="68"/>
    <w:rsid w:val="003A5991"/>
    <w:rPr>
      <w:lang w:val="fr-BE" w:eastAsia="fr-B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lainText">
    <w:name w:val="Plain Text"/>
    <w:basedOn w:val="Normal"/>
    <w:link w:val="PlainTextChar"/>
    <w:uiPriority w:val="99"/>
    <w:semiHidden/>
    <w:unhideWhenUsed/>
    <w:rsid w:val="002F25F8"/>
    <w:pPr>
      <w:spacing w:after="0" w:line="240" w:lineRule="auto"/>
    </w:pPr>
    <w:rPr>
      <w:szCs w:val="21"/>
      <w:lang w:val="fr-BE"/>
    </w:rPr>
  </w:style>
  <w:style w:type="character" w:customStyle="1" w:styleId="PlainTextChar">
    <w:name w:val="Plain Text Char"/>
    <w:link w:val="PlainText"/>
    <w:uiPriority w:val="99"/>
    <w:semiHidden/>
    <w:rsid w:val="002F25F8"/>
    <w:rPr>
      <w:sz w:val="22"/>
      <w:szCs w:val="21"/>
      <w:lang w:eastAsia="en-US"/>
    </w:rPr>
  </w:style>
  <w:style w:type="table" w:customStyle="1" w:styleId="ListTable3-Accent61">
    <w:name w:val="List Table 3 - Accent 61"/>
    <w:basedOn w:val="TableNormal"/>
    <w:uiPriority w:val="48"/>
    <w:rsid w:val="001F57E3"/>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4-Accent61">
    <w:name w:val="Grid Table 4 - Accent 61"/>
    <w:basedOn w:val="TableNormal"/>
    <w:uiPriority w:val="49"/>
    <w:rsid w:val="001F57E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jlqj4b">
    <w:name w:val="jlqj4b"/>
    <w:basedOn w:val="DefaultParagraphFont"/>
    <w:rsid w:val="003F56A4"/>
  </w:style>
  <w:style w:type="character" w:customStyle="1" w:styleId="UnresolvedMention1">
    <w:name w:val="Unresolved Mention1"/>
    <w:basedOn w:val="DefaultParagraphFont"/>
    <w:uiPriority w:val="99"/>
    <w:semiHidden/>
    <w:unhideWhenUsed/>
    <w:rsid w:val="00042154"/>
    <w:rPr>
      <w:color w:val="605E5C"/>
      <w:shd w:val="clear" w:color="auto" w:fill="E1DFDD"/>
    </w:rPr>
  </w:style>
  <w:style w:type="character" w:styleId="FollowedHyperlink">
    <w:name w:val="FollowedHyperlink"/>
    <w:basedOn w:val="DefaultParagraphFont"/>
    <w:uiPriority w:val="99"/>
    <w:semiHidden/>
    <w:unhideWhenUsed/>
    <w:rsid w:val="007F2680"/>
    <w:rPr>
      <w:color w:val="954F72" w:themeColor="followedHyperlink"/>
      <w:u w:val="single"/>
    </w:rPr>
  </w:style>
  <w:style w:type="paragraph" w:customStyle="1" w:styleId="gmail-m-6188846411429659449msolistparagraph">
    <w:name w:val="gmail-m_-6188846411429659449msolistparagraph"/>
    <w:basedOn w:val="Normal"/>
    <w:rsid w:val="004C6AD8"/>
    <w:pPr>
      <w:spacing w:before="100" w:beforeAutospacing="1" w:after="100" w:afterAutospacing="1" w:line="240" w:lineRule="auto"/>
    </w:pPr>
    <w:rPr>
      <w:rFonts w:eastAsiaTheme="minorHAnsi" w:cs="Calibri"/>
      <w:lang w:val="en-GB" w:eastAsia="en-GB"/>
    </w:rPr>
  </w:style>
  <w:style w:type="paragraph" w:styleId="DocumentMap">
    <w:name w:val="Document Map"/>
    <w:basedOn w:val="Normal"/>
    <w:link w:val="DocumentMapChar"/>
    <w:uiPriority w:val="99"/>
    <w:unhideWhenUsed/>
    <w:rsid w:val="003738F2"/>
    <w:pPr>
      <w:spacing w:after="0" w:line="240" w:lineRule="auto"/>
    </w:pPr>
    <w:rPr>
      <w:rFonts w:ascii="Tahoma" w:eastAsiaTheme="minorEastAsia" w:hAnsi="Tahoma" w:cs="Tahoma"/>
      <w:sz w:val="16"/>
      <w:szCs w:val="16"/>
      <w:lang w:eastAsia="el-GR"/>
    </w:rPr>
  </w:style>
  <w:style w:type="character" w:customStyle="1" w:styleId="DocumentMapChar">
    <w:name w:val="Document Map Char"/>
    <w:basedOn w:val="DefaultParagraphFont"/>
    <w:link w:val="DocumentMap"/>
    <w:uiPriority w:val="99"/>
    <w:rsid w:val="003738F2"/>
    <w:rPr>
      <w:rFonts w:ascii="Tahoma" w:eastAsiaTheme="minorEastAsia" w:hAnsi="Tahoma" w:cs="Tahoma"/>
      <w:sz w:val="16"/>
      <w:szCs w:val="16"/>
      <w:lang w:val="el-GR" w:eastAsia="el-GR"/>
    </w:rPr>
  </w:style>
  <w:style w:type="table" w:styleId="PlainTable5">
    <w:name w:val="Plain Table 5"/>
    <w:basedOn w:val="TableNormal"/>
    <w:uiPriority w:val="45"/>
    <w:rsid w:val="00264593"/>
    <w:rPr>
      <w:rFonts w:asciiTheme="minorHAnsi" w:eastAsia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A12E5"/>
    <w:rPr>
      <w:color w:val="605E5C"/>
      <w:shd w:val="clear" w:color="auto" w:fill="E1DFDD"/>
    </w:rPr>
  </w:style>
  <w:style w:type="character" w:customStyle="1" w:styleId="rynqvb">
    <w:name w:val="rynqvb"/>
    <w:basedOn w:val="DefaultParagraphFont"/>
    <w:rsid w:val="00A9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7604">
      <w:bodyDiv w:val="1"/>
      <w:marLeft w:val="0"/>
      <w:marRight w:val="0"/>
      <w:marTop w:val="0"/>
      <w:marBottom w:val="0"/>
      <w:divBdr>
        <w:top w:val="none" w:sz="0" w:space="0" w:color="auto"/>
        <w:left w:val="none" w:sz="0" w:space="0" w:color="auto"/>
        <w:bottom w:val="none" w:sz="0" w:space="0" w:color="auto"/>
        <w:right w:val="none" w:sz="0" w:space="0" w:color="auto"/>
      </w:divBdr>
    </w:div>
    <w:div w:id="44526695">
      <w:bodyDiv w:val="1"/>
      <w:marLeft w:val="0"/>
      <w:marRight w:val="0"/>
      <w:marTop w:val="0"/>
      <w:marBottom w:val="0"/>
      <w:divBdr>
        <w:top w:val="none" w:sz="0" w:space="0" w:color="auto"/>
        <w:left w:val="none" w:sz="0" w:space="0" w:color="auto"/>
        <w:bottom w:val="none" w:sz="0" w:space="0" w:color="auto"/>
        <w:right w:val="none" w:sz="0" w:space="0" w:color="auto"/>
      </w:divBdr>
    </w:div>
    <w:div w:id="46687431">
      <w:bodyDiv w:val="1"/>
      <w:marLeft w:val="0"/>
      <w:marRight w:val="0"/>
      <w:marTop w:val="0"/>
      <w:marBottom w:val="0"/>
      <w:divBdr>
        <w:top w:val="none" w:sz="0" w:space="0" w:color="auto"/>
        <w:left w:val="none" w:sz="0" w:space="0" w:color="auto"/>
        <w:bottom w:val="none" w:sz="0" w:space="0" w:color="auto"/>
        <w:right w:val="none" w:sz="0" w:space="0" w:color="auto"/>
      </w:divBdr>
    </w:div>
    <w:div w:id="59712328">
      <w:bodyDiv w:val="1"/>
      <w:marLeft w:val="0"/>
      <w:marRight w:val="0"/>
      <w:marTop w:val="0"/>
      <w:marBottom w:val="0"/>
      <w:divBdr>
        <w:top w:val="none" w:sz="0" w:space="0" w:color="auto"/>
        <w:left w:val="none" w:sz="0" w:space="0" w:color="auto"/>
        <w:bottom w:val="none" w:sz="0" w:space="0" w:color="auto"/>
        <w:right w:val="none" w:sz="0" w:space="0" w:color="auto"/>
      </w:divBdr>
    </w:div>
    <w:div w:id="61024047">
      <w:bodyDiv w:val="1"/>
      <w:marLeft w:val="0"/>
      <w:marRight w:val="0"/>
      <w:marTop w:val="0"/>
      <w:marBottom w:val="0"/>
      <w:divBdr>
        <w:top w:val="none" w:sz="0" w:space="0" w:color="auto"/>
        <w:left w:val="none" w:sz="0" w:space="0" w:color="auto"/>
        <w:bottom w:val="none" w:sz="0" w:space="0" w:color="auto"/>
        <w:right w:val="none" w:sz="0" w:space="0" w:color="auto"/>
      </w:divBdr>
    </w:div>
    <w:div w:id="81993269">
      <w:bodyDiv w:val="1"/>
      <w:marLeft w:val="0"/>
      <w:marRight w:val="0"/>
      <w:marTop w:val="0"/>
      <w:marBottom w:val="0"/>
      <w:divBdr>
        <w:top w:val="none" w:sz="0" w:space="0" w:color="auto"/>
        <w:left w:val="none" w:sz="0" w:space="0" w:color="auto"/>
        <w:bottom w:val="none" w:sz="0" w:space="0" w:color="auto"/>
        <w:right w:val="none" w:sz="0" w:space="0" w:color="auto"/>
      </w:divBdr>
    </w:div>
    <w:div w:id="82342970">
      <w:bodyDiv w:val="1"/>
      <w:marLeft w:val="0"/>
      <w:marRight w:val="0"/>
      <w:marTop w:val="0"/>
      <w:marBottom w:val="0"/>
      <w:divBdr>
        <w:top w:val="none" w:sz="0" w:space="0" w:color="auto"/>
        <w:left w:val="none" w:sz="0" w:space="0" w:color="auto"/>
        <w:bottom w:val="none" w:sz="0" w:space="0" w:color="auto"/>
        <w:right w:val="none" w:sz="0" w:space="0" w:color="auto"/>
      </w:divBdr>
    </w:div>
    <w:div w:id="114518814">
      <w:bodyDiv w:val="1"/>
      <w:marLeft w:val="0"/>
      <w:marRight w:val="0"/>
      <w:marTop w:val="0"/>
      <w:marBottom w:val="0"/>
      <w:divBdr>
        <w:top w:val="none" w:sz="0" w:space="0" w:color="auto"/>
        <w:left w:val="none" w:sz="0" w:space="0" w:color="auto"/>
        <w:bottom w:val="none" w:sz="0" w:space="0" w:color="auto"/>
        <w:right w:val="none" w:sz="0" w:space="0" w:color="auto"/>
      </w:divBdr>
    </w:div>
    <w:div w:id="156770814">
      <w:bodyDiv w:val="1"/>
      <w:marLeft w:val="0"/>
      <w:marRight w:val="0"/>
      <w:marTop w:val="0"/>
      <w:marBottom w:val="0"/>
      <w:divBdr>
        <w:top w:val="none" w:sz="0" w:space="0" w:color="auto"/>
        <w:left w:val="none" w:sz="0" w:space="0" w:color="auto"/>
        <w:bottom w:val="none" w:sz="0" w:space="0" w:color="auto"/>
        <w:right w:val="none" w:sz="0" w:space="0" w:color="auto"/>
      </w:divBdr>
    </w:div>
    <w:div w:id="177739103">
      <w:bodyDiv w:val="1"/>
      <w:marLeft w:val="0"/>
      <w:marRight w:val="0"/>
      <w:marTop w:val="0"/>
      <w:marBottom w:val="0"/>
      <w:divBdr>
        <w:top w:val="none" w:sz="0" w:space="0" w:color="auto"/>
        <w:left w:val="none" w:sz="0" w:space="0" w:color="auto"/>
        <w:bottom w:val="none" w:sz="0" w:space="0" w:color="auto"/>
        <w:right w:val="none" w:sz="0" w:space="0" w:color="auto"/>
      </w:divBdr>
    </w:div>
    <w:div w:id="213665903">
      <w:bodyDiv w:val="1"/>
      <w:marLeft w:val="0"/>
      <w:marRight w:val="0"/>
      <w:marTop w:val="0"/>
      <w:marBottom w:val="0"/>
      <w:divBdr>
        <w:top w:val="none" w:sz="0" w:space="0" w:color="auto"/>
        <w:left w:val="none" w:sz="0" w:space="0" w:color="auto"/>
        <w:bottom w:val="none" w:sz="0" w:space="0" w:color="auto"/>
        <w:right w:val="none" w:sz="0" w:space="0" w:color="auto"/>
      </w:divBdr>
    </w:div>
    <w:div w:id="217863991">
      <w:bodyDiv w:val="1"/>
      <w:marLeft w:val="0"/>
      <w:marRight w:val="0"/>
      <w:marTop w:val="0"/>
      <w:marBottom w:val="0"/>
      <w:divBdr>
        <w:top w:val="none" w:sz="0" w:space="0" w:color="auto"/>
        <w:left w:val="none" w:sz="0" w:space="0" w:color="auto"/>
        <w:bottom w:val="none" w:sz="0" w:space="0" w:color="auto"/>
        <w:right w:val="none" w:sz="0" w:space="0" w:color="auto"/>
      </w:divBdr>
    </w:div>
    <w:div w:id="240600696">
      <w:bodyDiv w:val="1"/>
      <w:marLeft w:val="0"/>
      <w:marRight w:val="0"/>
      <w:marTop w:val="0"/>
      <w:marBottom w:val="0"/>
      <w:divBdr>
        <w:top w:val="none" w:sz="0" w:space="0" w:color="auto"/>
        <w:left w:val="none" w:sz="0" w:space="0" w:color="auto"/>
        <w:bottom w:val="none" w:sz="0" w:space="0" w:color="auto"/>
        <w:right w:val="none" w:sz="0" w:space="0" w:color="auto"/>
      </w:divBdr>
    </w:div>
    <w:div w:id="240726046">
      <w:bodyDiv w:val="1"/>
      <w:marLeft w:val="0"/>
      <w:marRight w:val="0"/>
      <w:marTop w:val="0"/>
      <w:marBottom w:val="0"/>
      <w:divBdr>
        <w:top w:val="none" w:sz="0" w:space="0" w:color="auto"/>
        <w:left w:val="none" w:sz="0" w:space="0" w:color="auto"/>
        <w:bottom w:val="none" w:sz="0" w:space="0" w:color="auto"/>
        <w:right w:val="none" w:sz="0" w:space="0" w:color="auto"/>
      </w:divBdr>
    </w:div>
    <w:div w:id="265503970">
      <w:bodyDiv w:val="1"/>
      <w:marLeft w:val="0"/>
      <w:marRight w:val="0"/>
      <w:marTop w:val="0"/>
      <w:marBottom w:val="0"/>
      <w:divBdr>
        <w:top w:val="none" w:sz="0" w:space="0" w:color="auto"/>
        <w:left w:val="none" w:sz="0" w:space="0" w:color="auto"/>
        <w:bottom w:val="none" w:sz="0" w:space="0" w:color="auto"/>
        <w:right w:val="none" w:sz="0" w:space="0" w:color="auto"/>
      </w:divBdr>
    </w:div>
    <w:div w:id="272129715">
      <w:bodyDiv w:val="1"/>
      <w:marLeft w:val="0"/>
      <w:marRight w:val="0"/>
      <w:marTop w:val="0"/>
      <w:marBottom w:val="0"/>
      <w:divBdr>
        <w:top w:val="none" w:sz="0" w:space="0" w:color="auto"/>
        <w:left w:val="none" w:sz="0" w:space="0" w:color="auto"/>
        <w:bottom w:val="none" w:sz="0" w:space="0" w:color="auto"/>
        <w:right w:val="none" w:sz="0" w:space="0" w:color="auto"/>
      </w:divBdr>
    </w:div>
    <w:div w:id="272633719">
      <w:bodyDiv w:val="1"/>
      <w:marLeft w:val="0"/>
      <w:marRight w:val="0"/>
      <w:marTop w:val="0"/>
      <w:marBottom w:val="0"/>
      <w:divBdr>
        <w:top w:val="none" w:sz="0" w:space="0" w:color="auto"/>
        <w:left w:val="none" w:sz="0" w:space="0" w:color="auto"/>
        <w:bottom w:val="none" w:sz="0" w:space="0" w:color="auto"/>
        <w:right w:val="none" w:sz="0" w:space="0" w:color="auto"/>
      </w:divBdr>
    </w:div>
    <w:div w:id="282345088">
      <w:bodyDiv w:val="1"/>
      <w:marLeft w:val="0"/>
      <w:marRight w:val="0"/>
      <w:marTop w:val="0"/>
      <w:marBottom w:val="0"/>
      <w:divBdr>
        <w:top w:val="none" w:sz="0" w:space="0" w:color="auto"/>
        <w:left w:val="none" w:sz="0" w:space="0" w:color="auto"/>
        <w:bottom w:val="none" w:sz="0" w:space="0" w:color="auto"/>
        <w:right w:val="none" w:sz="0" w:space="0" w:color="auto"/>
      </w:divBdr>
    </w:div>
    <w:div w:id="317268209">
      <w:bodyDiv w:val="1"/>
      <w:marLeft w:val="0"/>
      <w:marRight w:val="0"/>
      <w:marTop w:val="0"/>
      <w:marBottom w:val="0"/>
      <w:divBdr>
        <w:top w:val="none" w:sz="0" w:space="0" w:color="auto"/>
        <w:left w:val="none" w:sz="0" w:space="0" w:color="auto"/>
        <w:bottom w:val="none" w:sz="0" w:space="0" w:color="auto"/>
        <w:right w:val="none" w:sz="0" w:space="0" w:color="auto"/>
      </w:divBdr>
    </w:div>
    <w:div w:id="342241634">
      <w:bodyDiv w:val="1"/>
      <w:marLeft w:val="0"/>
      <w:marRight w:val="0"/>
      <w:marTop w:val="0"/>
      <w:marBottom w:val="0"/>
      <w:divBdr>
        <w:top w:val="none" w:sz="0" w:space="0" w:color="auto"/>
        <w:left w:val="none" w:sz="0" w:space="0" w:color="auto"/>
        <w:bottom w:val="none" w:sz="0" w:space="0" w:color="auto"/>
        <w:right w:val="none" w:sz="0" w:space="0" w:color="auto"/>
      </w:divBdr>
    </w:div>
    <w:div w:id="389235656">
      <w:bodyDiv w:val="1"/>
      <w:marLeft w:val="0"/>
      <w:marRight w:val="0"/>
      <w:marTop w:val="0"/>
      <w:marBottom w:val="0"/>
      <w:divBdr>
        <w:top w:val="none" w:sz="0" w:space="0" w:color="auto"/>
        <w:left w:val="none" w:sz="0" w:space="0" w:color="auto"/>
        <w:bottom w:val="none" w:sz="0" w:space="0" w:color="auto"/>
        <w:right w:val="none" w:sz="0" w:space="0" w:color="auto"/>
      </w:divBdr>
    </w:div>
    <w:div w:id="392125589">
      <w:bodyDiv w:val="1"/>
      <w:marLeft w:val="0"/>
      <w:marRight w:val="0"/>
      <w:marTop w:val="0"/>
      <w:marBottom w:val="0"/>
      <w:divBdr>
        <w:top w:val="none" w:sz="0" w:space="0" w:color="auto"/>
        <w:left w:val="none" w:sz="0" w:space="0" w:color="auto"/>
        <w:bottom w:val="none" w:sz="0" w:space="0" w:color="auto"/>
        <w:right w:val="none" w:sz="0" w:space="0" w:color="auto"/>
      </w:divBdr>
    </w:div>
    <w:div w:id="405996507">
      <w:bodyDiv w:val="1"/>
      <w:marLeft w:val="0"/>
      <w:marRight w:val="0"/>
      <w:marTop w:val="0"/>
      <w:marBottom w:val="0"/>
      <w:divBdr>
        <w:top w:val="none" w:sz="0" w:space="0" w:color="auto"/>
        <w:left w:val="none" w:sz="0" w:space="0" w:color="auto"/>
        <w:bottom w:val="none" w:sz="0" w:space="0" w:color="auto"/>
        <w:right w:val="none" w:sz="0" w:space="0" w:color="auto"/>
      </w:divBdr>
    </w:div>
    <w:div w:id="407308163">
      <w:bodyDiv w:val="1"/>
      <w:marLeft w:val="0"/>
      <w:marRight w:val="0"/>
      <w:marTop w:val="0"/>
      <w:marBottom w:val="0"/>
      <w:divBdr>
        <w:top w:val="none" w:sz="0" w:space="0" w:color="auto"/>
        <w:left w:val="none" w:sz="0" w:space="0" w:color="auto"/>
        <w:bottom w:val="none" w:sz="0" w:space="0" w:color="auto"/>
        <w:right w:val="none" w:sz="0" w:space="0" w:color="auto"/>
      </w:divBdr>
    </w:div>
    <w:div w:id="412246204">
      <w:bodyDiv w:val="1"/>
      <w:marLeft w:val="0"/>
      <w:marRight w:val="0"/>
      <w:marTop w:val="0"/>
      <w:marBottom w:val="0"/>
      <w:divBdr>
        <w:top w:val="none" w:sz="0" w:space="0" w:color="auto"/>
        <w:left w:val="none" w:sz="0" w:space="0" w:color="auto"/>
        <w:bottom w:val="none" w:sz="0" w:space="0" w:color="auto"/>
        <w:right w:val="none" w:sz="0" w:space="0" w:color="auto"/>
      </w:divBdr>
    </w:div>
    <w:div w:id="419643396">
      <w:bodyDiv w:val="1"/>
      <w:marLeft w:val="0"/>
      <w:marRight w:val="0"/>
      <w:marTop w:val="0"/>
      <w:marBottom w:val="0"/>
      <w:divBdr>
        <w:top w:val="none" w:sz="0" w:space="0" w:color="auto"/>
        <w:left w:val="none" w:sz="0" w:space="0" w:color="auto"/>
        <w:bottom w:val="none" w:sz="0" w:space="0" w:color="auto"/>
        <w:right w:val="none" w:sz="0" w:space="0" w:color="auto"/>
      </w:divBdr>
    </w:div>
    <w:div w:id="421874633">
      <w:bodyDiv w:val="1"/>
      <w:marLeft w:val="0"/>
      <w:marRight w:val="0"/>
      <w:marTop w:val="0"/>
      <w:marBottom w:val="0"/>
      <w:divBdr>
        <w:top w:val="none" w:sz="0" w:space="0" w:color="auto"/>
        <w:left w:val="none" w:sz="0" w:space="0" w:color="auto"/>
        <w:bottom w:val="none" w:sz="0" w:space="0" w:color="auto"/>
        <w:right w:val="none" w:sz="0" w:space="0" w:color="auto"/>
      </w:divBdr>
    </w:div>
    <w:div w:id="435057690">
      <w:bodyDiv w:val="1"/>
      <w:marLeft w:val="0"/>
      <w:marRight w:val="0"/>
      <w:marTop w:val="0"/>
      <w:marBottom w:val="0"/>
      <w:divBdr>
        <w:top w:val="none" w:sz="0" w:space="0" w:color="auto"/>
        <w:left w:val="none" w:sz="0" w:space="0" w:color="auto"/>
        <w:bottom w:val="none" w:sz="0" w:space="0" w:color="auto"/>
        <w:right w:val="none" w:sz="0" w:space="0" w:color="auto"/>
      </w:divBdr>
    </w:div>
    <w:div w:id="483087616">
      <w:bodyDiv w:val="1"/>
      <w:marLeft w:val="0"/>
      <w:marRight w:val="0"/>
      <w:marTop w:val="0"/>
      <w:marBottom w:val="0"/>
      <w:divBdr>
        <w:top w:val="none" w:sz="0" w:space="0" w:color="auto"/>
        <w:left w:val="none" w:sz="0" w:space="0" w:color="auto"/>
        <w:bottom w:val="none" w:sz="0" w:space="0" w:color="auto"/>
        <w:right w:val="none" w:sz="0" w:space="0" w:color="auto"/>
      </w:divBdr>
    </w:div>
    <w:div w:id="501048121">
      <w:bodyDiv w:val="1"/>
      <w:marLeft w:val="0"/>
      <w:marRight w:val="0"/>
      <w:marTop w:val="0"/>
      <w:marBottom w:val="0"/>
      <w:divBdr>
        <w:top w:val="none" w:sz="0" w:space="0" w:color="auto"/>
        <w:left w:val="none" w:sz="0" w:space="0" w:color="auto"/>
        <w:bottom w:val="none" w:sz="0" w:space="0" w:color="auto"/>
        <w:right w:val="none" w:sz="0" w:space="0" w:color="auto"/>
      </w:divBdr>
    </w:div>
    <w:div w:id="531113797">
      <w:bodyDiv w:val="1"/>
      <w:marLeft w:val="0"/>
      <w:marRight w:val="0"/>
      <w:marTop w:val="0"/>
      <w:marBottom w:val="0"/>
      <w:divBdr>
        <w:top w:val="none" w:sz="0" w:space="0" w:color="auto"/>
        <w:left w:val="none" w:sz="0" w:space="0" w:color="auto"/>
        <w:bottom w:val="none" w:sz="0" w:space="0" w:color="auto"/>
        <w:right w:val="none" w:sz="0" w:space="0" w:color="auto"/>
      </w:divBdr>
    </w:div>
    <w:div w:id="564412033">
      <w:bodyDiv w:val="1"/>
      <w:marLeft w:val="0"/>
      <w:marRight w:val="0"/>
      <w:marTop w:val="0"/>
      <w:marBottom w:val="0"/>
      <w:divBdr>
        <w:top w:val="none" w:sz="0" w:space="0" w:color="auto"/>
        <w:left w:val="none" w:sz="0" w:space="0" w:color="auto"/>
        <w:bottom w:val="none" w:sz="0" w:space="0" w:color="auto"/>
        <w:right w:val="none" w:sz="0" w:space="0" w:color="auto"/>
      </w:divBdr>
    </w:div>
    <w:div w:id="571543386">
      <w:bodyDiv w:val="1"/>
      <w:marLeft w:val="0"/>
      <w:marRight w:val="0"/>
      <w:marTop w:val="0"/>
      <w:marBottom w:val="0"/>
      <w:divBdr>
        <w:top w:val="none" w:sz="0" w:space="0" w:color="auto"/>
        <w:left w:val="none" w:sz="0" w:space="0" w:color="auto"/>
        <w:bottom w:val="none" w:sz="0" w:space="0" w:color="auto"/>
        <w:right w:val="none" w:sz="0" w:space="0" w:color="auto"/>
      </w:divBdr>
    </w:div>
    <w:div w:id="603074482">
      <w:bodyDiv w:val="1"/>
      <w:marLeft w:val="0"/>
      <w:marRight w:val="0"/>
      <w:marTop w:val="0"/>
      <w:marBottom w:val="0"/>
      <w:divBdr>
        <w:top w:val="none" w:sz="0" w:space="0" w:color="auto"/>
        <w:left w:val="none" w:sz="0" w:space="0" w:color="auto"/>
        <w:bottom w:val="none" w:sz="0" w:space="0" w:color="auto"/>
        <w:right w:val="none" w:sz="0" w:space="0" w:color="auto"/>
      </w:divBdr>
    </w:div>
    <w:div w:id="643046513">
      <w:bodyDiv w:val="1"/>
      <w:marLeft w:val="0"/>
      <w:marRight w:val="0"/>
      <w:marTop w:val="0"/>
      <w:marBottom w:val="0"/>
      <w:divBdr>
        <w:top w:val="none" w:sz="0" w:space="0" w:color="auto"/>
        <w:left w:val="none" w:sz="0" w:space="0" w:color="auto"/>
        <w:bottom w:val="none" w:sz="0" w:space="0" w:color="auto"/>
        <w:right w:val="none" w:sz="0" w:space="0" w:color="auto"/>
      </w:divBdr>
    </w:div>
    <w:div w:id="653264143">
      <w:bodyDiv w:val="1"/>
      <w:marLeft w:val="0"/>
      <w:marRight w:val="0"/>
      <w:marTop w:val="0"/>
      <w:marBottom w:val="0"/>
      <w:divBdr>
        <w:top w:val="none" w:sz="0" w:space="0" w:color="auto"/>
        <w:left w:val="none" w:sz="0" w:space="0" w:color="auto"/>
        <w:bottom w:val="none" w:sz="0" w:space="0" w:color="auto"/>
        <w:right w:val="none" w:sz="0" w:space="0" w:color="auto"/>
      </w:divBdr>
    </w:div>
    <w:div w:id="664405195">
      <w:bodyDiv w:val="1"/>
      <w:marLeft w:val="0"/>
      <w:marRight w:val="0"/>
      <w:marTop w:val="0"/>
      <w:marBottom w:val="0"/>
      <w:divBdr>
        <w:top w:val="none" w:sz="0" w:space="0" w:color="auto"/>
        <w:left w:val="none" w:sz="0" w:space="0" w:color="auto"/>
        <w:bottom w:val="none" w:sz="0" w:space="0" w:color="auto"/>
        <w:right w:val="none" w:sz="0" w:space="0" w:color="auto"/>
      </w:divBdr>
    </w:div>
    <w:div w:id="674920285">
      <w:bodyDiv w:val="1"/>
      <w:marLeft w:val="0"/>
      <w:marRight w:val="0"/>
      <w:marTop w:val="0"/>
      <w:marBottom w:val="0"/>
      <w:divBdr>
        <w:top w:val="none" w:sz="0" w:space="0" w:color="auto"/>
        <w:left w:val="none" w:sz="0" w:space="0" w:color="auto"/>
        <w:bottom w:val="none" w:sz="0" w:space="0" w:color="auto"/>
        <w:right w:val="none" w:sz="0" w:space="0" w:color="auto"/>
      </w:divBdr>
    </w:div>
    <w:div w:id="679742541">
      <w:bodyDiv w:val="1"/>
      <w:marLeft w:val="0"/>
      <w:marRight w:val="0"/>
      <w:marTop w:val="0"/>
      <w:marBottom w:val="0"/>
      <w:divBdr>
        <w:top w:val="none" w:sz="0" w:space="0" w:color="auto"/>
        <w:left w:val="none" w:sz="0" w:space="0" w:color="auto"/>
        <w:bottom w:val="none" w:sz="0" w:space="0" w:color="auto"/>
        <w:right w:val="none" w:sz="0" w:space="0" w:color="auto"/>
      </w:divBdr>
    </w:div>
    <w:div w:id="705257585">
      <w:bodyDiv w:val="1"/>
      <w:marLeft w:val="0"/>
      <w:marRight w:val="0"/>
      <w:marTop w:val="0"/>
      <w:marBottom w:val="0"/>
      <w:divBdr>
        <w:top w:val="none" w:sz="0" w:space="0" w:color="auto"/>
        <w:left w:val="none" w:sz="0" w:space="0" w:color="auto"/>
        <w:bottom w:val="none" w:sz="0" w:space="0" w:color="auto"/>
        <w:right w:val="none" w:sz="0" w:space="0" w:color="auto"/>
      </w:divBdr>
    </w:div>
    <w:div w:id="739602263">
      <w:bodyDiv w:val="1"/>
      <w:marLeft w:val="0"/>
      <w:marRight w:val="0"/>
      <w:marTop w:val="0"/>
      <w:marBottom w:val="0"/>
      <w:divBdr>
        <w:top w:val="none" w:sz="0" w:space="0" w:color="auto"/>
        <w:left w:val="none" w:sz="0" w:space="0" w:color="auto"/>
        <w:bottom w:val="none" w:sz="0" w:space="0" w:color="auto"/>
        <w:right w:val="none" w:sz="0" w:space="0" w:color="auto"/>
      </w:divBdr>
    </w:div>
    <w:div w:id="752119643">
      <w:bodyDiv w:val="1"/>
      <w:marLeft w:val="0"/>
      <w:marRight w:val="0"/>
      <w:marTop w:val="0"/>
      <w:marBottom w:val="0"/>
      <w:divBdr>
        <w:top w:val="none" w:sz="0" w:space="0" w:color="auto"/>
        <w:left w:val="none" w:sz="0" w:space="0" w:color="auto"/>
        <w:bottom w:val="none" w:sz="0" w:space="0" w:color="auto"/>
        <w:right w:val="none" w:sz="0" w:space="0" w:color="auto"/>
      </w:divBdr>
    </w:div>
    <w:div w:id="777070079">
      <w:bodyDiv w:val="1"/>
      <w:marLeft w:val="0"/>
      <w:marRight w:val="0"/>
      <w:marTop w:val="0"/>
      <w:marBottom w:val="0"/>
      <w:divBdr>
        <w:top w:val="none" w:sz="0" w:space="0" w:color="auto"/>
        <w:left w:val="none" w:sz="0" w:space="0" w:color="auto"/>
        <w:bottom w:val="none" w:sz="0" w:space="0" w:color="auto"/>
        <w:right w:val="none" w:sz="0" w:space="0" w:color="auto"/>
      </w:divBdr>
    </w:div>
    <w:div w:id="786048156">
      <w:bodyDiv w:val="1"/>
      <w:marLeft w:val="0"/>
      <w:marRight w:val="0"/>
      <w:marTop w:val="0"/>
      <w:marBottom w:val="0"/>
      <w:divBdr>
        <w:top w:val="none" w:sz="0" w:space="0" w:color="auto"/>
        <w:left w:val="none" w:sz="0" w:space="0" w:color="auto"/>
        <w:bottom w:val="none" w:sz="0" w:space="0" w:color="auto"/>
        <w:right w:val="none" w:sz="0" w:space="0" w:color="auto"/>
      </w:divBdr>
    </w:div>
    <w:div w:id="807670646">
      <w:bodyDiv w:val="1"/>
      <w:marLeft w:val="0"/>
      <w:marRight w:val="0"/>
      <w:marTop w:val="0"/>
      <w:marBottom w:val="0"/>
      <w:divBdr>
        <w:top w:val="none" w:sz="0" w:space="0" w:color="auto"/>
        <w:left w:val="none" w:sz="0" w:space="0" w:color="auto"/>
        <w:bottom w:val="none" w:sz="0" w:space="0" w:color="auto"/>
        <w:right w:val="none" w:sz="0" w:space="0" w:color="auto"/>
      </w:divBdr>
    </w:div>
    <w:div w:id="812065009">
      <w:bodyDiv w:val="1"/>
      <w:marLeft w:val="0"/>
      <w:marRight w:val="0"/>
      <w:marTop w:val="0"/>
      <w:marBottom w:val="0"/>
      <w:divBdr>
        <w:top w:val="none" w:sz="0" w:space="0" w:color="auto"/>
        <w:left w:val="none" w:sz="0" w:space="0" w:color="auto"/>
        <w:bottom w:val="none" w:sz="0" w:space="0" w:color="auto"/>
        <w:right w:val="none" w:sz="0" w:space="0" w:color="auto"/>
      </w:divBdr>
    </w:div>
    <w:div w:id="815876979">
      <w:bodyDiv w:val="1"/>
      <w:marLeft w:val="0"/>
      <w:marRight w:val="0"/>
      <w:marTop w:val="0"/>
      <w:marBottom w:val="0"/>
      <w:divBdr>
        <w:top w:val="none" w:sz="0" w:space="0" w:color="auto"/>
        <w:left w:val="none" w:sz="0" w:space="0" w:color="auto"/>
        <w:bottom w:val="none" w:sz="0" w:space="0" w:color="auto"/>
        <w:right w:val="none" w:sz="0" w:space="0" w:color="auto"/>
      </w:divBdr>
    </w:div>
    <w:div w:id="834076955">
      <w:bodyDiv w:val="1"/>
      <w:marLeft w:val="0"/>
      <w:marRight w:val="0"/>
      <w:marTop w:val="0"/>
      <w:marBottom w:val="0"/>
      <w:divBdr>
        <w:top w:val="none" w:sz="0" w:space="0" w:color="auto"/>
        <w:left w:val="none" w:sz="0" w:space="0" w:color="auto"/>
        <w:bottom w:val="none" w:sz="0" w:space="0" w:color="auto"/>
        <w:right w:val="none" w:sz="0" w:space="0" w:color="auto"/>
      </w:divBdr>
    </w:div>
    <w:div w:id="837577675">
      <w:bodyDiv w:val="1"/>
      <w:marLeft w:val="0"/>
      <w:marRight w:val="0"/>
      <w:marTop w:val="0"/>
      <w:marBottom w:val="0"/>
      <w:divBdr>
        <w:top w:val="none" w:sz="0" w:space="0" w:color="auto"/>
        <w:left w:val="none" w:sz="0" w:space="0" w:color="auto"/>
        <w:bottom w:val="none" w:sz="0" w:space="0" w:color="auto"/>
        <w:right w:val="none" w:sz="0" w:space="0" w:color="auto"/>
      </w:divBdr>
    </w:div>
    <w:div w:id="875241864">
      <w:bodyDiv w:val="1"/>
      <w:marLeft w:val="0"/>
      <w:marRight w:val="0"/>
      <w:marTop w:val="0"/>
      <w:marBottom w:val="0"/>
      <w:divBdr>
        <w:top w:val="none" w:sz="0" w:space="0" w:color="auto"/>
        <w:left w:val="none" w:sz="0" w:space="0" w:color="auto"/>
        <w:bottom w:val="none" w:sz="0" w:space="0" w:color="auto"/>
        <w:right w:val="none" w:sz="0" w:space="0" w:color="auto"/>
      </w:divBdr>
    </w:div>
    <w:div w:id="889340471">
      <w:bodyDiv w:val="1"/>
      <w:marLeft w:val="0"/>
      <w:marRight w:val="0"/>
      <w:marTop w:val="0"/>
      <w:marBottom w:val="0"/>
      <w:divBdr>
        <w:top w:val="none" w:sz="0" w:space="0" w:color="auto"/>
        <w:left w:val="none" w:sz="0" w:space="0" w:color="auto"/>
        <w:bottom w:val="none" w:sz="0" w:space="0" w:color="auto"/>
        <w:right w:val="none" w:sz="0" w:space="0" w:color="auto"/>
      </w:divBdr>
    </w:div>
    <w:div w:id="893076860">
      <w:bodyDiv w:val="1"/>
      <w:marLeft w:val="0"/>
      <w:marRight w:val="0"/>
      <w:marTop w:val="0"/>
      <w:marBottom w:val="0"/>
      <w:divBdr>
        <w:top w:val="none" w:sz="0" w:space="0" w:color="auto"/>
        <w:left w:val="none" w:sz="0" w:space="0" w:color="auto"/>
        <w:bottom w:val="none" w:sz="0" w:space="0" w:color="auto"/>
        <w:right w:val="none" w:sz="0" w:space="0" w:color="auto"/>
      </w:divBdr>
    </w:div>
    <w:div w:id="941063064">
      <w:bodyDiv w:val="1"/>
      <w:marLeft w:val="0"/>
      <w:marRight w:val="0"/>
      <w:marTop w:val="0"/>
      <w:marBottom w:val="0"/>
      <w:divBdr>
        <w:top w:val="none" w:sz="0" w:space="0" w:color="auto"/>
        <w:left w:val="none" w:sz="0" w:space="0" w:color="auto"/>
        <w:bottom w:val="none" w:sz="0" w:space="0" w:color="auto"/>
        <w:right w:val="none" w:sz="0" w:space="0" w:color="auto"/>
      </w:divBdr>
    </w:div>
    <w:div w:id="972751514">
      <w:bodyDiv w:val="1"/>
      <w:marLeft w:val="0"/>
      <w:marRight w:val="0"/>
      <w:marTop w:val="0"/>
      <w:marBottom w:val="0"/>
      <w:divBdr>
        <w:top w:val="none" w:sz="0" w:space="0" w:color="auto"/>
        <w:left w:val="none" w:sz="0" w:space="0" w:color="auto"/>
        <w:bottom w:val="none" w:sz="0" w:space="0" w:color="auto"/>
        <w:right w:val="none" w:sz="0" w:space="0" w:color="auto"/>
      </w:divBdr>
    </w:div>
    <w:div w:id="991449012">
      <w:bodyDiv w:val="1"/>
      <w:marLeft w:val="0"/>
      <w:marRight w:val="0"/>
      <w:marTop w:val="0"/>
      <w:marBottom w:val="0"/>
      <w:divBdr>
        <w:top w:val="none" w:sz="0" w:space="0" w:color="auto"/>
        <w:left w:val="none" w:sz="0" w:space="0" w:color="auto"/>
        <w:bottom w:val="none" w:sz="0" w:space="0" w:color="auto"/>
        <w:right w:val="none" w:sz="0" w:space="0" w:color="auto"/>
      </w:divBdr>
    </w:div>
    <w:div w:id="1027558627">
      <w:bodyDiv w:val="1"/>
      <w:marLeft w:val="0"/>
      <w:marRight w:val="0"/>
      <w:marTop w:val="0"/>
      <w:marBottom w:val="0"/>
      <w:divBdr>
        <w:top w:val="none" w:sz="0" w:space="0" w:color="auto"/>
        <w:left w:val="none" w:sz="0" w:space="0" w:color="auto"/>
        <w:bottom w:val="none" w:sz="0" w:space="0" w:color="auto"/>
        <w:right w:val="none" w:sz="0" w:space="0" w:color="auto"/>
      </w:divBdr>
    </w:div>
    <w:div w:id="1028675169">
      <w:bodyDiv w:val="1"/>
      <w:marLeft w:val="0"/>
      <w:marRight w:val="0"/>
      <w:marTop w:val="0"/>
      <w:marBottom w:val="0"/>
      <w:divBdr>
        <w:top w:val="none" w:sz="0" w:space="0" w:color="auto"/>
        <w:left w:val="none" w:sz="0" w:space="0" w:color="auto"/>
        <w:bottom w:val="none" w:sz="0" w:space="0" w:color="auto"/>
        <w:right w:val="none" w:sz="0" w:space="0" w:color="auto"/>
      </w:divBdr>
    </w:div>
    <w:div w:id="1036274856">
      <w:bodyDiv w:val="1"/>
      <w:marLeft w:val="0"/>
      <w:marRight w:val="0"/>
      <w:marTop w:val="0"/>
      <w:marBottom w:val="0"/>
      <w:divBdr>
        <w:top w:val="none" w:sz="0" w:space="0" w:color="auto"/>
        <w:left w:val="none" w:sz="0" w:space="0" w:color="auto"/>
        <w:bottom w:val="none" w:sz="0" w:space="0" w:color="auto"/>
        <w:right w:val="none" w:sz="0" w:space="0" w:color="auto"/>
      </w:divBdr>
    </w:div>
    <w:div w:id="1083064515">
      <w:bodyDiv w:val="1"/>
      <w:marLeft w:val="0"/>
      <w:marRight w:val="0"/>
      <w:marTop w:val="0"/>
      <w:marBottom w:val="0"/>
      <w:divBdr>
        <w:top w:val="none" w:sz="0" w:space="0" w:color="auto"/>
        <w:left w:val="none" w:sz="0" w:space="0" w:color="auto"/>
        <w:bottom w:val="none" w:sz="0" w:space="0" w:color="auto"/>
        <w:right w:val="none" w:sz="0" w:space="0" w:color="auto"/>
      </w:divBdr>
    </w:div>
    <w:div w:id="1084497865">
      <w:bodyDiv w:val="1"/>
      <w:marLeft w:val="0"/>
      <w:marRight w:val="0"/>
      <w:marTop w:val="0"/>
      <w:marBottom w:val="0"/>
      <w:divBdr>
        <w:top w:val="none" w:sz="0" w:space="0" w:color="auto"/>
        <w:left w:val="none" w:sz="0" w:space="0" w:color="auto"/>
        <w:bottom w:val="none" w:sz="0" w:space="0" w:color="auto"/>
        <w:right w:val="none" w:sz="0" w:space="0" w:color="auto"/>
      </w:divBdr>
    </w:div>
    <w:div w:id="1086920179">
      <w:bodyDiv w:val="1"/>
      <w:marLeft w:val="0"/>
      <w:marRight w:val="0"/>
      <w:marTop w:val="0"/>
      <w:marBottom w:val="0"/>
      <w:divBdr>
        <w:top w:val="none" w:sz="0" w:space="0" w:color="auto"/>
        <w:left w:val="none" w:sz="0" w:space="0" w:color="auto"/>
        <w:bottom w:val="none" w:sz="0" w:space="0" w:color="auto"/>
        <w:right w:val="none" w:sz="0" w:space="0" w:color="auto"/>
      </w:divBdr>
    </w:div>
    <w:div w:id="1090616482">
      <w:bodyDiv w:val="1"/>
      <w:marLeft w:val="0"/>
      <w:marRight w:val="0"/>
      <w:marTop w:val="0"/>
      <w:marBottom w:val="0"/>
      <w:divBdr>
        <w:top w:val="none" w:sz="0" w:space="0" w:color="auto"/>
        <w:left w:val="none" w:sz="0" w:space="0" w:color="auto"/>
        <w:bottom w:val="none" w:sz="0" w:space="0" w:color="auto"/>
        <w:right w:val="none" w:sz="0" w:space="0" w:color="auto"/>
      </w:divBdr>
    </w:div>
    <w:div w:id="1095515696">
      <w:bodyDiv w:val="1"/>
      <w:marLeft w:val="0"/>
      <w:marRight w:val="0"/>
      <w:marTop w:val="0"/>
      <w:marBottom w:val="0"/>
      <w:divBdr>
        <w:top w:val="none" w:sz="0" w:space="0" w:color="auto"/>
        <w:left w:val="none" w:sz="0" w:space="0" w:color="auto"/>
        <w:bottom w:val="none" w:sz="0" w:space="0" w:color="auto"/>
        <w:right w:val="none" w:sz="0" w:space="0" w:color="auto"/>
      </w:divBdr>
    </w:div>
    <w:div w:id="1133913457">
      <w:bodyDiv w:val="1"/>
      <w:marLeft w:val="0"/>
      <w:marRight w:val="0"/>
      <w:marTop w:val="0"/>
      <w:marBottom w:val="0"/>
      <w:divBdr>
        <w:top w:val="none" w:sz="0" w:space="0" w:color="auto"/>
        <w:left w:val="none" w:sz="0" w:space="0" w:color="auto"/>
        <w:bottom w:val="none" w:sz="0" w:space="0" w:color="auto"/>
        <w:right w:val="none" w:sz="0" w:space="0" w:color="auto"/>
      </w:divBdr>
    </w:div>
    <w:div w:id="1141926631">
      <w:bodyDiv w:val="1"/>
      <w:marLeft w:val="0"/>
      <w:marRight w:val="0"/>
      <w:marTop w:val="0"/>
      <w:marBottom w:val="0"/>
      <w:divBdr>
        <w:top w:val="none" w:sz="0" w:space="0" w:color="auto"/>
        <w:left w:val="none" w:sz="0" w:space="0" w:color="auto"/>
        <w:bottom w:val="none" w:sz="0" w:space="0" w:color="auto"/>
        <w:right w:val="none" w:sz="0" w:space="0" w:color="auto"/>
      </w:divBdr>
    </w:div>
    <w:div w:id="1197112107">
      <w:bodyDiv w:val="1"/>
      <w:marLeft w:val="0"/>
      <w:marRight w:val="0"/>
      <w:marTop w:val="0"/>
      <w:marBottom w:val="0"/>
      <w:divBdr>
        <w:top w:val="none" w:sz="0" w:space="0" w:color="auto"/>
        <w:left w:val="none" w:sz="0" w:space="0" w:color="auto"/>
        <w:bottom w:val="none" w:sz="0" w:space="0" w:color="auto"/>
        <w:right w:val="none" w:sz="0" w:space="0" w:color="auto"/>
      </w:divBdr>
    </w:div>
    <w:div w:id="1213229552">
      <w:bodyDiv w:val="1"/>
      <w:marLeft w:val="0"/>
      <w:marRight w:val="0"/>
      <w:marTop w:val="0"/>
      <w:marBottom w:val="0"/>
      <w:divBdr>
        <w:top w:val="none" w:sz="0" w:space="0" w:color="auto"/>
        <w:left w:val="none" w:sz="0" w:space="0" w:color="auto"/>
        <w:bottom w:val="none" w:sz="0" w:space="0" w:color="auto"/>
        <w:right w:val="none" w:sz="0" w:space="0" w:color="auto"/>
      </w:divBdr>
    </w:div>
    <w:div w:id="1231040617">
      <w:bodyDiv w:val="1"/>
      <w:marLeft w:val="0"/>
      <w:marRight w:val="0"/>
      <w:marTop w:val="0"/>
      <w:marBottom w:val="0"/>
      <w:divBdr>
        <w:top w:val="none" w:sz="0" w:space="0" w:color="auto"/>
        <w:left w:val="none" w:sz="0" w:space="0" w:color="auto"/>
        <w:bottom w:val="none" w:sz="0" w:space="0" w:color="auto"/>
        <w:right w:val="none" w:sz="0" w:space="0" w:color="auto"/>
      </w:divBdr>
    </w:div>
    <w:div w:id="1251353668">
      <w:bodyDiv w:val="1"/>
      <w:marLeft w:val="0"/>
      <w:marRight w:val="0"/>
      <w:marTop w:val="0"/>
      <w:marBottom w:val="0"/>
      <w:divBdr>
        <w:top w:val="none" w:sz="0" w:space="0" w:color="auto"/>
        <w:left w:val="none" w:sz="0" w:space="0" w:color="auto"/>
        <w:bottom w:val="none" w:sz="0" w:space="0" w:color="auto"/>
        <w:right w:val="none" w:sz="0" w:space="0" w:color="auto"/>
      </w:divBdr>
    </w:div>
    <w:div w:id="1316955052">
      <w:bodyDiv w:val="1"/>
      <w:marLeft w:val="0"/>
      <w:marRight w:val="0"/>
      <w:marTop w:val="0"/>
      <w:marBottom w:val="0"/>
      <w:divBdr>
        <w:top w:val="none" w:sz="0" w:space="0" w:color="auto"/>
        <w:left w:val="none" w:sz="0" w:space="0" w:color="auto"/>
        <w:bottom w:val="none" w:sz="0" w:space="0" w:color="auto"/>
        <w:right w:val="none" w:sz="0" w:space="0" w:color="auto"/>
      </w:divBdr>
    </w:div>
    <w:div w:id="1328241952">
      <w:bodyDiv w:val="1"/>
      <w:marLeft w:val="0"/>
      <w:marRight w:val="0"/>
      <w:marTop w:val="0"/>
      <w:marBottom w:val="0"/>
      <w:divBdr>
        <w:top w:val="none" w:sz="0" w:space="0" w:color="auto"/>
        <w:left w:val="none" w:sz="0" w:space="0" w:color="auto"/>
        <w:bottom w:val="none" w:sz="0" w:space="0" w:color="auto"/>
        <w:right w:val="none" w:sz="0" w:space="0" w:color="auto"/>
      </w:divBdr>
    </w:div>
    <w:div w:id="1346204647">
      <w:bodyDiv w:val="1"/>
      <w:marLeft w:val="0"/>
      <w:marRight w:val="0"/>
      <w:marTop w:val="0"/>
      <w:marBottom w:val="0"/>
      <w:divBdr>
        <w:top w:val="none" w:sz="0" w:space="0" w:color="auto"/>
        <w:left w:val="none" w:sz="0" w:space="0" w:color="auto"/>
        <w:bottom w:val="none" w:sz="0" w:space="0" w:color="auto"/>
        <w:right w:val="none" w:sz="0" w:space="0" w:color="auto"/>
      </w:divBdr>
      <w:divsChild>
        <w:div w:id="615136205">
          <w:marLeft w:val="0"/>
          <w:marRight w:val="0"/>
          <w:marTop w:val="0"/>
          <w:marBottom w:val="0"/>
          <w:divBdr>
            <w:top w:val="none" w:sz="0" w:space="0" w:color="auto"/>
            <w:left w:val="none" w:sz="0" w:space="0" w:color="auto"/>
            <w:bottom w:val="none" w:sz="0" w:space="0" w:color="auto"/>
            <w:right w:val="none" w:sz="0" w:space="0" w:color="auto"/>
          </w:divBdr>
        </w:div>
        <w:div w:id="788813804">
          <w:marLeft w:val="0"/>
          <w:marRight w:val="0"/>
          <w:marTop w:val="0"/>
          <w:marBottom w:val="0"/>
          <w:divBdr>
            <w:top w:val="none" w:sz="0" w:space="0" w:color="auto"/>
            <w:left w:val="none" w:sz="0" w:space="0" w:color="auto"/>
            <w:bottom w:val="none" w:sz="0" w:space="0" w:color="auto"/>
            <w:right w:val="none" w:sz="0" w:space="0" w:color="auto"/>
          </w:divBdr>
        </w:div>
        <w:div w:id="1416824473">
          <w:marLeft w:val="0"/>
          <w:marRight w:val="0"/>
          <w:marTop w:val="0"/>
          <w:marBottom w:val="0"/>
          <w:divBdr>
            <w:top w:val="none" w:sz="0" w:space="0" w:color="auto"/>
            <w:left w:val="none" w:sz="0" w:space="0" w:color="auto"/>
            <w:bottom w:val="none" w:sz="0" w:space="0" w:color="auto"/>
            <w:right w:val="none" w:sz="0" w:space="0" w:color="auto"/>
          </w:divBdr>
        </w:div>
      </w:divsChild>
    </w:div>
    <w:div w:id="1346205510">
      <w:bodyDiv w:val="1"/>
      <w:marLeft w:val="0"/>
      <w:marRight w:val="0"/>
      <w:marTop w:val="0"/>
      <w:marBottom w:val="0"/>
      <w:divBdr>
        <w:top w:val="none" w:sz="0" w:space="0" w:color="auto"/>
        <w:left w:val="none" w:sz="0" w:space="0" w:color="auto"/>
        <w:bottom w:val="none" w:sz="0" w:space="0" w:color="auto"/>
        <w:right w:val="none" w:sz="0" w:space="0" w:color="auto"/>
      </w:divBdr>
    </w:div>
    <w:div w:id="1349452341">
      <w:bodyDiv w:val="1"/>
      <w:marLeft w:val="0"/>
      <w:marRight w:val="0"/>
      <w:marTop w:val="0"/>
      <w:marBottom w:val="0"/>
      <w:divBdr>
        <w:top w:val="none" w:sz="0" w:space="0" w:color="auto"/>
        <w:left w:val="none" w:sz="0" w:space="0" w:color="auto"/>
        <w:bottom w:val="none" w:sz="0" w:space="0" w:color="auto"/>
        <w:right w:val="none" w:sz="0" w:space="0" w:color="auto"/>
      </w:divBdr>
    </w:div>
    <w:div w:id="1353217961">
      <w:bodyDiv w:val="1"/>
      <w:marLeft w:val="0"/>
      <w:marRight w:val="0"/>
      <w:marTop w:val="0"/>
      <w:marBottom w:val="0"/>
      <w:divBdr>
        <w:top w:val="none" w:sz="0" w:space="0" w:color="auto"/>
        <w:left w:val="none" w:sz="0" w:space="0" w:color="auto"/>
        <w:bottom w:val="none" w:sz="0" w:space="0" w:color="auto"/>
        <w:right w:val="none" w:sz="0" w:space="0" w:color="auto"/>
      </w:divBdr>
    </w:div>
    <w:div w:id="1368916689">
      <w:bodyDiv w:val="1"/>
      <w:marLeft w:val="0"/>
      <w:marRight w:val="0"/>
      <w:marTop w:val="0"/>
      <w:marBottom w:val="0"/>
      <w:divBdr>
        <w:top w:val="none" w:sz="0" w:space="0" w:color="auto"/>
        <w:left w:val="none" w:sz="0" w:space="0" w:color="auto"/>
        <w:bottom w:val="none" w:sz="0" w:space="0" w:color="auto"/>
        <w:right w:val="none" w:sz="0" w:space="0" w:color="auto"/>
      </w:divBdr>
    </w:div>
    <w:div w:id="1400439107">
      <w:bodyDiv w:val="1"/>
      <w:marLeft w:val="0"/>
      <w:marRight w:val="0"/>
      <w:marTop w:val="0"/>
      <w:marBottom w:val="0"/>
      <w:divBdr>
        <w:top w:val="none" w:sz="0" w:space="0" w:color="auto"/>
        <w:left w:val="none" w:sz="0" w:space="0" w:color="auto"/>
        <w:bottom w:val="none" w:sz="0" w:space="0" w:color="auto"/>
        <w:right w:val="none" w:sz="0" w:space="0" w:color="auto"/>
      </w:divBdr>
    </w:div>
    <w:div w:id="1421415381">
      <w:bodyDiv w:val="1"/>
      <w:marLeft w:val="0"/>
      <w:marRight w:val="0"/>
      <w:marTop w:val="0"/>
      <w:marBottom w:val="0"/>
      <w:divBdr>
        <w:top w:val="none" w:sz="0" w:space="0" w:color="auto"/>
        <w:left w:val="none" w:sz="0" w:space="0" w:color="auto"/>
        <w:bottom w:val="none" w:sz="0" w:space="0" w:color="auto"/>
        <w:right w:val="none" w:sz="0" w:space="0" w:color="auto"/>
      </w:divBdr>
    </w:div>
    <w:div w:id="1443456221">
      <w:bodyDiv w:val="1"/>
      <w:marLeft w:val="0"/>
      <w:marRight w:val="0"/>
      <w:marTop w:val="0"/>
      <w:marBottom w:val="0"/>
      <w:divBdr>
        <w:top w:val="none" w:sz="0" w:space="0" w:color="auto"/>
        <w:left w:val="none" w:sz="0" w:space="0" w:color="auto"/>
        <w:bottom w:val="none" w:sz="0" w:space="0" w:color="auto"/>
        <w:right w:val="none" w:sz="0" w:space="0" w:color="auto"/>
      </w:divBdr>
    </w:div>
    <w:div w:id="1444808900">
      <w:bodyDiv w:val="1"/>
      <w:marLeft w:val="0"/>
      <w:marRight w:val="0"/>
      <w:marTop w:val="0"/>
      <w:marBottom w:val="0"/>
      <w:divBdr>
        <w:top w:val="none" w:sz="0" w:space="0" w:color="auto"/>
        <w:left w:val="none" w:sz="0" w:space="0" w:color="auto"/>
        <w:bottom w:val="none" w:sz="0" w:space="0" w:color="auto"/>
        <w:right w:val="none" w:sz="0" w:space="0" w:color="auto"/>
      </w:divBdr>
    </w:div>
    <w:div w:id="1448430519">
      <w:bodyDiv w:val="1"/>
      <w:marLeft w:val="0"/>
      <w:marRight w:val="0"/>
      <w:marTop w:val="0"/>
      <w:marBottom w:val="0"/>
      <w:divBdr>
        <w:top w:val="none" w:sz="0" w:space="0" w:color="auto"/>
        <w:left w:val="none" w:sz="0" w:space="0" w:color="auto"/>
        <w:bottom w:val="none" w:sz="0" w:space="0" w:color="auto"/>
        <w:right w:val="none" w:sz="0" w:space="0" w:color="auto"/>
      </w:divBdr>
    </w:div>
    <w:div w:id="1483307085">
      <w:bodyDiv w:val="1"/>
      <w:marLeft w:val="0"/>
      <w:marRight w:val="0"/>
      <w:marTop w:val="0"/>
      <w:marBottom w:val="0"/>
      <w:divBdr>
        <w:top w:val="none" w:sz="0" w:space="0" w:color="auto"/>
        <w:left w:val="none" w:sz="0" w:space="0" w:color="auto"/>
        <w:bottom w:val="none" w:sz="0" w:space="0" w:color="auto"/>
        <w:right w:val="none" w:sz="0" w:space="0" w:color="auto"/>
      </w:divBdr>
    </w:div>
    <w:div w:id="1484664869">
      <w:bodyDiv w:val="1"/>
      <w:marLeft w:val="0"/>
      <w:marRight w:val="0"/>
      <w:marTop w:val="0"/>
      <w:marBottom w:val="0"/>
      <w:divBdr>
        <w:top w:val="none" w:sz="0" w:space="0" w:color="auto"/>
        <w:left w:val="none" w:sz="0" w:space="0" w:color="auto"/>
        <w:bottom w:val="none" w:sz="0" w:space="0" w:color="auto"/>
        <w:right w:val="none" w:sz="0" w:space="0" w:color="auto"/>
      </w:divBdr>
    </w:div>
    <w:div w:id="1498426704">
      <w:bodyDiv w:val="1"/>
      <w:marLeft w:val="0"/>
      <w:marRight w:val="0"/>
      <w:marTop w:val="0"/>
      <w:marBottom w:val="0"/>
      <w:divBdr>
        <w:top w:val="none" w:sz="0" w:space="0" w:color="auto"/>
        <w:left w:val="none" w:sz="0" w:space="0" w:color="auto"/>
        <w:bottom w:val="none" w:sz="0" w:space="0" w:color="auto"/>
        <w:right w:val="none" w:sz="0" w:space="0" w:color="auto"/>
      </w:divBdr>
    </w:div>
    <w:div w:id="1540238872">
      <w:bodyDiv w:val="1"/>
      <w:marLeft w:val="0"/>
      <w:marRight w:val="0"/>
      <w:marTop w:val="0"/>
      <w:marBottom w:val="0"/>
      <w:divBdr>
        <w:top w:val="none" w:sz="0" w:space="0" w:color="auto"/>
        <w:left w:val="none" w:sz="0" w:space="0" w:color="auto"/>
        <w:bottom w:val="none" w:sz="0" w:space="0" w:color="auto"/>
        <w:right w:val="none" w:sz="0" w:space="0" w:color="auto"/>
      </w:divBdr>
    </w:div>
    <w:div w:id="1580288373">
      <w:bodyDiv w:val="1"/>
      <w:marLeft w:val="0"/>
      <w:marRight w:val="0"/>
      <w:marTop w:val="0"/>
      <w:marBottom w:val="0"/>
      <w:divBdr>
        <w:top w:val="none" w:sz="0" w:space="0" w:color="auto"/>
        <w:left w:val="none" w:sz="0" w:space="0" w:color="auto"/>
        <w:bottom w:val="none" w:sz="0" w:space="0" w:color="auto"/>
        <w:right w:val="none" w:sz="0" w:space="0" w:color="auto"/>
      </w:divBdr>
    </w:div>
    <w:div w:id="1584412119">
      <w:bodyDiv w:val="1"/>
      <w:marLeft w:val="0"/>
      <w:marRight w:val="0"/>
      <w:marTop w:val="0"/>
      <w:marBottom w:val="0"/>
      <w:divBdr>
        <w:top w:val="none" w:sz="0" w:space="0" w:color="auto"/>
        <w:left w:val="none" w:sz="0" w:space="0" w:color="auto"/>
        <w:bottom w:val="none" w:sz="0" w:space="0" w:color="auto"/>
        <w:right w:val="none" w:sz="0" w:space="0" w:color="auto"/>
      </w:divBdr>
    </w:div>
    <w:div w:id="1604726422">
      <w:bodyDiv w:val="1"/>
      <w:marLeft w:val="0"/>
      <w:marRight w:val="0"/>
      <w:marTop w:val="0"/>
      <w:marBottom w:val="0"/>
      <w:divBdr>
        <w:top w:val="none" w:sz="0" w:space="0" w:color="auto"/>
        <w:left w:val="none" w:sz="0" w:space="0" w:color="auto"/>
        <w:bottom w:val="none" w:sz="0" w:space="0" w:color="auto"/>
        <w:right w:val="none" w:sz="0" w:space="0" w:color="auto"/>
      </w:divBdr>
    </w:div>
    <w:div w:id="1612544824">
      <w:bodyDiv w:val="1"/>
      <w:marLeft w:val="0"/>
      <w:marRight w:val="0"/>
      <w:marTop w:val="0"/>
      <w:marBottom w:val="0"/>
      <w:divBdr>
        <w:top w:val="none" w:sz="0" w:space="0" w:color="auto"/>
        <w:left w:val="none" w:sz="0" w:space="0" w:color="auto"/>
        <w:bottom w:val="none" w:sz="0" w:space="0" w:color="auto"/>
        <w:right w:val="none" w:sz="0" w:space="0" w:color="auto"/>
      </w:divBdr>
    </w:div>
    <w:div w:id="1613706316">
      <w:bodyDiv w:val="1"/>
      <w:marLeft w:val="0"/>
      <w:marRight w:val="0"/>
      <w:marTop w:val="0"/>
      <w:marBottom w:val="0"/>
      <w:divBdr>
        <w:top w:val="none" w:sz="0" w:space="0" w:color="auto"/>
        <w:left w:val="none" w:sz="0" w:space="0" w:color="auto"/>
        <w:bottom w:val="none" w:sz="0" w:space="0" w:color="auto"/>
        <w:right w:val="none" w:sz="0" w:space="0" w:color="auto"/>
      </w:divBdr>
    </w:div>
    <w:div w:id="1622833278">
      <w:bodyDiv w:val="1"/>
      <w:marLeft w:val="0"/>
      <w:marRight w:val="0"/>
      <w:marTop w:val="0"/>
      <w:marBottom w:val="0"/>
      <w:divBdr>
        <w:top w:val="none" w:sz="0" w:space="0" w:color="auto"/>
        <w:left w:val="none" w:sz="0" w:space="0" w:color="auto"/>
        <w:bottom w:val="none" w:sz="0" w:space="0" w:color="auto"/>
        <w:right w:val="none" w:sz="0" w:space="0" w:color="auto"/>
      </w:divBdr>
    </w:div>
    <w:div w:id="1658418300">
      <w:bodyDiv w:val="1"/>
      <w:marLeft w:val="0"/>
      <w:marRight w:val="0"/>
      <w:marTop w:val="0"/>
      <w:marBottom w:val="0"/>
      <w:divBdr>
        <w:top w:val="none" w:sz="0" w:space="0" w:color="auto"/>
        <w:left w:val="none" w:sz="0" w:space="0" w:color="auto"/>
        <w:bottom w:val="none" w:sz="0" w:space="0" w:color="auto"/>
        <w:right w:val="none" w:sz="0" w:space="0" w:color="auto"/>
      </w:divBdr>
    </w:div>
    <w:div w:id="1696614201">
      <w:bodyDiv w:val="1"/>
      <w:marLeft w:val="0"/>
      <w:marRight w:val="0"/>
      <w:marTop w:val="0"/>
      <w:marBottom w:val="0"/>
      <w:divBdr>
        <w:top w:val="none" w:sz="0" w:space="0" w:color="auto"/>
        <w:left w:val="none" w:sz="0" w:space="0" w:color="auto"/>
        <w:bottom w:val="none" w:sz="0" w:space="0" w:color="auto"/>
        <w:right w:val="none" w:sz="0" w:space="0" w:color="auto"/>
      </w:divBdr>
    </w:div>
    <w:div w:id="1746415728">
      <w:bodyDiv w:val="1"/>
      <w:marLeft w:val="0"/>
      <w:marRight w:val="0"/>
      <w:marTop w:val="0"/>
      <w:marBottom w:val="0"/>
      <w:divBdr>
        <w:top w:val="none" w:sz="0" w:space="0" w:color="auto"/>
        <w:left w:val="none" w:sz="0" w:space="0" w:color="auto"/>
        <w:bottom w:val="none" w:sz="0" w:space="0" w:color="auto"/>
        <w:right w:val="none" w:sz="0" w:space="0" w:color="auto"/>
      </w:divBdr>
    </w:div>
    <w:div w:id="1776709694">
      <w:bodyDiv w:val="1"/>
      <w:marLeft w:val="0"/>
      <w:marRight w:val="0"/>
      <w:marTop w:val="0"/>
      <w:marBottom w:val="0"/>
      <w:divBdr>
        <w:top w:val="none" w:sz="0" w:space="0" w:color="auto"/>
        <w:left w:val="none" w:sz="0" w:space="0" w:color="auto"/>
        <w:bottom w:val="none" w:sz="0" w:space="0" w:color="auto"/>
        <w:right w:val="none" w:sz="0" w:space="0" w:color="auto"/>
      </w:divBdr>
    </w:div>
    <w:div w:id="1823764845">
      <w:bodyDiv w:val="1"/>
      <w:marLeft w:val="0"/>
      <w:marRight w:val="0"/>
      <w:marTop w:val="0"/>
      <w:marBottom w:val="0"/>
      <w:divBdr>
        <w:top w:val="none" w:sz="0" w:space="0" w:color="auto"/>
        <w:left w:val="none" w:sz="0" w:space="0" w:color="auto"/>
        <w:bottom w:val="none" w:sz="0" w:space="0" w:color="auto"/>
        <w:right w:val="none" w:sz="0" w:space="0" w:color="auto"/>
      </w:divBdr>
    </w:div>
    <w:div w:id="1826631308">
      <w:bodyDiv w:val="1"/>
      <w:marLeft w:val="0"/>
      <w:marRight w:val="0"/>
      <w:marTop w:val="0"/>
      <w:marBottom w:val="0"/>
      <w:divBdr>
        <w:top w:val="none" w:sz="0" w:space="0" w:color="auto"/>
        <w:left w:val="none" w:sz="0" w:space="0" w:color="auto"/>
        <w:bottom w:val="none" w:sz="0" w:space="0" w:color="auto"/>
        <w:right w:val="none" w:sz="0" w:space="0" w:color="auto"/>
      </w:divBdr>
    </w:div>
    <w:div w:id="1828981988">
      <w:bodyDiv w:val="1"/>
      <w:marLeft w:val="0"/>
      <w:marRight w:val="0"/>
      <w:marTop w:val="0"/>
      <w:marBottom w:val="0"/>
      <w:divBdr>
        <w:top w:val="none" w:sz="0" w:space="0" w:color="auto"/>
        <w:left w:val="none" w:sz="0" w:space="0" w:color="auto"/>
        <w:bottom w:val="none" w:sz="0" w:space="0" w:color="auto"/>
        <w:right w:val="none" w:sz="0" w:space="0" w:color="auto"/>
      </w:divBdr>
    </w:div>
    <w:div w:id="1843933133">
      <w:bodyDiv w:val="1"/>
      <w:marLeft w:val="0"/>
      <w:marRight w:val="0"/>
      <w:marTop w:val="0"/>
      <w:marBottom w:val="0"/>
      <w:divBdr>
        <w:top w:val="none" w:sz="0" w:space="0" w:color="auto"/>
        <w:left w:val="none" w:sz="0" w:space="0" w:color="auto"/>
        <w:bottom w:val="none" w:sz="0" w:space="0" w:color="auto"/>
        <w:right w:val="none" w:sz="0" w:space="0" w:color="auto"/>
      </w:divBdr>
    </w:div>
    <w:div w:id="1846246472">
      <w:bodyDiv w:val="1"/>
      <w:marLeft w:val="0"/>
      <w:marRight w:val="0"/>
      <w:marTop w:val="0"/>
      <w:marBottom w:val="0"/>
      <w:divBdr>
        <w:top w:val="none" w:sz="0" w:space="0" w:color="auto"/>
        <w:left w:val="none" w:sz="0" w:space="0" w:color="auto"/>
        <w:bottom w:val="none" w:sz="0" w:space="0" w:color="auto"/>
        <w:right w:val="none" w:sz="0" w:space="0" w:color="auto"/>
      </w:divBdr>
    </w:div>
    <w:div w:id="1854606206">
      <w:bodyDiv w:val="1"/>
      <w:marLeft w:val="0"/>
      <w:marRight w:val="0"/>
      <w:marTop w:val="0"/>
      <w:marBottom w:val="0"/>
      <w:divBdr>
        <w:top w:val="none" w:sz="0" w:space="0" w:color="auto"/>
        <w:left w:val="none" w:sz="0" w:space="0" w:color="auto"/>
        <w:bottom w:val="none" w:sz="0" w:space="0" w:color="auto"/>
        <w:right w:val="none" w:sz="0" w:space="0" w:color="auto"/>
      </w:divBdr>
    </w:div>
    <w:div w:id="1866213144">
      <w:bodyDiv w:val="1"/>
      <w:marLeft w:val="0"/>
      <w:marRight w:val="0"/>
      <w:marTop w:val="0"/>
      <w:marBottom w:val="0"/>
      <w:divBdr>
        <w:top w:val="none" w:sz="0" w:space="0" w:color="auto"/>
        <w:left w:val="none" w:sz="0" w:space="0" w:color="auto"/>
        <w:bottom w:val="none" w:sz="0" w:space="0" w:color="auto"/>
        <w:right w:val="none" w:sz="0" w:space="0" w:color="auto"/>
      </w:divBdr>
    </w:div>
    <w:div w:id="1882554362">
      <w:bodyDiv w:val="1"/>
      <w:marLeft w:val="0"/>
      <w:marRight w:val="0"/>
      <w:marTop w:val="0"/>
      <w:marBottom w:val="0"/>
      <w:divBdr>
        <w:top w:val="none" w:sz="0" w:space="0" w:color="auto"/>
        <w:left w:val="none" w:sz="0" w:space="0" w:color="auto"/>
        <w:bottom w:val="none" w:sz="0" w:space="0" w:color="auto"/>
        <w:right w:val="none" w:sz="0" w:space="0" w:color="auto"/>
      </w:divBdr>
    </w:div>
    <w:div w:id="1929120253">
      <w:bodyDiv w:val="1"/>
      <w:marLeft w:val="0"/>
      <w:marRight w:val="0"/>
      <w:marTop w:val="0"/>
      <w:marBottom w:val="0"/>
      <w:divBdr>
        <w:top w:val="none" w:sz="0" w:space="0" w:color="auto"/>
        <w:left w:val="none" w:sz="0" w:space="0" w:color="auto"/>
        <w:bottom w:val="none" w:sz="0" w:space="0" w:color="auto"/>
        <w:right w:val="none" w:sz="0" w:space="0" w:color="auto"/>
      </w:divBdr>
    </w:div>
    <w:div w:id="1938632882">
      <w:bodyDiv w:val="1"/>
      <w:marLeft w:val="0"/>
      <w:marRight w:val="0"/>
      <w:marTop w:val="0"/>
      <w:marBottom w:val="0"/>
      <w:divBdr>
        <w:top w:val="none" w:sz="0" w:space="0" w:color="auto"/>
        <w:left w:val="none" w:sz="0" w:space="0" w:color="auto"/>
        <w:bottom w:val="none" w:sz="0" w:space="0" w:color="auto"/>
        <w:right w:val="none" w:sz="0" w:space="0" w:color="auto"/>
      </w:divBdr>
    </w:div>
    <w:div w:id="1970477435">
      <w:bodyDiv w:val="1"/>
      <w:marLeft w:val="0"/>
      <w:marRight w:val="0"/>
      <w:marTop w:val="0"/>
      <w:marBottom w:val="0"/>
      <w:divBdr>
        <w:top w:val="none" w:sz="0" w:space="0" w:color="auto"/>
        <w:left w:val="none" w:sz="0" w:space="0" w:color="auto"/>
        <w:bottom w:val="none" w:sz="0" w:space="0" w:color="auto"/>
        <w:right w:val="none" w:sz="0" w:space="0" w:color="auto"/>
      </w:divBdr>
    </w:div>
    <w:div w:id="1982687226">
      <w:bodyDiv w:val="1"/>
      <w:marLeft w:val="0"/>
      <w:marRight w:val="0"/>
      <w:marTop w:val="0"/>
      <w:marBottom w:val="0"/>
      <w:divBdr>
        <w:top w:val="none" w:sz="0" w:space="0" w:color="auto"/>
        <w:left w:val="none" w:sz="0" w:space="0" w:color="auto"/>
        <w:bottom w:val="none" w:sz="0" w:space="0" w:color="auto"/>
        <w:right w:val="none" w:sz="0" w:space="0" w:color="auto"/>
      </w:divBdr>
    </w:div>
    <w:div w:id="2002271738">
      <w:bodyDiv w:val="1"/>
      <w:marLeft w:val="0"/>
      <w:marRight w:val="0"/>
      <w:marTop w:val="0"/>
      <w:marBottom w:val="0"/>
      <w:divBdr>
        <w:top w:val="none" w:sz="0" w:space="0" w:color="auto"/>
        <w:left w:val="none" w:sz="0" w:space="0" w:color="auto"/>
        <w:bottom w:val="none" w:sz="0" w:space="0" w:color="auto"/>
        <w:right w:val="none" w:sz="0" w:space="0" w:color="auto"/>
      </w:divBdr>
    </w:div>
    <w:div w:id="2007048790">
      <w:bodyDiv w:val="1"/>
      <w:marLeft w:val="0"/>
      <w:marRight w:val="0"/>
      <w:marTop w:val="0"/>
      <w:marBottom w:val="0"/>
      <w:divBdr>
        <w:top w:val="none" w:sz="0" w:space="0" w:color="auto"/>
        <w:left w:val="none" w:sz="0" w:space="0" w:color="auto"/>
        <w:bottom w:val="none" w:sz="0" w:space="0" w:color="auto"/>
        <w:right w:val="none" w:sz="0" w:space="0" w:color="auto"/>
      </w:divBdr>
    </w:div>
    <w:div w:id="2025789076">
      <w:bodyDiv w:val="1"/>
      <w:marLeft w:val="0"/>
      <w:marRight w:val="0"/>
      <w:marTop w:val="0"/>
      <w:marBottom w:val="0"/>
      <w:divBdr>
        <w:top w:val="none" w:sz="0" w:space="0" w:color="auto"/>
        <w:left w:val="none" w:sz="0" w:space="0" w:color="auto"/>
        <w:bottom w:val="none" w:sz="0" w:space="0" w:color="auto"/>
        <w:right w:val="none" w:sz="0" w:space="0" w:color="auto"/>
      </w:divBdr>
    </w:div>
    <w:div w:id="2074769990">
      <w:bodyDiv w:val="1"/>
      <w:marLeft w:val="0"/>
      <w:marRight w:val="0"/>
      <w:marTop w:val="0"/>
      <w:marBottom w:val="0"/>
      <w:divBdr>
        <w:top w:val="none" w:sz="0" w:space="0" w:color="auto"/>
        <w:left w:val="none" w:sz="0" w:space="0" w:color="auto"/>
        <w:bottom w:val="none" w:sz="0" w:space="0" w:color="auto"/>
        <w:right w:val="none" w:sz="0" w:space="0" w:color="auto"/>
      </w:divBdr>
    </w:div>
    <w:div w:id="2085636468">
      <w:bodyDiv w:val="1"/>
      <w:marLeft w:val="0"/>
      <w:marRight w:val="0"/>
      <w:marTop w:val="0"/>
      <w:marBottom w:val="0"/>
      <w:divBdr>
        <w:top w:val="none" w:sz="0" w:space="0" w:color="auto"/>
        <w:left w:val="none" w:sz="0" w:space="0" w:color="auto"/>
        <w:bottom w:val="none" w:sz="0" w:space="0" w:color="auto"/>
        <w:right w:val="none" w:sz="0" w:space="0" w:color="auto"/>
      </w:divBdr>
    </w:div>
    <w:div w:id="2113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mailto:ir@cenergyholding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energyholdings.com" TargetMode="External"/><Relationship Id="rId2" Type="http://schemas.openxmlformats.org/officeDocument/2006/relationships/numbering" Target="numbering.xml"/><Relationship Id="rId16" Type="http://schemas.openxmlformats.org/officeDocument/2006/relationships/hyperlink" Target="http://www.cenergyholding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FCF5-0C70-4C2F-AF80-866C6A1BC223}">
  <ds:schemaRefs>
    <ds:schemaRef ds:uri="http://schemas.openxmlformats.org/officeDocument/2006/bibliography"/>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88</TotalTime>
  <Pages>17</Pages>
  <Words>7166</Words>
  <Characters>38699</Characters>
  <Application>Microsoft Office Word</Application>
  <DocSecurity>0</DocSecurity>
  <Lines>322</Lines>
  <Paragraphs>91</Paragraphs>
  <ScaleCrop>false</ScaleCrop>
  <HeadingPairs>
    <vt:vector size="6" baseType="variant">
      <vt:variant>
        <vt:lpstr>Τίτλος</vt:lpstr>
      </vt:variant>
      <vt:variant>
        <vt:i4>1</vt:i4>
      </vt:variant>
      <vt:variant>
        <vt:lpstr>Title</vt:lpstr>
      </vt:variant>
      <vt:variant>
        <vt:i4>1</vt:i4>
      </vt:variant>
      <vt:variant>
        <vt:lpstr>Titre</vt:lpstr>
      </vt:variant>
      <vt:variant>
        <vt:i4>1</vt:i4>
      </vt:variant>
    </vt:vector>
  </HeadingPairs>
  <TitlesOfParts>
    <vt:vector size="3" baseType="lpstr">
      <vt:lpstr>CENERGY Press Release for Financial Results</vt:lpstr>
      <vt:lpstr>CENERGY Press Release for Financial Results</vt:lpstr>
      <vt:lpstr>FINANCIAL RESULTS FOR THE FISCAL YEAR 2013</vt:lpstr>
    </vt:vector>
  </TitlesOfParts>
  <Company>Microsoft</Company>
  <LinksUpToDate>false</LinksUpToDate>
  <CharactersWithSpaces>45774</CharactersWithSpaces>
  <SharedDoc>false</SharedDoc>
  <HLinks>
    <vt:vector size="18" baseType="variant">
      <vt:variant>
        <vt:i4>6750283</vt:i4>
      </vt:variant>
      <vt:variant>
        <vt:i4>6</vt:i4>
      </vt:variant>
      <vt:variant>
        <vt:i4>0</vt:i4>
      </vt:variant>
      <vt:variant>
        <vt:i4>5</vt:i4>
      </vt:variant>
      <vt:variant>
        <vt:lpwstr>mailto:ir@cenergyholdings.com</vt:lpwstr>
      </vt:variant>
      <vt:variant>
        <vt:lpwstr/>
      </vt:variant>
      <vt:variant>
        <vt:i4>3473532</vt:i4>
      </vt:variant>
      <vt:variant>
        <vt:i4>3</vt:i4>
      </vt:variant>
      <vt:variant>
        <vt:i4>0</vt:i4>
      </vt:variant>
      <vt:variant>
        <vt:i4>5</vt:i4>
      </vt:variant>
      <vt:variant>
        <vt:lpwstr>http://www.cenergyholdings.com/</vt:lpwstr>
      </vt:variant>
      <vt:variant>
        <vt:lpwstr/>
      </vt:variant>
      <vt:variant>
        <vt:i4>2031628</vt:i4>
      </vt:variant>
      <vt:variant>
        <vt:i4>0</vt:i4>
      </vt:variant>
      <vt:variant>
        <vt:i4>0</vt:i4>
      </vt:variant>
      <vt:variant>
        <vt:i4>5</vt:i4>
      </vt:variant>
      <vt:variant>
        <vt:lpwstr>http://www.helex.gr/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CENERGY Press Release for Financial Results</dc:title>
  <dc:subject/>
  <dc:creator>AvB</dc:creator>
  <cp:keywords/>
  <cp:lastModifiedBy>Stamatiou, Stavros</cp:lastModifiedBy>
  <cp:revision>12</cp:revision>
  <cp:lastPrinted>2023-03-08T15:04:00Z</cp:lastPrinted>
  <dcterms:created xsi:type="dcterms:W3CDTF">2023-09-14T06:56:00Z</dcterms:created>
  <dcterms:modified xsi:type="dcterms:W3CDTF">2023-09-20T13:46:00Z</dcterms:modified>
</cp:coreProperties>
</file>