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6" w:type="dxa"/>
        <w:tblInd w:w="108" w:type="dxa"/>
        <w:tblLook w:val="04A0" w:firstRow="1" w:lastRow="0" w:firstColumn="1" w:lastColumn="0" w:noHBand="0" w:noVBand="1"/>
      </w:tblPr>
      <w:tblGrid>
        <w:gridCol w:w="3369"/>
        <w:gridCol w:w="5917"/>
      </w:tblGrid>
      <w:tr w:rsidR="006F37D0" w:rsidRPr="00727149" w14:paraId="67BF6512" w14:textId="77777777" w:rsidTr="00F26854">
        <w:trPr>
          <w:trHeight w:val="1757"/>
        </w:trPr>
        <w:tc>
          <w:tcPr>
            <w:tcW w:w="3369" w:type="dxa"/>
            <w:tcBorders>
              <w:left w:val="single" w:sz="48" w:space="0" w:color="BC9E6E"/>
            </w:tcBorders>
            <w:shd w:val="clear" w:color="auto" w:fill="auto"/>
            <w:vAlign w:val="center"/>
          </w:tcPr>
          <w:p w14:paraId="087DD4F3" w14:textId="77777777" w:rsidR="00C711D6" w:rsidRPr="00766A4F" w:rsidRDefault="00B112AF" w:rsidP="00B220DD">
            <w:pPr>
              <w:tabs>
                <w:tab w:val="left" w:pos="4680"/>
                <w:tab w:val="left" w:pos="8100"/>
              </w:tabs>
              <w:spacing w:before="60"/>
              <w:ind w:right="142" w:firstLine="142"/>
              <w:rPr>
                <w:i/>
                <w:noProof/>
                <w:szCs w:val="22"/>
                <w:lang w:eastAsia="en-GB"/>
              </w:rPr>
            </w:pPr>
            <w:r>
              <w:rPr>
                <w:i/>
                <w:noProof/>
                <w:szCs w:val="22"/>
                <w:lang w:val="en-US" w:eastAsia="en-US"/>
              </w:rPr>
              <w:drawing>
                <wp:inline distT="0" distB="0" distL="0" distR="0" wp14:anchorId="763DAD06" wp14:editId="3723B6FE">
                  <wp:extent cx="1617345" cy="873760"/>
                  <wp:effectExtent l="0" t="0" r="0" b="0"/>
                  <wp:docPr id="3" name="Picture 1" descr="LOGO TE - small 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TE - small 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7" w:type="dxa"/>
            <w:shd w:val="clear" w:color="auto" w:fill="auto"/>
          </w:tcPr>
          <w:p w14:paraId="5E5F1F0E" w14:textId="77777777" w:rsidR="00375D2B" w:rsidRDefault="00375D2B" w:rsidP="00375D2B">
            <w:pPr>
              <w:pStyle w:val="Heading1"/>
              <w:jc w:val="right"/>
              <w:rPr>
                <w:b/>
                <w:i w:val="0"/>
                <w:noProof/>
                <w:sz w:val="32"/>
                <w:szCs w:val="22"/>
                <w:u w:val="none"/>
                <w:lang w:eastAsia="en-GB"/>
              </w:rPr>
            </w:pPr>
          </w:p>
          <w:p w14:paraId="02373F72" w14:textId="77777777" w:rsidR="00375D2B" w:rsidRPr="006932B9" w:rsidRDefault="00375D2B" w:rsidP="00375D2B">
            <w:pPr>
              <w:pStyle w:val="Heading1"/>
              <w:jc w:val="right"/>
              <w:rPr>
                <w:b/>
                <w:i w:val="0"/>
                <w:noProof/>
                <w:color w:val="00205B"/>
                <w:sz w:val="28"/>
                <w:szCs w:val="22"/>
                <w:u w:val="none"/>
                <w:lang w:eastAsia="en-GB"/>
              </w:rPr>
            </w:pPr>
            <w:r w:rsidRPr="006932B9">
              <w:rPr>
                <w:b/>
                <w:i w:val="0"/>
                <w:noProof/>
                <w:color w:val="00205B"/>
                <w:sz w:val="28"/>
                <w:szCs w:val="22"/>
                <w:u w:val="none"/>
                <w:lang w:eastAsia="en-GB"/>
              </w:rPr>
              <w:t xml:space="preserve">ΔΕΛΤΙΟ ΤΥΠΟΥ </w:t>
            </w:r>
          </w:p>
          <w:p w14:paraId="1C89A659" w14:textId="48AE93CA" w:rsidR="00C711D6" w:rsidRPr="00727149" w:rsidRDefault="00293D3D" w:rsidP="007022B2">
            <w:pPr>
              <w:pStyle w:val="Heading1"/>
              <w:ind w:firstLine="0"/>
              <w:jc w:val="right"/>
              <w:rPr>
                <w:i w:val="0"/>
                <w:noProof/>
                <w:szCs w:val="22"/>
                <w:u w:val="none"/>
                <w:lang w:eastAsia="en-GB"/>
              </w:rPr>
            </w:pPr>
            <w:r w:rsidRPr="001049A0">
              <w:rPr>
                <w:i w:val="0"/>
                <w:noProof/>
                <w:color w:val="00205B"/>
                <w:szCs w:val="22"/>
                <w:u w:val="none"/>
                <w:lang w:eastAsia="en-GB"/>
              </w:rPr>
              <w:t xml:space="preserve">Αθήνα, </w:t>
            </w:r>
            <w:r w:rsidR="00FE6E6A">
              <w:rPr>
                <w:i w:val="0"/>
                <w:noProof/>
                <w:color w:val="00205B"/>
                <w:szCs w:val="22"/>
                <w:u w:val="none"/>
                <w:lang w:eastAsia="en-GB"/>
              </w:rPr>
              <w:t>0</w:t>
            </w:r>
            <w:r w:rsidR="00FE6E6A">
              <w:rPr>
                <w:i w:val="0"/>
                <w:noProof/>
                <w:color w:val="00205B"/>
                <w:szCs w:val="22"/>
                <w:u w:val="none"/>
                <w:lang w:val="en-US" w:eastAsia="en-GB"/>
              </w:rPr>
              <w:t>8</w:t>
            </w:r>
            <w:r w:rsidR="00FE6E6A" w:rsidRPr="001049A0">
              <w:rPr>
                <w:i w:val="0"/>
                <w:noProof/>
                <w:color w:val="00205B"/>
                <w:szCs w:val="22"/>
                <w:u w:val="none"/>
                <w:lang w:eastAsia="en-GB"/>
              </w:rPr>
              <w:t xml:space="preserve"> </w:t>
            </w:r>
            <w:r w:rsidR="007022B2">
              <w:rPr>
                <w:i w:val="0"/>
                <w:noProof/>
                <w:color w:val="00205B"/>
                <w:szCs w:val="22"/>
                <w:u w:val="none"/>
                <w:lang w:eastAsia="en-GB"/>
              </w:rPr>
              <w:t>Νοεμβρίου</w:t>
            </w:r>
            <w:r w:rsidR="0033210B" w:rsidRPr="001049A0">
              <w:rPr>
                <w:i w:val="0"/>
                <w:noProof/>
                <w:color w:val="00205B"/>
                <w:szCs w:val="22"/>
                <w:u w:val="none"/>
                <w:lang w:eastAsia="en-GB"/>
              </w:rPr>
              <w:t xml:space="preserve"> </w:t>
            </w:r>
            <w:r w:rsidR="00375D2B" w:rsidRPr="001049A0">
              <w:rPr>
                <w:i w:val="0"/>
                <w:noProof/>
                <w:color w:val="00205B"/>
                <w:szCs w:val="22"/>
                <w:u w:val="none"/>
                <w:lang w:eastAsia="en-GB"/>
              </w:rPr>
              <w:t>202</w:t>
            </w:r>
            <w:r w:rsidR="004241AD">
              <w:rPr>
                <w:i w:val="0"/>
                <w:noProof/>
                <w:color w:val="00205B"/>
                <w:szCs w:val="22"/>
                <w:u w:val="none"/>
                <w:lang w:eastAsia="en-GB"/>
              </w:rPr>
              <w:t>3</w:t>
            </w:r>
          </w:p>
        </w:tc>
      </w:tr>
    </w:tbl>
    <w:p w14:paraId="349551FC" w14:textId="77777777" w:rsidR="00C711D6" w:rsidRDefault="00C711D6" w:rsidP="00C711D6">
      <w:pPr>
        <w:pStyle w:val="Heading1"/>
        <w:ind w:firstLine="0"/>
        <w:jc w:val="center"/>
        <w:rPr>
          <w:i w:val="0"/>
          <w:noProof/>
          <w:szCs w:val="22"/>
          <w:u w:val="none"/>
          <w:lang w:eastAsia="en-GB"/>
        </w:rPr>
      </w:pPr>
    </w:p>
    <w:p w14:paraId="5F770058" w14:textId="77777777" w:rsidR="001D39AC" w:rsidRPr="000A01CF" w:rsidRDefault="001D39AC" w:rsidP="000A01CF">
      <w:pPr>
        <w:rPr>
          <w:lang w:val="el-GR" w:eastAsia="en-GB"/>
        </w:rPr>
      </w:pPr>
    </w:p>
    <w:p w14:paraId="73551AF7" w14:textId="77777777" w:rsidR="00906441" w:rsidRDefault="00293D3D" w:rsidP="00F25B96">
      <w:pPr>
        <w:pStyle w:val="Heading6"/>
        <w:tabs>
          <w:tab w:val="left" w:pos="4680"/>
          <w:tab w:val="left" w:pos="8100"/>
        </w:tabs>
        <w:spacing w:after="120" w:line="276" w:lineRule="auto"/>
        <w:ind w:left="0" w:right="-2"/>
        <w:rPr>
          <w:b/>
          <w:i w:val="0"/>
          <w:color w:val="00205B"/>
          <w:sz w:val="32"/>
          <w:szCs w:val="32"/>
        </w:rPr>
      </w:pPr>
      <w:r>
        <w:rPr>
          <w:b/>
          <w:i w:val="0"/>
          <w:color w:val="00205B"/>
          <w:sz w:val="32"/>
          <w:szCs w:val="32"/>
        </w:rPr>
        <w:t xml:space="preserve">Έκθεση Χρηματοπιστωτικής Σταθερότητας </w:t>
      </w:r>
      <w:r w:rsidR="00032171" w:rsidRPr="00A64FF2">
        <w:rPr>
          <w:b/>
          <w:i w:val="0"/>
          <w:color w:val="00205B"/>
          <w:sz w:val="32"/>
          <w:szCs w:val="32"/>
        </w:rPr>
        <w:t xml:space="preserve">– </w:t>
      </w:r>
      <w:r w:rsidR="007022B2">
        <w:rPr>
          <w:b/>
          <w:i w:val="0"/>
          <w:color w:val="00205B"/>
          <w:sz w:val="32"/>
          <w:szCs w:val="32"/>
        </w:rPr>
        <w:t>Νοέμβριος</w:t>
      </w:r>
      <w:r w:rsidR="009873EF">
        <w:rPr>
          <w:b/>
          <w:i w:val="0"/>
          <w:color w:val="00205B"/>
          <w:sz w:val="32"/>
          <w:szCs w:val="32"/>
        </w:rPr>
        <w:t xml:space="preserve"> </w:t>
      </w:r>
      <w:r w:rsidR="0033210B">
        <w:rPr>
          <w:b/>
          <w:i w:val="0"/>
          <w:color w:val="00205B"/>
          <w:sz w:val="32"/>
          <w:szCs w:val="32"/>
        </w:rPr>
        <w:t>202</w:t>
      </w:r>
      <w:r w:rsidR="004241AD">
        <w:rPr>
          <w:b/>
          <w:i w:val="0"/>
          <w:color w:val="00205B"/>
          <w:sz w:val="32"/>
          <w:szCs w:val="32"/>
        </w:rPr>
        <w:t>3</w:t>
      </w:r>
    </w:p>
    <w:p w14:paraId="22F85E42" w14:textId="77777777" w:rsidR="001D39AC" w:rsidRDefault="001D39AC" w:rsidP="000A01CF">
      <w:pPr>
        <w:rPr>
          <w:lang w:val="el-GR"/>
        </w:rPr>
      </w:pPr>
    </w:p>
    <w:p w14:paraId="2D44CC70" w14:textId="77777777" w:rsidR="001D39AC" w:rsidRPr="000A01CF" w:rsidRDefault="001D39AC" w:rsidP="000A01CF">
      <w:pPr>
        <w:rPr>
          <w:lang w:val="el-GR"/>
        </w:rPr>
      </w:pPr>
    </w:p>
    <w:p w14:paraId="4363C2F3" w14:textId="761B4160" w:rsidR="00FF6773" w:rsidRDefault="00A46DB7" w:rsidP="00FF6773">
      <w:pPr>
        <w:numPr>
          <w:ilvl w:val="0"/>
          <w:numId w:val="5"/>
        </w:num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A46DB7">
        <w:rPr>
          <w:sz w:val="22"/>
          <w:szCs w:val="22"/>
          <w:lang w:val="el-GR"/>
        </w:rPr>
        <w:t xml:space="preserve">Η </w:t>
      </w:r>
      <w:r w:rsidR="00D57DA7">
        <w:rPr>
          <w:sz w:val="22"/>
          <w:szCs w:val="22"/>
          <w:lang w:val="el-GR"/>
        </w:rPr>
        <w:t xml:space="preserve">κλιμάκωση </w:t>
      </w:r>
      <w:r w:rsidR="006535B0">
        <w:rPr>
          <w:sz w:val="22"/>
          <w:szCs w:val="22"/>
          <w:lang w:val="el-GR"/>
        </w:rPr>
        <w:t xml:space="preserve">των γεωπολιτικών κινδύνων, η </w:t>
      </w:r>
      <w:r w:rsidRPr="00A46DB7">
        <w:rPr>
          <w:sz w:val="22"/>
          <w:szCs w:val="22"/>
          <w:lang w:val="el-GR"/>
        </w:rPr>
        <w:t>επιμονή των πληθωριστικών πιέσεων,</w:t>
      </w:r>
      <w:r w:rsidR="004241AD" w:rsidRPr="00A46DB7">
        <w:rPr>
          <w:sz w:val="22"/>
          <w:szCs w:val="22"/>
          <w:lang w:val="el-GR"/>
        </w:rPr>
        <w:t xml:space="preserve"> </w:t>
      </w:r>
      <w:r w:rsidR="00A90530">
        <w:rPr>
          <w:sz w:val="22"/>
          <w:szCs w:val="22"/>
          <w:lang w:val="el-GR"/>
        </w:rPr>
        <w:t>η επιβράδυνση του ρυθμού οικονομικ</w:t>
      </w:r>
      <w:r w:rsidR="00406409">
        <w:rPr>
          <w:sz w:val="22"/>
          <w:szCs w:val="22"/>
          <w:lang w:val="el-GR"/>
        </w:rPr>
        <w:t>ής</w:t>
      </w:r>
      <w:r w:rsidR="00A90530">
        <w:rPr>
          <w:sz w:val="22"/>
          <w:szCs w:val="22"/>
          <w:lang w:val="el-GR"/>
        </w:rPr>
        <w:t xml:space="preserve"> ανάπτυξης</w:t>
      </w:r>
      <w:r w:rsidR="00A90530" w:rsidRPr="00A90530">
        <w:rPr>
          <w:sz w:val="22"/>
          <w:szCs w:val="22"/>
          <w:lang w:val="el-GR"/>
        </w:rPr>
        <w:t xml:space="preserve">, </w:t>
      </w:r>
      <w:r w:rsidR="00A90530">
        <w:rPr>
          <w:sz w:val="22"/>
          <w:szCs w:val="22"/>
          <w:lang w:val="el-GR"/>
        </w:rPr>
        <w:t>αλλά και</w:t>
      </w:r>
      <w:r w:rsidR="00A90530" w:rsidRPr="00A46DB7">
        <w:rPr>
          <w:sz w:val="22"/>
          <w:szCs w:val="22"/>
          <w:lang w:val="el-GR"/>
        </w:rPr>
        <w:t xml:space="preserve"> </w:t>
      </w:r>
      <w:r w:rsidR="001C0288" w:rsidRPr="00A46DB7">
        <w:rPr>
          <w:sz w:val="22"/>
          <w:szCs w:val="22"/>
          <w:lang w:val="el-GR"/>
        </w:rPr>
        <w:t>ο</w:t>
      </w:r>
      <w:r w:rsidR="004241AD" w:rsidRPr="00A46DB7">
        <w:rPr>
          <w:sz w:val="22"/>
          <w:szCs w:val="22"/>
          <w:lang w:val="el-GR"/>
        </w:rPr>
        <w:t xml:space="preserve"> κίνδυνο</w:t>
      </w:r>
      <w:r w:rsidR="001C0288" w:rsidRPr="00A46DB7">
        <w:rPr>
          <w:sz w:val="22"/>
          <w:szCs w:val="22"/>
          <w:lang w:val="el-GR"/>
        </w:rPr>
        <w:t>ς</w:t>
      </w:r>
      <w:r w:rsidR="004241AD" w:rsidRPr="00A46DB7">
        <w:rPr>
          <w:sz w:val="22"/>
          <w:szCs w:val="22"/>
          <w:lang w:val="el-GR"/>
        </w:rPr>
        <w:t xml:space="preserve"> απότομης </w:t>
      </w:r>
      <w:proofErr w:type="spellStart"/>
      <w:r w:rsidR="004241AD" w:rsidRPr="00A46DB7">
        <w:rPr>
          <w:sz w:val="22"/>
          <w:szCs w:val="22"/>
          <w:lang w:val="el-GR"/>
        </w:rPr>
        <w:t>ανατιμολόγησης</w:t>
      </w:r>
      <w:proofErr w:type="spellEnd"/>
      <w:r w:rsidR="004241AD" w:rsidRPr="00A46DB7">
        <w:rPr>
          <w:sz w:val="22"/>
          <w:szCs w:val="22"/>
          <w:lang w:val="el-GR"/>
        </w:rPr>
        <w:t xml:space="preserve"> των περιουσιακών στοιχείων στις διεθνείς</w:t>
      </w:r>
      <w:r w:rsidR="0077120E">
        <w:rPr>
          <w:sz w:val="22"/>
          <w:szCs w:val="22"/>
          <w:lang w:val="el-GR"/>
        </w:rPr>
        <w:t xml:space="preserve"> αγορές χρήματος και κεφαλαίων, </w:t>
      </w:r>
      <w:r w:rsidR="00115499">
        <w:rPr>
          <w:sz w:val="22"/>
          <w:szCs w:val="22"/>
          <w:lang w:val="el-GR"/>
        </w:rPr>
        <w:t xml:space="preserve">διατηρούν τους </w:t>
      </w:r>
      <w:r>
        <w:rPr>
          <w:sz w:val="22"/>
          <w:szCs w:val="22"/>
          <w:lang w:val="el-GR"/>
        </w:rPr>
        <w:t>κινδύν</w:t>
      </w:r>
      <w:r w:rsidR="00115499">
        <w:rPr>
          <w:sz w:val="22"/>
          <w:szCs w:val="22"/>
          <w:lang w:val="el-GR"/>
        </w:rPr>
        <w:t>ους γ</w:t>
      </w:r>
      <w:r>
        <w:rPr>
          <w:sz w:val="22"/>
          <w:szCs w:val="22"/>
          <w:lang w:val="el-GR"/>
        </w:rPr>
        <w:t>ια τη χρηματοπιστωτική σταθερότητα σε υψηλό επίπεδο.</w:t>
      </w:r>
    </w:p>
    <w:p w14:paraId="653AAB15" w14:textId="77777777" w:rsidR="00FF6773" w:rsidRDefault="00702AE9" w:rsidP="00FF6773">
      <w:pPr>
        <w:numPr>
          <w:ilvl w:val="0"/>
          <w:numId w:val="5"/>
        </w:num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FF6773">
        <w:rPr>
          <w:sz w:val="22"/>
          <w:szCs w:val="22"/>
          <w:lang w:val="el-GR"/>
        </w:rPr>
        <w:t xml:space="preserve">Η ανάκτηση της επενδυτικής βαθμίδας για το αξιόχρεο της χώρας αμβλύνει </w:t>
      </w:r>
      <w:r w:rsidR="00FF6773" w:rsidRPr="00FF6773">
        <w:rPr>
          <w:sz w:val="22"/>
          <w:szCs w:val="22"/>
          <w:lang w:val="el-GR"/>
        </w:rPr>
        <w:t xml:space="preserve">τους κινδύνους </w:t>
      </w:r>
      <w:r w:rsidRPr="00FF6773">
        <w:rPr>
          <w:sz w:val="22"/>
          <w:szCs w:val="22"/>
          <w:lang w:val="el-GR"/>
        </w:rPr>
        <w:t>για το χρηματοπιστωτικό σύστημα</w:t>
      </w:r>
      <w:r w:rsidR="00FF6773" w:rsidRPr="00FF6773">
        <w:rPr>
          <w:sz w:val="22"/>
          <w:szCs w:val="22"/>
          <w:lang w:val="el-GR"/>
        </w:rPr>
        <w:t>, ενώ οι προοπτικές για τον ελληνικό τραπεζικό τομέα διαγράφονται θετικές</w:t>
      </w:r>
      <w:r w:rsidR="00FF6773">
        <w:rPr>
          <w:sz w:val="22"/>
          <w:szCs w:val="22"/>
          <w:lang w:val="el-GR"/>
        </w:rPr>
        <w:t>.</w:t>
      </w:r>
    </w:p>
    <w:p w14:paraId="16C2376C" w14:textId="0BABE5DF" w:rsidR="00115499" w:rsidRDefault="00115499" w:rsidP="009F798E">
      <w:pPr>
        <w:numPr>
          <w:ilvl w:val="0"/>
          <w:numId w:val="5"/>
        </w:num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115499">
        <w:rPr>
          <w:sz w:val="22"/>
          <w:szCs w:val="22"/>
          <w:lang w:val="el-GR"/>
        </w:rPr>
        <w:t xml:space="preserve">Η κερδοφορία των </w:t>
      </w:r>
      <w:r w:rsidR="003A7F58" w:rsidRPr="00115499">
        <w:rPr>
          <w:sz w:val="22"/>
          <w:szCs w:val="22"/>
          <w:lang w:val="el-GR"/>
        </w:rPr>
        <w:t>τραπεζών</w:t>
      </w:r>
      <w:r w:rsidR="0077120E" w:rsidRPr="00115499">
        <w:rPr>
          <w:sz w:val="22"/>
          <w:szCs w:val="22"/>
          <w:lang w:val="el-GR"/>
        </w:rPr>
        <w:t xml:space="preserve"> </w:t>
      </w:r>
      <w:r w:rsidR="004B3DB9" w:rsidRPr="00115499">
        <w:rPr>
          <w:sz w:val="22"/>
          <w:szCs w:val="22"/>
          <w:lang w:val="el-GR"/>
        </w:rPr>
        <w:t>βελτιώνεται</w:t>
      </w:r>
      <w:r w:rsidR="00D143D1" w:rsidRPr="00115499">
        <w:rPr>
          <w:sz w:val="22"/>
          <w:szCs w:val="22"/>
          <w:lang w:val="el-GR"/>
        </w:rPr>
        <w:t xml:space="preserve">, </w:t>
      </w:r>
      <w:r w:rsidRPr="00115499">
        <w:rPr>
          <w:sz w:val="22"/>
          <w:szCs w:val="22"/>
          <w:lang w:val="el-GR"/>
        </w:rPr>
        <w:t>ενώ συνεχίζεται η</w:t>
      </w:r>
      <w:r w:rsidR="0077120E" w:rsidRPr="00115499">
        <w:rPr>
          <w:sz w:val="22"/>
          <w:szCs w:val="22"/>
          <w:lang w:val="el-GR"/>
        </w:rPr>
        <w:t xml:space="preserve"> υλοποίηση της στρατηγικής </w:t>
      </w:r>
      <w:r w:rsidR="0077120E" w:rsidRPr="00404631">
        <w:rPr>
          <w:spacing w:val="-2"/>
          <w:sz w:val="22"/>
          <w:szCs w:val="22"/>
          <w:lang w:val="el-GR"/>
        </w:rPr>
        <w:t>για την οριστική απαλλαγή τους από το υφιστάμενο απόθεμα μη εξυπηρετούμενων δανείων</w:t>
      </w:r>
      <w:r w:rsidRPr="00404631">
        <w:rPr>
          <w:spacing w:val="-2"/>
          <w:sz w:val="22"/>
          <w:szCs w:val="22"/>
          <w:lang w:val="el-GR"/>
        </w:rPr>
        <w:t>.</w:t>
      </w:r>
    </w:p>
    <w:p w14:paraId="33D4E833" w14:textId="77777777" w:rsidR="004624BC" w:rsidRPr="00115499" w:rsidRDefault="004624BC" w:rsidP="009F798E">
      <w:pPr>
        <w:numPr>
          <w:ilvl w:val="0"/>
          <w:numId w:val="5"/>
        </w:num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115499">
        <w:rPr>
          <w:sz w:val="22"/>
          <w:szCs w:val="22"/>
          <w:lang w:val="el-GR"/>
        </w:rPr>
        <w:t>Η κεφαλαιακή επάρκεια των τραπεζών κρίνεται ικανοποιητική, αλλά οι τράπεζες οφείλουν να ενισχύσουν περαιτέρω τα κεφαλαιακά τους αποθέματα</w:t>
      </w:r>
      <w:r w:rsidR="00216192">
        <w:rPr>
          <w:sz w:val="22"/>
          <w:szCs w:val="22"/>
          <w:lang w:val="el-GR"/>
        </w:rPr>
        <w:t>.</w:t>
      </w:r>
    </w:p>
    <w:p w14:paraId="09DCCEB0" w14:textId="4474731C" w:rsidR="0077120E" w:rsidRPr="00D143D1" w:rsidRDefault="00D143D1" w:rsidP="00D143D1">
      <w:pPr>
        <w:numPr>
          <w:ilvl w:val="0"/>
          <w:numId w:val="5"/>
        </w:num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D143D1">
        <w:rPr>
          <w:sz w:val="22"/>
          <w:szCs w:val="22"/>
          <w:lang w:val="el-GR"/>
        </w:rPr>
        <w:t xml:space="preserve">Οι συνθήκες ρευστότητας και χρηματοδότησης του ελληνικού τραπεζικού τομέα βελτιώθηκαν περαιτέρω </w:t>
      </w:r>
      <w:r w:rsidR="0077120E" w:rsidRPr="00D143D1">
        <w:rPr>
          <w:sz w:val="22"/>
          <w:szCs w:val="22"/>
          <w:lang w:val="el-GR"/>
        </w:rPr>
        <w:t>χάρη στην αύξηση των καταθέσεων και παρά την αποπληρωμή μέρους της χρηματοδότησ</w:t>
      </w:r>
      <w:r w:rsidR="00A904A0">
        <w:rPr>
          <w:sz w:val="22"/>
          <w:szCs w:val="22"/>
          <w:lang w:val="el-GR"/>
        </w:rPr>
        <w:t>ή</w:t>
      </w:r>
      <w:r w:rsidR="0077120E" w:rsidRPr="00D143D1">
        <w:rPr>
          <w:sz w:val="22"/>
          <w:szCs w:val="22"/>
          <w:lang w:val="el-GR"/>
        </w:rPr>
        <w:t xml:space="preserve">ς </w:t>
      </w:r>
      <w:r w:rsidR="00A90530">
        <w:rPr>
          <w:sz w:val="22"/>
          <w:szCs w:val="22"/>
          <w:lang w:val="el-GR"/>
        </w:rPr>
        <w:t xml:space="preserve">τους </w:t>
      </w:r>
      <w:r w:rsidR="0077120E" w:rsidRPr="00D143D1">
        <w:rPr>
          <w:sz w:val="22"/>
          <w:szCs w:val="22"/>
          <w:lang w:val="el-GR"/>
        </w:rPr>
        <w:t>από την Ευρωπαϊκή Κεντρική Τράπεζα.</w:t>
      </w:r>
    </w:p>
    <w:p w14:paraId="76F1E776" w14:textId="77777777" w:rsidR="00276886" w:rsidRPr="00C33B34" w:rsidRDefault="00824C25" w:rsidP="007F3270">
      <w:pPr>
        <w:spacing w:before="240" w:line="360" w:lineRule="auto"/>
        <w:jc w:val="both"/>
        <w:rPr>
          <w:rFonts w:eastAsia="Calibri"/>
          <w:color w:val="auto"/>
          <w:sz w:val="22"/>
          <w:szCs w:val="22"/>
          <w:lang w:val="el-GR" w:eastAsia="en-US"/>
        </w:rPr>
      </w:pPr>
      <w:r w:rsidRPr="00C33B34">
        <w:rPr>
          <w:rFonts w:eastAsia="Calibri"/>
          <w:color w:val="auto"/>
          <w:sz w:val="22"/>
          <w:szCs w:val="22"/>
          <w:lang w:val="el-GR" w:eastAsia="en-US"/>
        </w:rPr>
        <w:t xml:space="preserve">Αναρτήθηκε σήμερα στον </w:t>
      </w:r>
      <w:proofErr w:type="spellStart"/>
      <w:r w:rsidRPr="00C33B34">
        <w:rPr>
          <w:rFonts w:eastAsia="Calibri"/>
          <w:color w:val="auto"/>
          <w:sz w:val="22"/>
          <w:szCs w:val="22"/>
          <w:lang w:val="el-GR" w:eastAsia="en-US"/>
        </w:rPr>
        <w:t>ιστοχώρο</w:t>
      </w:r>
      <w:proofErr w:type="spellEnd"/>
      <w:r w:rsidRPr="00C33B34">
        <w:rPr>
          <w:rFonts w:eastAsia="Calibri"/>
          <w:color w:val="auto"/>
          <w:sz w:val="22"/>
          <w:szCs w:val="22"/>
          <w:lang w:val="el-GR" w:eastAsia="en-US"/>
        </w:rPr>
        <w:t xml:space="preserve"> της Τράπεζας της Ελλάδος η Έκθεση Χρηματοπιστωτικής Σταθερότητας, η οποία δημοσιεύεται δύο φορές το χρόνο από τη Διεύθυνση Χρηματοπιστωτικής Σταθερότητας. </w:t>
      </w:r>
    </w:p>
    <w:p w14:paraId="39499C8B" w14:textId="77777777" w:rsidR="00240210" w:rsidRPr="002824EA" w:rsidRDefault="00276886" w:rsidP="007C7317">
      <w:pPr>
        <w:spacing w:before="240" w:line="360" w:lineRule="auto"/>
        <w:jc w:val="both"/>
        <w:rPr>
          <w:rFonts w:eastAsia="Calibri"/>
          <w:color w:val="auto"/>
          <w:sz w:val="22"/>
          <w:szCs w:val="22"/>
          <w:lang w:val="el-GR" w:eastAsia="en-US"/>
        </w:rPr>
      </w:pPr>
      <w:r w:rsidRPr="002824EA">
        <w:rPr>
          <w:rFonts w:eastAsia="Calibri"/>
          <w:color w:val="auto"/>
          <w:sz w:val="22"/>
          <w:szCs w:val="22"/>
          <w:lang w:val="el-GR" w:eastAsia="en-US"/>
        </w:rPr>
        <w:t xml:space="preserve">Η Έκθεση Χρηματοπιστωτικής Σταθερότητας αξιολογεί τις εξελίξεις, εντοπίζει τους κύριους παράγοντες των συστημικών κινδύνων του ελληνικού τραπεζικού τομέα και των λοιπών κλάδων του χρηματοπιστωτικού συστήματος και αναλύει </w:t>
      </w:r>
      <w:r w:rsidR="009A1AE4">
        <w:rPr>
          <w:rFonts w:eastAsia="Calibri"/>
          <w:color w:val="auto"/>
          <w:sz w:val="22"/>
          <w:szCs w:val="22"/>
          <w:lang w:val="el-GR" w:eastAsia="en-US"/>
        </w:rPr>
        <w:t>τ</w:t>
      </w:r>
      <w:r w:rsidRPr="002824EA">
        <w:rPr>
          <w:rFonts w:eastAsia="Calibri"/>
          <w:color w:val="auto"/>
          <w:sz w:val="22"/>
          <w:szCs w:val="22"/>
          <w:lang w:val="el-GR" w:eastAsia="en-US"/>
        </w:rPr>
        <w:t xml:space="preserve">η λειτουργία των υποδομών </w:t>
      </w:r>
      <w:r w:rsidR="00F856D5" w:rsidRPr="002824EA">
        <w:rPr>
          <w:rFonts w:eastAsia="Calibri"/>
          <w:color w:val="auto"/>
          <w:sz w:val="22"/>
          <w:szCs w:val="22"/>
          <w:lang w:val="el-GR" w:eastAsia="en-US"/>
        </w:rPr>
        <w:t xml:space="preserve">των </w:t>
      </w:r>
      <w:r w:rsidRPr="002824EA">
        <w:rPr>
          <w:rFonts w:eastAsia="Calibri"/>
          <w:color w:val="auto"/>
          <w:sz w:val="22"/>
          <w:szCs w:val="22"/>
          <w:lang w:val="el-GR" w:eastAsia="en-US"/>
        </w:rPr>
        <w:t>χρηματοπιστωτικών αγορών (συστήματα πληρωμών, κάρτες πληρωμών, κεντρικά αποθετήρια τίτλων και κεντρικοί αντισυμβαλλόμενοι).</w:t>
      </w:r>
      <w:r w:rsidR="00B6213D" w:rsidRPr="002824EA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</w:p>
    <w:p w14:paraId="580751F1" w14:textId="77777777" w:rsidR="00F51875" w:rsidRDefault="00B6213D" w:rsidP="002824EA">
      <w:pPr>
        <w:spacing w:before="240" w:line="360" w:lineRule="auto"/>
        <w:jc w:val="both"/>
        <w:rPr>
          <w:rFonts w:eastAsia="Calibri"/>
          <w:color w:val="auto"/>
          <w:sz w:val="22"/>
          <w:szCs w:val="22"/>
          <w:lang w:val="el-GR" w:eastAsia="en-US"/>
        </w:rPr>
      </w:pPr>
      <w:r w:rsidRPr="00305178">
        <w:rPr>
          <w:rFonts w:eastAsia="Calibri"/>
          <w:color w:val="auto"/>
          <w:sz w:val="22"/>
          <w:szCs w:val="22"/>
          <w:lang w:val="el-GR" w:eastAsia="en-US"/>
        </w:rPr>
        <w:t xml:space="preserve">Η παρούσα Έκθεση επικεντρώνεται στις εξελίξεις που έλαβαν </w:t>
      </w:r>
      <w:r w:rsidR="002824EA" w:rsidRPr="00305178">
        <w:rPr>
          <w:rFonts w:eastAsia="Calibri"/>
          <w:color w:val="auto"/>
          <w:sz w:val="22"/>
          <w:szCs w:val="22"/>
          <w:lang w:val="el-GR" w:eastAsia="en-US"/>
        </w:rPr>
        <w:t xml:space="preserve">χώρα στον τραπεζικό τομέα κατά το </w:t>
      </w:r>
      <w:r w:rsidR="00B6006A">
        <w:rPr>
          <w:rFonts w:eastAsia="Calibri"/>
          <w:color w:val="auto"/>
          <w:sz w:val="22"/>
          <w:szCs w:val="22"/>
          <w:lang w:val="el-GR" w:eastAsia="en-US"/>
        </w:rPr>
        <w:t xml:space="preserve">α΄ εξάμηνο του </w:t>
      </w:r>
      <w:r w:rsidR="002824EA" w:rsidRPr="00305178">
        <w:rPr>
          <w:rFonts w:eastAsia="Calibri"/>
          <w:color w:val="auto"/>
          <w:sz w:val="22"/>
          <w:szCs w:val="22"/>
          <w:lang w:val="el-GR" w:eastAsia="en-US"/>
        </w:rPr>
        <w:t>202</w:t>
      </w:r>
      <w:r w:rsidR="00B6006A">
        <w:rPr>
          <w:rFonts w:eastAsia="Calibri"/>
          <w:color w:val="auto"/>
          <w:sz w:val="22"/>
          <w:szCs w:val="22"/>
          <w:lang w:val="el-GR" w:eastAsia="en-US"/>
        </w:rPr>
        <w:t>3</w:t>
      </w:r>
      <w:r w:rsidR="009473E9" w:rsidRPr="00305178">
        <w:rPr>
          <w:rFonts w:eastAsia="Calibri"/>
          <w:color w:val="auto"/>
          <w:sz w:val="22"/>
          <w:szCs w:val="22"/>
          <w:lang w:val="el-GR" w:eastAsia="en-US"/>
        </w:rPr>
        <w:t>.</w:t>
      </w:r>
      <w:r w:rsidR="00175A33" w:rsidRPr="00305178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  <w:r w:rsidR="003E67BF" w:rsidRPr="00305178">
        <w:rPr>
          <w:rFonts w:eastAsia="Calibri"/>
          <w:color w:val="auto"/>
          <w:sz w:val="22"/>
          <w:szCs w:val="22"/>
          <w:lang w:val="el-GR" w:eastAsia="en-US"/>
        </w:rPr>
        <w:t xml:space="preserve">Παρουσιάζονται επίσης </w:t>
      </w:r>
      <w:r w:rsidR="00B6006A">
        <w:rPr>
          <w:rFonts w:eastAsia="Calibri"/>
          <w:color w:val="auto"/>
          <w:sz w:val="22"/>
          <w:szCs w:val="22"/>
          <w:lang w:val="el-GR" w:eastAsia="en-US"/>
        </w:rPr>
        <w:t>δύο</w:t>
      </w:r>
      <w:r w:rsidR="002A3DF1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  <w:r w:rsidR="0034618A">
        <w:rPr>
          <w:rFonts w:eastAsia="Calibri"/>
          <w:color w:val="auto"/>
          <w:sz w:val="22"/>
          <w:szCs w:val="22"/>
          <w:lang w:val="el-GR" w:eastAsia="en-US"/>
        </w:rPr>
        <w:t>Ε</w:t>
      </w:r>
      <w:r w:rsidR="003A7FD3" w:rsidRPr="00305178">
        <w:rPr>
          <w:rFonts w:eastAsia="Calibri"/>
          <w:color w:val="auto"/>
          <w:sz w:val="22"/>
          <w:szCs w:val="22"/>
          <w:lang w:val="el-GR" w:eastAsia="en-US"/>
        </w:rPr>
        <w:t xml:space="preserve">ιδικά </w:t>
      </w:r>
      <w:r w:rsidR="00333C38">
        <w:rPr>
          <w:rFonts w:eastAsia="Calibri"/>
          <w:color w:val="auto"/>
          <w:sz w:val="22"/>
          <w:szCs w:val="22"/>
          <w:lang w:val="el-GR" w:eastAsia="en-US"/>
        </w:rPr>
        <w:t>Θ</w:t>
      </w:r>
      <w:r w:rsidR="003E67BF" w:rsidRPr="00305178">
        <w:rPr>
          <w:rFonts w:eastAsia="Calibri"/>
          <w:color w:val="auto"/>
          <w:sz w:val="22"/>
          <w:szCs w:val="22"/>
          <w:lang w:val="el-GR" w:eastAsia="en-US"/>
        </w:rPr>
        <w:t>έματα</w:t>
      </w:r>
      <w:r w:rsidR="00071EEE" w:rsidRPr="00305178">
        <w:rPr>
          <w:rFonts w:eastAsia="Calibri"/>
          <w:color w:val="auto"/>
          <w:sz w:val="22"/>
          <w:szCs w:val="22"/>
          <w:lang w:val="el-GR" w:eastAsia="en-US"/>
        </w:rPr>
        <w:t>,</w:t>
      </w:r>
      <w:r w:rsidR="003E67BF" w:rsidRPr="00305178">
        <w:rPr>
          <w:rFonts w:eastAsia="Calibri"/>
          <w:color w:val="auto"/>
          <w:sz w:val="22"/>
          <w:szCs w:val="22"/>
          <w:lang w:val="el-GR" w:eastAsia="en-US"/>
        </w:rPr>
        <w:t xml:space="preserve"> που </w:t>
      </w:r>
      <w:r w:rsidR="002824EA" w:rsidRPr="00305178">
        <w:rPr>
          <w:rFonts w:eastAsia="Calibri"/>
          <w:color w:val="auto"/>
          <w:sz w:val="22"/>
          <w:szCs w:val="22"/>
          <w:lang w:val="el-GR" w:eastAsia="en-US"/>
        </w:rPr>
        <w:t>εξετάζουν</w:t>
      </w:r>
      <w:r w:rsidR="0034618A">
        <w:rPr>
          <w:rFonts w:eastAsia="Calibri"/>
          <w:color w:val="auto"/>
          <w:sz w:val="22"/>
          <w:szCs w:val="22"/>
          <w:lang w:val="el-GR" w:eastAsia="en-US"/>
        </w:rPr>
        <w:t>:</w:t>
      </w:r>
      <w:r w:rsidR="002824EA" w:rsidRPr="00305178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</w:p>
    <w:p w14:paraId="2BDF7566" w14:textId="5E570E2A" w:rsidR="009E5C57" w:rsidRDefault="0034618A" w:rsidP="00EE7A37">
      <w:pPr>
        <w:spacing w:before="240" w:line="360" w:lineRule="auto"/>
        <w:ind w:left="284"/>
        <w:jc w:val="both"/>
        <w:rPr>
          <w:rFonts w:eastAsia="Calibri"/>
          <w:color w:val="auto"/>
          <w:sz w:val="22"/>
          <w:szCs w:val="22"/>
          <w:lang w:val="el-GR" w:eastAsia="en-US"/>
        </w:rPr>
      </w:pPr>
      <w:r>
        <w:rPr>
          <w:rFonts w:eastAsia="Calibri"/>
          <w:color w:val="auto"/>
          <w:sz w:val="22"/>
          <w:szCs w:val="22"/>
          <w:lang w:val="el-GR" w:eastAsia="en-US"/>
        </w:rPr>
        <w:lastRenderedPageBreak/>
        <w:t>α)</w:t>
      </w:r>
      <w:r w:rsidR="002A3DF1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  <w:r w:rsidR="009E5C57" w:rsidRPr="009E5C57">
        <w:rPr>
          <w:rFonts w:eastAsia="Calibri"/>
          <w:color w:val="auto"/>
          <w:sz w:val="22"/>
          <w:szCs w:val="22"/>
          <w:lang w:val="el-GR" w:eastAsia="en-US"/>
        </w:rPr>
        <w:t xml:space="preserve">τις βασικές έννοιες που αφορούν τα </w:t>
      </w:r>
      <w:proofErr w:type="spellStart"/>
      <w:r w:rsidR="009E5C57" w:rsidRPr="009E5C57">
        <w:rPr>
          <w:rFonts w:eastAsia="Calibri"/>
          <w:color w:val="auto"/>
          <w:sz w:val="22"/>
          <w:szCs w:val="22"/>
          <w:lang w:val="el-GR" w:eastAsia="en-US"/>
        </w:rPr>
        <w:t>κρυπτοστοιχεία</w:t>
      </w:r>
      <w:proofErr w:type="spellEnd"/>
      <w:r w:rsidR="009E5C57" w:rsidRPr="009E5C57">
        <w:rPr>
          <w:rFonts w:eastAsia="Calibri"/>
          <w:color w:val="auto"/>
          <w:sz w:val="22"/>
          <w:szCs w:val="22"/>
          <w:lang w:val="el-GR" w:eastAsia="en-US"/>
        </w:rPr>
        <w:t xml:space="preserve"> και κρίσιμα γεγονότα που επηρέασαν το οικοσ</w:t>
      </w:r>
      <w:r w:rsidR="005D01FE">
        <w:rPr>
          <w:rFonts w:eastAsia="Calibri"/>
          <w:color w:val="auto"/>
          <w:sz w:val="22"/>
          <w:szCs w:val="22"/>
          <w:lang w:val="el-GR" w:eastAsia="en-US"/>
        </w:rPr>
        <w:t>ύστημ</w:t>
      </w:r>
      <w:r w:rsidR="00916193">
        <w:rPr>
          <w:rFonts w:eastAsia="Calibri"/>
          <w:color w:val="auto"/>
          <w:sz w:val="22"/>
          <w:szCs w:val="22"/>
          <w:lang w:val="el-GR" w:eastAsia="en-US"/>
        </w:rPr>
        <w:t>ά</w:t>
      </w:r>
      <w:r w:rsidR="005D01FE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  <w:r w:rsidR="009E5C57">
        <w:rPr>
          <w:rFonts w:eastAsia="Calibri"/>
          <w:color w:val="auto"/>
          <w:sz w:val="22"/>
          <w:szCs w:val="22"/>
          <w:lang w:val="el-GR" w:eastAsia="en-US"/>
        </w:rPr>
        <w:t xml:space="preserve">τους </w:t>
      </w:r>
      <w:r w:rsidR="009E5C57" w:rsidRPr="009E5C57">
        <w:rPr>
          <w:rFonts w:eastAsia="Calibri"/>
          <w:color w:val="auto"/>
          <w:sz w:val="22"/>
          <w:szCs w:val="22"/>
          <w:lang w:val="el-GR" w:eastAsia="en-US"/>
        </w:rPr>
        <w:t>τα τελευταία έτη, ενώ παρα</w:t>
      </w:r>
      <w:r w:rsidR="005D01FE">
        <w:rPr>
          <w:rFonts w:eastAsia="Calibri"/>
          <w:color w:val="auto"/>
          <w:sz w:val="22"/>
          <w:szCs w:val="22"/>
          <w:lang w:val="el-GR" w:eastAsia="en-US"/>
        </w:rPr>
        <w:t xml:space="preserve">τίθενται οι </w:t>
      </w:r>
      <w:r w:rsidR="009E5C57" w:rsidRPr="009E5C57">
        <w:rPr>
          <w:rFonts w:eastAsia="Calibri"/>
          <w:color w:val="auto"/>
          <w:sz w:val="22"/>
          <w:szCs w:val="22"/>
          <w:lang w:val="el-GR" w:eastAsia="en-US"/>
        </w:rPr>
        <w:t>κ</w:t>
      </w:r>
      <w:r w:rsidR="005D01FE">
        <w:rPr>
          <w:rFonts w:eastAsia="Calibri"/>
          <w:color w:val="auto"/>
          <w:sz w:val="22"/>
          <w:szCs w:val="22"/>
          <w:lang w:val="el-GR" w:eastAsia="en-US"/>
        </w:rPr>
        <w:t xml:space="preserve">ίνδυνοι </w:t>
      </w:r>
      <w:r w:rsidR="009E5C57" w:rsidRPr="009E5C57">
        <w:rPr>
          <w:rFonts w:eastAsia="Calibri"/>
          <w:color w:val="auto"/>
          <w:sz w:val="22"/>
          <w:szCs w:val="22"/>
          <w:lang w:val="el-GR" w:eastAsia="en-US"/>
        </w:rPr>
        <w:t xml:space="preserve">που ενέχουν τα </w:t>
      </w:r>
      <w:proofErr w:type="spellStart"/>
      <w:r w:rsidR="009E5C57" w:rsidRPr="009E5C57">
        <w:rPr>
          <w:rFonts w:eastAsia="Calibri"/>
          <w:color w:val="auto"/>
          <w:sz w:val="22"/>
          <w:szCs w:val="22"/>
          <w:lang w:val="el-GR" w:eastAsia="en-US"/>
        </w:rPr>
        <w:t>κρυπτοστοιχεία</w:t>
      </w:r>
      <w:proofErr w:type="spellEnd"/>
      <w:r w:rsidR="009E5C57" w:rsidRPr="009E5C57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  <w:r w:rsidR="00952A1E">
        <w:rPr>
          <w:rFonts w:eastAsia="Calibri"/>
          <w:color w:val="auto"/>
          <w:sz w:val="22"/>
          <w:szCs w:val="22"/>
          <w:lang w:val="el-GR" w:eastAsia="en-US"/>
        </w:rPr>
        <w:t xml:space="preserve">για </w:t>
      </w:r>
      <w:r w:rsidR="009E5C57" w:rsidRPr="009E5C57">
        <w:rPr>
          <w:rFonts w:eastAsia="Calibri"/>
          <w:color w:val="auto"/>
          <w:sz w:val="22"/>
          <w:szCs w:val="22"/>
          <w:lang w:val="el-GR" w:eastAsia="en-US"/>
        </w:rPr>
        <w:t>τη χρηματοπιστωτική σταθερότητα και αναλύ</w:t>
      </w:r>
      <w:r w:rsidR="005D01FE">
        <w:rPr>
          <w:rFonts w:eastAsia="Calibri"/>
          <w:color w:val="auto"/>
          <w:sz w:val="22"/>
          <w:szCs w:val="22"/>
          <w:lang w:val="el-GR" w:eastAsia="en-US"/>
        </w:rPr>
        <w:t xml:space="preserve">ονται οι </w:t>
      </w:r>
      <w:r w:rsidR="009E5C57" w:rsidRPr="009E5C57">
        <w:rPr>
          <w:rFonts w:eastAsia="Calibri"/>
          <w:color w:val="auto"/>
          <w:sz w:val="22"/>
          <w:szCs w:val="22"/>
          <w:lang w:val="el-GR" w:eastAsia="en-US"/>
        </w:rPr>
        <w:t xml:space="preserve">πρόσφατες εξελίξεις </w:t>
      </w:r>
      <w:r w:rsidR="009E5C57">
        <w:rPr>
          <w:rFonts w:eastAsia="Calibri"/>
          <w:color w:val="auto"/>
          <w:sz w:val="22"/>
          <w:szCs w:val="22"/>
          <w:lang w:val="el-GR" w:eastAsia="en-US"/>
        </w:rPr>
        <w:t xml:space="preserve">στο </w:t>
      </w:r>
      <w:r w:rsidR="009E5C57" w:rsidRPr="009E5C57">
        <w:rPr>
          <w:rFonts w:eastAsia="Calibri"/>
          <w:color w:val="auto"/>
          <w:sz w:val="22"/>
          <w:szCs w:val="22"/>
          <w:lang w:val="el-GR" w:eastAsia="en-US"/>
        </w:rPr>
        <w:t>συναφές κανονιστικό πλαίσιο σε ευρωπαϊκό και εθνικό επίπεδο.</w:t>
      </w:r>
    </w:p>
    <w:p w14:paraId="36A7A4A5" w14:textId="4CC75A0B" w:rsidR="00952A1E" w:rsidRDefault="002A3DF1" w:rsidP="00EE7A37">
      <w:pPr>
        <w:spacing w:before="240" w:line="360" w:lineRule="auto"/>
        <w:ind w:left="284"/>
        <w:jc w:val="both"/>
        <w:rPr>
          <w:rFonts w:eastAsia="Calibri"/>
          <w:color w:val="auto"/>
          <w:sz w:val="22"/>
          <w:szCs w:val="22"/>
          <w:lang w:val="el-GR" w:eastAsia="en-US"/>
        </w:rPr>
      </w:pPr>
      <w:r>
        <w:rPr>
          <w:rFonts w:eastAsia="Calibri"/>
          <w:color w:val="auto"/>
          <w:sz w:val="22"/>
          <w:szCs w:val="22"/>
          <w:lang w:val="el-GR" w:eastAsia="en-US"/>
        </w:rPr>
        <w:t xml:space="preserve">β) </w:t>
      </w:r>
      <w:r w:rsidR="009E5C57">
        <w:rPr>
          <w:rFonts w:eastAsia="Calibri"/>
          <w:color w:val="auto"/>
          <w:sz w:val="22"/>
          <w:szCs w:val="22"/>
          <w:lang w:val="el-GR" w:eastAsia="en-US"/>
        </w:rPr>
        <w:t>τ</w:t>
      </w:r>
      <w:r w:rsidR="00FE6E6A">
        <w:rPr>
          <w:rFonts w:eastAsia="Calibri"/>
          <w:color w:val="auto"/>
          <w:sz w:val="22"/>
          <w:szCs w:val="22"/>
          <w:lang w:val="el-GR" w:eastAsia="en-US"/>
        </w:rPr>
        <w:t>ην</w:t>
      </w:r>
      <w:r w:rsidR="009E5C57">
        <w:rPr>
          <w:rFonts w:eastAsia="Calibri"/>
          <w:color w:val="auto"/>
          <w:sz w:val="22"/>
          <w:szCs w:val="22"/>
          <w:lang w:val="el-GR" w:eastAsia="en-US"/>
        </w:rPr>
        <w:t xml:space="preserve"> πανευρωπαϊκή </w:t>
      </w:r>
      <w:r w:rsidR="00C85DC6">
        <w:rPr>
          <w:rFonts w:eastAsia="Calibri"/>
          <w:color w:val="auto"/>
          <w:sz w:val="22"/>
          <w:szCs w:val="22"/>
          <w:lang w:val="el-GR" w:eastAsia="en-US"/>
        </w:rPr>
        <w:t>ά</w:t>
      </w:r>
      <w:r w:rsidR="00C85DC6" w:rsidRPr="00C85DC6">
        <w:rPr>
          <w:rFonts w:eastAsia="Calibri"/>
          <w:color w:val="auto"/>
          <w:sz w:val="22"/>
          <w:szCs w:val="22"/>
          <w:lang w:val="el-GR" w:eastAsia="en-US"/>
        </w:rPr>
        <w:t>σκ</w:t>
      </w:r>
      <w:r w:rsidR="00C85DC6">
        <w:rPr>
          <w:rFonts w:eastAsia="Calibri"/>
          <w:color w:val="auto"/>
          <w:sz w:val="22"/>
          <w:szCs w:val="22"/>
          <w:lang w:val="el-GR" w:eastAsia="en-US"/>
        </w:rPr>
        <w:t xml:space="preserve">ηση </w:t>
      </w:r>
      <w:r w:rsidR="00C85DC6" w:rsidRPr="00C85DC6">
        <w:rPr>
          <w:rFonts w:eastAsia="Calibri"/>
          <w:color w:val="auto"/>
          <w:sz w:val="22"/>
          <w:szCs w:val="22"/>
          <w:lang w:val="el-GR" w:eastAsia="en-US"/>
        </w:rPr>
        <w:t>προσομοίωσης ακραίων καταστάσεων (</w:t>
      </w:r>
      <w:proofErr w:type="spellStart"/>
      <w:r w:rsidR="00C85DC6" w:rsidRPr="00C85DC6">
        <w:rPr>
          <w:rFonts w:eastAsia="Calibri"/>
          <w:color w:val="auto"/>
          <w:sz w:val="22"/>
          <w:szCs w:val="22"/>
          <w:lang w:val="el-GR" w:eastAsia="en-US"/>
        </w:rPr>
        <w:t>stress</w:t>
      </w:r>
      <w:proofErr w:type="spellEnd"/>
      <w:r w:rsidR="00C85DC6" w:rsidRPr="00C85DC6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  <w:proofErr w:type="spellStart"/>
      <w:r w:rsidR="00C85DC6" w:rsidRPr="00C85DC6">
        <w:rPr>
          <w:rFonts w:eastAsia="Calibri"/>
          <w:color w:val="auto"/>
          <w:sz w:val="22"/>
          <w:szCs w:val="22"/>
          <w:lang w:val="el-GR" w:eastAsia="en-US"/>
        </w:rPr>
        <w:t>tests</w:t>
      </w:r>
      <w:proofErr w:type="spellEnd"/>
      <w:r w:rsidR="00C85DC6" w:rsidRPr="00C85DC6">
        <w:rPr>
          <w:rFonts w:eastAsia="Calibri"/>
          <w:color w:val="auto"/>
          <w:sz w:val="22"/>
          <w:szCs w:val="22"/>
          <w:lang w:val="el-GR" w:eastAsia="en-US"/>
        </w:rPr>
        <w:t>)</w:t>
      </w:r>
      <w:r w:rsidR="009E5C57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  <w:r w:rsidR="009E5C57" w:rsidRPr="009E5C57">
        <w:rPr>
          <w:rFonts w:eastAsia="Calibri"/>
          <w:color w:val="auto"/>
          <w:sz w:val="22"/>
          <w:szCs w:val="22"/>
          <w:lang w:val="el-GR" w:eastAsia="en-US"/>
        </w:rPr>
        <w:t>για το 2023</w:t>
      </w:r>
      <w:r w:rsidR="009E5C57">
        <w:rPr>
          <w:rFonts w:eastAsia="Calibri"/>
          <w:color w:val="auto"/>
          <w:sz w:val="22"/>
          <w:szCs w:val="22"/>
          <w:lang w:val="el-GR" w:eastAsia="en-US"/>
        </w:rPr>
        <w:t>,</w:t>
      </w:r>
      <w:r w:rsidR="009E5C57" w:rsidRPr="009E5C57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  <w:r w:rsidR="00FE60C3">
        <w:rPr>
          <w:rFonts w:eastAsia="Calibri"/>
          <w:color w:val="auto"/>
          <w:sz w:val="22"/>
          <w:szCs w:val="22"/>
          <w:lang w:val="el-GR" w:eastAsia="en-US"/>
        </w:rPr>
        <w:t xml:space="preserve">παρουσιάζοντας τα σενάρια και τις αλλαγές στη μεθοδολογία </w:t>
      </w:r>
      <w:r w:rsidR="00952A1E">
        <w:rPr>
          <w:rFonts w:eastAsia="Calibri"/>
          <w:color w:val="auto"/>
          <w:sz w:val="22"/>
          <w:szCs w:val="22"/>
          <w:lang w:val="el-GR" w:eastAsia="en-US"/>
        </w:rPr>
        <w:t>που υιοθετήθηκαν από την Ευρωπαϊκή Αρχή Τραπεζών (</w:t>
      </w:r>
      <w:r w:rsidR="00952A1E">
        <w:rPr>
          <w:rFonts w:eastAsia="Calibri"/>
          <w:color w:val="auto"/>
          <w:sz w:val="22"/>
          <w:szCs w:val="22"/>
          <w:lang w:val="en-US" w:eastAsia="en-US"/>
        </w:rPr>
        <w:t>European</w:t>
      </w:r>
      <w:r w:rsidR="00952A1E" w:rsidRPr="009E5C57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  <w:r w:rsidR="00952A1E">
        <w:rPr>
          <w:rFonts w:eastAsia="Calibri"/>
          <w:color w:val="auto"/>
          <w:sz w:val="22"/>
          <w:szCs w:val="22"/>
          <w:lang w:val="en-US" w:eastAsia="en-US"/>
        </w:rPr>
        <w:t>Banking</w:t>
      </w:r>
      <w:r w:rsidR="00952A1E" w:rsidRPr="009E5C57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  <w:r w:rsidR="00952A1E">
        <w:rPr>
          <w:rFonts w:eastAsia="Calibri"/>
          <w:color w:val="auto"/>
          <w:sz w:val="22"/>
          <w:szCs w:val="22"/>
          <w:lang w:val="en-US" w:eastAsia="en-US"/>
        </w:rPr>
        <w:t>Authority</w:t>
      </w:r>
      <w:r w:rsidR="00952A1E" w:rsidRPr="009E5C57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  <w:r w:rsidR="00952A1E">
        <w:rPr>
          <w:rFonts w:eastAsia="Calibri"/>
          <w:color w:val="auto"/>
          <w:sz w:val="22"/>
          <w:szCs w:val="22"/>
          <w:lang w:val="el-GR" w:eastAsia="en-US"/>
        </w:rPr>
        <w:t>–</w:t>
      </w:r>
      <w:r w:rsidR="00A904A0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  <w:r w:rsidR="00952A1E">
        <w:rPr>
          <w:rFonts w:eastAsia="Calibri"/>
          <w:color w:val="auto"/>
          <w:sz w:val="22"/>
          <w:szCs w:val="22"/>
          <w:lang w:val="en-US" w:eastAsia="en-US"/>
        </w:rPr>
        <w:t>EBA</w:t>
      </w:r>
      <w:r w:rsidR="00952A1E" w:rsidRPr="009E5C57">
        <w:rPr>
          <w:rFonts w:eastAsia="Calibri"/>
          <w:color w:val="auto"/>
          <w:sz w:val="22"/>
          <w:szCs w:val="22"/>
          <w:lang w:val="el-GR" w:eastAsia="en-US"/>
        </w:rPr>
        <w:t>)</w:t>
      </w:r>
      <w:r w:rsidR="00952A1E">
        <w:rPr>
          <w:rFonts w:eastAsia="Calibri"/>
          <w:color w:val="auto"/>
          <w:sz w:val="22"/>
          <w:szCs w:val="22"/>
          <w:lang w:val="el-GR" w:eastAsia="en-US"/>
        </w:rPr>
        <w:t xml:space="preserve"> σε σχέση με την άσκηση του 2021, κ</w:t>
      </w:r>
      <w:r w:rsidR="00FE60C3">
        <w:rPr>
          <w:rFonts w:eastAsia="Calibri"/>
          <w:color w:val="auto"/>
          <w:sz w:val="22"/>
          <w:szCs w:val="22"/>
          <w:lang w:val="el-GR" w:eastAsia="en-US"/>
        </w:rPr>
        <w:t>αθώς και τα αποτελέσματ</w:t>
      </w:r>
      <w:r w:rsidR="00916193">
        <w:rPr>
          <w:rFonts w:eastAsia="Calibri"/>
          <w:color w:val="auto"/>
          <w:sz w:val="22"/>
          <w:szCs w:val="22"/>
          <w:lang w:val="el-GR" w:eastAsia="en-US"/>
        </w:rPr>
        <w:t>ά</w:t>
      </w:r>
      <w:r w:rsidR="00FE60C3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  <w:r w:rsidR="004B3DB9">
        <w:rPr>
          <w:rFonts w:eastAsia="Calibri"/>
          <w:color w:val="auto"/>
          <w:sz w:val="22"/>
          <w:szCs w:val="22"/>
          <w:lang w:val="el-GR" w:eastAsia="en-US"/>
        </w:rPr>
        <w:t>της</w:t>
      </w:r>
      <w:r w:rsidR="00952A1E">
        <w:rPr>
          <w:rFonts w:eastAsia="Calibri"/>
          <w:color w:val="auto"/>
          <w:sz w:val="22"/>
          <w:szCs w:val="22"/>
          <w:lang w:val="el-GR" w:eastAsia="en-US"/>
        </w:rPr>
        <w:t>.</w:t>
      </w:r>
    </w:p>
    <w:p w14:paraId="58641892" w14:textId="6E805E49" w:rsidR="00475AE6" w:rsidRDefault="0040332A" w:rsidP="00475AE6">
      <w:pPr>
        <w:spacing w:before="240"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Ο τραπεζικός τομέας</w:t>
      </w:r>
      <w:r w:rsidRPr="0040332A">
        <w:rPr>
          <w:sz w:val="22"/>
          <w:szCs w:val="22"/>
          <w:lang w:val="el-GR"/>
        </w:rPr>
        <w:t xml:space="preserve"> βρίσκεται σε πολύ καλύτερη θέση σε σχέση με το παρελθόν για να αντιμετωπίσει πιθανές αναταράξεις</w:t>
      </w:r>
      <w:r>
        <w:rPr>
          <w:sz w:val="22"/>
          <w:szCs w:val="22"/>
          <w:lang w:val="el-GR"/>
        </w:rPr>
        <w:t>. Ωστόσο, η</w:t>
      </w:r>
      <w:r w:rsidR="00034EB3" w:rsidRPr="00034EB3">
        <w:rPr>
          <w:sz w:val="22"/>
          <w:szCs w:val="22"/>
          <w:lang w:val="el-GR"/>
        </w:rPr>
        <w:t xml:space="preserve"> διατήρηση του πληθωρισμού σε υψηλό </w:t>
      </w:r>
      <w:r w:rsidR="00034EB3">
        <w:rPr>
          <w:sz w:val="22"/>
          <w:szCs w:val="22"/>
          <w:lang w:val="el-GR"/>
        </w:rPr>
        <w:t xml:space="preserve">ακόμη </w:t>
      </w:r>
      <w:r w:rsidR="00034EB3" w:rsidRPr="00034EB3">
        <w:rPr>
          <w:sz w:val="22"/>
          <w:szCs w:val="22"/>
          <w:lang w:val="el-GR"/>
        </w:rPr>
        <w:t>επίπεδο</w:t>
      </w:r>
      <w:r w:rsidR="00A904A0">
        <w:rPr>
          <w:sz w:val="22"/>
          <w:szCs w:val="22"/>
          <w:lang w:val="el-GR"/>
        </w:rPr>
        <w:t>,</w:t>
      </w:r>
      <w:r w:rsidR="00034EB3">
        <w:rPr>
          <w:sz w:val="22"/>
          <w:szCs w:val="22"/>
          <w:lang w:val="el-GR"/>
        </w:rPr>
        <w:t xml:space="preserve"> σε συνδυασμό </w:t>
      </w:r>
      <w:r w:rsidR="00034EB3" w:rsidRPr="00034EB3">
        <w:rPr>
          <w:sz w:val="22"/>
          <w:szCs w:val="22"/>
          <w:lang w:val="el-GR"/>
        </w:rPr>
        <w:t>με τ</w:t>
      </w:r>
      <w:r w:rsidR="005D01FE">
        <w:rPr>
          <w:sz w:val="22"/>
          <w:szCs w:val="22"/>
          <w:lang w:val="el-GR"/>
        </w:rPr>
        <w:t xml:space="preserve">α αυξημένα </w:t>
      </w:r>
      <w:r w:rsidR="00A90530">
        <w:rPr>
          <w:sz w:val="22"/>
          <w:szCs w:val="22"/>
          <w:lang w:val="el-GR"/>
        </w:rPr>
        <w:t xml:space="preserve">βασικά </w:t>
      </w:r>
      <w:r w:rsidR="00034EB3" w:rsidRPr="00034EB3">
        <w:rPr>
          <w:sz w:val="22"/>
          <w:szCs w:val="22"/>
          <w:lang w:val="el-GR"/>
        </w:rPr>
        <w:t>επιτ</w:t>
      </w:r>
      <w:r w:rsidR="005D01FE">
        <w:rPr>
          <w:sz w:val="22"/>
          <w:szCs w:val="22"/>
          <w:lang w:val="el-GR"/>
        </w:rPr>
        <w:t>όκια</w:t>
      </w:r>
      <w:r w:rsidR="00A90530">
        <w:rPr>
          <w:sz w:val="22"/>
          <w:szCs w:val="22"/>
          <w:lang w:val="el-GR"/>
        </w:rPr>
        <w:t xml:space="preserve"> και την επιβράδυνση του ρυθμού οικονομικής ανάπτυξης</w:t>
      </w:r>
      <w:r w:rsidR="00034EB3">
        <w:rPr>
          <w:sz w:val="22"/>
          <w:szCs w:val="22"/>
          <w:lang w:val="el-GR"/>
        </w:rPr>
        <w:t>,</w:t>
      </w:r>
      <w:r w:rsidR="00034EB3" w:rsidRPr="00034EB3">
        <w:rPr>
          <w:sz w:val="22"/>
          <w:szCs w:val="22"/>
          <w:lang w:val="el-GR"/>
        </w:rPr>
        <w:t xml:space="preserve"> </w:t>
      </w:r>
      <w:r w:rsidR="00034EB3">
        <w:rPr>
          <w:sz w:val="22"/>
          <w:szCs w:val="22"/>
          <w:lang w:val="el-GR"/>
        </w:rPr>
        <w:t>δοκιμάζ</w:t>
      </w:r>
      <w:r w:rsidR="00A904A0">
        <w:rPr>
          <w:sz w:val="22"/>
          <w:szCs w:val="22"/>
          <w:lang w:val="el-GR"/>
        </w:rPr>
        <w:t>ει</w:t>
      </w:r>
      <w:r w:rsidR="00034EB3">
        <w:rPr>
          <w:sz w:val="22"/>
          <w:szCs w:val="22"/>
          <w:lang w:val="el-GR"/>
        </w:rPr>
        <w:t xml:space="preserve"> την ανθεκτικότητα των νοικοκυριών και επιχειρ</w:t>
      </w:r>
      <w:r w:rsidR="005D01FE">
        <w:rPr>
          <w:sz w:val="22"/>
          <w:szCs w:val="22"/>
          <w:lang w:val="el-GR"/>
        </w:rPr>
        <w:t>ήσεων</w:t>
      </w:r>
      <w:r>
        <w:rPr>
          <w:sz w:val="22"/>
          <w:szCs w:val="22"/>
          <w:lang w:val="el-GR"/>
        </w:rPr>
        <w:t xml:space="preserve"> και </w:t>
      </w:r>
      <w:r w:rsidR="00B168B9">
        <w:rPr>
          <w:sz w:val="22"/>
          <w:szCs w:val="22"/>
          <w:lang w:val="el-GR"/>
        </w:rPr>
        <w:t>ενδέχεται να συμβάλ</w:t>
      </w:r>
      <w:r w:rsidR="00A904A0">
        <w:rPr>
          <w:sz w:val="22"/>
          <w:szCs w:val="22"/>
          <w:lang w:val="el-GR"/>
        </w:rPr>
        <w:t>ει</w:t>
      </w:r>
      <w:r w:rsidR="00B168B9">
        <w:rPr>
          <w:sz w:val="22"/>
          <w:szCs w:val="22"/>
          <w:lang w:val="el-GR"/>
        </w:rPr>
        <w:t xml:space="preserve"> στη δημιουργία νέων </w:t>
      </w:r>
      <w:r w:rsidR="00E42D97">
        <w:rPr>
          <w:sz w:val="22"/>
          <w:szCs w:val="22"/>
          <w:lang w:val="el-GR"/>
        </w:rPr>
        <w:t>μη εξυπηρετούμενων δανείων (</w:t>
      </w:r>
      <w:r w:rsidR="00B168B9">
        <w:rPr>
          <w:sz w:val="22"/>
          <w:szCs w:val="22"/>
          <w:lang w:val="el-GR"/>
        </w:rPr>
        <w:t>ΜΕΔ</w:t>
      </w:r>
      <w:r w:rsidR="00E42D97">
        <w:rPr>
          <w:sz w:val="22"/>
          <w:szCs w:val="22"/>
          <w:lang w:val="el-GR"/>
        </w:rPr>
        <w:t>)</w:t>
      </w:r>
      <w:r w:rsidR="00B168B9">
        <w:rPr>
          <w:sz w:val="22"/>
          <w:szCs w:val="22"/>
          <w:lang w:val="el-GR"/>
        </w:rPr>
        <w:t xml:space="preserve">. </w:t>
      </w:r>
      <w:r w:rsidR="00D97269">
        <w:rPr>
          <w:sz w:val="22"/>
          <w:szCs w:val="22"/>
          <w:lang w:val="el-GR"/>
        </w:rPr>
        <w:t xml:space="preserve">Ταυτόχρονα, </w:t>
      </w:r>
      <w:r w:rsidR="00E07E7A">
        <w:rPr>
          <w:sz w:val="22"/>
          <w:szCs w:val="22"/>
          <w:lang w:val="el-GR"/>
        </w:rPr>
        <w:t>τ</w:t>
      </w:r>
      <w:r w:rsidR="005D01FE">
        <w:rPr>
          <w:sz w:val="22"/>
          <w:szCs w:val="22"/>
          <w:lang w:val="el-GR"/>
        </w:rPr>
        <w:t xml:space="preserve">α υψηλά </w:t>
      </w:r>
      <w:r w:rsidR="005D01FE" w:rsidRPr="002B01D2">
        <w:rPr>
          <w:sz w:val="22"/>
          <w:szCs w:val="22"/>
          <w:lang w:val="el-GR"/>
        </w:rPr>
        <w:t>επιτ</w:t>
      </w:r>
      <w:r w:rsidR="005D01FE">
        <w:rPr>
          <w:sz w:val="22"/>
          <w:szCs w:val="22"/>
          <w:lang w:val="el-GR"/>
        </w:rPr>
        <w:t xml:space="preserve">όκια </w:t>
      </w:r>
      <w:r w:rsidR="005D01FE" w:rsidRPr="002B01D2">
        <w:rPr>
          <w:sz w:val="22"/>
          <w:szCs w:val="22"/>
          <w:lang w:val="el-GR"/>
        </w:rPr>
        <w:t xml:space="preserve">και η μεταβλητότητα στις αγορές εγκυμονούν κινδύνους </w:t>
      </w:r>
      <w:r w:rsidR="00D97269">
        <w:rPr>
          <w:sz w:val="22"/>
          <w:szCs w:val="22"/>
          <w:lang w:val="el-GR"/>
        </w:rPr>
        <w:t xml:space="preserve">για τις χρηματοπιστωτικές επιχειρήσεις </w:t>
      </w:r>
      <w:r w:rsidR="005D01FE" w:rsidRPr="002B01D2">
        <w:rPr>
          <w:sz w:val="22"/>
          <w:szCs w:val="22"/>
          <w:lang w:val="el-GR"/>
        </w:rPr>
        <w:t xml:space="preserve">εκτός τραπεζικού </w:t>
      </w:r>
      <w:r w:rsidR="00A90530">
        <w:rPr>
          <w:sz w:val="22"/>
          <w:szCs w:val="22"/>
          <w:lang w:val="el-GR"/>
        </w:rPr>
        <w:t>τομέα</w:t>
      </w:r>
      <w:r w:rsidR="00A90530" w:rsidRPr="002B01D2">
        <w:rPr>
          <w:sz w:val="22"/>
          <w:szCs w:val="22"/>
          <w:lang w:val="el-GR"/>
        </w:rPr>
        <w:t xml:space="preserve"> </w:t>
      </w:r>
      <w:r w:rsidR="005D01FE" w:rsidRPr="002B01D2">
        <w:rPr>
          <w:sz w:val="22"/>
          <w:szCs w:val="22"/>
          <w:lang w:val="el-GR"/>
        </w:rPr>
        <w:t>(non-</w:t>
      </w:r>
      <w:proofErr w:type="spellStart"/>
      <w:r w:rsidR="005D01FE" w:rsidRPr="002A67DE">
        <w:rPr>
          <w:sz w:val="22"/>
          <w:szCs w:val="22"/>
          <w:lang w:val="el-GR"/>
        </w:rPr>
        <w:t>bank</w:t>
      </w:r>
      <w:proofErr w:type="spellEnd"/>
      <w:r w:rsidR="005D01FE" w:rsidRPr="002A67DE">
        <w:rPr>
          <w:sz w:val="22"/>
          <w:szCs w:val="22"/>
          <w:lang w:val="el-GR"/>
        </w:rPr>
        <w:t xml:space="preserve"> </w:t>
      </w:r>
      <w:proofErr w:type="spellStart"/>
      <w:r w:rsidR="005D01FE" w:rsidRPr="002A67DE">
        <w:rPr>
          <w:sz w:val="22"/>
          <w:szCs w:val="22"/>
          <w:lang w:val="el-GR"/>
        </w:rPr>
        <w:t>financial</w:t>
      </w:r>
      <w:proofErr w:type="spellEnd"/>
      <w:r w:rsidR="005D01FE" w:rsidRPr="002A67DE">
        <w:rPr>
          <w:sz w:val="22"/>
          <w:szCs w:val="22"/>
          <w:lang w:val="el-GR"/>
        </w:rPr>
        <w:t xml:space="preserve"> </w:t>
      </w:r>
      <w:proofErr w:type="spellStart"/>
      <w:r w:rsidR="005D01FE" w:rsidRPr="002A67DE">
        <w:rPr>
          <w:sz w:val="22"/>
          <w:szCs w:val="22"/>
          <w:lang w:val="el-GR"/>
        </w:rPr>
        <w:t>institutions</w:t>
      </w:r>
      <w:proofErr w:type="spellEnd"/>
      <w:r w:rsidR="005D01FE" w:rsidRPr="002A67DE">
        <w:rPr>
          <w:sz w:val="22"/>
          <w:szCs w:val="22"/>
          <w:lang w:val="el-GR"/>
        </w:rPr>
        <w:t>) που δύναται να επηρεάσουν τις τράπεζες δευτερογενώς.</w:t>
      </w:r>
      <w:r w:rsidR="00475AE6">
        <w:rPr>
          <w:sz w:val="22"/>
          <w:szCs w:val="22"/>
          <w:lang w:val="el-GR"/>
        </w:rPr>
        <w:t xml:space="preserve"> </w:t>
      </w:r>
    </w:p>
    <w:p w14:paraId="130F6F96" w14:textId="27660E84" w:rsidR="00B168B9" w:rsidRDefault="00FD51F5" w:rsidP="00E76E37">
      <w:pPr>
        <w:spacing w:before="240"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</w:t>
      </w:r>
      <w:r w:rsidRPr="00FD51F5">
        <w:rPr>
          <w:sz w:val="22"/>
          <w:szCs w:val="22"/>
          <w:lang w:val="el-GR"/>
        </w:rPr>
        <w:t xml:space="preserve">ο </w:t>
      </w:r>
      <w:r w:rsidR="00DB78BB">
        <w:rPr>
          <w:sz w:val="22"/>
          <w:szCs w:val="22"/>
          <w:lang w:val="el-GR"/>
        </w:rPr>
        <w:t>ποσοστό</w:t>
      </w:r>
      <w:r w:rsidR="00DB78BB" w:rsidRPr="00FD51F5">
        <w:rPr>
          <w:sz w:val="22"/>
          <w:szCs w:val="22"/>
          <w:lang w:val="el-GR"/>
        </w:rPr>
        <w:t xml:space="preserve"> </w:t>
      </w:r>
      <w:r w:rsidR="0040332A">
        <w:rPr>
          <w:sz w:val="22"/>
          <w:szCs w:val="22"/>
          <w:lang w:val="el-GR"/>
        </w:rPr>
        <w:t xml:space="preserve">ΜΕΔ των τραπεζών </w:t>
      </w:r>
      <w:r w:rsidR="00F51875">
        <w:rPr>
          <w:sz w:val="22"/>
          <w:szCs w:val="22"/>
          <w:lang w:val="el-GR"/>
        </w:rPr>
        <w:t>στο σύνολο των δανείων</w:t>
      </w:r>
      <w:r w:rsidRPr="00FD51F5">
        <w:rPr>
          <w:sz w:val="22"/>
          <w:szCs w:val="22"/>
          <w:lang w:val="el-GR"/>
        </w:rPr>
        <w:t xml:space="preserve"> </w:t>
      </w:r>
      <w:r w:rsidR="006B619C">
        <w:rPr>
          <w:sz w:val="22"/>
          <w:szCs w:val="22"/>
          <w:lang w:val="el-GR"/>
        </w:rPr>
        <w:t>μειώθηκε</w:t>
      </w:r>
      <w:r w:rsidR="001725EF">
        <w:rPr>
          <w:sz w:val="22"/>
          <w:szCs w:val="22"/>
          <w:lang w:val="el-GR"/>
        </w:rPr>
        <w:t xml:space="preserve"> οριακά</w:t>
      </w:r>
      <w:r w:rsidR="00A249CC">
        <w:rPr>
          <w:sz w:val="22"/>
          <w:szCs w:val="22"/>
          <w:lang w:val="el-GR"/>
        </w:rPr>
        <w:t xml:space="preserve"> (</w:t>
      </w:r>
      <w:r w:rsidR="00A904A0" w:rsidRPr="001725EF">
        <w:rPr>
          <w:sz w:val="22"/>
          <w:szCs w:val="22"/>
          <w:lang w:val="el-GR"/>
        </w:rPr>
        <w:t>Ιούνιο</w:t>
      </w:r>
      <w:r w:rsidR="00A904A0">
        <w:rPr>
          <w:sz w:val="22"/>
          <w:szCs w:val="22"/>
          <w:lang w:val="el-GR"/>
        </w:rPr>
        <w:t>ς</w:t>
      </w:r>
      <w:r w:rsidR="00A904A0" w:rsidRPr="001725EF">
        <w:rPr>
          <w:sz w:val="22"/>
          <w:szCs w:val="22"/>
          <w:lang w:val="el-GR"/>
        </w:rPr>
        <w:t xml:space="preserve"> </w:t>
      </w:r>
      <w:r w:rsidR="00A904A0">
        <w:rPr>
          <w:sz w:val="22"/>
          <w:szCs w:val="22"/>
          <w:lang w:val="el-GR"/>
        </w:rPr>
        <w:t>2</w:t>
      </w:r>
      <w:r w:rsidR="00A904A0" w:rsidRPr="001725EF">
        <w:rPr>
          <w:sz w:val="22"/>
          <w:szCs w:val="22"/>
          <w:lang w:val="el-GR"/>
        </w:rPr>
        <w:t>023</w:t>
      </w:r>
      <w:r w:rsidR="00A904A0" w:rsidRPr="005010F0">
        <w:rPr>
          <w:sz w:val="22"/>
          <w:szCs w:val="22"/>
          <w:lang w:val="el-GR"/>
        </w:rPr>
        <w:t xml:space="preserve">: </w:t>
      </w:r>
      <w:r w:rsidR="00A904A0">
        <w:rPr>
          <w:sz w:val="22"/>
          <w:szCs w:val="22"/>
          <w:lang w:val="el-GR"/>
        </w:rPr>
        <w:t>8</w:t>
      </w:r>
      <w:r w:rsidR="00A904A0" w:rsidRPr="005010F0">
        <w:rPr>
          <w:sz w:val="22"/>
          <w:szCs w:val="22"/>
          <w:lang w:val="el-GR"/>
        </w:rPr>
        <w:t>,</w:t>
      </w:r>
      <w:r w:rsidR="00A904A0">
        <w:rPr>
          <w:sz w:val="22"/>
          <w:szCs w:val="22"/>
          <w:lang w:val="el-GR"/>
        </w:rPr>
        <w:t xml:space="preserve">6%, </w:t>
      </w:r>
      <w:r w:rsidR="001725EF" w:rsidRPr="001725EF">
        <w:rPr>
          <w:sz w:val="22"/>
          <w:szCs w:val="22"/>
          <w:lang w:val="el-GR"/>
        </w:rPr>
        <w:t>Δεκέμβριο</w:t>
      </w:r>
      <w:r w:rsidR="00A904A0">
        <w:rPr>
          <w:sz w:val="22"/>
          <w:szCs w:val="22"/>
          <w:lang w:val="el-GR"/>
        </w:rPr>
        <w:t>ς</w:t>
      </w:r>
      <w:r w:rsidR="001725EF" w:rsidRPr="001725EF">
        <w:rPr>
          <w:sz w:val="22"/>
          <w:szCs w:val="22"/>
          <w:lang w:val="el-GR"/>
        </w:rPr>
        <w:t xml:space="preserve"> 2022</w:t>
      </w:r>
      <w:r w:rsidR="00A904A0">
        <w:rPr>
          <w:sz w:val="22"/>
          <w:szCs w:val="22"/>
          <w:lang w:val="el-GR"/>
        </w:rPr>
        <w:t xml:space="preserve">: </w:t>
      </w:r>
      <w:r w:rsidR="00A904A0" w:rsidRPr="001725EF">
        <w:rPr>
          <w:sz w:val="22"/>
          <w:szCs w:val="22"/>
          <w:lang w:val="el-GR"/>
        </w:rPr>
        <w:t>8,7%</w:t>
      </w:r>
      <w:r w:rsidR="00A249CC">
        <w:rPr>
          <w:sz w:val="22"/>
          <w:szCs w:val="22"/>
          <w:lang w:val="el-GR"/>
        </w:rPr>
        <w:t>)</w:t>
      </w:r>
      <w:r w:rsidR="001725EF">
        <w:rPr>
          <w:sz w:val="22"/>
          <w:szCs w:val="22"/>
          <w:lang w:val="el-GR"/>
        </w:rPr>
        <w:t xml:space="preserve">. </w:t>
      </w:r>
      <w:r w:rsidR="001725EF" w:rsidRPr="001725EF">
        <w:rPr>
          <w:sz w:val="22"/>
          <w:szCs w:val="22"/>
          <w:lang w:val="el-GR"/>
        </w:rPr>
        <w:t xml:space="preserve">Επισημαίνεται ότι και οι τέσσερις σημαντικές τράπεζες έχουν πλέον πετύχει τον επιχειρησιακό στόχο τους για μονοψήφιο ποσοστό ΜΕΔ, με μία εξ αυτών να είναι κάτω από το 5%. </w:t>
      </w:r>
      <w:r w:rsidR="001725EF">
        <w:rPr>
          <w:sz w:val="22"/>
          <w:szCs w:val="22"/>
          <w:lang w:val="el-GR"/>
        </w:rPr>
        <w:t xml:space="preserve">Ωστόσο, </w:t>
      </w:r>
      <w:r w:rsidR="00B168B9" w:rsidRPr="00FD51F5">
        <w:rPr>
          <w:sz w:val="22"/>
          <w:szCs w:val="22"/>
          <w:lang w:val="el-GR"/>
        </w:rPr>
        <w:t>θα πρέπει να συνεχιστούν</w:t>
      </w:r>
      <w:r w:rsidR="00B168B9">
        <w:rPr>
          <w:sz w:val="22"/>
          <w:szCs w:val="22"/>
          <w:lang w:val="el-GR"/>
        </w:rPr>
        <w:t xml:space="preserve"> </w:t>
      </w:r>
      <w:r w:rsidR="001725EF">
        <w:rPr>
          <w:sz w:val="22"/>
          <w:szCs w:val="22"/>
          <w:lang w:val="el-GR"/>
        </w:rPr>
        <w:t>ο</w:t>
      </w:r>
      <w:r w:rsidR="00D143D1" w:rsidRPr="00D143D1">
        <w:rPr>
          <w:sz w:val="22"/>
          <w:szCs w:val="22"/>
          <w:lang w:val="el-GR"/>
        </w:rPr>
        <w:t xml:space="preserve">ι </w:t>
      </w:r>
      <w:r w:rsidR="00E566B5">
        <w:rPr>
          <w:sz w:val="22"/>
          <w:szCs w:val="22"/>
          <w:lang w:val="el-GR"/>
        </w:rPr>
        <w:t>ε</w:t>
      </w:r>
      <w:r w:rsidR="00E566B5" w:rsidRPr="00104C54">
        <w:rPr>
          <w:sz w:val="22"/>
          <w:szCs w:val="22"/>
          <w:lang w:val="el-GR"/>
        </w:rPr>
        <w:t>νέργειες που στοχεύουν στην εξυγίανση του εναπομείναντος αποθέματος ΜΕΔ και στην επίτευξη σύγκλισης με τον ευρωπαϊκό μέσο όρο (</w:t>
      </w:r>
      <w:r w:rsidR="00F00AFC">
        <w:rPr>
          <w:sz w:val="22"/>
          <w:szCs w:val="22"/>
          <w:lang w:val="el-GR"/>
        </w:rPr>
        <w:t>Ιούνιος</w:t>
      </w:r>
      <w:r w:rsidR="00F00AFC" w:rsidRPr="00104C54">
        <w:rPr>
          <w:sz w:val="22"/>
          <w:szCs w:val="22"/>
          <w:lang w:val="el-GR"/>
        </w:rPr>
        <w:t xml:space="preserve"> </w:t>
      </w:r>
      <w:r w:rsidR="00E566B5" w:rsidRPr="00104C54">
        <w:rPr>
          <w:sz w:val="22"/>
          <w:szCs w:val="22"/>
          <w:lang w:val="el-GR"/>
        </w:rPr>
        <w:t>2023: 1,8%)</w:t>
      </w:r>
      <w:r w:rsidR="00B168B9">
        <w:rPr>
          <w:sz w:val="22"/>
          <w:szCs w:val="22"/>
          <w:lang w:val="el-GR"/>
        </w:rPr>
        <w:t>.</w:t>
      </w:r>
    </w:p>
    <w:p w14:paraId="5238791A" w14:textId="2158AE51" w:rsidR="00F24C15" w:rsidRDefault="00F24C15" w:rsidP="00E76E37">
      <w:pPr>
        <w:spacing w:before="240"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Η οργανική κερδοφορία των τραπεζών διαμορφώθηκε σε υψηλό επ</w:t>
      </w:r>
      <w:r w:rsidR="0050556B">
        <w:rPr>
          <w:sz w:val="22"/>
          <w:szCs w:val="22"/>
          <w:lang w:val="el-GR"/>
        </w:rPr>
        <w:t xml:space="preserve">ίπεδο. </w:t>
      </w:r>
      <w:r>
        <w:rPr>
          <w:sz w:val="22"/>
          <w:szCs w:val="22"/>
          <w:lang w:val="el-GR"/>
        </w:rPr>
        <w:t>Βραχυπρόθεσμα, η</w:t>
      </w:r>
      <w:r w:rsidRPr="00F24C15">
        <w:rPr>
          <w:sz w:val="22"/>
          <w:szCs w:val="22"/>
          <w:lang w:val="el-GR"/>
        </w:rPr>
        <w:t xml:space="preserve"> επίδραση από τις αυξήσεις των </w:t>
      </w:r>
      <w:r w:rsidR="00A90530">
        <w:rPr>
          <w:sz w:val="22"/>
          <w:szCs w:val="22"/>
          <w:lang w:val="el-GR"/>
        </w:rPr>
        <w:t xml:space="preserve">βασικών </w:t>
      </w:r>
      <w:r w:rsidRPr="00F24C15">
        <w:rPr>
          <w:sz w:val="22"/>
          <w:szCs w:val="22"/>
          <w:lang w:val="el-GR"/>
        </w:rPr>
        <w:t xml:space="preserve">επιτοκίων στο καθαρό </w:t>
      </w:r>
      <w:proofErr w:type="spellStart"/>
      <w:r w:rsidRPr="00F24C15">
        <w:rPr>
          <w:sz w:val="22"/>
          <w:szCs w:val="22"/>
          <w:lang w:val="el-GR"/>
        </w:rPr>
        <w:t>επιτοκιακό</w:t>
      </w:r>
      <w:proofErr w:type="spellEnd"/>
      <w:r w:rsidRPr="00F24C15">
        <w:rPr>
          <w:sz w:val="22"/>
          <w:szCs w:val="22"/>
          <w:lang w:val="el-GR"/>
        </w:rPr>
        <w:t xml:space="preserve"> αποτέλεσμα των τραπεζών είναι θετική, καθώς η πλειονότητα των δανείων τους έχει συναφθεί με κυμαινόμενο επιτόκιο.</w:t>
      </w:r>
      <w:r>
        <w:rPr>
          <w:sz w:val="22"/>
          <w:szCs w:val="22"/>
          <w:lang w:val="el-GR"/>
        </w:rPr>
        <w:t xml:space="preserve"> </w:t>
      </w:r>
      <w:r w:rsidRPr="004810CF">
        <w:rPr>
          <w:sz w:val="22"/>
          <w:szCs w:val="22"/>
          <w:lang w:val="el-GR"/>
        </w:rPr>
        <w:t xml:space="preserve">Εντούτοις, μεσοπρόθεσμα </w:t>
      </w:r>
      <w:r>
        <w:rPr>
          <w:sz w:val="22"/>
          <w:szCs w:val="22"/>
          <w:lang w:val="el-GR"/>
        </w:rPr>
        <w:t>η επίδραση αυτή ενδέχεται να μετριαστεί από την αύξηση του</w:t>
      </w:r>
      <w:r w:rsidRPr="004810CF">
        <w:rPr>
          <w:sz w:val="22"/>
          <w:szCs w:val="22"/>
          <w:lang w:val="el-GR"/>
        </w:rPr>
        <w:t xml:space="preserve"> κόστο</w:t>
      </w:r>
      <w:r>
        <w:rPr>
          <w:sz w:val="22"/>
          <w:szCs w:val="22"/>
          <w:lang w:val="el-GR"/>
        </w:rPr>
        <w:t>υ</w:t>
      </w:r>
      <w:r w:rsidRPr="004810CF">
        <w:rPr>
          <w:sz w:val="22"/>
          <w:szCs w:val="22"/>
          <w:lang w:val="el-GR"/>
        </w:rPr>
        <w:t>ς χρηματοδότησης των τραπεζών</w:t>
      </w:r>
      <w:r w:rsidRPr="00CE2BD2">
        <w:rPr>
          <w:sz w:val="22"/>
          <w:szCs w:val="22"/>
          <w:lang w:val="el-GR"/>
        </w:rPr>
        <w:t>,</w:t>
      </w:r>
      <w:r w:rsidRPr="004810CF">
        <w:rPr>
          <w:sz w:val="22"/>
          <w:szCs w:val="22"/>
          <w:lang w:val="el-GR"/>
        </w:rPr>
        <w:t xml:space="preserve"> λόγω αφενός της σταδιακής αύξησης των επιτοκίων καταθέσεων και αφετέρου του αυξημένου κόστους έκδοσης ομολόγων για την </w:t>
      </w:r>
      <w:r>
        <w:rPr>
          <w:sz w:val="22"/>
          <w:szCs w:val="22"/>
          <w:lang w:val="el-GR"/>
        </w:rPr>
        <w:t xml:space="preserve">άντληση ρευστότητας και την </w:t>
      </w:r>
      <w:r w:rsidRPr="004810CF">
        <w:rPr>
          <w:sz w:val="22"/>
          <w:szCs w:val="22"/>
          <w:lang w:val="el-GR"/>
        </w:rPr>
        <w:t>κάλυψη εποπτικών απαιτήσεων</w:t>
      </w:r>
      <w:r>
        <w:rPr>
          <w:sz w:val="22"/>
          <w:szCs w:val="22"/>
          <w:lang w:val="el-GR"/>
        </w:rPr>
        <w:t>.</w:t>
      </w:r>
      <w:r w:rsidR="00E07E7A" w:rsidRPr="00E07E7A">
        <w:rPr>
          <w:lang w:val="el-GR"/>
        </w:rPr>
        <w:t xml:space="preserve"> </w:t>
      </w:r>
      <w:r w:rsidR="00E07E7A" w:rsidRPr="00E07E7A">
        <w:rPr>
          <w:sz w:val="22"/>
          <w:szCs w:val="22"/>
          <w:lang w:val="el-GR"/>
        </w:rPr>
        <w:t xml:space="preserve">Ταυτόχρονα, </w:t>
      </w:r>
      <w:r w:rsidR="00A904A0" w:rsidRPr="00E07E7A">
        <w:rPr>
          <w:sz w:val="22"/>
          <w:szCs w:val="22"/>
          <w:lang w:val="el-GR"/>
        </w:rPr>
        <w:t>σε συνθήκες επιβράδυνσης του ρυθμού οικονομικής ανάπτυξης</w:t>
      </w:r>
      <w:r w:rsidR="00A904A0">
        <w:rPr>
          <w:sz w:val="22"/>
          <w:szCs w:val="22"/>
          <w:lang w:val="el-GR"/>
        </w:rPr>
        <w:t>,</w:t>
      </w:r>
      <w:r w:rsidR="00A904A0" w:rsidRPr="00E07E7A">
        <w:rPr>
          <w:sz w:val="22"/>
          <w:szCs w:val="22"/>
          <w:lang w:val="el-GR"/>
        </w:rPr>
        <w:t xml:space="preserve"> </w:t>
      </w:r>
      <w:r w:rsidR="00E07E7A" w:rsidRPr="00E07E7A">
        <w:rPr>
          <w:sz w:val="22"/>
          <w:szCs w:val="22"/>
          <w:lang w:val="el-GR"/>
        </w:rPr>
        <w:t xml:space="preserve">η προσπάθεια </w:t>
      </w:r>
      <w:r w:rsidR="00A904A0" w:rsidRPr="00E07E7A">
        <w:rPr>
          <w:sz w:val="22"/>
          <w:szCs w:val="22"/>
          <w:lang w:val="el-GR"/>
        </w:rPr>
        <w:t xml:space="preserve">των τραπεζών </w:t>
      </w:r>
      <w:r w:rsidR="00A904A0">
        <w:rPr>
          <w:sz w:val="22"/>
          <w:szCs w:val="22"/>
          <w:lang w:val="el-GR"/>
        </w:rPr>
        <w:t xml:space="preserve">για </w:t>
      </w:r>
      <w:r w:rsidR="00E07E7A" w:rsidRPr="00E07E7A">
        <w:rPr>
          <w:sz w:val="22"/>
          <w:szCs w:val="22"/>
          <w:lang w:val="el-GR"/>
        </w:rPr>
        <w:t>υγι</w:t>
      </w:r>
      <w:r w:rsidR="00A904A0">
        <w:rPr>
          <w:sz w:val="22"/>
          <w:szCs w:val="22"/>
          <w:lang w:val="el-GR"/>
        </w:rPr>
        <w:t>ή</w:t>
      </w:r>
      <w:r w:rsidR="00E07E7A" w:rsidRPr="00E07E7A">
        <w:rPr>
          <w:sz w:val="22"/>
          <w:szCs w:val="22"/>
          <w:lang w:val="el-GR"/>
        </w:rPr>
        <w:t xml:space="preserve"> πιστωτική επέκταση </w:t>
      </w:r>
      <w:r w:rsidR="00A904A0">
        <w:rPr>
          <w:sz w:val="22"/>
          <w:szCs w:val="22"/>
          <w:lang w:val="el-GR"/>
        </w:rPr>
        <w:t xml:space="preserve">και </w:t>
      </w:r>
      <w:r w:rsidR="00A904A0" w:rsidRPr="00E07E7A">
        <w:rPr>
          <w:sz w:val="22"/>
          <w:szCs w:val="22"/>
          <w:lang w:val="el-GR"/>
        </w:rPr>
        <w:t xml:space="preserve">διατήρηση της υφιστάμενης κερδοφορίας </w:t>
      </w:r>
      <w:r w:rsidR="00E07E7A" w:rsidRPr="00E07E7A">
        <w:rPr>
          <w:sz w:val="22"/>
          <w:szCs w:val="22"/>
          <w:lang w:val="el-GR"/>
        </w:rPr>
        <w:t>καθ</w:t>
      </w:r>
      <w:r w:rsidR="00A904A0">
        <w:rPr>
          <w:sz w:val="22"/>
          <w:szCs w:val="22"/>
          <w:lang w:val="el-GR"/>
        </w:rPr>
        <w:t>ί</w:t>
      </w:r>
      <w:r w:rsidR="00E07E7A" w:rsidRPr="00E07E7A">
        <w:rPr>
          <w:sz w:val="22"/>
          <w:szCs w:val="22"/>
          <w:lang w:val="el-GR"/>
        </w:rPr>
        <w:t>στ</w:t>
      </w:r>
      <w:r w:rsidR="00A904A0">
        <w:rPr>
          <w:sz w:val="22"/>
          <w:szCs w:val="22"/>
          <w:lang w:val="el-GR"/>
        </w:rPr>
        <w:t>αται</w:t>
      </w:r>
      <w:r w:rsidR="00E07E7A" w:rsidRPr="00E07E7A">
        <w:rPr>
          <w:sz w:val="22"/>
          <w:szCs w:val="22"/>
          <w:lang w:val="el-GR"/>
        </w:rPr>
        <w:t xml:space="preserve"> δυσχερέστερη.</w:t>
      </w:r>
    </w:p>
    <w:p w14:paraId="5B8AA958" w14:textId="66E66665" w:rsidR="00493908" w:rsidRDefault="000A678C" w:rsidP="00E76E37">
      <w:pPr>
        <w:spacing w:before="240" w:line="360" w:lineRule="auto"/>
        <w:jc w:val="both"/>
        <w:rPr>
          <w:sz w:val="22"/>
          <w:szCs w:val="22"/>
          <w:lang w:val="el-GR"/>
        </w:rPr>
      </w:pPr>
      <w:r w:rsidRPr="000A678C">
        <w:rPr>
          <w:sz w:val="22"/>
          <w:szCs w:val="22"/>
          <w:lang w:val="el-GR"/>
        </w:rPr>
        <w:lastRenderedPageBreak/>
        <w:t xml:space="preserve">Η κεφαλαιακή επάρκεια των τραπεζικών ομίλων </w:t>
      </w:r>
      <w:r w:rsidR="00493908" w:rsidRPr="00493908">
        <w:rPr>
          <w:sz w:val="22"/>
          <w:szCs w:val="22"/>
          <w:lang w:val="el-GR"/>
        </w:rPr>
        <w:t>υποχώρησε ελαφρά και η ποιότητα των εποπτικών ιδίων κεφαλαίων τους παραμένει χαμηλή</w:t>
      </w:r>
      <w:r w:rsidR="00493908">
        <w:rPr>
          <w:sz w:val="22"/>
          <w:szCs w:val="22"/>
          <w:lang w:val="el-GR"/>
        </w:rPr>
        <w:t>. Ωστόσο, η</w:t>
      </w:r>
      <w:r w:rsidR="0050556B" w:rsidRPr="0050556B">
        <w:rPr>
          <w:sz w:val="22"/>
          <w:szCs w:val="22"/>
          <w:lang w:val="el-GR"/>
        </w:rPr>
        <w:t xml:space="preserve"> αυξημένη κερδοφορία διαμορφώνει ευνοϊκές συνθήκες για τη</w:t>
      </w:r>
      <w:r w:rsidR="00A90530">
        <w:rPr>
          <w:sz w:val="22"/>
          <w:szCs w:val="22"/>
          <w:lang w:val="el-GR"/>
        </w:rPr>
        <w:t>ν εσωτερική</w:t>
      </w:r>
      <w:r w:rsidR="0050556B" w:rsidRPr="0050556B">
        <w:rPr>
          <w:sz w:val="22"/>
          <w:szCs w:val="22"/>
          <w:lang w:val="el-GR"/>
        </w:rPr>
        <w:t xml:space="preserve"> δημιουργία κεφαλαίου.</w:t>
      </w:r>
      <w:r w:rsidR="00493908">
        <w:rPr>
          <w:sz w:val="22"/>
          <w:szCs w:val="22"/>
          <w:lang w:val="el-GR"/>
        </w:rPr>
        <w:t xml:space="preserve"> </w:t>
      </w:r>
      <w:r w:rsidR="00DA68BC">
        <w:rPr>
          <w:sz w:val="22"/>
          <w:szCs w:val="22"/>
          <w:lang w:val="el-GR"/>
        </w:rPr>
        <w:t>Συγκεκριμένα</w:t>
      </w:r>
      <w:r w:rsidR="00A904A0">
        <w:rPr>
          <w:sz w:val="22"/>
          <w:szCs w:val="22"/>
          <w:lang w:val="el-GR"/>
        </w:rPr>
        <w:t>,</w:t>
      </w:r>
      <w:r w:rsidR="00DA68BC">
        <w:rPr>
          <w:sz w:val="22"/>
          <w:szCs w:val="22"/>
          <w:lang w:val="el-GR"/>
        </w:rPr>
        <w:t xml:space="preserve"> ο</w:t>
      </w:r>
      <w:r w:rsidR="00493908" w:rsidRPr="00493908">
        <w:rPr>
          <w:sz w:val="22"/>
          <w:szCs w:val="22"/>
          <w:lang w:val="el-GR"/>
        </w:rPr>
        <w:t xml:space="preserve"> Δείκτης Κεφαλαίου Κοινών Μετοχών της Κατηγορίας 1 (Common </w:t>
      </w:r>
      <w:proofErr w:type="spellStart"/>
      <w:r w:rsidR="00493908" w:rsidRPr="00493908">
        <w:rPr>
          <w:sz w:val="22"/>
          <w:szCs w:val="22"/>
          <w:lang w:val="el-GR"/>
        </w:rPr>
        <w:t>Equity</w:t>
      </w:r>
      <w:proofErr w:type="spellEnd"/>
      <w:r w:rsidR="00493908" w:rsidRPr="00493908">
        <w:rPr>
          <w:sz w:val="22"/>
          <w:szCs w:val="22"/>
          <w:lang w:val="el-GR"/>
        </w:rPr>
        <w:t xml:space="preserve"> </w:t>
      </w:r>
      <w:proofErr w:type="spellStart"/>
      <w:r w:rsidR="00493908" w:rsidRPr="00493908">
        <w:rPr>
          <w:sz w:val="22"/>
          <w:szCs w:val="22"/>
          <w:lang w:val="el-GR"/>
        </w:rPr>
        <w:t>Tier</w:t>
      </w:r>
      <w:proofErr w:type="spellEnd"/>
      <w:r w:rsidR="00493908" w:rsidRPr="00493908">
        <w:rPr>
          <w:sz w:val="22"/>
          <w:szCs w:val="22"/>
          <w:lang w:val="el-GR"/>
        </w:rPr>
        <w:t xml:space="preserve"> 1 </w:t>
      </w:r>
      <w:proofErr w:type="spellStart"/>
      <w:r w:rsidR="00493908" w:rsidRPr="00493908">
        <w:rPr>
          <w:sz w:val="22"/>
          <w:szCs w:val="22"/>
          <w:lang w:val="el-GR"/>
        </w:rPr>
        <w:t>ratio</w:t>
      </w:r>
      <w:proofErr w:type="spellEnd"/>
      <w:r w:rsidR="00493908" w:rsidRPr="00493908">
        <w:rPr>
          <w:sz w:val="22"/>
          <w:szCs w:val="22"/>
          <w:lang w:val="el-GR"/>
        </w:rPr>
        <w:t xml:space="preserve"> – CET1 </w:t>
      </w:r>
      <w:proofErr w:type="spellStart"/>
      <w:r w:rsidR="00493908" w:rsidRPr="00493908">
        <w:rPr>
          <w:sz w:val="22"/>
          <w:szCs w:val="22"/>
          <w:lang w:val="el-GR"/>
        </w:rPr>
        <w:t>ratio</w:t>
      </w:r>
      <w:proofErr w:type="spellEnd"/>
      <w:r w:rsidR="00493908" w:rsidRPr="00493908">
        <w:rPr>
          <w:sz w:val="22"/>
          <w:szCs w:val="22"/>
          <w:lang w:val="el-GR"/>
        </w:rPr>
        <w:t>) σε ενοποιημένη βάση μειώθηκε σε 14,2%</w:t>
      </w:r>
      <w:r w:rsidR="00A551A2">
        <w:rPr>
          <w:sz w:val="22"/>
          <w:szCs w:val="22"/>
          <w:lang w:val="el-GR"/>
        </w:rPr>
        <w:t xml:space="preserve"> τον Ιούνιο του 2023</w:t>
      </w:r>
      <w:r w:rsidR="00493908" w:rsidRPr="00493908">
        <w:rPr>
          <w:sz w:val="22"/>
          <w:szCs w:val="22"/>
          <w:lang w:val="el-GR"/>
        </w:rPr>
        <w:t xml:space="preserve">, από 14,5% το Δεκέμβριο του 2022, κυρίως λόγω της αρνητικής επίδρασης από την εφαρμογή των μεταβατικών διατάξεων του </w:t>
      </w:r>
      <w:r w:rsidR="006B683F">
        <w:rPr>
          <w:sz w:val="22"/>
          <w:szCs w:val="22"/>
          <w:lang w:val="el-GR"/>
        </w:rPr>
        <w:t xml:space="preserve">Διεθνούς Προτύπου Χρηματοοικονομικής Αναφοράς 9 </w:t>
      </w:r>
      <w:r w:rsidR="006B683F" w:rsidRPr="00E24F29">
        <w:rPr>
          <w:sz w:val="22"/>
          <w:szCs w:val="22"/>
          <w:lang w:val="el-GR"/>
        </w:rPr>
        <w:t>(</w:t>
      </w:r>
      <w:r w:rsidR="00493908" w:rsidRPr="00493908">
        <w:rPr>
          <w:sz w:val="22"/>
          <w:szCs w:val="22"/>
          <w:lang w:val="el-GR"/>
        </w:rPr>
        <w:t>ΔΠΧΑ 9</w:t>
      </w:r>
      <w:r w:rsidR="006B683F" w:rsidRPr="006B683F">
        <w:rPr>
          <w:sz w:val="22"/>
          <w:szCs w:val="22"/>
          <w:lang w:val="el-GR"/>
        </w:rPr>
        <w:t>)</w:t>
      </w:r>
      <w:r w:rsidR="00493908" w:rsidRPr="00493908">
        <w:rPr>
          <w:sz w:val="22"/>
          <w:szCs w:val="22"/>
          <w:lang w:val="el-GR"/>
        </w:rPr>
        <w:t xml:space="preserve"> και της αύξησης του σταθμισμένου ως προς τον κίνδυνο ενεργητικού.</w:t>
      </w:r>
      <w:r w:rsidR="00493908" w:rsidRPr="00493908">
        <w:rPr>
          <w:lang w:val="el-GR"/>
        </w:rPr>
        <w:t xml:space="preserve"> </w:t>
      </w:r>
      <w:r w:rsidR="00493908" w:rsidRPr="00493908">
        <w:rPr>
          <w:sz w:val="22"/>
          <w:szCs w:val="22"/>
          <w:lang w:val="el-GR"/>
        </w:rPr>
        <w:t>Αντίστοιχα, ο Συνολικός Δείκτης Κεφαλαίου (</w:t>
      </w:r>
      <w:proofErr w:type="spellStart"/>
      <w:r w:rsidR="00493908" w:rsidRPr="00493908">
        <w:rPr>
          <w:sz w:val="22"/>
          <w:szCs w:val="22"/>
          <w:lang w:val="el-GR"/>
        </w:rPr>
        <w:t>Total</w:t>
      </w:r>
      <w:proofErr w:type="spellEnd"/>
      <w:r w:rsidR="00493908" w:rsidRPr="00493908">
        <w:rPr>
          <w:sz w:val="22"/>
          <w:szCs w:val="22"/>
          <w:lang w:val="el-GR"/>
        </w:rPr>
        <w:t xml:space="preserve"> Capital </w:t>
      </w:r>
      <w:proofErr w:type="spellStart"/>
      <w:r w:rsidR="00493908" w:rsidRPr="00493908">
        <w:rPr>
          <w:sz w:val="22"/>
          <w:szCs w:val="22"/>
          <w:lang w:val="el-GR"/>
        </w:rPr>
        <w:t>Ratio</w:t>
      </w:r>
      <w:proofErr w:type="spellEnd"/>
      <w:r w:rsidR="00493908" w:rsidRPr="00493908">
        <w:rPr>
          <w:sz w:val="22"/>
          <w:szCs w:val="22"/>
          <w:lang w:val="el-GR"/>
        </w:rPr>
        <w:t xml:space="preserve"> – TCR) υποχώρησε σε 17,3% από 17,5%.</w:t>
      </w:r>
    </w:p>
    <w:p w14:paraId="718F7912" w14:textId="139467A0" w:rsidR="00EF6E2E" w:rsidRDefault="00157B71" w:rsidP="00EF6E2E">
      <w:pPr>
        <w:spacing w:before="240" w:line="360" w:lineRule="auto"/>
        <w:jc w:val="both"/>
        <w:rPr>
          <w:sz w:val="22"/>
          <w:szCs w:val="22"/>
          <w:lang w:val="el-GR"/>
        </w:rPr>
      </w:pPr>
      <w:r w:rsidRPr="00157B71">
        <w:rPr>
          <w:sz w:val="22"/>
          <w:szCs w:val="22"/>
          <w:lang w:val="el-GR"/>
        </w:rPr>
        <w:t>Η υψηλή αβεβαιότητα και οι κίνδυνοι που επικρατούν στο διεθνές χρηματοπιστωτικό περιβάλλον δεν αφήνουν περιθώρια εφησυχασμού</w:t>
      </w:r>
      <w:r>
        <w:rPr>
          <w:sz w:val="22"/>
          <w:szCs w:val="22"/>
          <w:lang w:val="el-GR"/>
        </w:rPr>
        <w:t xml:space="preserve">. </w:t>
      </w:r>
      <w:r w:rsidRPr="00157B71">
        <w:rPr>
          <w:sz w:val="22"/>
          <w:szCs w:val="22"/>
          <w:lang w:val="el-GR"/>
        </w:rPr>
        <w:t>Η αναβάθμιση του αξιόχρεου του Ελληνικού Δημοσίου στην επενδυτική βαθμίδα</w:t>
      </w:r>
      <w:r w:rsidR="00A904A0">
        <w:rPr>
          <w:sz w:val="22"/>
          <w:szCs w:val="22"/>
          <w:lang w:val="el-GR"/>
        </w:rPr>
        <w:t>,</w:t>
      </w:r>
      <w:r w:rsidR="008B5114" w:rsidRPr="008B5114">
        <w:rPr>
          <w:sz w:val="22"/>
          <w:szCs w:val="22"/>
          <w:lang w:val="el-GR"/>
        </w:rPr>
        <w:t xml:space="preserve"> </w:t>
      </w:r>
      <w:r w:rsidR="008B5114">
        <w:rPr>
          <w:sz w:val="22"/>
          <w:szCs w:val="22"/>
          <w:lang w:val="el-GR"/>
        </w:rPr>
        <w:t xml:space="preserve">σε συνδυασμό με τις </w:t>
      </w:r>
      <w:r w:rsidRPr="00157B71">
        <w:rPr>
          <w:sz w:val="22"/>
          <w:szCs w:val="22"/>
          <w:lang w:val="el-GR"/>
        </w:rPr>
        <w:t xml:space="preserve">χαμηλές χρηματοδοτικές </w:t>
      </w:r>
      <w:r w:rsidR="008B5114">
        <w:rPr>
          <w:sz w:val="22"/>
          <w:szCs w:val="22"/>
          <w:lang w:val="el-GR"/>
        </w:rPr>
        <w:t xml:space="preserve">του </w:t>
      </w:r>
      <w:r w:rsidRPr="00157B71">
        <w:rPr>
          <w:sz w:val="22"/>
          <w:szCs w:val="22"/>
          <w:lang w:val="el-GR"/>
        </w:rPr>
        <w:t xml:space="preserve">ανάγκες </w:t>
      </w:r>
      <w:r w:rsidR="00A90530">
        <w:rPr>
          <w:sz w:val="22"/>
          <w:szCs w:val="22"/>
          <w:lang w:val="el-GR"/>
        </w:rPr>
        <w:t xml:space="preserve">για </w:t>
      </w:r>
      <w:r w:rsidRPr="00157B71">
        <w:rPr>
          <w:sz w:val="22"/>
          <w:szCs w:val="22"/>
          <w:lang w:val="el-GR"/>
        </w:rPr>
        <w:t>τη</w:t>
      </w:r>
      <w:r w:rsidR="00A90530">
        <w:rPr>
          <w:sz w:val="22"/>
          <w:szCs w:val="22"/>
          <w:lang w:val="el-GR"/>
        </w:rPr>
        <w:t>ν</w:t>
      </w:r>
      <w:r w:rsidRPr="00157B71">
        <w:rPr>
          <w:sz w:val="22"/>
          <w:szCs w:val="22"/>
          <w:lang w:val="el-GR"/>
        </w:rPr>
        <w:t xml:space="preserve"> επόμενη διετία</w:t>
      </w:r>
      <w:r w:rsidR="00277734">
        <w:rPr>
          <w:sz w:val="22"/>
          <w:szCs w:val="22"/>
          <w:lang w:val="el-GR"/>
        </w:rPr>
        <w:t>,</w:t>
      </w:r>
      <w:r w:rsidRPr="00157B71">
        <w:rPr>
          <w:sz w:val="22"/>
          <w:szCs w:val="22"/>
          <w:lang w:val="el-GR"/>
        </w:rPr>
        <w:t xml:space="preserve"> </w:t>
      </w:r>
      <w:r w:rsidR="00277734">
        <w:rPr>
          <w:sz w:val="22"/>
          <w:szCs w:val="22"/>
          <w:lang w:val="el-GR"/>
        </w:rPr>
        <w:t xml:space="preserve">αλλά και η ισχυροποίηση των μεγεθών του τραπεζικού τομέα, </w:t>
      </w:r>
      <w:r w:rsidRPr="00157B71">
        <w:rPr>
          <w:sz w:val="22"/>
          <w:szCs w:val="22"/>
          <w:lang w:val="el-GR"/>
        </w:rPr>
        <w:t>αμβλύνουν σε μεγάλο βαθμό τους κινδύνους.</w:t>
      </w:r>
      <w:r>
        <w:rPr>
          <w:sz w:val="22"/>
          <w:szCs w:val="22"/>
          <w:lang w:val="el-GR"/>
        </w:rPr>
        <w:t xml:space="preserve"> Ωστόσο, </w:t>
      </w:r>
      <w:r w:rsidR="007D58E3">
        <w:rPr>
          <w:sz w:val="22"/>
          <w:szCs w:val="22"/>
          <w:lang w:val="el-GR"/>
        </w:rPr>
        <w:t>τ</w:t>
      </w:r>
      <w:r w:rsidR="007D58E3" w:rsidRPr="007D58E3">
        <w:rPr>
          <w:sz w:val="22"/>
          <w:szCs w:val="22"/>
          <w:lang w:val="el-GR"/>
        </w:rPr>
        <w:t xml:space="preserve">υχόν απότομη χειροτέρευση των διεθνών χρηματοπιστωτικών συνθηκών μπορεί να </w:t>
      </w:r>
      <w:r w:rsidR="00EC0921">
        <w:rPr>
          <w:sz w:val="22"/>
          <w:szCs w:val="22"/>
          <w:lang w:val="el-GR"/>
        </w:rPr>
        <w:t xml:space="preserve">προκαλέσει αναταράξεις με </w:t>
      </w:r>
      <w:r w:rsidR="007D58E3" w:rsidRPr="007D58E3">
        <w:rPr>
          <w:sz w:val="22"/>
          <w:szCs w:val="22"/>
          <w:lang w:val="el-GR"/>
        </w:rPr>
        <w:t xml:space="preserve">δυσμενείς επιδράσεις τόσο στη χρηματοοικονομική κατάσταση των επιχειρήσεων και των νοικοκυριών </w:t>
      </w:r>
      <w:r w:rsidR="00EC0921">
        <w:rPr>
          <w:sz w:val="22"/>
          <w:szCs w:val="22"/>
          <w:lang w:val="el-GR"/>
        </w:rPr>
        <w:t xml:space="preserve">όσο και στον ελληνικό τραπεζικό τομέα. </w:t>
      </w:r>
      <w:r w:rsidR="007D58E3" w:rsidRPr="007D58E3">
        <w:rPr>
          <w:sz w:val="22"/>
          <w:szCs w:val="22"/>
          <w:lang w:val="el-GR"/>
        </w:rPr>
        <w:t xml:space="preserve">Συνεπώς, αναδεικνύεται η σημασία συνέχισης της </w:t>
      </w:r>
      <w:r w:rsidR="00EF6E2E">
        <w:rPr>
          <w:sz w:val="22"/>
          <w:szCs w:val="22"/>
          <w:lang w:val="el-GR"/>
        </w:rPr>
        <w:t xml:space="preserve">πορείας εξυγίανσης και περαιτέρω ενδυνάμωσης των βασικών μεγεθών του χρηματοπιστωτικού </w:t>
      </w:r>
      <w:r w:rsidR="003C3BF3">
        <w:rPr>
          <w:sz w:val="22"/>
          <w:szCs w:val="22"/>
          <w:lang w:val="el-GR"/>
        </w:rPr>
        <w:t>συστήματος</w:t>
      </w:r>
      <w:r w:rsidR="00A904A0">
        <w:rPr>
          <w:sz w:val="22"/>
          <w:szCs w:val="22"/>
          <w:lang w:val="el-GR"/>
        </w:rPr>
        <w:t>,</w:t>
      </w:r>
      <w:r w:rsidR="00EF6E2E">
        <w:rPr>
          <w:sz w:val="22"/>
          <w:szCs w:val="22"/>
          <w:lang w:val="el-GR"/>
        </w:rPr>
        <w:t xml:space="preserve"> σε συνδυασμό με την εφαρμογή κατάλληλων μέτρων </w:t>
      </w:r>
      <w:proofErr w:type="spellStart"/>
      <w:r w:rsidR="00EF6E2E">
        <w:rPr>
          <w:sz w:val="22"/>
          <w:szCs w:val="22"/>
          <w:lang w:val="el-GR"/>
        </w:rPr>
        <w:t>μικρο</w:t>
      </w:r>
      <w:proofErr w:type="spellEnd"/>
      <w:r w:rsidR="00A90530">
        <w:rPr>
          <w:sz w:val="22"/>
          <w:szCs w:val="22"/>
          <w:lang w:val="el-GR"/>
        </w:rPr>
        <w:t>-</w:t>
      </w:r>
      <w:r w:rsidR="00EF6E2E">
        <w:rPr>
          <w:sz w:val="22"/>
          <w:szCs w:val="22"/>
          <w:lang w:val="el-GR"/>
        </w:rPr>
        <w:t xml:space="preserve"> και </w:t>
      </w:r>
      <w:proofErr w:type="spellStart"/>
      <w:r w:rsidR="00EF6E2E">
        <w:rPr>
          <w:sz w:val="22"/>
          <w:szCs w:val="22"/>
          <w:lang w:val="el-GR"/>
        </w:rPr>
        <w:t>μακροπροληπτικής</w:t>
      </w:r>
      <w:proofErr w:type="spellEnd"/>
      <w:r w:rsidR="00EF6E2E">
        <w:rPr>
          <w:sz w:val="22"/>
          <w:szCs w:val="22"/>
          <w:lang w:val="el-GR"/>
        </w:rPr>
        <w:t xml:space="preserve"> εποπτείας για την ενίσχυση και </w:t>
      </w:r>
      <w:r w:rsidR="007F68D7">
        <w:rPr>
          <w:sz w:val="22"/>
          <w:szCs w:val="22"/>
          <w:lang w:val="el-GR"/>
        </w:rPr>
        <w:t xml:space="preserve">διασφάλιση </w:t>
      </w:r>
      <w:r w:rsidR="00EF6E2E">
        <w:rPr>
          <w:sz w:val="22"/>
          <w:szCs w:val="22"/>
          <w:lang w:val="el-GR"/>
        </w:rPr>
        <w:t xml:space="preserve">της χρηματοπιστωτικής </w:t>
      </w:r>
      <w:r w:rsidR="00EF6E2E" w:rsidRPr="007D58E3">
        <w:rPr>
          <w:sz w:val="22"/>
          <w:szCs w:val="22"/>
          <w:lang w:val="el-GR"/>
        </w:rPr>
        <w:t>σταθερότητας.</w:t>
      </w:r>
    </w:p>
    <w:p w14:paraId="28249B28" w14:textId="77777777" w:rsidR="00EF6E2E" w:rsidRDefault="00EF6E2E" w:rsidP="00EF6E2E">
      <w:pPr>
        <w:spacing w:before="240" w:line="360" w:lineRule="auto"/>
        <w:jc w:val="both"/>
        <w:rPr>
          <w:b/>
          <w:sz w:val="22"/>
          <w:szCs w:val="22"/>
          <w:u w:val="single"/>
          <w:lang w:val="el-GR"/>
        </w:rPr>
      </w:pPr>
    </w:p>
    <w:p w14:paraId="1F610B80" w14:textId="77777777" w:rsidR="00F5007A" w:rsidRDefault="000D5526" w:rsidP="00614A99">
      <w:pPr>
        <w:spacing w:before="240" w:line="360" w:lineRule="auto"/>
        <w:jc w:val="both"/>
        <w:rPr>
          <w:b/>
          <w:sz w:val="22"/>
          <w:szCs w:val="22"/>
          <w:u w:val="single"/>
          <w:lang w:val="el-GR"/>
        </w:rPr>
      </w:pPr>
      <w:r>
        <w:rPr>
          <w:b/>
          <w:sz w:val="22"/>
          <w:szCs w:val="22"/>
          <w:u w:val="single"/>
          <w:lang w:val="el-GR"/>
        </w:rPr>
        <w:t>Σχετικ</w:t>
      </w:r>
      <w:r w:rsidR="00276886">
        <w:rPr>
          <w:b/>
          <w:sz w:val="22"/>
          <w:szCs w:val="22"/>
          <w:u w:val="single"/>
          <w:lang w:val="el-GR"/>
        </w:rPr>
        <w:t>ός</w:t>
      </w:r>
      <w:r>
        <w:rPr>
          <w:b/>
          <w:sz w:val="22"/>
          <w:szCs w:val="22"/>
          <w:u w:val="single"/>
          <w:lang w:val="el-GR"/>
        </w:rPr>
        <w:t xml:space="preserve"> σύνδεσμο</w:t>
      </w:r>
      <w:r w:rsidR="00276886">
        <w:rPr>
          <w:b/>
          <w:sz w:val="22"/>
          <w:szCs w:val="22"/>
          <w:u w:val="single"/>
          <w:lang w:val="el-GR"/>
        </w:rPr>
        <w:t>ς</w:t>
      </w:r>
      <w:r>
        <w:rPr>
          <w:b/>
          <w:sz w:val="22"/>
          <w:szCs w:val="22"/>
          <w:u w:val="single"/>
          <w:lang w:val="el-GR"/>
        </w:rPr>
        <w:t>:</w:t>
      </w:r>
    </w:p>
    <w:p w14:paraId="6902E94A" w14:textId="792C515C" w:rsidR="007D58E3" w:rsidRDefault="00D63455" w:rsidP="007D58E3">
      <w:pPr>
        <w:spacing w:before="240" w:line="360" w:lineRule="auto"/>
        <w:jc w:val="both"/>
        <w:rPr>
          <w:sz w:val="22"/>
          <w:szCs w:val="22"/>
          <w:lang w:val="el-GR"/>
        </w:rPr>
      </w:pPr>
      <w:hyperlink r:id="rId12" w:history="1">
        <w:r w:rsidR="00293D3D" w:rsidRPr="00D63455">
          <w:rPr>
            <w:rStyle w:val="Hyperlink"/>
            <w:sz w:val="22"/>
            <w:szCs w:val="22"/>
            <w:lang w:val="el-GR"/>
          </w:rPr>
          <w:t>Έκθεση Χρηματοπιστωτικής Σταθερότητας</w:t>
        </w:r>
        <w:r w:rsidR="007408E6" w:rsidRPr="00D63455">
          <w:rPr>
            <w:rStyle w:val="Hyperlink"/>
            <w:sz w:val="22"/>
            <w:szCs w:val="22"/>
            <w:lang w:val="el-GR"/>
          </w:rPr>
          <w:t>,</w:t>
        </w:r>
        <w:r w:rsidR="00293D3D" w:rsidRPr="00D63455">
          <w:rPr>
            <w:rStyle w:val="Hyperlink"/>
            <w:sz w:val="22"/>
            <w:szCs w:val="22"/>
            <w:lang w:val="el-GR"/>
          </w:rPr>
          <w:t xml:space="preserve"> </w:t>
        </w:r>
        <w:r w:rsidR="007022B2" w:rsidRPr="00D63455">
          <w:rPr>
            <w:rStyle w:val="Hyperlink"/>
            <w:sz w:val="22"/>
            <w:szCs w:val="22"/>
            <w:lang w:val="el-GR"/>
          </w:rPr>
          <w:t>Νοέμβριος</w:t>
        </w:r>
        <w:r w:rsidR="009A3155" w:rsidRPr="00D63455">
          <w:rPr>
            <w:rStyle w:val="Hyperlink"/>
            <w:sz w:val="22"/>
            <w:szCs w:val="22"/>
            <w:lang w:val="el-GR"/>
          </w:rPr>
          <w:t xml:space="preserve"> </w:t>
        </w:r>
        <w:r w:rsidR="00293D3D" w:rsidRPr="00D63455">
          <w:rPr>
            <w:rStyle w:val="Hyperlink"/>
            <w:sz w:val="22"/>
            <w:szCs w:val="22"/>
            <w:lang w:val="el-GR"/>
          </w:rPr>
          <w:t>202</w:t>
        </w:r>
        <w:r w:rsidR="009A3155" w:rsidRPr="00D63455">
          <w:rPr>
            <w:rStyle w:val="Hyperlink"/>
            <w:sz w:val="22"/>
            <w:szCs w:val="22"/>
            <w:lang w:val="el-GR"/>
          </w:rPr>
          <w:t>3</w:t>
        </w:r>
      </w:hyperlink>
    </w:p>
    <w:p w14:paraId="2FBCBA23" w14:textId="77777777" w:rsidR="00F5007A" w:rsidRPr="009F358F" w:rsidRDefault="00F5007A" w:rsidP="00614A99">
      <w:pPr>
        <w:spacing w:before="240" w:line="360" w:lineRule="auto"/>
        <w:jc w:val="both"/>
        <w:rPr>
          <w:color w:val="1F497D"/>
          <w:sz w:val="22"/>
          <w:szCs w:val="22"/>
          <w:u w:val="single"/>
          <w:lang w:val="el-GR"/>
        </w:rPr>
      </w:pPr>
      <w:bookmarkStart w:id="0" w:name="_GoBack"/>
      <w:bookmarkEnd w:id="0"/>
    </w:p>
    <w:sectPr w:rsidR="00F5007A" w:rsidRPr="009F358F" w:rsidSect="00FF5D14">
      <w:footerReference w:type="default" r:id="rId13"/>
      <w:footerReference w:type="first" r:id="rId14"/>
      <w:pgSz w:w="11906" w:h="16838"/>
      <w:pgMar w:top="1276" w:right="1418" w:bottom="1276" w:left="1418" w:header="720" w:footer="2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37243" w14:textId="77777777" w:rsidR="00E71DA3" w:rsidRDefault="00E71DA3">
      <w:r>
        <w:separator/>
      </w:r>
    </w:p>
  </w:endnote>
  <w:endnote w:type="continuationSeparator" w:id="0">
    <w:p w14:paraId="2AF7B649" w14:textId="77777777" w:rsidR="00E71DA3" w:rsidRDefault="00E7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6CBC7" w14:textId="77777777" w:rsidR="00906441" w:rsidRDefault="00614A99" w:rsidP="006F37D0">
    <w:pPr>
      <w:tabs>
        <w:tab w:val="left" w:pos="2288"/>
      </w:tabs>
      <w:spacing w:line="360" w:lineRule="auto"/>
      <w:ind w:right="360"/>
      <w:rPr>
        <w:sz w:val="14"/>
        <w:lang w:val="el-GR"/>
      </w:rPr>
    </w:pPr>
    <w:r>
      <w:rPr>
        <w:sz w:val="20"/>
      </w:rPr>
      <w:tab/>
    </w:r>
  </w:p>
  <w:p w14:paraId="3504546E" w14:textId="77777777" w:rsidR="00766A4F" w:rsidRPr="00614A99" w:rsidRDefault="00766A4F" w:rsidP="00766A4F">
    <w:pPr>
      <w:pStyle w:val="Footer"/>
      <w:framePr w:wrap="auto" w:vAnchor="text" w:hAnchor="page" w:x="10807" w:y="301"/>
      <w:rPr>
        <w:rFonts w:ascii="Arial" w:hAnsi="Arial" w:cs="Arial"/>
      </w:rPr>
    </w:pPr>
  </w:p>
  <w:tbl>
    <w:tblPr>
      <w:tblW w:w="9498" w:type="dxa"/>
      <w:tblInd w:w="108" w:type="dxa"/>
      <w:tblBorders>
        <w:left w:val="single" w:sz="48" w:space="0" w:color="DEA400"/>
      </w:tblBorders>
      <w:tblLook w:val="0000" w:firstRow="0" w:lastRow="0" w:firstColumn="0" w:lastColumn="0" w:noHBand="0" w:noVBand="0"/>
    </w:tblPr>
    <w:tblGrid>
      <w:gridCol w:w="4917"/>
      <w:gridCol w:w="4581"/>
    </w:tblGrid>
    <w:tr w:rsidR="00766A4F" w:rsidRPr="00766A4F" w14:paraId="76A56320" w14:textId="77777777" w:rsidTr="00F26854">
      <w:tc>
        <w:tcPr>
          <w:tcW w:w="4917" w:type="dxa"/>
          <w:tcBorders>
            <w:left w:val="single" w:sz="48" w:space="0" w:color="BC9E6E"/>
          </w:tcBorders>
          <w:shd w:val="clear" w:color="auto" w:fill="auto"/>
        </w:tcPr>
        <w:p w14:paraId="0227D037" w14:textId="77777777" w:rsidR="006B5E1E" w:rsidRDefault="006B5E1E" w:rsidP="001E6951">
          <w:pPr>
            <w:pStyle w:val="Footer"/>
            <w:tabs>
              <w:tab w:val="left" w:pos="5220"/>
            </w:tabs>
            <w:spacing w:before="60" w:after="60"/>
            <w:ind w:firstLine="176"/>
            <w:rPr>
              <w:rFonts w:ascii="Arial" w:hAnsi="Arial" w:cs="Arial"/>
              <w:sz w:val="14"/>
              <w:lang w:val="el-GR"/>
            </w:rPr>
          </w:pPr>
          <w:r w:rsidRPr="00766A4F">
            <w:rPr>
              <w:rFonts w:ascii="Arial" w:hAnsi="Arial" w:cs="Arial"/>
              <w:sz w:val="14"/>
              <w:lang w:val="el-GR"/>
            </w:rPr>
            <w:t>Ελ. Βενιζέλου 21, Αθήνα 10250</w:t>
          </w:r>
        </w:p>
        <w:p w14:paraId="4C6B6FB3" w14:textId="77777777" w:rsidR="006B5E1E" w:rsidRDefault="006B5E1E" w:rsidP="001E6951">
          <w:pPr>
            <w:pStyle w:val="Footer"/>
            <w:tabs>
              <w:tab w:val="left" w:pos="5220"/>
            </w:tabs>
            <w:spacing w:before="60" w:after="60"/>
            <w:ind w:firstLine="176"/>
            <w:rPr>
              <w:rFonts w:ascii="Arial" w:hAnsi="Arial" w:cs="Arial"/>
              <w:sz w:val="14"/>
              <w:lang w:val="el-GR"/>
            </w:rPr>
          </w:pPr>
          <w:proofErr w:type="spellStart"/>
          <w:r w:rsidRPr="00766A4F">
            <w:rPr>
              <w:rFonts w:ascii="Arial" w:hAnsi="Arial" w:cs="Arial"/>
              <w:sz w:val="14"/>
              <w:lang w:val="el-GR"/>
            </w:rPr>
            <w:t>Τηλ</w:t>
          </w:r>
          <w:proofErr w:type="spellEnd"/>
          <w:r w:rsidR="00C25ACA" w:rsidRPr="005C2B0D">
            <w:rPr>
              <w:rFonts w:ascii="Arial" w:hAnsi="Arial" w:cs="Arial"/>
              <w:sz w:val="14"/>
              <w:lang w:val="el-GR"/>
            </w:rPr>
            <w:t>:</w:t>
          </w:r>
          <w:r w:rsidRPr="005B1F16">
            <w:rPr>
              <w:rFonts w:ascii="Arial" w:hAnsi="Arial" w:cs="Arial"/>
              <w:sz w:val="14"/>
              <w:lang w:val="el-GR"/>
            </w:rPr>
            <w:t xml:space="preserve"> 210</w:t>
          </w:r>
          <w:r>
            <w:rPr>
              <w:rFonts w:ascii="Arial" w:hAnsi="Arial" w:cs="Arial"/>
              <w:sz w:val="14"/>
              <w:lang w:val="el-GR"/>
            </w:rPr>
            <w:t xml:space="preserve"> </w:t>
          </w:r>
          <w:r w:rsidRPr="005B1F16">
            <w:rPr>
              <w:rFonts w:ascii="Arial" w:hAnsi="Arial" w:cs="Arial"/>
              <w:sz w:val="14"/>
              <w:lang w:val="el-GR"/>
            </w:rPr>
            <w:t>320</w:t>
          </w:r>
          <w:r>
            <w:rPr>
              <w:rFonts w:ascii="Arial" w:hAnsi="Arial" w:cs="Arial"/>
              <w:sz w:val="14"/>
              <w:lang w:val="el-GR"/>
            </w:rPr>
            <w:t xml:space="preserve"> </w:t>
          </w:r>
          <w:r w:rsidRPr="005B1F16">
            <w:rPr>
              <w:rFonts w:ascii="Arial" w:hAnsi="Arial" w:cs="Arial"/>
              <w:sz w:val="14"/>
              <w:lang w:val="el-GR"/>
            </w:rPr>
            <w:t>3446-8</w:t>
          </w:r>
        </w:p>
        <w:p w14:paraId="50A8F5D4" w14:textId="7543926E" w:rsidR="00766A4F" w:rsidRDefault="00E42D97" w:rsidP="006B5E1E">
          <w:pPr>
            <w:pStyle w:val="Footer"/>
            <w:tabs>
              <w:tab w:val="left" w:pos="5220"/>
            </w:tabs>
            <w:spacing w:before="60" w:after="60"/>
            <w:ind w:firstLine="176"/>
            <w:rPr>
              <w:rFonts w:ascii="Arial" w:hAnsi="Arial" w:cs="Arial"/>
              <w:sz w:val="14"/>
              <w:lang w:val="el-GR"/>
            </w:rPr>
          </w:pPr>
          <w:hyperlink r:id="rId1" w:history="1">
            <w:r w:rsidR="00184CB0"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press</w:t>
            </w:r>
            <w:r w:rsidR="00184CB0"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@</w:t>
            </w:r>
            <w:r w:rsidR="00184CB0"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bankofgreece</w:t>
            </w:r>
            <w:r w:rsidR="00184CB0"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.</w:t>
            </w:r>
            <w:r w:rsidR="00184CB0"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gr</w:t>
            </w:r>
          </w:hyperlink>
          <w:r w:rsidR="006B5E1E">
            <w:rPr>
              <w:rFonts w:ascii="Arial" w:hAnsi="Arial" w:cs="Arial"/>
              <w:sz w:val="14"/>
              <w:lang w:val="el-GR"/>
            </w:rPr>
            <w:t xml:space="preserve"> |</w:t>
          </w:r>
          <w:r w:rsidR="00083E45">
            <w:rPr>
              <w:rFonts w:ascii="Arial" w:hAnsi="Arial" w:cs="Arial"/>
              <w:sz w:val="14"/>
              <w:lang w:val="el-GR"/>
            </w:rPr>
            <w:t xml:space="preserve"> </w:t>
          </w:r>
          <w:hyperlink r:id="rId2" w:history="1">
            <w:r w:rsidR="00184CB0"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www</w:t>
            </w:r>
            <w:r w:rsidR="00184CB0"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.</w:t>
            </w:r>
            <w:r w:rsidR="00184CB0"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bankofgreece</w:t>
            </w:r>
            <w:r w:rsidR="00184CB0"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.</w:t>
            </w:r>
            <w:r w:rsidR="00184CB0"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gr</w:t>
            </w:r>
          </w:hyperlink>
          <w:r w:rsidR="00184CB0" w:rsidRPr="006B5E1E">
            <w:rPr>
              <w:rFonts w:ascii="Arial" w:hAnsi="Arial" w:cs="Arial"/>
              <w:sz w:val="14"/>
              <w:lang w:val="el-GR"/>
            </w:rPr>
            <w:t xml:space="preserve"> </w:t>
          </w:r>
        </w:p>
      </w:tc>
      <w:tc>
        <w:tcPr>
          <w:tcW w:w="4581" w:type="dxa"/>
          <w:shd w:val="clear" w:color="auto" w:fill="auto"/>
        </w:tcPr>
        <w:p w14:paraId="7CEBA1A6" w14:textId="695A2C82" w:rsidR="00766A4F" w:rsidRPr="00184CB0" w:rsidRDefault="00766A4F" w:rsidP="00766A4F">
          <w:pPr>
            <w:pStyle w:val="Footer"/>
            <w:tabs>
              <w:tab w:val="left" w:pos="5220"/>
            </w:tabs>
            <w:spacing w:before="60" w:after="60"/>
            <w:jc w:val="right"/>
            <w:rPr>
              <w:rFonts w:ascii="Arial" w:hAnsi="Arial" w:cs="Arial"/>
              <w:color w:val="auto"/>
              <w:sz w:val="14"/>
              <w:lang w:val="el-GR"/>
            </w:rPr>
          </w:pPr>
          <w:r w:rsidRPr="006F37D0">
            <w:rPr>
              <w:rFonts w:ascii="Arial" w:hAnsi="Arial" w:cs="Arial"/>
              <w:color w:val="auto"/>
              <w:sz w:val="18"/>
              <w:lang w:val="en-US"/>
            </w:rPr>
            <w:fldChar w:fldCharType="begin"/>
          </w:r>
          <w:r w:rsidRPr="006F37D0">
            <w:rPr>
              <w:rFonts w:ascii="Arial" w:hAnsi="Arial" w:cs="Arial"/>
              <w:color w:val="auto"/>
              <w:sz w:val="18"/>
              <w:lang w:val="en-US"/>
            </w:rPr>
            <w:instrText xml:space="preserve"> PAGE   \* MERGEFORMAT </w:instrText>
          </w:r>
          <w:r w:rsidRPr="006F37D0">
            <w:rPr>
              <w:rFonts w:ascii="Arial" w:hAnsi="Arial" w:cs="Arial"/>
              <w:color w:val="auto"/>
              <w:sz w:val="18"/>
              <w:lang w:val="en-US"/>
            </w:rPr>
            <w:fldChar w:fldCharType="separate"/>
          </w:r>
          <w:r w:rsidR="00D63455">
            <w:rPr>
              <w:rFonts w:ascii="Arial" w:hAnsi="Arial" w:cs="Arial"/>
              <w:noProof/>
              <w:color w:val="auto"/>
              <w:sz w:val="18"/>
              <w:lang w:val="en-US"/>
            </w:rPr>
            <w:t>2</w:t>
          </w:r>
          <w:r w:rsidRPr="006F37D0">
            <w:rPr>
              <w:rFonts w:ascii="Arial" w:hAnsi="Arial" w:cs="Arial"/>
              <w:noProof/>
              <w:color w:val="auto"/>
              <w:sz w:val="18"/>
              <w:lang w:val="en-US"/>
            </w:rPr>
            <w:fldChar w:fldCharType="end"/>
          </w:r>
          <w:r w:rsidR="00184CB0">
            <w:rPr>
              <w:rFonts w:ascii="Arial" w:hAnsi="Arial" w:cs="Arial"/>
              <w:noProof/>
              <w:color w:val="auto"/>
              <w:sz w:val="18"/>
              <w:lang w:val="el-GR"/>
            </w:rPr>
            <w:t xml:space="preserve"> </w:t>
          </w:r>
          <w:r w:rsidR="00184CB0" w:rsidRPr="00D929F5">
            <w:rPr>
              <w:rFonts w:ascii="Arial Black" w:hAnsi="Arial Black" w:cs="Arial"/>
              <w:b/>
              <w:noProof/>
              <w:color w:val="948A54"/>
              <w:sz w:val="22"/>
              <w:lang w:val="el-GR"/>
            </w:rPr>
            <w:t>|</w:t>
          </w:r>
        </w:p>
      </w:tc>
    </w:tr>
  </w:tbl>
  <w:p w14:paraId="41D8AC59" w14:textId="77777777" w:rsidR="00906441" w:rsidRDefault="00906441" w:rsidP="006F37D0">
    <w:pPr>
      <w:pStyle w:val="Footer"/>
      <w:ind w:right="360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6D1FF" w14:textId="77777777" w:rsidR="00906441" w:rsidRDefault="00906441">
    <w:pPr>
      <w:pStyle w:val="Footer"/>
      <w:rPr>
        <w:sz w:val="20"/>
        <w:lang w:val="de-DE"/>
      </w:rPr>
    </w:pPr>
  </w:p>
  <w:p w14:paraId="0D3316CE" w14:textId="77777777" w:rsidR="00906441" w:rsidRDefault="00906441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FF805" w14:textId="77777777" w:rsidR="00E71DA3" w:rsidRDefault="00E71DA3">
      <w:r>
        <w:separator/>
      </w:r>
    </w:p>
  </w:footnote>
  <w:footnote w:type="continuationSeparator" w:id="0">
    <w:p w14:paraId="05774CBE" w14:textId="77777777" w:rsidR="00E71DA3" w:rsidRDefault="00E71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C3EB0"/>
    <w:multiLevelType w:val="hybridMultilevel"/>
    <w:tmpl w:val="4900F3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161CE"/>
    <w:multiLevelType w:val="hybridMultilevel"/>
    <w:tmpl w:val="CC542B5E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2D1606F"/>
    <w:multiLevelType w:val="hybridMultilevel"/>
    <w:tmpl w:val="B5B20C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37F4D"/>
    <w:multiLevelType w:val="hybridMultilevel"/>
    <w:tmpl w:val="E4D8B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C082B"/>
    <w:multiLevelType w:val="hybridMultilevel"/>
    <w:tmpl w:val="3488B9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4A"/>
    <w:rsid w:val="00000C12"/>
    <w:rsid w:val="0000127C"/>
    <w:rsid w:val="000031EC"/>
    <w:rsid w:val="00004174"/>
    <w:rsid w:val="000160E2"/>
    <w:rsid w:val="0001682C"/>
    <w:rsid w:val="00022F02"/>
    <w:rsid w:val="000272CF"/>
    <w:rsid w:val="00032171"/>
    <w:rsid w:val="00034558"/>
    <w:rsid w:val="00034EB3"/>
    <w:rsid w:val="00037147"/>
    <w:rsid w:val="0004038F"/>
    <w:rsid w:val="0004275F"/>
    <w:rsid w:val="00044C8F"/>
    <w:rsid w:val="00045338"/>
    <w:rsid w:val="0005740C"/>
    <w:rsid w:val="00071EEE"/>
    <w:rsid w:val="00073219"/>
    <w:rsid w:val="00082A28"/>
    <w:rsid w:val="00083E45"/>
    <w:rsid w:val="0008513E"/>
    <w:rsid w:val="00092115"/>
    <w:rsid w:val="00096247"/>
    <w:rsid w:val="000A01CF"/>
    <w:rsid w:val="000A19EB"/>
    <w:rsid w:val="000A288F"/>
    <w:rsid w:val="000A304A"/>
    <w:rsid w:val="000A3C72"/>
    <w:rsid w:val="000A4140"/>
    <w:rsid w:val="000A5141"/>
    <w:rsid w:val="000A6028"/>
    <w:rsid w:val="000A678C"/>
    <w:rsid w:val="000B1407"/>
    <w:rsid w:val="000C0FE4"/>
    <w:rsid w:val="000C32E3"/>
    <w:rsid w:val="000C4516"/>
    <w:rsid w:val="000C46DD"/>
    <w:rsid w:val="000C5182"/>
    <w:rsid w:val="000C68D8"/>
    <w:rsid w:val="000D0221"/>
    <w:rsid w:val="000D140F"/>
    <w:rsid w:val="000D1A19"/>
    <w:rsid w:val="000D5526"/>
    <w:rsid w:val="000E22AA"/>
    <w:rsid w:val="000E2F15"/>
    <w:rsid w:val="000E3D01"/>
    <w:rsid w:val="000E4148"/>
    <w:rsid w:val="000E72C0"/>
    <w:rsid w:val="000F2B32"/>
    <w:rsid w:val="000F558A"/>
    <w:rsid w:val="000F7419"/>
    <w:rsid w:val="0010083B"/>
    <w:rsid w:val="00100DD9"/>
    <w:rsid w:val="00103802"/>
    <w:rsid w:val="001049A0"/>
    <w:rsid w:val="00104C54"/>
    <w:rsid w:val="001131F0"/>
    <w:rsid w:val="00115499"/>
    <w:rsid w:val="00115C03"/>
    <w:rsid w:val="001229E3"/>
    <w:rsid w:val="00131217"/>
    <w:rsid w:val="00132846"/>
    <w:rsid w:val="00134FA0"/>
    <w:rsid w:val="00142BC7"/>
    <w:rsid w:val="00143721"/>
    <w:rsid w:val="00157321"/>
    <w:rsid w:val="00157B71"/>
    <w:rsid w:val="00157CDE"/>
    <w:rsid w:val="0016082B"/>
    <w:rsid w:val="00160B83"/>
    <w:rsid w:val="00160E36"/>
    <w:rsid w:val="00162C66"/>
    <w:rsid w:val="001655A2"/>
    <w:rsid w:val="001725EF"/>
    <w:rsid w:val="00175A33"/>
    <w:rsid w:val="00176EF3"/>
    <w:rsid w:val="00177533"/>
    <w:rsid w:val="00180F26"/>
    <w:rsid w:val="00183895"/>
    <w:rsid w:val="001838F2"/>
    <w:rsid w:val="00184CB0"/>
    <w:rsid w:val="001857F9"/>
    <w:rsid w:val="00185971"/>
    <w:rsid w:val="00186350"/>
    <w:rsid w:val="0019445C"/>
    <w:rsid w:val="0019674A"/>
    <w:rsid w:val="0019776D"/>
    <w:rsid w:val="001A04FD"/>
    <w:rsid w:val="001A37A9"/>
    <w:rsid w:val="001A4D11"/>
    <w:rsid w:val="001A759A"/>
    <w:rsid w:val="001A7764"/>
    <w:rsid w:val="001A7F77"/>
    <w:rsid w:val="001B14FE"/>
    <w:rsid w:val="001B58F6"/>
    <w:rsid w:val="001C0253"/>
    <w:rsid w:val="001C0288"/>
    <w:rsid w:val="001C0625"/>
    <w:rsid w:val="001C1299"/>
    <w:rsid w:val="001C1BDE"/>
    <w:rsid w:val="001C2889"/>
    <w:rsid w:val="001D38D8"/>
    <w:rsid w:val="001D39AC"/>
    <w:rsid w:val="001E04EF"/>
    <w:rsid w:val="001E3BEA"/>
    <w:rsid w:val="001E3E00"/>
    <w:rsid w:val="001E6951"/>
    <w:rsid w:val="001F086E"/>
    <w:rsid w:val="001F0CF2"/>
    <w:rsid w:val="001F4883"/>
    <w:rsid w:val="00201E7D"/>
    <w:rsid w:val="00202559"/>
    <w:rsid w:val="00202828"/>
    <w:rsid w:val="0020283C"/>
    <w:rsid w:val="00202FDB"/>
    <w:rsid w:val="00207033"/>
    <w:rsid w:val="00207C8D"/>
    <w:rsid w:val="002101EB"/>
    <w:rsid w:val="00216192"/>
    <w:rsid w:val="00217196"/>
    <w:rsid w:val="00227116"/>
    <w:rsid w:val="00231A07"/>
    <w:rsid w:val="0023318C"/>
    <w:rsid w:val="002378C3"/>
    <w:rsid w:val="00240210"/>
    <w:rsid w:val="00240CBD"/>
    <w:rsid w:val="002435A1"/>
    <w:rsid w:val="00246066"/>
    <w:rsid w:val="0025131C"/>
    <w:rsid w:val="00260190"/>
    <w:rsid w:val="002648D3"/>
    <w:rsid w:val="00270765"/>
    <w:rsid w:val="00270D07"/>
    <w:rsid w:val="00272F07"/>
    <w:rsid w:val="0027369C"/>
    <w:rsid w:val="00275FBD"/>
    <w:rsid w:val="00276886"/>
    <w:rsid w:val="00277734"/>
    <w:rsid w:val="00281428"/>
    <w:rsid w:val="002824EA"/>
    <w:rsid w:val="00283331"/>
    <w:rsid w:val="002867E9"/>
    <w:rsid w:val="0028693A"/>
    <w:rsid w:val="00293D3D"/>
    <w:rsid w:val="00294951"/>
    <w:rsid w:val="00296A09"/>
    <w:rsid w:val="002A0290"/>
    <w:rsid w:val="002A153F"/>
    <w:rsid w:val="002A1AF3"/>
    <w:rsid w:val="002A1C9F"/>
    <w:rsid w:val="002A2D24"/>
    <w:rsid w:val="002A3590"/>
    <w:rsid w:val="002A3DF1"/>
    <w:rsid w:val="002A67DE"/>
    <w:rsid w:val="002B01D2"/>
    <w:rsid w:val="002B428D"/>
    <w:rsid w:val="002B4997"/>
    <w:rsid w:val="002B4B67"/>
    <w:rsid w:val="002B5FB8"/>
    <w:rsid w:val="002C168A"/>
    <w:rsid w:val="002C50D9"/>
    <w:rsid w:val="002C7892"/>
    <w:rsid w:val="002C7905"/>
    <w:rsid w:val="002D3F97"/>
    <w:rsid w:val="002D7C8E"/>
    <w:rsid w:val="002E0BBE"/>
    <w:rsid w:val="002E7DB5"/>
    <w:rsid w:val="002F5601"/>
    <w:rsid w:val="002F6F3B"/>
    <w:rsid w:val="0030027A"/>
    <w:rsid w:val="00302264"/>
    <w:rsid w:val="00305178"/>
    <w:rsid w:val="00305FFC"/>
    <w:rsid w:val="00306003"/>
    <w:rsid w:val="00313191"/>
    <w:rsid w:val="0031518D"/>
    <w:rsid w:val="00320888"/>
    <w:rsid w:val="0032508D"/>
    <w:rsid w:val="00325A6F"/>
    <w:rsid w:val="0033210B"/>
    <w:rsid w:val="003332DB"/>
    <w:rsid w:val="00333C38"/>
    <w:rsid w:val="00333E5C"/>
    <w:rsid w:val="0033417E"/>
    <w:rsid w:val="00336459"/>
    <w:rsid w:val="00340C76"/>
    <w:rsid w:val="0034436B"/>
    <w:rsid w:val="003454F8"/>
    <w:rsid w:val="0034618A"/>
    <w:rsid w:val="0034678E"/>
    <w:rsid w:val="00347602"/>
    <w:rsid w:val="00351F20"/>
    <w:rsid w:val="00355259"/>
    <w:rsid w:val="00357937"/>
    <w:rsid w:val="00360B7D"/>
    <w:rsid w:val="00361374"/>
    <w:rsid w:val="003636A6"/>
    <w:rsid w:val="0036732C"/>
    <w:rsid w:val="00370A65"/>
    <w:rsid w:val="003714EE"/>
    <w:rsid w:val="0037238A"/>
    <w:rsid w:val="00375D2B"/>
    <w:rsid w:val="00377F11"/>
    <w:rsid w:val="00383A74"/>
    <w:rsid w:val="0038434A"/>
    <w:rsid w:val="00385AAE"/>
    <w:rsid w:val="00386632"/>
    <w:rsid w:val="003874C8"/>
    <w:rsid w:val="003877F1"/>
    <w:rsid w:val="003904F0"/>
    <w:rsid w:val="00391039"/>
    <w:rsid w:val="00392F77"/>
    <w:rsid w:val="00397328"/>
    <w:rsid w:val="003A23ED"/>
    <w:rsid w:val="003A245D"/>
    <w:rsid w:val="003A444A"/>
    <w:rsid w:val="003A4A4F"/>
    <w:rsid w:val="003A7F58"/>
    <w:rsid w:val="003A7FD3"/>
    <w:rsid w:val="003B0CA4"/>
    <w:rsid w:val="003B3773"/>
    <w:rsid w:val="003B7210"/>
    <w:rsid w:val="003C2264"/>
    <w:rsid w:val="003C3284"/>
    <w:rsid w:val="003C3AA5"/>
    <w:rsid w:val="003C3BF3"/>
    <w:rsid w:val="003D09CD"/>
    <w:rsid w:val="003E0BB5"/>
    <w:rsid w:val="003E11F9"/>
    <w:rsid w:val="003E67BF"/>
    <w:rsid w:val="003E7FBC"/>
    <w:rsid w:val="003F2089"/>
    <w:rsid w:val="0040332A"/>
    <w:rsid w:val="00404631"/>
    <w:rsid w:val="00406409"/>
    <w:rsid w:val="00406D19"/>
    <w:rsid w:val="00411396"/>
    <w:rsid w:val="00414884"/>
    <w:rsid w:val="00417ED3"/>
    <w:rsid w:val="004217C3"/>
    <w:rsid w:val="00422D68"/>
    <w:rsid w:val="004241AD"/>
    <w:rsid w:val="004341F8"/>
    <w:rsid w:val="0043621F"/>
    <w:rsid w:val="004428C4"/>
    <w:rsid w:val="0044344E"/>
    <w:rsid w:val="00443B6C"/>
    <w:rsid w:val="00446253"/>
    <w:rsid w:val="00453B09"/>
    <w:rsid w:val="00453C47"/>
    <w:rsid w:val="0046071D"/>
    <w:rsid w:val="004624BC"/>
    <w:rsid w:val="00463783"/>
    <w:rsid w:val="00463F9F"/>
    <w:rsid w:val="00464C3A"/>
    <w:rsid w:val="00465102"/>
    <w:rsid w:val="00466134"/>
    <w:rsid w:val="00475AE6"/>
    <w:rsid w:val="00476B48"/>
    <w:rsid w:val="004774FB"/>
    <w:rsid w:val="004810CF"/>
    <w:rsid w:val="00483018"/>
    <w:rsid w:val="00491342"/>
    <w:rsid w:val="00491524"/>
    <w:rsid w:val="00491CF0"/>
    <w:rsid w:val="00493908"/>
    <w:rsid w:val="004940DC"/>
    <w:rsid w:val="00497CD2"/>
    <w:rsid w:val="004A2D9C"/>
    <w:rsid w:val="004A549E"/>
    <w:rsid w:val="004A59BA"/>
    <w:rsid w:val="004B13BD"/>
    <w:rsid w:val="004B3DB9"/>
    <w:rsid w:val="004B41F5"/>
    <w:rsid w:val="004B7295"/>
    <w:rsid w:val="004B79B4"/>
    <w:rsid w:val="004B7FD9"/>
    <w:rsid w:val="004C0B70"/>
    <w:rsid w:val="004C30E9"/>
    <w:rsid w:val="004C6096"/>
    <w:rsid w:val="004D4D38"/>
    <w:rsid w:val="004D63E0"/>
    <w:rsid w:val="004D7D32"/>
    <w:rsid w:val="004E287A"/>
    <w:rsid w:val="004E2ACB"/>
    <w:rsid w:val="004E38B8"/>
    <w:rsid w:val="004E5BB3"/>
    <w:rsid w:val="004F2A5B"/>
    <w:rsid w:val="004F52A9"/>
    <w:rsid w:val="005010F0"/>
    <w:rsid w:val="00502C28"/>
    <w:rsid w:val="00503485"/>
    <w:rsid w:val="00504740"/>
    <w:rsid w:val="0050556B"/>
    <w:rsid w:val="00506F91"/>
    <w:rsid w:val="0051357D"/>
    <w:rsid w:val="00513A49"/>
    <w:rsid w:val="005140F1"/>
    <w:rsid w:val="00515766"/>
    <w:rsid w:val="00524040"/>
    <w:rsid w:val="00530DAA"/>
    <w:rsid w:val="00533BA6"/>
    <w:rsid w:val="005357E0"/>
    <w:rsid w:val="00536073"/>
    <w:rsid w:val="00540356"/>
    <w:rsid w:val="0054190C"/>
    <w:rsid w:val="00542108"/>
    <w:rsid w:val="00542754"/>
    <w:rsid w:val="00544DF8"/>
    <w:rsid w:val="0055061A"/>
    <w:rsid w:val="00552448"/>
    <w:rsid w:val="005533FB"/>
    <w:rsid w:val="00553F6C"/>
    <w:rsid w:val="005568CB"/>
    <w:rsid w:val="00564CE7"/>
    <w:rsid w:val="00564E47"/>
    <w:rsid w:val="00566CFA"/>
    <w:rsid w:val="0057151B"/>
    <w:rsid w:val="00571901"/>
    <w:rsid w:val="00572D5B"/>
    <w:rsid w:val="00575305"/>
    <w:rsid w:val="00580381"/>
    <w:rsid w:val="0058083B"/>
    <w:rsid w:val="00580F25"/>
    <w:rsid w:val="00581857"/>
    <w:rsid w:val="0058486E"/>
    <w:rsid w:val="00584A58"/>
    <w:rsid w:val="005851E9"/>
    <w:rsid w:val="005863E4"/>
    <w:rsid w:val="00586BA9"/>
    <w:rsid w:val="00591679"/>
    <w:rsid w:val="00591D7B"/>
    <w:rsid w:val="00593A10"/>
    <w:rsid w:val="005A27A9"/>
    <w:rsid w:val="005A2AE0"/>
    <w:rsid w:val="005A6B26"/>
    <w:rsid w:val="005B1E27"/>
    <w:rsid w:val="005B1F16"/>
    <w:rsid w:val="005B5CFE"/>
    <w:rsid w:val="005C059A"/>
    <w:rsid w:val="005C0C4E"/>
    <w:rsid w:val="005C0CDA"/>
    <w:rsid w:val="005C2B0D"/>
    <w:rsid w:val="005C44DA"/>
    <w:rsid w:val="005C487D"/>
    <w:rsid w:val="005C6211"/>
    <w:rsid w:val="005D01FE"/>
    <w:rsid w:val="005D4742"/>
    <w:rsid w:val="005E0577"/>
    <w:rsid w:val="005E078D"/>
    <w:rsid w:val="005E2B89"/>
    <w:rsid w:val="005E7BAB"/>
    <w:rsid w:val="005F0890"/>
    <w:rsid w:val="005F158F"/>
    <w:rsid w:val="005F1A9A"/>
    <w:rsid w:val="005F2746"/>
    <w:rsid w:val="005F43AD"/>
    <w:rsid w:val="00603619"/>
    <w:rsid w:val="00604D0C"/>
    <w:rsid w:val="00606096"/>
    <w:rsid w:val="00606E2F"/>
    <w:rsid w:val="006139F4"/>
    <w:rsid w:val="00614A99"/>
    <w:rsid w:val="00616220"/>
    <w:rsid w:val="0061757F"/>
    <w:rsid w:val="00617823"/>
    <w:rsid w:val="00620F75"/>
    <w:rsid w:val="00623FFD"/>
    <w:rsid w:val="00625C3F"/>
    <w:rsid w:val="00626652"/>
    <w:rsid w:val="00627512"/>
    <w:rsid w:val="00627DC6"/>
    <w:rsid w:val="006314CF"/>
    <w:rsid w:val="006371B3"/>
    <w:rsid w:val="0064172A"/>
    <w:rsid w:val="006418EF"/>
    <w:rsid w:val="006518C3"/>
    <w:rsid w:val="006535B0"/>
    <w:rsid w:val="006542A4"/>
    <w:rsid w:val="00656C46"/>
    <w:rsid w:val="006606FC"/>
    <w:rsid w:val="00671AFD"/>
    <w:rsid w:val="00675569"/>
    <w:rsid w:val="0067756C"/>
    <w:rsid w:val="00677599"/>
    <w:rsid w:val="00677754"/>
    <w:rsid w:val="00681BC1"/>
    <w:rsid w:val="00683113"/>
    <w:rsid w:val="0068377E"/>
    <w:rsid w:val="006901E8"/>
    <w:rsid w:val="006932B9"/>
    <w:rsid w:val="0069557D"/>
    <w:rsid w:val="00696497"/>
    <w:rsid w:val="006A2DD2"/>
    <w:rsid w:val="006A451E"/>
    <w:rsid w:val="006B4022"/>
    <w:rsid w:val="006B5E1E"/>
    <w:rsid w:val="006B619C"/>
    <w:rsid w:val="006B683F"/>
    <w:rsid w:val="006B6CE6"/>
    <w:rsid w:val="006D07A5"/>
    <w:rsid w:val="006D2AC6"/>
    <w:rsid w:val="006D3D1E"/>
    <w:rsid w:val="006D45B4"/>
    <w:rsid w:val="006D6F82"/>
    <w:rsid w:val="006E14A5"/>
    <w:rsid w:val="006E4337"/>
    <w:rsid w:val="006E66FD"/>
    <w:rsid w:val="006E70D9"/>
    <w:rsid w:val="006F37D0"/>
    <w:rsid w:val="006F59F9"/>
    <w:rsid w:val="00701A76"/>
    <w:rsid w:val="007022B2"/>
    <w:rsid w:val="00702A5D"/>
    <w:rsid w:val="00702AE9"/>
    <w:rsid w:val="00707BF4"/>
    <w:rsid w:val="007147EC"/>
    <w:rsid w:val="00714EDE"/>
    <w:rsid w:val="00716706"/>
    <w:rsid w:val="00727149"/>
    <w:rsid w:val="0073051C"/>
    <w:rsid w:val="00730ACE"/>
    <w:rsid w:val="00733FD4"/>
    <w:rsid w:val="007354F4"/>
    <w:rsid w:val="007357F6"/>
    <w:rsid w:val="0073681A"/>
    <w:rsid w:val="007408E6"/>
    <w:rsid w:val="00741638"/>
    <w:rsid w:val="0074387F"/>
    <w:rsid w:val="00750403"/>
    <w:rsid w:val="00751A70"/>
    <w:rsid w:val="00755512"/>
    <w:rsid w:val="00755A38"/>
    <w:rsid w:val="007563EC"/>
    <w:rsid w:val="007566FF"/>
    <w:rsid w:val="00764C47"/>
    <w:rsid w:val="00766A4F"/>
    <w:rsid w:val="007679C0"/>
    <w:rsid w:val="0077120E"/>
    <w:rsid w:val="00771760"/>
    <w:rsid w:val="0077242D"/>
    <w:rsid w:val="0077359F"/>
    <w:rsid w:val="007736AF"/>
    <w:rsid w:val="00773CC5"/>
    <w:rsid w:val="00776A9E"/>
    <w:rsid w:val="00776E58"/>
    <w:rsid w:val="0078253E"/>
    <w:rsid w:val="007874D4"/>
    <w:rsid w:val="00790999"/>
    <w:rsid w:val="00794D78"/>
    <w:rsid w:val="007971A6"/>
    <w:rsid w:val="00797E12"/>
    <w:rsid w:val="007A0D33"/>
    <w:rsid w:val="007A4A38"/>
    <w:rsid w:val="007B0D19"/>
    <w:rsid w:val="007B287A"/>
    <w:rsid w:val="007C0704"/>
    <w:rsid w:val="007C4A55"/>
    <w:rsid w:val="007C6E27"/>
    <w:rsid w:val="007C6FC4"/>
    <w:rsid w:val="007C7317"/>
    <w:rsid w:val="007C7957"/>
    <w:rsid w:val="007D077C"/>
    <w:rsid w:val="007D4426"/>
    <w:rsid w:val="007D4520"/>
    <w:rsid w:val="007D4E6F"/>
    <w:rsid w:val="007D58E3"/>
    <w:rsid w:val="007D5CD4"/>
    <w:rsid w:val="007E3787"/>
    <w:rsid w:val="007E4D76"/>
    <w:rsid w:val="007F3270"/>
    <w:rsid w:val="007F3DE4"/>
    <w:rsid w:val="007F5B37"/>
    <w:rsid w:val="007F68D7"/>
    <w:rsid w:val="0080547A"/>
    <w:rsid w:val="0080753D"/>
    <w:rsid w:val="008116CE"/>
    <w:rsid w:val="008143F4"/>
    <w:rsid w:val="008163DD"/>
    <w:rsid w:val="00816456"/>
    <w:rsid w:val="00816529"/>
    <w:rsid w:val="00817648"/>
    <w:rsid w:val="00817F3B"/>
    <w:rsid w:val="008217A1"/>
    <w:rsid w:val="00821B34"/>
    <w:rsid w:val="008228B2"/>
    <w:rsid w:val="00823718"/>
    <w:rsid w:val="00824A41"/>
    <w:rsid w:val="00824C25"/>
    <w:rsid w:val="00832116"/>
    <w:rsid w:val="00833F70"/>
    <w:rsid w:val="0083485B"/>
    <w:rsid w:val="00834919"/>
    <w:rsid w:val="0083534E"/>
    <w:rsid w:val="00837AC2"/>
    <w:rsid w:val="00840DAE"/>
    <w:rsid w:val="00841F09"/>
    <w:rsid w:val="00843C47"/>
    <w:rsid w:val="00845FB3"/>
    <w:rsid w:val="00851E58"/>
    <w:rsid w:val="00853EC0"/>
    <w:rsid w:val="008545E4"/>
    <w:rsid w:val="00854654"/>
    <w:rsid w:val="00855C86"/>
    <w:rsid w:val="0085688E"/>
    <w:rsid w:val="00863881"/>
    <w:rsid w:val="00864DCC"/>
    <w:rsid w:val="00867432"/>
    <w:rsid w:val="00873049"/>
    <w:rsid w:val="00886175"/>
    <w:rsid w:val="00895949"/>
    <w:rsid w:val="00895B26"/>
    <w:rsid w:val="008964CA"/>
    <w:rsid w:val="008A443F"/>
    <w:rsid w:val="008A5BAD"/>
    <w:rsid w:val="008B0419"/>
    <w:rsid w:val="008B09DB"/>
    <w:rsid w:val="008B3844"/>
    <w:rsid w:val="008B3C40"/>
    <w:rsid w:val="008B5114"/>
    <w:rsid w:val="008B5AA3"/>
    <w:rsid w:val="008B61C2"/>
    <w:rsid w:val="008C1EF9"/>
    <w:rsid w:val="008C6367"/>
    <w:rsid w:val="008C6D71"/>
    <w:rsid w:val="008D28E5"/>
    <w:rsid w:val="008D4E43"/>
    <w:rsid w:val="008E43E1"/>
    <w:rsid w:val="008E7AC5"/>
    <w:rsid w:val="008F55B9"/>
    <w:rsid w:val="00900E3D"/>
    <w:rsid w:val="00901121"/>
    <w:rsid w:val="0090628A"/>
    <w:rsid w:val="00906441"/>
    <w:rsid w:val="00911BED"/>
    <w:rsid w:val="00912E5C"/>
    <w:rsid w:val="00916193"/>
    <w:rsid w:val="009165DB"/>
    <w:rsid w:val="00924F9F"/>
    <w:rsid w:val="00935044"/>
    <w:rsid w:val="009373EB"/>
    <w:rsid w:val="009418D5"/>
    <w:rsid w:val="009473E9"/>
    <w:rsid w:val="00952A1E"/>
    <w:rsid w:val="00953005"/>
    <w:rsid w:val="00957998"/>
    <w:rsid w:val="00963FA3"/>
    <w:rsid w:val="009650DB"/>
    <w:rsid w:val="00971D89"/>
    <w:rsid w:val="00976D1A"/>
    <w:rsid w:val="00980F80"/>
    <w:rsid w:val="009819E1"/>
    <w:rsid w:val="0098391B"/>
    <w:rsid w:val="009873EF"/>
    <w:rsid w:val="00990B43"/>
    <w:rsid w:val="00990C2E"/>
    <w:rsid w:val="009917B1"/>
    <w:rsid w:val="009941C3"/>
    <w:rsid w:val="009A1AE4"/>
    <w:rsid w:val="009A3155"/>
    <w:rsid w:val="009A3B52"/>
    <w:rsid w:val="009B06D8"/>
    <w:rsid w:val="009B3853"/>
    <w:rsid w:val="009C19AD"/>
    <w:rsid w:val="009C3187"/>
    <w:rsid w:val="009C7987"/>
    <w:rsid w:val="009D039D"/>
    <w:rsid w:val="009D40C6"/>
    <w:rsid w:val="009D49BF"/>
    <w:rsid w:val="009E5C57"/>
    <w:rsid w:val="009E6969"/>
    <w:rsid w:val="009F358F"/>
    <w:rsid w:val="009F46C4"/>
    <w:rsid w:val="009F5711"/>
    <w:rsid w:val="009F7340"/>
    <w:rsid w:val="009F793E"/>
    <w:rsid w:val="009F7BA2"/>
    <w:rsid w:val="00A03640"/>
    <w:rsid w:val="00A03A95"/>
    <w:rsid w:val="00A03FEE"/>
    <w:rsid w:val="00A044CC"/>
    <w:rsid w:val="00A10C9B"/>
    <w:rsid w:val="00A129DF"/>
    <w:rsid w:val="00A16967"/>
    <w:rsid w:val="00A20EFB"/>
    <w:rsid w:val="00A2247E"/>
    <w:rsid w:val="00A24604"/>
    <w:rsid w:val="00A249CC"/>
    <w:rsid w:val="00A25FBE"/>
    <w:rsid w:val="00A27F5E"/>
    <w:rsid w:val="00A32C78"/>
    <w:rsid w:val="00A33313"/>
    <w:rsid w:val="00A35D8D"/>
    <w:rsid w:val="00A36154"/>
    <w:rsid w:val="00A36AEE"/>
    <w:rsid w:val="00A37F70"/>
    <w:rsid w:val="00A42562"/>
    <w:rsid w:val="00A43B8F"/>
    <w:rsid w:val="00A4520F"/>
    <w:rsid w:val="00A459B6"/>
    <w:rsid w:val="00A45CF6"/>
    <w:rsid w:val="00A46DB7"/>
    <w:rsid w:val="00A50CDD"/>
    <w:rsid w:val="00A551A2"/>
    <w:rsid w:val="00A56BA1"/>
    <w:rsid w:val="00A5759A"/>
    <w:rsid w:val="00A579CF"/>
    <w:rsid w:val="00A622AF"/>
    <w:rsid w:val="00A64FF2"/>
    <w:rsid w:val="00A66246"/>
    <w:rsid w:val="00A677F1"/>
    <w:rsid w:val="00A730BF"/>
    <w:rsid w:val="00A73ADF"/>
    <w:rsid w:val="00A74FE3"/>
    <w:rsid w:val="00A75AE6"/>
    <w:rsid w:val="00A77BD7"/>
    <w:rsid w:val="00A77F5B"/>
    <w:rsid w:val="00A80EF5"/>
    <w:rsid w:val="00A84A73"/>
    <w:rsid w:val="00A86382"/>
    <w:rsid w:val="00A904A0"/>
    <w:rsid w:val="00A90530"/>
    <w:rsid w:val="00A9185F"/>
    <w:rsid w:val="00A92784"/>
    <w:rsid w:val="00A92884"/>
    <w:rsid w:val="00A92E9E"/>
    <w:rsid w:val="00A9634B"/>
    <w:rsid w:val="00A97804"/>
    <w:rsid w:val="00AA47C4"/>
    <w:rsid w:val="00AA7A7F"/>
    <w:rsid w:val="00AB2233"/>
    <w:rsid w:val="00AB4182"/>
    <w:rsid w:val="00AB725F"/>
    <w:rsid w:val="00AC0E11"/>
    <w:rsid w:val="00AC176B"/>
    <w:rsid w:val="00AC58D4"/>
    <w:rsid w:val="00AC6949"/>
    <w:rsid w:val="00AC7414"/>
    <w:rsid w:val="00AC7C78"/>
    <w:rsid w:val="00AD0439"/>
    <w:rsid w:val="00AD0AA4"/>
    <w:rsid w:val="00AD1FF7"/>
    <w:rsid w:val="00AD5E60"/>
    <w:rsid w:val="00AE1D32"/>
    <w:rsid w:val="00AE222C"/>
    <w:rsid w:val="00AE4B78"/>
    <w:rsid w:val="00AE5758"/>
    <w:rsid w:val="00AF030E"/>
    <w:rsid w:val="00AF4B85"/>
    <w:rsid w:val="00AF5F5E"/>
    <w:rsid w:val="00B003D6"/>
    <w:rsid w:val="00B009C5"/>
    <w:rsid w:val="00B062B8"/>
    <w:rsid w:val="00B06DAC"/>
    <w:rsid w:val="00B112AF"/>
    <w:rsid w:val="00B1198C"/>
    <w:rsid w:val="00B145EC"/>
    <w:rsid w:val="00B168B9"/>
    <w:rsid w:val="00B16AD5"/>
    <w:rsid w:val="00B16D17"/>
    <w:rsid w:val="00B2022F"/>
    <w:rsid w:val="00B220DD"/>
    <w:rsid w:val="00B30105"/>
    <w:rsid w:val="00B376B5"/>
    <w:rsid w:val="00B37E42"/>
    <w:rsid w:val="00B4079D"/>
    <w:rsid w:val="00B433D8"/>
    <w:rsid w:val="00B43885"/>
    <w:rsid w:val="00B4621B"/>
    <w:rsid w:val="00B4717A"/>
    <w:rsid w:val="00B521DE"/>
    <w:rsid w:val="00B54C1B"/>
    <w:rsid w:val="00B559D2"/>
    <w:rsid w:val="00B56C59"/>
    <w:rsid w:val="00B56D6A"/>
    <w:rsid w:val="00B6006A"/>
    <w:rsid w:val="00B60D05"/>
    <w:rsid w:val="00B6213D"/>
    <w:rsid w:val="00B715B1"/>
    <w:rsid w:val="00B745D8"/>
    <w:rsid w:val="00B85583"/>
    <w:rsid w:val="00B86E6A"/>
    <w:rsid w:val="00B9338B"/>
    <w:rsid w:val="00B936D5"/>
    <w:rsid w:val="00B94863"/>
    <w:rsid w:val="00B94FCA"/>
    <w:rsid w:val="00BA03F4"/>
    <w:rsid w:val="00BA0651"/>
    <w:rsid w:val="00BA201E"/>
    <w:rsid w:val="00BA317A"/>
    <w:rsid w:val="00BA5EEA"/>
    <w:rsid w:val="00BA785E"/>
    <w:rsid w:val="00BA7D23"/>
    <w:rsid w:val="00BB0207"/>
    <w:rsid w:val="00BB6505"/>
    <w:rsid w:val="00BB6E79"/>
    <w:rsid w:val="00BB705E"/>
    <w:rsid w:val="00BC157A"/>
    <w:rsid w:val="00BC1942"/>
    <w:rsid w:val="00BD0418"/>
    <w:rsid w:val="00BD3FA3"/>
    <w:rsid w:val="00BD61FB"/>
    <w:rsid w:val="00BE0C25"/>
    <w:rsid w:val="00BE1DCA"/>
    <w:rsid w:val="00BE303F"/>
    <w:rsid w:val="00BE3603"/>
    <w:rsid w:val="00BE3DFD"/>
    <w:rsid w:val="00BE6937"/>
    <w:rsid w:val="00BF03B8"/>
    <w:rsid w:val="00BF3C47"/>
    <w:rsid w:val="00BF4CA4"/>
    <w:rsid w:val="00BF4F7E"/>
    <w:rsid w:val="00BF6659"/>
    <w:rsid w:val="00C004D3"/>
    <w:rsid w:val="00C10DFC"/>
    <w:rsid w:val="00C1440C"/>
    <w:rsid w:val="00C217C1"/>
    <w:rsid w:val="00C2367E"/>
    <w:rsid w:val="00C24A72"/>
    <w:rsid w:val="00C25ACA"/>
    <w:rsid w:val="00C262F4"/>
    <w:rsid w:val="00C31092"/>
    <w:rsid w:val="00C31FB5"/>
    <w:rsid w:val="00C3206A"/>
    <w:rsid w:val="00C32E24"/>
    <w:rsid w:val="00C33B34"/>
    <w:rsid w:val="00C4067B"/>
    <w:rsid w:val="00C445D6"/>
    <w:rsid w:val="00C45DC4"/>
    <w:rsid w:val="00C5012B"/>
    <w:rsid w:val="00C51A0C"/>
    <w:rsid w:val="00C6454B"/>
    <w:rsid w:val="00C65155"/>
    <w:rsid w:val="00C67EF4"/>
    <w:rsid w:val="00C67FAE"/>
    <w:rsid w:val="00C711D6"/>
    <w:rsid w:val="00C75A53"/>
    <w:rsid w:val="00C77810"/>
    <w:rsid w:val="00C81DEF"/>
    <w:rsid w:val="00C838F1"/>
    <w:rsid w:val="00C85DC6"/>
    <w:rsid w:val="00C86D6D"/>
    <w:rsid w:val="00C9115C"/>
    <w:rsid w:val="00C92BF9"/>
    <w:rsid w:val="00CA0707"/>
    <w:rsid w:val="00CA392A"/>
    <w:rsid w:val="00CB1D44"/>
    <w:rsid w:val="00CB1EAE"/>
    <w:rsid w:val="00CB276A"/>
    <w:rsid w:val="00CC1875"/>
    <w:rsid w:val="00CC1A3F"/>
    <w:rsid w:val="00CC2FA5"/>
    <w:rsid w:val="00CC6894"/>
    <w:rsid w:val="00CD0977"/>
    <w:rsid w:val="00CD0C4F"/>
    <w:rsid w:val="00CD38FC"/>
    <w:rsid w:val="00CD3C6A"/>
    <w:rsid w:val="00CD447E"/>
    <w:rsid w:val="00CD5480"/>
    <w:rsid w:val="00CD7F6A"/>
    <w:rsid w:val="00CE0E07"/>
    <w:rsid w:val="00CE1EBC"/>
    <w:rsid w:val="00CE241F"/>
    <w:rsid w:val="00CE2BD2"/>
    <w:rsid w:val="00CE2F94"/>
    <w:rsid w:val="00CE34CB"/>
    <w:rsid w:val="00CE6F7B"/>
    <w:rsid w:val="00CE74B8"/>
    <w:rsid w:val="00CF247B"/>
    <w:rsid w:val="00CF7810"/>
    <w:rsid w:val="00D019E9"/>
    <w:rsid w:val="00D01FBB"/>
    <w:rsid w:val="00D05A81"/>
    <w:rsid w:val="00D05C36"/>
    <w:rsid w:val="00D10AF5"/>
    <w:rsid w:val="00D11214"/>
    <w:rsid w:val="00D12A14"/>
    <w:rsid w:val="00D13B76"/>
    <w:rsid w:val="00D143D1"/>
    <w:rsid w:val="00D14D8A"/>
    <w:rsid w:val="00D151BD"/>
    <w:rsid w:val="00D15299"/>
    <w:rsid w:val="00D16BE4"/>
    <w:rsid w:val="00D20528"/>
    <w:rsid w:val="00D240B3"/>
    <w:rsid w:val="00D25276"/>
    <w:rsid w:val="00D25705"/>
    <w:rsid w:val="00D267A8"/>
    <w:rsid w:val="00D3267F"/>
    <w:rsid w:val="00D335BE"/>
    <w:rsid w:val="00D33F7C"/>
    <w:rsid w:val="00D356CE"/>
    <w:rsid w:val="00D3748D"/>
    <w:rsid w:val="00D42593"/>
    <w:rsid w:val="00D427C5"/>
    <w:rsid w:val="00D55F0D"/>
    <w:rsid w:val="00D5627D"/>
    <w:rsid w:val="00D56D93"/>
    <w:rsid w:val="00D57DA7"/>
    <w:rsid w:val="00D63455"/>
    <w:rsid w:val="00D63C46"/>
    <w:rsid w:val="00D64797"/>
    <w:rsid w:val="00D64C28"/>
    <w:rsid w:val="00D65157"/>
    <w:rsid w:val="00D70208"/>
    <w:rsid w:val="00D71A0C"/>
    <w:rsid w:val="00D7720D"/>
    <w:rsid w:val="00D80BC2"/>
    <w:rsid w:val="00D87FE7"/>
    <w:rsid w:val="00D929F5"/>
    <w:rsid w:val="00D93E0B"/>
    <w:rsid w:val="00D94BCD"/>
    <w:rsid w:val="00D97269"/>
    <w:rsid w:val="00D97783"/>
    <w:rsid w:val="00DA2653"/>
    <w:rsid w:val="00DA68BC"/>
    <w:rsid w:val="00DB215C"/>
    <w:rsid w:val="00DB2730"/>
    <w:rsid w:val="00DB6917"/>
    <w:rsid w:val="00DB78BB"/>
    <w:rsid w:val="00DC36DF"/>
    <w:rsid w:val="00DC7AAF"/>
    <w:rsid w:val="00DD12DD"/>
    <w:rsid w:val="00DD1ECD"/>
    <w:rsid w:val="00DD3CC2"/>
    <w:rsid w:val="00DE00BA"/>
    <w:rsid w:val="00DE2F84"/>
    <w:rsid w:val="00DE3F54"/>
    <w:rsid w:val="00DE4AFE"/>
    <w:rsid w:val="00DE6992"/>
    <w:rsid w:val="00DE7631"/>
    <w:rsid w:val="00DF0F41"/>
    <w:rsid w:val="00DF2B0A"/>
    <w:rsid w:val="00E00AD8"/>
    <w:rsid w:val="00E00BD0"/>
    <w:rsid w:val="00E0693A"/>
    <w:rsid w:val="00E07095"/>
    <w:rsid w:val="00E07E7A"/>
    <w:rsid w:val="00E10ED7"/>
    <w:rsid w:val="00E12606"/>
    <w:rsid w:val="00E1325F"/>
    <w:rsid w:val="00E145BD"/>
    <w:rsid w:val="00E1556A"/>
    <w:rsid w:val="00E16153"/>
    <w:rsid w:val="00E22552"/>
    <w:rsid w:val="00E22F12"/>
    <w:rsid w:val="00E23A6E"/>
    <w:rsid w:val="00E23A8E"/>
    <w:rsid w:val="00E262A7"/>
    <w:rsid w:val="00E26AF5"/>
    <w:rsid w:val="00E2700F"/>
    <w:rsid w:val="00E304D9"/>
    <w:rsid w:val="00E31302"/>
    <w:rsid w:val="00E32F8E"/>
    <w:rsid w:val="00E42D97"/>
    <w:rsid w:val="00E438EB"/>
    <w:rsid w:val="00E44983"/>
    <w:rsid w:val="00E449B2"/>
    <w:rsid w:val="00E45400"/>
    <w:rsid w:val="00E462B5"/>
    <w:rsid w:val="00E50889"/>
    <w:rsid w:val="00E566B5"/>
    <w:rsid w:val="00E600E0"/>
    <w:rsid w:val="00E62451"/>
    <w:rsid w:val="00E632BF"/>
    <w:rsid w:val="00E71DA3"/>
    <w:rsid w:val="00E72381"/>
    <w:rsid w:val="00E72767"/>
    <w:rsid w:val="00E729EB"/>
    <w:rsid w:val="00E73AEB"/>
    <w:rsid w:val="00E76E37"/>
    <w:rsid w:val="00E927F8"/>
    <w:rsid w:val="00E93810"/>
    <w:rsid w:val="00EA07A2"/>
    <w:rsid w:val="00EA14E5"/>
    <w:rsid w:val="00EB342A"/>
    <w:rsid w:val="00EB3C00"/>
    <w:rsid w:val="00EC0921"/>
    <w:rsid w:val="00EC4013"/>
    <w:rsid w:val="00EC4635"/>
    <w:rsid w:val="00ED15DC"/>
    <w:rsid w:val="00ED1A48"/>
    <w:rsid w:val="00ED4546"/>
    <w:rsid w:val="00ED7E68"/>
    <w:rsid w:val="00EE01FD"/>
    <w:rsid w:val="00EE0432"/>
    <w:rsid w:val="00EE1EB3"/>
    <w:rsid w:val="00EE40E9"/>
    <w:rsid w:val="00EE5C82"/>
    <w:rsid w:val="00EE5F13"/>
    <w:rsid w:val="00EE7A37"/>
    <w:rsid w:val="00EF1119"/>
    <w:rsid w:val="00EF6DE1"/>
    <w:rsid w:val="00EF6E2E"/>
    <w:rsid w:val="00F00AFC"/>
    <w:rsid w:val="00F029A2"/>
    <w:rsid w:val="00F07246"/>
    <w:rsid w:val="00F0780B"/>
    <w:rsid w:val="00F07FD7"/>
    <w:rsid w:val="00F1482F"/>
    <w:rsid w:val="00F16889"/>
    <w:rsid w:val="00F171ED"/>
    <w:rsid w:val="00F24C15"/>
    <w:rsid w:val="00F25B96"/>
    <w:rsid w:val="00F26854"/>
    <w:rsid w:val="00F27A63"/>
    <w:rsid w:val="00F3065E"/>
    <w:rsid w:val="00F403D6"/>
    <w:rsid w:val="00F42066"/>
    <w:rsid w:val="00F4216D"/>
    <w:rsid w:val="00F425A6"/>
    <w:rsid w:val="00F470DD"/>
    <w:rsid w:val="00F47849"/>
    <w:rsid w:val="00F5007A"/>
    <w:rsid w:val="00F51875"/>
    <w:rsid w:val="00F519CD"/>
    <w:rsid w:val="00F55107"/>
    <w:rsid w:val="00F5722E"/>
    <w:rsid w:val="00F57574"/>
    <w:rsid w:val="00F57FE6"/>
    <w:rsid w:val="00F67B7B"/>
    <w:rsid w:val="00F7061C"/>
    <w:rsid w:val="00F7391F"/>
    <w:rsid w:val="00F73E52"/>
    <w:rsid w:val="00F77346"/>
    <w:rsid w:val="00F8097C"/>
    <w:rsid w:val="00F8160A"/>
    <w:rsid w:val="00F82562"/>
    <w:rsid w:val="00F83735"/>
    <w:rsid w:val="00F856D5"/>
    <w:rsid w:val="00F86045"/>
    <w:rsid w:val="00F87947"/>
    <w:rsid w:val="00F90569"/>
    <w:rsid w:val="00F91400"/>
    <w:rsid w:val="00F91E45"/>
    <w:rsid w:val="00F957D8"/>
    <w:rsid w:val="00FA4464"/>
    <w:rsid w:val="00FA4B7B"/>
    <w:rsid w:val="00FA7326"/>
    <w:rsid w:val="00FA7855"/>
    <w:rsid w:val="00FB1850"/>
    <w:rsid w:val="00FB6324"/>
    <w:rsid w:val="00FC4352"/>
    <w:rsid w:val="00FC6083"/>
    <w:rsid w:val="00FD2E4F"/>
    <w:rsid w:val="00FD317F"/>
    <w:rsid w:val="00FD51F5"/>
    <w:rsid w:val="00FD5676"/>
    <w:rsid w:val="00FD58A0"/>
    <w:rsid w:val="00FD58EF"/>
    <w:rsid w:val="00FE1E6D"/>
    <w:rsid w:val="00FE25DB"/>
    <w:rsid w:val="00FE3F5E"/>
    <w:rsid w:val="00FE59FF"/>
    <w:rsid w:val="00FE60C3"/>
    <w:rsid w:val="00FE6E6A"/>
    <w:rsid w:val="00FF09DE"/>
    <w:rsid w:val="00FF38D7"/>
    <w:rsid w:val="00FF44A1"/>
    <w:rsid w:val="00FF4AAD"/>
    <w:rsid w:val="00FF5662"/>
    <w:rsid w:val="00FF5D14"/>
    <w:rsid w:val="00FF6773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235FF04C"/>
  <w15:chartTrackingRefBased/>
  <w15:docId w15:val="{565A9D06-281E-4F5D-A8C4-FC1CE6E5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E2E"/>
    <w:rPr>
      <w:rFonts w:ascii="Arial" w:hAnsi="Arial" w:cs="Arial"/>
      <w:color w:val="000000"/>
      <w:sz w:val="24"/>
      <w:lang w:val="en-AU" w:eastAsia="el-GR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firstLine="720"/>
      <w:jc w:val="both"/>
      <w:outlineLvl w:val="0"/>
    </w:pPr>
    <w:rPr>
      <w:i/>
      <w:sz w:val="22"/>
      <w:u w:val="single"/>
      <w:lang w:val="el-GR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851" w:right="340"/>
      <w:jc w:val="both"/>
      <w:outlineLvl w:val="5"/>
    </w:pPr>
    <w:rPr>
      <w:i/>
      <w:sz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imes New Roman" w:hAnsi="Times New Roman" w:cs="Times New Roman"/>
      <w:lang w:val="en-GB"/>
    </w:rPr>
  </w:style>
  <w:style w:type="paragraph" w:styleId="CommentText">
    <w:name w:val="annotation text"/>
    <w:basedOn w:val="Normal"/>
    <w:rPr>
      <w:sz w:val="20"/>
    </w:rPr>
  </w:style>
  <w:style w:type="paragraph" w:styleId="DocumentMap">
    <w:name w:val="Document Map"/>
    <w:basedOn w:val="Normal"/>
    <w:pPr>
      <w:shd w:val="clear" w:color="000000" w:fill="00007F"/>
    </w:pPr>
    <w:rPr>
      <w:rFonts w:ascii="Tahoma" w:hAnsi="Tahoma" w:cs="Tahoma"/>
      <w:sz w:val="20"/>
    </w:rPr>
  </w:style>
  <w:style w:type="paragraph" w:styleId="FootnoteText">
    <w:name w:val="footnote text"/>
    <w:basedOn w:val="Normal"/>
    <w:rPr>
      <w:rFonts w:ascii="Times New Roman" w:hAnsi="Times New Roman" w:cs="Times New Roman"/>
      <w:sz w:val="20"/>
      <w:lang w:eastAsia="en-US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lang w:val="el-GR"/>
    </w:rPr>
  </w:style>
  <w:style w:type="paragraph" w:styleId="CommentSubject">
    <w:name w:val="annotation subject"/>
    <w:basedOn w:val="CommentText"/>
    <w:next w:val="CommentText"/>
    <w:rPr>
      <w:b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 w:cs="Times New Roman"/>
      <w:szCs w:val="24"/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evision1">
    <w:name w:val="Revision1"/>
    <w:rPr>
      <w:rFonts w:ascii="Arial" w:hAnsi="Arial" w:cs="Arial"/>
      <w:color w:val="000000"/>
      <w:sz w:val="24"/>
      <w:lang w:val="en-AU" w:eastAsia="el-GR"/>
    </w:rPr>
  </w:style>
  <w:style w:type="paragraph" w:styleId="EndnoteText">
    <w:name w:val="endnote text"/>
    <w:basedOn w:val="Normal"/>
    <w:rPr>
      <w:sz w:val="20"/>
    </w:rPr>
  </w:style>
  <w:style w:type="character" w:styleId="PageNumber">
    <w:name w:val="page number"/>
    <w:basedOn w:val="DefaultParagraphFont"/>
  </w:style>
  <w:style w:type="character" w:styleId="Emphasis">
    <w:name w:val="Emphasis"/>
    <w:qFormat/>
    <w:rPr>
      <w:i/>
      <w:iCs w:val="0"/>
    </w:rPr>
  </w:style>
  <w:style w:type="character" w:customStyle="1" w:styleId="CommentSubjectChar">
    <w:name w:val="Comment Subject Char"/>
    <w:rPr>
      <w:rFonts w:ascii="Arial" w:hAnsi="Arial"/>
      <w:b/>
      <w:bCs w:val="0"/>
      <w:lang w:val="en-AU"/>
    </w:rPr>
  </w:style>
  <w:style w:type="character" w:customStyle="1" w:styleId="bog-bodytext1">
    <w:name w:val="bog-bodytext1"/>
    <w:rPr>
      <w:rFonts w:ascii="Tahoma" w:hAnsi="Tahoma" w:cs="Tahoma"/>
      <w:color w:val="000000"/>
      <w:sz w:val="18"/>
      <w:szCs w:val="18"/>
    </w:rPr>
  </w:style>
  <w:style w:type="character" w:customStyle="1" w:styleId="HeaderChar">
    <w:name w:val="Header Char"/>
    <w:rPr>
      <w:rFonts w:ascii="Arial" w:hAnsi="Arial"/>
      <w:sz w:val="24"/>
      <w:lang w:val="en-AU"/>
    </w:rPr>
  </w:style>
  <w:style w:type="character" w:customStyle="1" w:styleId="BodyTextChar">
    <w:name w:val="Body Text Char"/>
    <w:rPr>
      <w:sz w:val="24"/>
      <w:lang w:val="el-GR" w:eastAsia="el-GR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FootnoteTextChar">
    <w:name w:val="Footnote Text Char"/>
    <w:rPr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/>
    </w:rPr>
  </w:style>
  <w:style w:type="character" w:customStyle="1" w:styleId="bog-bodytext">
    <w:name w:val="bog-bodytext"/>
    <w:basedOn w:val="DefaultParagraphFont"/>
  </w:style>
  <w:style w:type="character" w:styleId="FootnoteReference">
    <w:name w:val="footnote reference"/>
    <w:rPr>
      <w:position w:val="-2"/>
      <w:vertAlign w:val="superscript"/>
    </w:rPr>
  </w:style>
  <w:style w:type="character" w:customStyle="1" w:styleId="CommentTextChar">
    <w:name w:val="Comment Text Char"/>
    <w:rPr>
      <w:rFonts w:ascii="Arial" w:hAnsi="Arial"/>
      <w:lang w:val="en-AU"/>
    </w:rPr>
  </w:style>
  <w:style w:type="character" w:customStyle="1" w:styleId="apple-converted-space">
    <w:name w:val="apple-converted-space"/>
    <w:basedOn w:val="DefaultParagraphFont"/>
  </w:style>
  <w:style w:type="character" w:customStyle="1" w:styleId="EndnoteTextChar">
    <w:name w:val="Endnote Text Char"/>
    <w:rPr>
      <w:rFonts w:ascii="Arial" w:hAnsi="Arial"/>
      <w:lang w:val="en-AU" w:eastAsia="el-GR"/>
    </w:rPr>
  </w:style>
  <w:style w:type="character" w:styleId="EndnoteReference">
    <w:name w:val="endnote reference"/>
    <w:rPr>
      <w:position w:val="-2"/>
      <w:vertAlign w:val="superscript"/>
    </w:rPr>
  </w:style>
  <w:style w:type="table" w:styleId="TableGrid">
    <w:name w:val="Table Grid"/>
    <w:basedOn w:val="TableNormal"/>
    <w:uiPriority w:val="59"/>
    <w:rsid w:val="00C7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11D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66A4F"/>
    <w:rPr>
      <w:color w:val="000000"/>
      <w:sz w:val="24"/>
      <w:lang w:val="en-GB"/>
    </w:rPr>
  </w:style>
  <w:style w:type="paragraph" w:styleId="Revision">
    <w:name w:val="Revision"/>
    <w:hidden/>
    <w:uiPriority w:val="99"/>
    <w:semiHidden/>
    <w:rsid w:val="00207033"/>
    <w:rPr>
      <w:rFonts w:ascii="Arial" w:hAnsi="Arial" w:cs="Arial"/>
      <w:color w:val="000000"/>
      <w:sz w:val="24"/>
      <w:lang w:val="en-AU" w:eastAsia="el-GR"/>
    </w:rPr>
  </w:style>
  <w:style w:type="paragraph" w:styleId="ListParagraph">
    <w:name w:val="List Paragraph"/>
    <w:basedOn w:val="Normal"/>
    <w:uiPriority w:val="34"/>
    <w:qFormat/>
    <w:rsid w:val="00D14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4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ankofgreece.gr/Publications/FINANCIAL_STABILITY_REVIEW_NOVEMBER_2023_EL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kofgreece.gr" TargetMode="External"/><Relationship Id="rId1" Type="http://schemas.openxmlformats.org/officeDocument/2006/relationships/hyperlink" Target="mailto:press@bankofgreec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HDAA_Forms_Attachments" ma:contentTypeID="0x0101006B5553C3EDA2D84591F13E6AB83077FA0021DE063505E0C54CB1770EA0EFCFC78E" ma:contentTypeVersion="3" ma:contentTypeDescription="" ma:contentTypeScope="" ma:versionID="af891eace322c8507dfb6da2aeaed247">
  <xsd:schema xmlns:xsd="http://www.w3.org/2001/XMLSchema" xmlns:xs="http://www.w3.org/2001/XMLSchema" xmlns:p="http://schemas.microsoft.com/office/2006/metadata/properties" xmlns:ns2="affbdc7b-1773-4a70-a615-fbfa6c8a3310" targetNamespace="http://schemas.microsoft.com/office/2006/metadata/properties" ma:root="true" ma:fieldsID="4f8381c84eb4b89c4c9560b5586531a7" ns2:_="">
    <xsd:import namespace="affbdc7b-1773-4a70-a615-fbfa6c8a3310"/>
    <xsd:element name="properties">
      <xsd:complexType>
        <xsd:sequence>
          <xsd:element name="documentManagement">
            <xsd:complexType>
              <xsd:all>
                <xsd:element ref="ns2:SHDAA_Request_ID" minOccurs="0"/>
                <xsd:element ref="ns2:SHDAA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bdc7b-1773-4a70-a615-fbfa6c8a3310" elementFormDefault="qualified">
    <xsd:import namespace="http://schemas.microsoft.com/office/2006/documentManagement/types"/>
    <xsd:import namespace="http://schemas.microsoft.com/office/infopath/2007/PartnerControls"/>
    <xsd:element name="SHDAA_Request_ID" ma:index="8" nillable="true" ma:displayName="SHDAA_Request_ID" ma:internalName="SHDAA_Request_ID">
      <xsd:simpleType>
        <xsd:restriction base="dms:Text">
          <xsd:maxLength value="255"/>
        </xsd:restriction>
      </xsd:simpleType>
    </xsd:element>
    <xsd:element name="SHDAA_Title" ma:index="9" nillable="true" ma:displayName="SHDAA_Title" ma:internalName="SHDAA_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DAA_Title xmlns="affbdc7b-1773-4a70-a615-fbfa6c8a3310" xsi:nil="true"/>
    <SHDAA_Request_ID xmlns="affbdc7b-1773-4a70-a615-fbfa6c8a331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C544A-347F-43C2-9734-532FCDF6D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bdc7b-1773-4a70-a615-fbfa6c8a3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90EFE-22D6-48F1-8A83-60B4FA5E1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613C5-4005-427D-A27D-55C0354872DE}">
  <ds:schemaRefs>
    <ds:schemaRef ds:uri="http://schemas.microsoft.com/office/infopath/2007/PartnerControls"/>
    <ds:schemaRef ds:uri="affbdc7b-1773-4a70-a615-fbfa6c8a331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229522-B2B3-4C77-AE29-52584A4B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Greece</Company>
  <LinksUpToDate>false</LinksUpToDate>
  <CharactersWithSpaces>6193</CharactersWithSpaces>
  <SharedDoc>false</SharedDoc>
  <HLinks>
    <vt:vector size="12" baseType="variant">
      <vt:variant>
        <vt:i4>7667753</vt:i4>
      </vt:variant>
      <vt:variant>
        <vt:i4>3</vt:i4>
      </vt:variant>
      <vt:variant>
        <vt:i4>0</vt:i4>
      </vt:variant>
      <vt:variant>
        <vt:i4>5</vt:i4>
      </vt:variant>
      <vt:variant>
        <vt:lpwstr>http://www.bankofgreece.gr/</vt:lpwstr>
      </vt:variant>
      <vt:variant>
        <vt:lpwstr/>
      </vt:variant>
      <vt:variant>
        <vt:i4>5898354</vt:i4>
      </vt:variant>
      <vt:variant>
        <vt:i4>0</vt:i4>
      </vt:variant>
      <vt:variant>
        <vt:i4>0</vt:i4>
      </vt:variant>
      <vt:variant>
        <vt:i4>5</vt:i4>
      </vt:variant>
      <vt:variant>
        <vt:lpwstr>mailto:press@bankofgreece.gr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user;Dimitrios Chalamandaris</dc:creator>
  <cp:keywords/>
  <cp:lastModifiedBy>Kouloulia Maria</cp:lastModifiedBy>
  <cp:revision>5</cp:revision>
  <cp:lastPrinted>2023-11-08T09:35:00Z</cp:lastPrinted>
  <dcterms:created xsi:type="dcterms:W3CDTF">2023-11-08T10:29:00Z</dcterms:created>
  <dcterms:modified xsi:type="dcterms:W3CDTF">2023-11-08T10:30:00Z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0x0101006B5553C3EDA2D84591F13E6AB83077FA0021DE063505E0C54CB1770EA0EFCFC78E</vt:lpwstr>
  </property>
</Properties>
</file>