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Ind w:w="108" w:type="dxa"/>
        <w:tblLook w:val="04A0" w:firstRow="1" w:lastRow="0" w:firstColumn="1" w:lastColumn="0" w:noHBand="0" w:noVBand="1"/>
      </w:tblPr>
      <w:tblGrid>
        <w:gridCol w:w="3954"/>
        <w:gridCol w:w="5332"/>
      </w:tblGrid>
      <w:tr w:rsidR="006F37D0" w:rsidRPr="00727149" w14:paraId="6F1E4419" w14:textId="77777777" w:rsidTr="00F26854">
        <w:trPr>
          <w:trHeight w:val="1757"/>
        </w:trPr>
        <w:tc>
          <w:tcPr>
            <w:tcW w:w="3369" w:type="dxa"/>
            <w:tcBorders>
              <w:left w:val="single" w:sz="48" w:space="0" w:color="BC9E6E"/>
            </w:tcBorders>
            <w:shd w:val="clear" w:color="auto" w:fill="auto"/>
            <w:vAlign w:val="center"/>
          </w:tcPr>
          <w:p w14:paraId="76A3AB5A" w14:textId="77777777" w:rsidR="00C711D6" w:rsidRPr="00766A4F" w:rsidRDefault="00B112AF" w:rsidP="006A118C">
            <w:pPr>
              <w:pStyle w:val="Heading6"/>
              <w:rPr>
                <w:noProof/>
                <w:lang w:eastAsia="en-GB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F20ECAE" wp14:editId="7D2497D0">
                  <wp:extent cx="1617345" cy="873760"/>
                  <wp:effectExtent l="0" t="0" r="0" b="0"/>
                  <wp:docPr id="3" name="Picture 1" descr="LOGO TE - small 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TE - small 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7" w:type="dxa"/>
            <w:shd w:val="clear" w:color="auto" w:fill="auto"/>
          </w:tcPr>
          <w:p w14:paraId="7FF1856A" w14:textId="77777777" w:rsidR="00375D2B" w:rsidRDefault="00375D2B" w:rsidP="00375D2B">
            <w:pPr>
              <w:pStyle w:val="Heading1"/>
              <w:jc w:val="right"/>
              <w:rPr>
                <w:b/>
                <w:i w:val="0"/>
                <w:noProof/>
                <w:sz w:val="32"/>
                <w:szCs w:val="22"/>
                <w:u w:val="none"/>
                <w:lang w:eastAsia="en-GB"/>
              </w:rPr>
            </w:pPr>
          </w:p>
          <w:p w14:paraId="6F983F19" w14:textId="77777777" w:rsidR="00375D2B" w:rsidRPr="006932B9" w:rsidRDefault="00375D2B" w:rsidP="00375D2B">
            <w:pPr>
              <w:pStyle w:val="Heading1"/>
              <w:jc w:val="right"/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</w:pPr>
            <w:r w:rsidRPr="006932B9">
              <w:rPr>
                <w:b/>
                <w:i w:val="0"/>
                <w:noProof/>
                <w:color w:val="00205B"/>
                <w:sz w:val="28"/>
                <w:szCs w:val="22"/>
                <w:u w:val="none"/>
                <w:lang w:eastAsia="en-GB"/>
              </w:rPr>
              <w:t xml:space="preserve">ΔΕΛΤΙΟ ΤΥΠΟΥ </w:t>
            </w:r>
          </w:p>
          <w:p w14:paraId="3EB98B35" w14:textId="77777777" w:rsidR="00C711D6" w:rsidRPr="00727149" w:rsidRDefault="00293D3D" w:rsidP="00310BDF">
            <w:pPr>
              <w:pStyle w:val="Heading1"/>
              <w:ind w:firstLine="0"/>
              <w:jc w:val="right"/>
              <w:rPr>
                <w:i w:val="0"/>
                <w:noProof/>
                <w:szCs w:val="22"/>
                <w:u w:val="none"/>
                <w:lang w:eastAsia="en-GB"/>
              </w:rPr>
            </w:pPr>
            <w:r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Αθήνα, </w:t>
            </w:r>
            <w:r w:rsidR="00310BDF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25</w:t>
            </w:r>
            <w:r w:rsidR="00FE6E6A"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310BDF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Απριλίου</w:t>
            </w:r>
            <w:r w:rsidR="0033210B"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 xml:space="preserve"> </w:t>
            </w:r>
            <w:r w:rsidR="00375D2B" w:rsidRPr="001049A0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202</w:t>
            </w:r>
            <w:r w:rsidR="00310BDF">
              <w:rPr>
                <w:i w:val="0"/>
                <w:noProof/>
                <w:color w:val="00205B"/>
                <w:szCs w:val="22"/>
                <w:u w:val="none"/>
                <w:lang w:eastAsia="en-GB"/>
              </w:rPr>
              <w:t>4</w:t>
            </w:r>
          </w:p>
        </w:tc>
      </w:tr>
    </w:tbl>
    <w:p w14:paraId="772756BC" w14:textId="77777777" w:rsidR="00C711D6" w:rsidRDefault="00C711D6" w:rsidP="00C711D6">
      <w:pPr>
        <w:pStyle w:val="Heading1"/>
        <w:ind w:firstLine="0"/>
        <w:jc w:val="center"/>
        <w:rPr>
          <w:i w:val="0"/>
          <w:noProof/>
          <w:szCs w:val="22"/>
          <w:u w:val="none"/>
          <w:lang w:eastAsia="en-GB"/>
        </w:rPr>
      </w:pPr>
    </w:p>
    <w:p w14:paraId="3B375A9D" w14:textId="77777777" w:rsidR="001D39AC" w:rsidRPr="000A01CF" w:rsidRDefault="001D39AC" w:rsidP="000A01CF">
      <w:pPr>
        <w:rPr>
          <w:lang w:val="el-GR" w:eastAsia="en-GB"/>
        </w:rPr>
      </w:pPr>
    </w:p>
    <w:p w14:paraId="559C1DAA" w14:textId="77777777" w:rsidR="00906441" w:rsidRDefault="00293D3D" w:rsidP="00F25B96">
      <w:pPr>
        <w:pStyle w:val="Heading6"/>
        <w:tabs>
          <w:tab w:val="left" w:pos="4680"/>
          <w:tab w:val="left" w:pos="8100"/>
        </w:tabs>
        <w:spacing w:after="120" w:line="276" w:lineRule="auto"/>
        <w:ind w:left="0" w:right="-2"/>
        <w:rPr>
          <w:b/>
          <w:i w:val="0"/>
          <w:color w:val="00205B"/>
          <w:sz w:val="32"/>
          <w:szCs w:val="32"/>
        </w:rPr>
      </w:pPr>
      <w:r>
        <w:rPr>
          <w:b/>
          <w:i w:val="0"/>
          <w:color w:val="00205B"/>
          <w:sz w:val="32"/>
          <w:szCs w:val="32"/>
        </w:rPr>
        <w:t xml:space="preserve">Έκθεση Χρηματοπιστωτικής Σταθερότητας </w:t>
      </w:r>
      <w:r w:rsidR="00032171" w:rsidRPr="00A64FF2">
        <w:rPr>
          <w:b/>
          <w:i w:val="0"/>
          <w:color w:val="00205B"/>
          <w:sz w:val="32"/>
          <w:szCs w:val="32"/>
        </w:rPr>
        <w:t xml:space="preserve">– </w:t>
      </w:r>
      <w:r w:rsidR="00310BDF">
        <w:rPr>
          <w:b/>
          <w:i w:val="0"/>
          <w:color w:val="00205B"/>
          <w:sz w:val="32"/>
          <w:szCs w:val="32"/>
        </w:rPr>
        <w:t xml:space="preserve">Απρίλιος </w:t>
      </w:r>
      <w:r w:rsidR="0033210B">
        <w:rPr>
          <w:b/>
          <w:i w:val="0"/>
          <w:color w:val="00205B"/>
          <w:sz w:val="32"/>
          <w:szCs w:val="32"/>
        </w:rPr>
        <w:t>202</w:t>
      </w:r>
      <w:r w:rsidR="00310BDF">
        <w:rPr>
          <w:b/>
          <w:i w:val="0"/>
          <w:color w:val="00205B"/>
          <w:sz w:val="32"/>
          <w:szCs w:val="32"/>
        </w:rPr>
        <w:t>4</w:t>
      </w:r>
    </w:p>
    <w:p w14:paraId="612ADA6C" w14:textId="77777777" w:rsidR="001D39AC" w:rsidRDefault="001D39AC" w:rsidP="000A01CF">
      <w:pPr>
        <w:rPr>
          <w:lang w:val="el-GR"/>
        </w:rPr>
      </w:pPr>
    </w:p>
    <w:p w14:paraId="440A4F01" w14:textId="77777777" w:rsidR="001D39AC" w:rsidRPr="000A01CF" w:rsidRDefault="001D39AC" w:rsidP="000A01CF">
      <w:pPr>
        <w:rPr>
          <w:lang w:val="el-GR"/>
        </w:rPr>
      </w:pPr>
    </w:p>
    <w:p w14:paraId="5A85B72C" w14:textId="77777777" w:rsidR="00FC1EA3" w:rsidRPr="00AD53A0" w:rsidRDefault="00254FB6" w:rsidP="00AD53A0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4C3581">
        <w:rPr>
          <w:sz w:val="22"/>
          <w:szCs w:val="22"/>
          <w:lang w:val="el-GR"/>
        </w:rPr>
        <w:t xml:space="preserve">Οι κίνδυνοι για τη χρηματοπιστωτική σταθερότητα </w:t>
      </w:r>
      <w:r w:rsidR="00424A7B">
        <w:rPr>
          <w:sz w:val="22"/>
          <w:szCs w:val="22"/>
          <w:lang w:val="el-GR"/>
        </w:rPr>
        <w:t xml:space="preserve">αποκλιμακώθηκαν </w:t>
      </w:r>
      <w:r w:rsidR="00F207C1">
        <w:rPr>
          <w:sz w:val="22"/>
          <w:szCs w:val="22"/>
          <w:lang w:val="el-GR"/>
        </w:rPr>
        <w:t xml:space="preserve">το </w:t>
      </w:r>
      <w:r w:rsidR="00EA5F67">
        <w:rPr>
          <w:sz w:val="22"/>
          <w:szCs w:val="22"/>
          <w:lang w:val="el-GR"/>
        </w:rPr>
        <w:t>β</w:t>
      </w:r>
      <w:r w:rsidR="00F207C1">
        <w:rPr>
          <w:sz w:val="22"/>
          <w:szCs w:val="22"/>
          <w:lang w:val="el-GR"/>
        </w:rPr>
        <w:t>΄</w:t>
      </w:r>
      <w:r w:rsidR="00EA5F67">
        <w:rPr>
          <w:sz w:val="22"/>
          <w:szCs w:val="22"/>
          <w:lang w:val="el-GR"/>
        </w:rPr>
        <w:t xml:space="preserve"> </w:t>
      </w:r>
      <w:r w:rsidR="00F207C1">
        <w:rPr>
          <w:sz w:val="22"/>
          <w:szCs w:val="22"/>
          <w:lang w:val="el-GR"/>
        </w:rPr>
        <w:t xml:space="preserve">εξάμηνο </w:t>
      </w:r>
      <w:r w:rsidR="001613EA">
        <w:rPr>
          <w:sz w:val="22"/>
          <w:szCs w:val="22"/>
          <w:lang w:val="el-GR"/>
        </w:rPr>
        <w:t>τ</w:t>
      </w:r>
      <w:r w:rsidR="00F207C1">
        <w:rPr>
          <w:sz w:val="22"/>
          <w:szCs w:val="22"/>
          <w:lang w:val="el-GR"/>
        </w:rPr>
        <w:t>ου 2023,</w:t>
      </w:r>
      <w:r w:rsidR="00AD53A0">
        <w:rPr>
          <w:sz w:val="22"/>
          <w:szCs w:val="22"/>
          <w:lang w:val="el-GR"/>
        </w:rPr>
        <w:t xml:space="preserve"> ω</w:t>
      </w:r>
      <w:r w:rsidR="00AD53A0" w:rsidRPr="00AD53A0">
        <w:rPr>
          <w:sz w:val="22"/>
          <w:szCs w:val="22"/>
          <w:lang w:val="el-GR"/>
        </w:rPr>
        <w:t>στόσο</w:t>
      </w:r>
      <w:r w:rsidR="008A20E0" w:rsidRPr="00AD53A0">
        <w:rPr>
          <w:sz w:val="22"/>
          <w:szCs w:val="22"/>
          <w:lang w:val="el-GR"/>
        </w:rPr>
        <w:t xml:space="preserve"> </w:t>
      </w:r>
      <w:r w:rsidR="00FC1EA3" w:rsidRPr="00AD53A0">
        <w:rPr>
          <w:sz w:val="22"/>
          <w:szCs w:val="22"/>
          <w:lang w:val="el-GR"/>
        </w:rPr>
        <w:t>παραμέν</w:t>
      </w:r>
      <w:r w:rsidR="008A20E0" w:rsidRPr="00AD53A0">
        <w:rPr>
          <w:sz w:val="22"/>
          <w:szCs w:val="22"/>
          <w:lang w:val="el-GR"/>
        </w:rPr>
        <w:t xml:space="preserve">ουν προκλήσεις, όπως </w:t>
      </w:r>
      <w:r w:rsidR="00A0696D" w:rsidRPr="00AD53A0">
        <w:rPr>
          <w:sz w:val="22"/>
          <w:szCs w:val="22"/>
          <w:lang w:val="el-GR"/>
        </w:rPr>
        <w:t>ο κίνδυνος απότομης ανατιμολόγησης των περιουσιακών στοιχείων στις διεθνείς αγορές χρήματος και κεφαλαίων</w:t>
      </w:r>
      <w:r w:rsidR="00AD53A0">
        <w:rPr>
          <w:sz w:val="22"/>
          <w:szCs w:val="22"/>
          <w:lang w:val="el-GR"/>
        </w:rPr>
        <w:t xml:space="preserve"> </w:t>
      </w:r>
      <w:r w:rsidR="00AD53A0" w:rsidRPr="00AD53A0">
        <w:rPr>
          <w:sz w:val="22"/>
          <w:szCs w:val="22"/>
          <w:lang w:val="el-GR"/>
        </w:rPr>
        <w:t xml:space="preserve">και οι γεωπολιτικοί κίνδυνοι, </w:t>
      </w:r>
      <w:r w:rsidR="008E195C" w:rsidRPr="00AD53A0">
        <w:rPr>
          <w:sz w:val="22"/>
          <w:szCs w:val="22"/>
          <w:lang w:val="el-GR"/>
        </w:rPr>
        <w:t>ειδικά μετά την περαιτέρω κλιμάκωση στη Μέση Ανατολή</w:t>
      </w:r>
      <w:r w:rsidR="00FC1EA3" w:rsidRPr="00AD53A0">
        <w:rPr>
          <w:sz w:val="22"/>
          <w:szCs w:val="22"/>
          <w:lang w:val="el-GR"/>
        </w:rPr>
        <w:t>.</w:t>
      </w:r>
    </w:p>
    <w:p w14:paraId="56D0FCB5" w14:textId="1E485FD0" w:rsidR="00A0696D" w:rsidRDefault="00A0696D" w:rsidP="00CE0D96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 w:rsidRPr="00A0696D">
        <w:rPr>
          <w:sz w:val="22"/>
          <w:szCs w:val="22"/>
          <w:lang w:val="el-GR"/>
        </w:rPr>
        <w:t>Το 2023</w:t>
      </w:r>
      <w:r w:rsidR="00FF680E" w:rsidRPr="0071591E">
        <w:rPr>
          <w:sz w:val="22"/>
          <w:szCs w:val="22"/>
          <w:lang w:val="el-GR"/>
        </w:rPr>
        <w:t>,</w:t>
      </w:r>
      <w:r w:rsidRPr="00A0696D">
        <w:rPr>
          <w:sz w:val="22"/>
          <w:szCs w:val="22"/>
          <w:lang w:val="el-GR"/>
        </w:rPr>
        <w:t xml:space="preserve"> </w:t>
      </w:r>
      <w:r w:rsidR="00CE0D96">
        <w:rPr>
          <w:sz w:val="22"/>
          <w:szCs w:val="22"/>
          <w:lang w:val="el-GR"/>
        </w:rPr>
        <w:t xml:space="preserve">οι ελληνικές τράπεζες βελτίωσαν τα θεμελιώδη μεγέθη τους, </w:t>
      </w:r>
      <w:r w:rsidRPr="00A0696D">
        <w:rPr>
          <w:sz w:val="22"/>
          <w:szCs w:val="22"/>
          <w:lang w:val="el-GR"/>
        </w:rPr>
        <w:t>ενισχύ</w:t>
      </w:r>
      <w:r w:rsidR="00BD1150">
        <w:rPr>
          <w:sz w:val="22"/>
          <w:szCs w:val="22"/>
          <w:lang w:val="el-GR"/>
        </w:rPr>
        <w:t>οντας</w:t>
      </w:r>
      <w:r w:rsidRPr="00A0696D">
        <w:rPr>
          <w:sz w:val="22"/>
          <w:szCs w:val="22"/>
          <w:lang w:val="el-GR"/>
        </w:rPr>
        <w:t xml:space="preserve"> </w:t>
      </w:r>
      <w:r w:rsidR="00BD1150">
        <w:rPr>
          <w:sz w:val="22"/>
          <w:szCs w:val="22"/>
          <w:lang w:val="el-GR"/>
        </w:rPr>
        <w:t>τ</w:t>
      </w:r>
      <w:r w:rsidRPr="00A0696D">
        <w:rPr>
          <w:sz w:val="22"/>
          <w:szCs w:val="22"/>
          <w:lang w:val="el-GR"/>
        </w:rPr>
        <w:t>η</w:t>
      </w:r>
      <w:r w:rsidR="00BD1150">
        <w:rPr>
          <w:sz w:val="22"/>
          <w:szCs w:val="22"/>
          <w:lang w:val="el-GR"/>
        </w:rPr>
        <w:t>ν</w:t>
      </w:r>
      <w:r w:rsidRPr="00A0696D">
        <w:rPr>
          <w:sz w:val="22"/>
          <w:szCs w:val="22"/>
          <w:lang w:val="el-GR"/>
        </w:rPr>
        <w:t xml:space="preserve"> οργανική κερδοφορία</w:t>
      </w:r>
      <w:r w:rsidR="00CE0D96">
        <w:rPr>
          <w:sz w:val="22"/>
          <w:szCs w:val="22"/>
          <w:lang w:val="el-GR"/>
        </w:rPr>
        <w:t xml:space="preserve">, </w:t>
      </w:r>
      <w:r w:rsidR="00BD1150">
        <w:rPr>
          <w:sz w:val="22"/>
          <w:szCs w:val="22"/>
          <w:lang w:val="el-GR"/>
        </w:rPr>
        <w:t>τ</w:t>
      </w:r>
      <w:r w:rsidRPr="00CE0D96">
        <w:rPr>
          <w:sz w:val="22"/>
          <w:szCs w:val="22"/>
          <w:lang w:val="el-GR"/>
        </w:rPr>
        <w:t>η</w:t>
      </w:r>
      <w:r w:rsidR="00BD1150">
        <w:rPr>
          <w:sz w:val="22"/>
          <w:szCs w:val="22"/>
          <w:lang w:val="el-GR"/>
        </w:rPr>
        <w:t>ν</w:t>
      </w:r>
      <w:r w:rsidRPr="00CE0D96">
        <w:rPr>
          <w:sz w:val="22"/>
          <w:szCs w:val="22"/>
          <w:lang w:val="el-GR"/>
        </w:rPr>
        <w:t xml:space="preserve"> κεφαλαιακή επάρκεια</w:t>
      </w:r>
      <w:r w:rsidR="00CE0D96">
        <w:rPr>
          <w:sz w:val="22"/>
          <w:szCs w:val="22"/>
          <w:lang w:val="el-GR"/>
        </w:rPr>
        <w:t xml:space="preserve">, </w:t>
      </w:r>
      <w:r w:rsidR="00BD1150">
        <w:rPr>
          <w:sz w:val="22"/>
          <w:szCs w:val="22"/>
          <w:lang w:val="el-GR"/>
        </w:rPr>
        <w:t>τ</w:t>
      </w:r>
      <w:r w:rsidR="00CE0D96">
        <w:rPr>
          <w:sz w:val="22"/>
          <w:szCs w:val="22"/>
          <w:lang w:val="el-GR"/>
        </w:rPr>
        <w:t xml:space="preserve">η ρευστότητα και </w:t>
      </w:r>
      <w:r w:rsidR="00BD1150">
        <w:rPr>
          <w:sz w:val="22"/>
          <w:szCs w:val="22"/>
          <w:lang w:val="el-GR"/>
        </w:rPr>
        <w:t>τ</w:t>
      </w:r>
      <w:r w:rsidR="00CE0D96">
        <w:rPr>
          <w:sz w:val="22"/>
          <w:szCs w:val="22"/>
          <w:lang w:val="el-GR"/>
        </w:rPr>
        <w:t>η</w:t>
      </w:r>
      <w:r w:rsidR="00BD1150">
        <w:rPr>
          <w:sz w:val="22"/>
          <w:szCs w:val="22"/>
          <w:lang w:val="el-GR"/>
        </w:rPr>
        <w:t>ν</w:t>
      </w:r>
      <w:r w:rsidR="00CE0D96">
        <w:rPr>
          <w:sz w:val="22"/>
          <w:szCs w:val="22"/>
          <w:lang w:val="el-GR"/>
        </w:rPr>
        <w:t xml:space="preserve"> ποιότητα χαρτοφυλακίου τους</w:t>
      </w:r>
      <w:r w:rsidRPr="00CE0D96">
        <w:rPr>
          <w:sz w:val="22"/>
          <w:szCs w:val="22"/>
          <w:lang w:val="el-GR"/>
        </w:rPr>
        <w:t>.</w:t>
      </w:r>
    </w:p>
    <w:p w14:paraId="2A7B90E9" w14:textId="77777777" w:rsidR="00CE0D96" w:rsidDel="00AD53A0" w:rsidRDefault="00CE0D96" w:rsidP="00CE0D96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Κατά συνέπεια, ο</w:t>
      </w:r>
      <w:r w:rsidRPr="00254FB6" w:rsidDel="00AD53A0">
        <w:rPr>
          <w:sz w:val="22"/>
          <w:szCs w:val="22"/>
          <w:lang w:val="el-GR"/>
        </w:rPr>
        <w:t>ι ελληνικές τράπεζες είναι σε καλύτερη θέση σε σχέση με το παρελθόν για να αντιμετωπίσουν πιθανές αναταράξεις, ενισχύοντας με τη σειρά τους την ανθεκτικότητα της ελληνικής οικονομίας.</w:t>
      </w:r>
    </w:p>
    <w:p w14:paraId="6172F65C" w14:textId="77777777" w:rsidR="00CE0D96" w:rsidRPr="00CE0D96" w:rsidRDefault="00CE0D96" w:rsidP="00CE0D96">
      <w:pPr>
        <w:numPr>
          <w:ilvl w:val="0"/>
          <w:numId w:val="5"/>
        </w:numPr>
        <w:spacing w:line="360" w:lineRule="auto"/>
        <w:ind w:left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Βελτίωση παρατηρήθηκε και στους λοιπούς τομείς και τις υποδομές του χρηματοπιστωτικού συστήματος. </w:t>
      </w:r>
    </w:p>
    <w:p w14:paraId="12621EB6" w14:textId="78FFA36B" w:rsidR="00276886" w:rsidRPr="00C33B34" w:rsidRDefault="00824C25" w:rsidP="007F3270">
      <w:pPr>
        <w:spacing w:before="240" w:line="360" w:lineRule="auto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 w:rsidRPr="00C33B34">
        <w:rPr>
          <w:rFonts w:eastAsia="Calibri"/>
          <w:color w:val="auto"/>
          <w:sz w:val="22"/>
          <w:szCs w:val="22"/>
          <w:lang w:val="el-GR" w:eastAsia="en-US"/>
        </w:rPr>
        <w:t xml:space="preserve">Αναρτήθηκε σήμερα στον ιστοχώρο της Τράπεζας της Ελλάδος η Έκθεση Χρηματοπιστωτικής Σταθερότητας, η οποία δημοσιεύεται δύο φορές το χρόνο από τη Διεύθυνση Χρηματοπιστωτικής Σταθερότητας. </w:t>
      </w:r>
    </w:p>
    <w:p w14:paraId="5940E62F" w14:textId="77777777" w:rsidR="00240210" w:rsidRPr="002824EA" w:rsidRDefault="00276886" w:rsidP="007C7317">
      <w:pPr>
        <w:spacing w:before="240" w:line="360" w:lineRule="auto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Η Έκθεση Χρηματοπιστωτικής Σταθερότητας αξιολογεί τις εξελίξεις, εντοπίζει τους κύριους παράγοντες των συστημικών κινδύνων του ελληνικού τραπεζικού τομέα και των λοιπών </w:t>
      </w:r>
      <w:r w:rsidR="001C2240">
        <w:rPr>
          <w:rFonts w:eastAsia="Calibri"/>
          <w:color w:val="auto"/>
          <w:sz w:val="22"/>
          <w:szCs w:val="22"/>
          <w:lang w:val="el-GR" w:eastAsia="en-US"/>
        </w:rPr>
        <w:t>τομέων</w:t>
      </w:r>
      <w:r w:rsidR="001C2240"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του χρηματοπιστωτικού συστήματος και αναλύει </w:t>
      </w:r>
      <w:r w:rsidR="009A1AE4">
        <w:rPr>
          <w:rFonts w:eastAsia="Calibri"/>
          <w:color w:val="auto"/>
          <w:sz w:val="22"/>
          <w:szCs w:val="22"/>
          <w:lang w:val="el-GR" w:eastAsia="en-US"/>
        </w:rPr>
        <w:t>τ</w:t>
      </w:r>
      <w:r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η λειτουργία των υποδομών </w:t>
      </w:r>
      <w:r w:rsidR="00F856D5"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των </w:t>
      </w:r>
      <w:r w:rsidRPr="002824EA">
        <w:rPr>
          <w:rFonts w:eastAsia="Calibri"/>
          <w:color w:val="auto"/>
          <w:sz w:val="22"/>
          <w:szCs w:val="22"/>
          <w:lang w:val="el-GR" w:eastAsia="en-US"/>
        </w:rPr>
        <w:t>χρηματοπιστωτικών αγορών (συστήματα πληρωμών, κάρτες πληρωμών, κεντρικά αποθετήρια τίτλων και κεντρικοί αντισυμβαλλόμενοι).</w:t>
      </w:r>
      <w:r w:rsidR="00B6213D" w:rsidRPr="002824EA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</w:p>
    <w:p w14:paraId="4BE615E1" w14:textId="7FBF06BA" w:rsidR="00176803" w:rsidRDefault="00B6213D" w:rsidP="006A118C">
      <w:pPr>
        <w:spacing w:before="240" w:line="360" w:lineRule="auto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Η παρούσα Έκθεση επικεντρώνεται στις εξελίξεις που έλαβαν </w:t>
      </w:r>
      <w:r w:rsidR="002824EA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χώρα στον τραπεζικό τομέα </w:t>
      </w:r>
      <w:r w:rsidR="001C2240">
        <w:rPr>
          <w:rFonts w:eastAsia="Calibri"/>
          <w:color w:val="auto"/>
          <w:sz w:val="22"/>
          <w:szCs w:val="22"/>
          <w:lang w:val="el-GR" w:eastAsia="en-US"/>
        </w:rPr>
        <w:t>το</w:t>
      </w:r>
      <w:r w:rsidR="00B6006A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2824EA" w:rsidRPr="00305178">
        <w:rPr>
          <w:rFonts w:eastAsia="Calibri"/>
          <w:color w:val="auto"/>
          <w:sz w:val="22"/>
          <w:szCs w:val="22"/>
          <w:lang w:val="el-GR" w:eastAsia="en-US"/>
        </w:rPr>
        <w:t>202</w:t>
      </w:r>
      <w:r w:rsidR="00B6006A">
        <w:rPr>
          <w:rFonts w:eastAsia="Calibri"/>
          <w:color w:val="auto"/>
          <w:sz w:val="22"/>
          <w:szCs w:val="22"/>
          <w:lang w:val="el-GR" w:eastAsia="en-US"/>
        </w:rPr>
        <w:t>3</w:t>
      </w:r>
      <w:r w:rsidR="006A118C">
        <w:rPr>
          <w:rFonts w:eastAsia="Calibri"/>
          <w:color w:val="auto"/>
          <w:sz w:val="22"/>
          <w:szCs w:val="22"/>
          <w:lang w:val="el-GR" w:eastAsia="en-US"/>
        </w:rPr>
        <w:t>, ενώ π</w:t>
      </w:r>
      <w:r w:rsidR="003E67BF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αρουσιάζονται επίσης </w:t>
      </w:r>
      <w:r w:rsidR="00E8273B">
        <w:rPr>
          <w:rFonts w:eastAsia="Calibri"/>
          <w:color w:val="auto"/>
          <w:sz w:val="22"/>
          <w:szCs w:val="22"/>
          <w:lang w:val="el-GR" w:eastAsia="en-US"/>
        </w:rPr>
        <w:t xml:space="preserve">δύο </w:t>
      </w:r>
      <w:r w:rsidR="0034618A">
        <w:rPr>
          <w:rFonts w:eastAsia="Calibri"/>
          <w:color w:val="auto"/>
          <w:sz w:val="22"/>
          <w:szCs w:val="22"/>
          <w:lang w:val="el-GR" w:eastAsia="en-US"/>
        </w:rPr>
        <w:t>Ε</w:t>
      </w:r>
      <w:r w:rsidR="003A7FD3" w:rsidRPr="00305178">
        <w:rPr>
          <w:rFonts w:eastAsia="Calibri"/>
          <w:color w:val="auto"/>
          <w:sz w:val="22"/>
          <w:szCs w:val="22"/>
          <w:lang w:val="el-GR" w:eastAsia="en-US"/>
        </w:rPr>
        <w:t xml:space="preserve">ιδικά </w:t>
      </w:r>
      <w:r w:rsidR="00333C38">
        <w:rPr>
          <w:rFonts w:eastAsia="Calibri"/>
          <w:color w:val="auto"/>
          <w:sz w:val="22"/>
          <w:szCs w:val="22"/>
          <w:lang w:val="el-GR" w:eastAsia="en-US"/>
        </w:rPr>
        <w:t>Θ</w:t>
      </w:r>
      <w:r w:rsidR="003E67BF" w:rsidRPr="00305178">
        <w:rPr>
          <w:rFonts w:eastAsia="Calibri"/>
          <w:color w:val="auto"/>
          <w:sz w:val="22"/>
          <w:szCs w:val="22"/>
          <w:lang w:val="el-GR" w:eastAsia="en-US"/>
        </w:rPr>
        <w:t>έματα</w:t>
      </w:r>
      <w:r w:rsidR="00176803">
        <w:rPr>
          <w:rFonts w:eastAsia="Calibri"/>
          <w:color w:val="auto"/>
          <w:sz w:val="22"/>
          <w:szCs w:val="22"/>
          <w:lang w:val="el-GR" w:eastAsia="en-US"/>
        </w:rPr>
        <w:t>:</w:t>
      </w:r>
      <w:r w:rsidR="006A118C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</w:p>
    <w:p w14:paraId="3ABD6511" w14:textId="77777777" w:rsidR="0095627E" w:rsidRDefault="00176803" w:rsidP="0071591E">
      <w:pPr>
        <w:spacing w:before="240" w:line="360" w:lineRule="auto"/>
        <w:ind w:left="720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>
        <w:rPr>
          <w:rFonts w:eastAsia="Calibri"/>
          <w:color w:val="auto"/>
          <w:sz w:val="22"/>
          <w:szCs w:val="22"/>
          <w:lang w:val="el-GR" w:eastAsia="en-US"/>
        </w:rPr>
        <w:t xml:space="preserve">α) </w:t>
      </w:r>
      <w:r w:rsidR="006A118C">
        <w:rPr>
          <w:rFonts w:eastAsia="Calibri"/>
          <w:color w:val="auto"/>
          <w:sz w:val="22"/>
          <w:szCs w:val="22"/>
          <w:lang w:val="el-GR" w:eastAsia="en-US"/>
        </w:rPr>
        <w:t>Τ</w:t>
      </w:r>
      <w:r w:rsidR="006A118C" w:rsidRPr="006A118C">
        <w:rPr>
          <w:rFonts w:eastAsia="Calibri"/>
          <w:color w:val="auto"/>
          <w:sz w:val="22"/>
          <w:szCs w:val="22"/>
          <w:lang w:val="el-GR" w:eastAsia="en-US"/>
        </w:rPr>
        <w:t>ο Ειδικό Θέμα Ι παρέχει μια επισκόπηση των εθνικών πλαισίων για το κυκλικά ουδέτερο αντικυκλικό κεφαλαιακό απόθεμα ασφαλείας, το οποίο τίθεται σε θετικό επίπεδο σε πρώιμο στάδιο του οικονομικού και χρηματοπιστωτικού κύκλου</w:t>
      </w:r>
      <w:r w:rsidR="0095627E">
        <w:rPr>
          <w:rFonts w:eastAsia="Calibri"/>
          <w:color w:val="auto"/>
          <w:sz w:val="22"/>
          <w:szCs w:val="22"/>
          <w:lang w:val="el-GR" w:eastAsia="en-US"/>
        </w:rPr>
        <w:t>,</w:t>
      </w:r>
      <w:r w:rsidR="006A118C" w:rsidRPr="006A118C">
        <w:rPr>
          <w:rFonts w:eastAsia="Calibri"/>
          <w:color w:val="auto"/>
          <w:sz w:val="22"/>
          <w:szCs w:val="22"/>
          <w:lang w:val="el-GR" w:eastAsia="en-US"/>
        </w:rPr>
        <w:t xml:space="preserve"> όταν οι </w:t>
      </w:r>
      <w:r w:rsidR="006A118C" w:rsidRPr="006A118C">
        <w:rPr>
          <w:rFonts w:eastAsia="Calibri"/>
          <w:color w:val="auto"/>
          <w:sz w:val="22"/>
          <w:szCs w:val="22"/>
          <w:lang w:val="el-GR" w:eastAsia="en-US"/>
        </w:rPr>
        <w:lastRenderedPageBreak/>
        <w:t>κυκλικοί συστημικοί κίνδυνοι δεν είναι ούτε ιδιαίτερα αυξημένοι αλλά ούτε και υποτονικοί, δηλαδή σε ουδέτερο περιβάλλον κινδύνου</w:t>
      </w:r>
      <w:r w:rsidR="00BD1150">
        <w:rPr>
          <w:rFonts w:eastAsia="Calibri"/>
          <w:color w:val="auto"/>
          <w:sz w:val="22"/>
          <w:szCs w:val="22"/>
          <w:lang w:val="el-GR" w:eastAsia="en-US"/>
        </w:rPr>
        <w:t xml:space="preserve">. </w:t>
      </w:r>
    </w:p>
    <w:p w14:paraId="29CB9083" w14:textId="7B426BE9" w:rsidR="00E8273B" w:rsidRPr="00E8273B" w:rsidRDefault="0095627E" w:rsidP="0071591E">
      <w:pPr>
        <w:spacing w:before="240" w:line="360" w:lineRule="auto"/>
        <w:ind w:left="720"/>
        <w:jc w:val="both"/>
        <w:rPr>
          <w:rFonts w:eastAsia="Calibri"/>
          <w:color w:val="auto"/>
          <w:sz w:val="22"/>
          <w:szCs w:val="22"/>
          <w:lang w:val="el-GR" w:eastAsia="en-US"/>
        </w:rPr>
      </w:pPr>
      <w:r>
        <w:rPr>
          <w:rFonts w:eastAsia="Calibri"/>
          <w:color w:val="auto"/>
          <w:sz w:val="22"/>
          <w:szCs w:val="22"/>
          <w:lang w:val="el-GR" w:eastAsia="en-US"/>
        </w:rPr>
        <w:t xml:space="preserve">β) </w:t>
      </w:r>
      <w:r w:rsidR="00BD1150">
        <w:rPr>
          <w:rFonts w:eastAsia="Calibri"/>
          <w:color w:val="auto"/>
          <w:sz w:val="22"/>
          <w:szCs w:val="22"/>
          <w:lang w:val="el-GR" w:eastAsia="en-US"/>
        </w:rPr>
        <w:t>Τ</w:t>
      </w:r>
      <w:r w:rsidR="006A118C">
        <w:rPr>
          <w:rFonts w:eastAsia="Calibri"/>
          <w:color w:val="auto"/>
          <w:sz w:val="22"/>
          <w:szCs w:val="22"/>
          <w:lang w:val="el-GR" w:eastAsia="en-US"/>
        </w:rPr>
        <w:t>ο Ειδικό Θέμα ΙΙ εξετάζει τη</w:t>
      </w:r>
      <w:r w:rsidR="00E8273B" w:rsidRPr="00E8273B">
        <w:rPr>
          <w:rFonts w:eastAsia="Calibri"/>
          <w:color w:val="auto"/>
          <w:sz w:val="22"/>
          <w:szCs w:val="22"/>
          <w:lang w:val="el-GR" w:eastAsia="en-US"/>
        </w:rPr>
        <w:t xml:space="preserve"> χρήση των νέων τεχνολογιών στο διακανονισμό συναλλαγών</w:t>
      </w:r>
      <w:r w:rsidR="00C7216F" w:rsidRPr="00C7216F">
        <w:rPr>
          <w:rFonts w:eastAsia="Calibri"/>
          <w:color w:val="auto"/>
          <w:sz w:val="22"/>
          <w:szCs w:val="22"/>
          <w:lang w:val="el-GR" w:eastAsia="en-US"/>
        </w:rPr>
        <w:t xml:space="preserve"> </w:t>
      </w:r>
      <w:r w:rsidR="00C7216F">
        <w:rPr>
          <w:rFonts w:eastAsia="Calibri"/>
          <w:color w:val="auto"/>
          <w:sz w:val="22"/>
          <w:szCs w:val="22"/>
          <w:lang w:val="el-GR" w:eastAsia="en-US"/>
        </w:rPr>
        <w:t>στις χρηματοπιστωτικές αγορές</w:t>
      </w:r>
      <w:r w:rsidR="00E8273B">
        <w:rPr>
          <w:rFonts w:eastAsia="Calibri"/>
          <w:color w:val="auto"/>
          <w:sz w:val="22"/>
          <w:szCs w:val="22"/>
          <w:lang w:val="el-GR" w:eastAsia="en-US"/>
        </w:rPr>
        <w:t>.</w:t>
      </w:r>
    </w:p>
    <w:p w14:paraId="0173B99A" w14:textId="48A643E1" w:rsidR="00475AE6" w:rsidRDefault="00424693" w:rsidP="00475AE6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 βελτίωση του συνόλου των βασικών μεγεθών του τραπεζικού τομέα είναι αδιαμφισβήτητη. </w:t>
      </w:r>
      <w:r w:rsidR="0040332A">
        <w:rPr>
          <w:sz w:val="22"/>
          <w:szCs w:val="22"/>
          <w:lang w:val="el-GR"/>
        </w:rPr>
        <w:t>Ωστόσο, η</w:t>
      </w:r>
      <w:r w:rsidR="00034EB3" w:rsidRPr="00034EB3">
        <w:rPr>
          <w:sz w:val="22"/>
          <w:szCs w:val="22"/>
          <w:lang w:val="el-GR"/>
        </w:rPr>
        <w:t xml:space="preserve"> διατήρηση του πληθωρισμού σε υψηλό </w:t>
      </w:r>
      <w:r w:rsidR="00034EB3">
        <w:rPr>
          <w:sz w:val="22"/>
          <w:szCs w:val="22"/>
          <w:lang w:val="el-GR"/>
        </w:rPr>
        <w:t xml:space="preserve">ακόμη </w:t>
      </w:r>
      <w:r w:rsidR="00034EB3" w:rsidRPr="00034EB3">
        <w:rPr>
          <w:sz w:val="22"/>
          <w:szCs w:val="22"/>
          <w:lang w:val="el-GR"/>
        </w:rPr>
        <w:t>επίπεδο</w:t>
      </w:r>
      <w:r w:rsidR="00A904A0">
        <w:rPr>
          <w:sz w:val="22"/>
          <w:szCs w:val="22"/>
          <w:lang w:val="el-GR"/>
        </w:rPr>
        <w:t>,</w:t>
      </w:r>
      <w:r w:rsidR="00034EB3">
        <w:rPr>
          <w:sz w:val="22"/>
          <w:szCs w:val="22"/>
          <w:lang w:val="el-GR"/>
        </w:rPr>
        <w:t xml:space="preserve"> σε συνδυασμό </w:t>
      </w:r>
      <w:r w:rsidR="00034EB3" w:rsidRPr="00034EB3">
        <w:rPr>
          <w:sz w:val="22"/>
          <w:szCs w:val="22"/>
          <w:lang w:val="el-GR"/>
        </w:rPr>
        <w:t>με τ</w:t>
      </w:r>
      <w:r w:rsidR="005D01FE">
        <w:rPr>
          <w:sz w:val="22"/>
          <w:szCs w:val="22"/>
          <w:lang w:val="el-GR"/>
        </w:rPr>
        <w:t xml:space="preserve">α αυξημένα </w:t>
      </w:r>
      <w:r w:rsidR="00A90530">
        <w:rPr>
          <w:sz w:val="22"/>
          <w:szCs w:val="22"/>
          <w:lang w:val="el-GR"/>
        </w:rPr>
        <w:t xml:space="preserve">βασικά </w:t>
      </w:r>
      <w:r w:rsidR="00034EB3" w:rsidRPr="00034EB3">
        <w:rPr>
          <w:sz w:val="22"/>
          <w:szCs w:val="22"/>
          <w:lang w:val="el-GR"/>
        </w:rPr>
        <w:t>επιτ</w:t>
      </w:r>
      <w:r w:rsidR="005D01FE">
        <w:rPr>
          <w:sz w:val="22"/>
          <w:szCs w:val="22"/>
          <w:lang w:val="el-GR"/>
        </w:rPr>
        <w:t>όκια</w:t>
      </w:r>
      <w:r w:rsidR="00A90530">
        <w:rPr>
          <w:sz w:val="22"/>
          <w:szCs w:val="22"/>
          <w:lang w:val="el-GR"/>
        </w:rPr>
        <w:t xml:space="preserve"> </w:t>
      </w:r>
      <w:r w:rsidR="00500AE9">
        <w:rPr>
          <w:sz w:val="22"/>
          <w:szCs w:val="22"/>
          <w:lang w:val="el-GR"/>
        </w:rPr>
        <w:t xml:space="preserve">της ΕΚΤ </w:t>
      </w:r>
      <w:r w:rsidR="00A90530">
        <w:rPr>
          <w:sz w:val="22"/>
          <w:szCs w:val="22"/>
          <w:lang w:val="el-GR"/>
        </w:rPr>
        <w:t>και την επιβράδυνση του ρυθμού οικονομικής ανάπτυξης</w:t>
      </w:r>
      <w:r w:rsidR="00034EB3">
        <w:rPr>
          <w:sz w:val="22"/>
          <w:szCs w:val="22"/>
          <w:lang w:val="el-GR"/>
        </w:rPr>
        <w:t>,</w:t>
      </w:r>
      <w:r w:rsidR="00034EB3" w:rsidRPr="00034EB3">
        <w:rPr>
          <w:sz w:val="22"/>
          <w:szCs w:val="22"/>
          <w:lang w:val="el-GR"/>
        </w:rPr>
        <w:t xml:space="preserve"> </w:t>
      </w:r>
      <w:r w:rsidR="00034EB3">
        <w:rPr>
          <w:sz w:val="22"/>
          <w:szCs w:val="22"/>
          <w:lang w:val="el-GR"/>
        </w:rPr>
        <w:t>δοκιμάζ</w:t>
      </w:r>
      <w:r w:rsidR="00A904A0">
        <w:rPr>
          <w:sz w:val="22"/>
          <w:szCs w:val="22"/>
          <w:lang w:val="el-GR"/>
        </w:rPr>
        <w:t>ει</w:t>
      </w:r>
      <w:r w:rsidR="00034EB3">
        <w:rPr>
          <w:sz w:val="22"/>
          <w:szCs w:val="22"/>
          <w:lang w:val="el-GR"/>
        </w:rPr>
        <w:t xml:space="preserve"> την ανθεκτικότητα των νοικοκυριών και επιχειρ</w:t>
      </w:r>
      <w:r w:rsidR="005D01FE">
        <w:rPr>
          <w:sz w:val="22"/>
          <w:szCs w:val="22"/>
          <w:lang w:val="el-GR"/>
        </w:rPr>
        <w:t>ήσεων</w:t>
      </w:r>
      <w:r w:rsidR="0040332A">
        <w:rPr>
          <w:sz w:val="22"/>
          <w:szCs w:val="22"/>
          <w:lang w:val="el-GR"/>
        </w:rPr>
        <w:t xml:space="preserve"> και </w:t>
      </w:r>
      <w:r w:rsidR="00B168B9">
        <w:rPr>
          <w:sz w:val="22"/>
          <w:szCs w:val="22"/>
          <w:lang w:val="el-GR"/>
        </w:rPr>
        <w:t>ενδέχεται να συμβάλ</w:t>
      </w:r>
      <w:r w:rsidR="00A904A0">
        <w:rPr>
          <w:sz w:val="22"/>
          <w:szCs w:val="22"/>
          <w:lang w:val="el-GR"/>
        </w:rPr>
        <w:t>ει</w:t>
      </w:r>
      <w:r w:rsidR="00B168B9">
        <w:rPr>
          <w:sz w:val="22"/>
          <w:szCs w:val="22"/>
          <w:lang w:val="el-GR"/>
        </w:rPr>
        <w:t xml:space="preserve"> στη δημιουργία νέων </w:t>
      </w:r>
      <w:r w:rsidR="00E42D97">
        <w:rPr>
          <w:sz w:val="22"/>
          <w:szCs w:val="22"/>
          <w:lang w:val="el-GR"/>
        </w:rPr>
        <w:t>μη εξυπηρετούμενων δανείων (</w:t>
      </w:r>
      <w:r w:rsidR="00B168B9">
        <w:rPr>
          <w:sz w:val="22"/>
          <w:szCs w:val="22"/>
          <w:lang w:val="el-GR"/>
        </w:rPr>
        <w:t>ΜΕΔ</w:t>
      </w:r>
      <w:r w:rsidR="00E42D97">
        <w:rPr>
          <w:sz w:val="22"/>
          <w:szCs w:val="22"/>
          <w:lang w:val="el-GR"/>
        </w:rPr>
        <w:t>)</w:t>
      </w:r>
      <w:r w:rsidR="00B168B9">
        <w:rPr>
          <w:sz w:val="22"/>
          <w:szCs w:val="22"/>
          <w:lang w:val="el-GR"/>
        </w:rPr>
        <w:t xml:space="preserve">. </w:t>
      </w:r>
    </w:p>
    <w:p w14:paraId="4FA3EB69" w14:textId="1B5FF385" w:rsidR="00F24C15" w:rsidRDefault="003B6E4D" w:rsidP="00E76E37">
      <w:pPr>
        <w:spacing w:before="240" w:line="360" w:lineRule="auto"/>
        <w:jc w:val="both"/>
        <w:rPr>
          <w:sz w:val="22"/>
          <w:szCs w:val="22"/>
          <w:lang w:val="el-GR"/>
        </w:rPr>
      </w:pPr>
      <w:r w:rsidRPr="003B6E4D">
        <w:rPr>
          <w:sz w:val="22"/>
          <w:szCs w:val="22"/>
          <w:lang w:val="el-GR"/>
        </w:rPr>
        <w:t>Το 2023</w:t>
      </w:r>
      <w:r w:rsidR="00445A58">
        <w:rPr>
          <w:sz w:val="22"/>
          <w:szCs w:val="22"/>
          <w:lang w:val="el-GR"/>
        </w:rPr>
        <w:t>,</w:t>
      </w:r>
      <w:r w:rsidRPr="003B6E4D">
        <w:rPr>
          <w:sz w:val="22"/>
          <w:szCs w:val="22"/>
          <w:lang w:val="el-GR"/>
        </w:rPr>
        <w:t xml:space="preserve"> οι ελληνικές τράπεζες κατέγραψαν κέρδη μετά από φόρους και διακοπτόμενες δραστηριότητες ύψους 3,8 δισεκ. ευρώ, έναντι κερδών 3,4 δισεκ. ευρώ το 2022. Θετικά συνέβαλε η αύξηση των καθαρών εσόδων από τόκους ως αποτέλεσμα της αύξησης των βασικών επιτοκίων</w:t>
      </w:r>
      <w:r w:rsidR="00500AE9">
        <w:rPr>
          <w:sz w:val="22"/>
          <w:szCs w:val="22"/>
          <w:lang w:val="el-GR"/>
        </w:rPr>
        <w:t xml:space="preserve"> της ΕΚΤ</w:t>
      </w:r>
      <w:r w:rsidRPr="003B6E4D">
        <w:rPr>
          <w:sz w:val="22"/>
          <w:szCs w:val="22"/>
          <w:lang w:val="el-GR"/>
        </w:rPr>
        <w:t>, ενώ αρνητικά επ</w:t>
      </w:r>
      <w:r w:rsidR="00605410">
        <w:rPr>
          <w:sz w:val="22"/>
          <w:szCs w:val="22"/>
          <w:lang w:val="el-GR"/>
        </w:rPr>
        <w:t>έ</w:t>
      </w:r>
      <w:r w:rsidRPr="003B6E4D">
        <w:rPr>
          <w:sz w:val="22"/>
          <w:szCs w:val="22"/>
          <w:lang w:val="el-GR"/>
        </w:rPr>
        <w:t>δρασε η μεγάλη μείωση των εσόδων από χρηματοοικονομικές πράξεις και λοιπά έσοδα</w:t>
      </w:r>
      <w:r w:rsidR="00205A44">
        <w:rPr>
          <w:sz w:val="22"/>
          <w:szCs w:val="22"/>
          <w:lang w:val="el-GR"/>
        </w:rPr>
        <w:t>, τα οποία είναι μη επαναλαμβανόμενα</w:t>
      </w:r>
      <w:r w:rsidRPr="003B6E4D">
        <w:rPr>
          <w:sz w:val="22"/>
          <w:szCs w:val="22"/>
          <w:lang w:val="el-GR"/>
        </w:rPr>
        <w:t>.</w:t>
      </w:r>
      <w:r w:rsidR="00205A44">
        <w:rPr>
          <w:sz w:val="22"/>
          <w:szCs w:val="22"/>
          <w:lang w:val="el-GR"/>
        </w:rPr>
        <w:t xml:space="preserve"> </w:t>
      </w:r>
    </w:p>
    <w:p w14:paraId="5E8B0A43" w14:textId="58C1681B" w:rsidR="002B30E3" w:rsidRDefault="002B30E3" w:rsidP="002B30E3">
      <w:pPr>
        <w:spacing w:before="240" w:line="360" w:lineRule="auto"/>
        <w:jc w:val="both"/>
        <w:rPr>
          <w:sz w:val="22"/>
          <w:szCs w:val="22"/>
          <w:lang w:val="el-GR"/>
        </w:rPr>
      </w:pPr>
      <w:r w:rsidRPr="002B30E3">
        <w:rPr>
          <w:sz w:val="22"/>
          <w:szCs w:val="22"/>
          <w:lang w:val="el-GR"/>
        </w:rPr>
        <w:t>Η κεφαλαιακή επάρκεια των ελληνικών τραπεζικών ομ</w:t>
      </w:r>
      <w:r>
        <w:rPr>
          <w:sz w:val="22"/>
          <w:szCs w:val="22"/>
          <w:lang w:val="el-GR"/>
        </w:rPr>
        <w:t xml:space="preserve">ίλων ενισχύθηκε σημαντικά, ωστόσο </w:t>
      </w:r>
      <w:r w:rsidRPr="00493908">
        <w:rPr>
          <w:sz w:val="22"/>
          <w:szCs w:val="22"/>
          <w:lang w:val="el-GR"/>
        </w:rPr>
        <w:t xml:space="preserve">η ποιότητα των εποπτικών ιδίων κεφαλαίων τους </w:t>
      </w:r>
      <w:r w:rsidR="008E195C">
        <w:rPr>
          <w:sz w:val="22"/>
          <w:szCs w:val="22"/>
          <w:lang w:val="el-GR"/>
        </w:rPr>
        <w:t xml:space="preserve">εξακολουθεί να </w:t>
      </w:r>
      <w:r w:rsidR="00BD1150">
        <w:rPr>
          <w:sz w:val="22"/>
          <w:szCs w:val="22"/>
          <w:lang w:val="el-GR"/>
        </w:rPr>
        <w:t>είναι</w:t>
      </w:r>
      <w:r w:rsidRPr="00493908">
        <w:rPr>
          <w:sz w:val="22"/>
          <w:szCs w:val="22"/>
          <w:lang w:val="el-GR"/>
        </w:rPr>
        <w:t xml:space="preserve"> χαμηλή</w:t>
      </w:r>
      <w:r>
        <w:rPr>
          <w:sz w:val="22"/>
          <w:szCs w:val="22"/>
          <w:lang w:val="el-GR"/>
        </w:rPr>
        <w:t xml:space="preserve">. Η </w:t>
      </w:r>
      <w:r w:rsidR="00E2180B">
        <w:rPr>
          <w:sz w:val="22"/>
          <w:szCs w:val="22"/>
          <w:lang w:val="el-GR"/>
        </w:rPr>
        <w:t xml:space="preserve">βελτίωση της κεφαλαιακής επάρκειας </w:t>
      </w:r>
      <w:r>
        <w:rPr>
          <w:sz w:val="22"/>
          <w:szCs w:val="22"/>
          <w:lang w:val="el-GR"/>
        </w:rPr>
        <w:t>επ</w:t>
      </w:r>
      <w:r w:rsidR="00BD1150">
        <w:rPr>
          <w:sz w:val="22"/>
          <w:szCs w:val="22"/>
          <w:lang w:val="el-GR"/>
        </w:rPr>
        <w:t>ι</w:t>
      </w:r>
      <w:r>
        <w:rPr>
          <w:sz w:val="22"/>
          <w:szCs w:val="22"/>
          <w:lang w:val="el-GR"/>
        </w:rPr>
        <w:t>τεύχθη</w:t>
      </w:r>
      <w:r w:rsidR="00BD1150">
        <w:rPr>
          <w:sz w:val="22"/>
          <w:szCs w:val="22"/>
          <w:lang w:val="el-GR"/>
        </w:rPr>
        <w:t>κε</w:t>
      </w:r>
      <w:r>
        <w:rPr>
          <w:sz w:val="22"/>
          <w:szCs w:val="22"/>
          <w:lang w:val="el-GR"/>
        </w:rPr>
        <w:t xml:space="preserve"> </w:t>
      </w:r>
      <w:r w:rsidRPr="002B30E3">
        <w:rPr>
          <w:sz w:val="22"/>
          <w:szCs w:val="22"/>
          <w:lang w:val="el-GR"/>
        </w:rPr>
        <w:t xml:space="preserve">κυρίως </w:t>
      </w:r>
      <w:r>
        <w:rPr>
          <w:sz w:val="22"/>
          <w:szCs w:val="22"/>
          <w:lang w:val="el-GR"/>
        </w:rPr>
        <w:t xml:space="preserve">λόγω </w:t>
      </w:r>
      <w:r w:rsidRPr="002B30E3">
        <w:rPr>
          <w:sz w:val="22"/>
          <w:szCs w:val="22"/>
          <w:lang w:val="el-GR"/>
        </w:rPr>
        <w:t>της εσωτερικής δημιουργίας κεφαλαίων</w:t>
      </w:r>
      <w:r>
        <w:rPr>
          <w:sz w:val="22"/>
          <w:szCs w:val="22"/>
          <w:lang w:val="el-GR"/>
        </w:rPr>
        <w:t xml:space="preserve"> </w:t>
      </w:r>
      <w:r w:rsidRPr="002B30E3">
        <w:rPr>
          <w:sz w:val="22"/>
          <w:szCs w:val="22"/>
          <w:lang w:val="el-GR"/>
        </w:rPr>
        <w:t>μέσω της κερδοφορίας, αλλά και της έκδοσης κεφαλαιακών μέσων</w:t>
      </w:r>
      <w:r>
        <w:rPr>
          <w:sz w:val="22"/>
          <w:szCs w:val="22"/>
          <w:lang w:val="el-GR"/>
        </w:rPr>
        <w:t xml:space="preserve">. </w:t>
      </w:r>
      <w:r w:rsidRPr="002B30E3">
        <w:rPr>
          <w:sz w:val="22"/>
          <w:szCs w:val="22"/>
          <w:lang w:val="el-GR"/>
        </w:rPr>
        <w:t>Συγκεκριμένα, ο Δείκτης Κεφαλαίου Κοινών Μετοχών της Κατηγορίας 1 (Common Equity Tier 1 ratio – CET1 ratio) σε ενοποιημένη βάση αυξήθηκε σε 15,5% το Δεκέμβριο του 2023</w:t>
      </w:r>
      <w:r w:rsidR="00DB4813" w:rsidRPr="0071591E">
        <w:rPr>
          <w:sz w:val="22"/>
          <w:szCs w:val="22"/>
          <w:lang w:val="el-GR"/>
        </w:rPr>
        <w:t>,</w:t>
      </w:r>
      <w:r w:rsidRPr="002B30E3">
        <w:rPr>
          <w:sz w:val="22"/>
          <w:szCs w:val="22"/>
          <w:lang w:val="el-GR"/>
        </w:rPr>
        <w:t xml:space="preserve"> από 14,5% το Δεκέμβριο του 2022</w:t>
      </w:r>
      <w:r w:rsidR="00DB4813" w:rsidRPr="0071591E">
        <w:rPr>
          <w:sz w:val="22"/>
          <w:szCs w:val="22"/>
          <w:lang w:val="el-GR"/>
        </w:rPr>
        <w:t>,</w:t>
      </w:r>
      <w:r w:rsidRPr="002B30E3">
        <w:rPr>
          <w:sz w:val="22"/>
          <w:szCs w:val="22"/>
          <w:lang w:val="el-GR"/>
        </w:rPr>
        <w:t xml:space="preserve"> και ο Συνολικός Δείκτης Κεφαλαίου (Total Capital Ratio – TCR) σε 18,7% από 17,5% αντίστοιχα</w:t>
      </w:r>
      <w:r>
        <w:rPr>
          <w:sz w:val="22"/>
          <w:szCs w:val="22"/>
          <w:lang w:val="el-GR"/>
        </w:rPr>
        <w:t xml:space="preserve">. Αποτέλεσμα είναι </w:t>
      </w:r>
      <w:r w:rsidRPr="002B30E3">
        <w:rPr>
          <w:sz w:val="22"/>
          <w:szCs w:val="22"/>
          <w:lang w:val="el-GR"/>
        </w:rPr>
        <w:t xml:space="preserve">ο δείκτης CET1 να συγκλίνει με τον </w:t>
      </w:r>
      <w:r w:rsidR="00AF0B93">
        <w:rPr>
          <w:sz w:val="22"/>
          <w:szCs w:val="22"/>
          <w:lang w:val="el-GR"/>
        </w:rPr>
        <w:t xml:space="preserve">ευρωπαϊκό </w:t>
      </w:r>
      <w:r w:rsidRPr="002B30E3">
        <w:rPr>
          <w:sz w:val="22"/>
          <w:szCs w:val="22"/>
          <w:lang w:val="el-GR"/>
        </w:rPr>
        <w:t xml:space="preserve">μέσο όρο (15,7% το </w:t>
      </w:r>
      <w:r w:rsidR="00500AE9">
        <w:rPr>
          <w:sz w:val="22"/>
          <w:szCs w:val="22"/>
          <w:lang w:val="el-GR"/>
        </w:rPr>
        <w:t>Δεκέμβριο</w:t>
      </w:r>
      <w:r w:rsidR="00500AE9" w:rsidRPr="002B30E3">
        <w:rPr>
          <w:sz w:val="22"/>
          <w:szCs w:val="22"/>
          <w:lang w:val="el-GR"/>
        </w:rPr>
        <w:t xml:space="preserve"> </w:t>
      </w:r>
      <w:r w:rsidRPr="002B30E3">
        <w:rPr>
          <w:sz w:val="22"/>
          <w:szCs w:val="22"/>
          <w:lang w:val="el-GR"/>
        </w:rPr>
        <w:t>του 2023), ενώ ο Συνολικός Δείκτης Κεφαλαίου εξακολουθεί να υπολείπεται (19,7% το Δεκέμβριο του 2023).</w:t>
      </w:r>
    </w:p>
    <w:p w14:paraId="33A637E5" w14:textId="1A28CB37" w:rsidR="001B3C23" w:rsidRDefault="001B3C23" w:rsidP="001B3C23">
      <w:pPr>
        <w:spacing w:before="240" w:line="360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Παράλληλα, η ρευστότητα των ελληνικών τραπεζών βελτιώθηκε</w:t>
      </w:r>
      <w:r w:rsidR="00BD1150">
        <w:rPr>
          <w:sz w:val="22"/>
          <w:szCs w:val="22"/>
          <w:lang w:val="el-GR"/>
        </w:rPr>
        <w:t>,</w:t>
      </w:r>
      <w:r>
        <w:rPr>
          <w:sz w:val="22"/>
          <w:szCs w:val="22"/>
          <w:lang w:val="el-GR"/>
        </w:rPr>
        <w:t xml:space="preserve"> λόγω της αύξησης των καταθέσεων</w:t>
      </w:r>
      <w:r w:rsidR="00BD1150">
        <w:rPr>
          <w:sz w:val="22"/>
          <w:szCs w:val="22"/>
          <w:lang w:val="el-GR"/>
        </w:rPr>
        <w:t>,</w:t>
      </w:r>
      <w:r>
        <w:rPr>
          <w:sz w:val="22"/>
          <w:szCs w:val="22"/>
          <w:lang w:val="el-GR"/>
        </w:rPr>
        <w:t xml:space="preserve"> με αποτέλεσμα οι εποπτικοί δείκτες ρευστότητ</w:t>
      </w:r>
      <w:r w:rsidR="00BD1150">
        <w:rPr>
          <w:sz w:val="22"/>
          <w:szCs w:val="22"/>
          <w:lang w:val="el-GR"/>
        </w:rPr>
        <w:t>α</w:t>
      </w:r>
      <w:r>
        <w:rPr>
          <w:sz w:val="22"/>
          <w:szCs w:val="22"/>
          <w:lang w:val="el-GR"/>
        </w:rPr>
        <w:t>ς να διαμορφώνονται σε πολύ ικανοποιητικό επίπεδο. Επίσης, το 2023 τ</w:t>
      </w:r>
      <w:r w:rsidRPr="00FD51F5">
        <w:rPr>
          <w:sz w:val="22"/>
          <w:szCs w:val="22"/>
          <w:lang w:val="el-GR"/>
        </w:rPr>
        <w:t xml:space="preserve">ο </w:t>
      </w:r>
      <w:r>
        <w:rPr>
          <w:sz w:val="22"/>
          <w:szCs w:val="22"/>
          <w:lang w:val="el-GR"/>
        </w:rPr>
        <w:t>ποσοστό</w:t>
      </w:r>
      <w:r w:rsidRPr="00FD51F5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ΜΕΔ των ελληνικών τραπεζών στο σύνολο των δανείων</w:t>
      </w:r>
      <w:r w:rsidRPr="00FD51F5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μειώθηκε περαιτέρω (Δεκέμβριος 2</w:t>
      </w:r>
      <w:r w:rsidRPr="001725EF">
        <w:rPr>
          <w:sz w:val="22"/>
          <w:szCs w:val="22"/>
          <w:lang w:val="el-GR"/>
        </w:rPr>
        <w:t>023</w:t>
      </w:r>
      <w:r w:rsidRPr="005010F0">
        <w:rPr>
          <w:sz w:val="22"/>
          <w:szCs w:val="22"/>
          <w:lang w:val="el-GR"/>
        </w:rPr>
        <w:t xml:space="preserve">: </w:t>
      </w:r>
      <w:r>
        <w:rPr>
          <w:sz w:val="22"/>
          <w:szCs w:val="22"/>
          <w:lang w:val="el-GR"/>
        </w:rPr>
        <w:t>6,6</w:t>
      </w:r>
      <w:r w:rsidRPr="00424693">
        <w:rPr>
          <w:sz w:val="22"/>
          <w:szCs w:val="22"/>
          <w:lang w:val="el-GR"/>
        </w:rPr>
        <w:t>%,</w:t>
      </w:r>
      <w:r>
        <w:rPr>
          <w:sz w:val="22"/>
          <w:szCs w:val="22"/>
          <w:lang w:val="el-GR"/>
        </w:rPr>
        <w:t xml:space="preserve"> </w:t>
      </w:r>
      <w:r w:rsidRPr="001725EF">
        <w:rPr>
          <w:sz w:val="22"/>
          <w:szCs w:val="22"/>
          <w:lang w:val="el-GR"/>
        </w:rPr>
        <w:t>Δεκέμβριο</w:t>
      </w:r>
      <w:r>
        <w:rPr>
          <w:sz w:val="22"/>
          <w:szCs w:val="22"/>
          <w:lang w:val="el-GR"/>
        </w:rPr>
        <w:t>ς</w:t>
      </w:r>
      <w:r w:rsidRPr="001725EF">
        <w:rPr>
          <w:sz w:val="22"/>
          <w:szCs w:val="22"/>
          <w:lang w:val="el-GR"/>
        </w:rPr>
        <w:t xml:space="preserve"> 2022</w:t>
      </w:r>
      <w:r>
        <w:rPr>
          <w:sz w:val="22"/>
          <w:szCs w:val="22"/>
          <w:lang w:val="el-GR"/>
        </w:rPr>
        <w:t xml:space="preserve">: </w:t>
      </w:r>
      <w:r w:rsidRPr="001725EF">
        <w:rPr>
          <w:sz w:val="22"/>
          <w:szCs w:val="22"/>
          <w:lang w:val="el-GR"/>
        </w:rPr>
        <w:t>8</w:t>
      </w:r>
      <w:r w:rsidRPr="00366551">
        <w:rPr>
          <w:sz w:val="22"/>
          <w:szCs w:val="22"/>
          <w:lang w:val="el-GR"/>
        </w:rPr>
        <w:t>,</w:t>
      </w:r>
      <w:r w:rsidRPr="001725EF">
        <w:rPr>
          <w:sz w:val="22"/>
          <w:szCs w:val="22"/>
          <w:lang w:val="el-GR"/>
        </w:rPr>
        <w:t>7%</w:t>
      </w:r>
      <w:r>
        <w:rPr>
          <w:sz w:val="22"/>
          <w:szCs w:val="22"/>
          <w:lang w:val="el-GR"/>
        </w:rPr>
        <w:t xml:space="preserve">) με </w:t>
      </w:r>
      <w:r w:rsidRPr="003B6E4D">
        <w:rPr>
          <w:sz w:val="22"/>
          <w:szCs w:val="22"/>
          <w:lang w:val="el-GR"/>
        </w:rPr>
        <w:t xml:space="preserve">τρεις εκ των τεσσάρων σημαντικών τραπεζών </w:t>
      </w:r>
      <w:r>
        <w:rPr>
          <w:sz w:val="22"/>
          <w:szCs w:val="22"/>
          <w:lang w:val="el-GR"/>
        </w:rPr>
        <w:t>να έχουν ποσοστό ΜΕΔ</w:t>
      </w:r>
      <w:r w:rsidRPr="003B6E4D">
        <w:rPr>
          <w:sz w:val="22"/>
          <w:szCs w:val="22"/>
          <w:lang w:val="el-GR"/>
        </w:rPr>
        <w:t xml:space="preserve"> κάτω από 5%.</w:t>
      </w:r>
      <w:r w:rsidRPr="001725EF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>Ωστόσο, σ</w:t>
      </w:r>
      <w:r w:rsidRPr="00424693">
        <w:rPr>
          <w:sz w:val="22"/>
          <w:szCs w:val="22"/>
          <w:lang w:val="el-GR"/>
        </w:rPr>
        <w:t>τις λιγότερο σημαντικές τράπεζες ο δείκτης των ΜΕΔ ως προς το σύνολο των δανείων παραμένει ιδιαίτερα υψ</w:t>
      </w:r>
      <w:r>
        <w:rPr>
          <w:sz w:val="22"/>
          <w:szCs w:val="22"/>
          <w:lang w:val="el-GR"/>
        </w:rPr>
        <w:t xml:space="preserve">ηλός και διαμορφώνεται σε 37,6%. Στο πλαίσιο αυτό </w:t>
      </w:r>
      <w:r w:rsidRPr="00FD51F5">
        <w:rPr>
          <w:sz w:val="22"/>
          <w:szCs w:val="22"/>
          <w:lang w:val="el-GR"/>
        </w:rPr>
        <w:t>θα πρέπει να συνεχιστούν</w:t>
      </w:r>
      <w:r>
        <w:rPr>
          <w:sz w:val="22"/>
          <w:szCs w:val="22"/>
          <w:lang w:val="el-GR"/>
        </w:rPr>
        <w:t xml:space="preserve"> ο</w:t>
      </w:r>
      <w:r w:rsidRPr="00D143D1">
        <w:rPr>
          <w:sz w:val="22"/>
          <w:szCs w:val="22"/>
          <w:lang w:val="el-GR"/>
        </w:rPr>
        <w:t xml:space="preserve">ι </w:t>
      </w:r>
      <w:r>
        <w:rPr>
          <w:sz w:val="22"/>
          <w:szCs w:val="22"/>
          <w:lang w:val="el-GR"/>
        </w:rPr>
        <w:t>ε</w:t>
      </w:r>
      <w:r w:rsidRPr="00104C54">
        <w:rPr>
          <w:sz w:val="22"/>
          <w:szCs w:val="22"/>
          <w:lang w:val="el-GR"/>
        </w:rPr>
        <w:t>νέργειες που στοχεύουν στη</w:t>
      </w:r>
      <w:r>
        <w:rPr>
          <w:sz w:val="22"/>
          <w:szCs w:val="22"/>
          <w:lang w:val="el-GR"/>
        </w:rPr>
        <w:t>ν</w:t>
      </w:r>
      <w:r w:rsidRPr="001E1563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πλήρη </w:t>
      </w:r>
      <w:r w:rsidRPr="00104C54">
        <w:rPr>
          <w:sz w:val="22"/>
          <w:szCs w:val="22"/>
          <w:lang w:val="el-GR"/>
        </w:rPr>
        <w:t>εξυγίανση τ</w:t>
      </w:r>
      <w:r>
        <w:rPr>
          <w:sz w:val="22"/>
          <w:szCs w:val="22"/>
          <w:lang w:val="el-GR"/>
        </w:rPr>
        <w:t xml:space="preserve">ων ισολογισμών των τραπεζών </w:t>
      </w:r>
      <w:r w:rsidRPr="005B4195">
        <w:rPr>
          <w:sz w:val="22"/>
          <w:szCs w:val="22"/>
          <w:lang w:val="el-GR"/>
        </w:rPr>
        <w:t>και στην επίτευξη σύγκλισης με τον ευρωπαϊκό μέσο όρο (Δεκέμβριος 2023: 1,9%).</w:t>
      </w:r>
    </w:p>
    <w:p w14:paraId="48E29040" w14:textId="0185B32A" w:rsidR="005B4195" w:rsidRPr="0012714C" w:rsidRDefault="001B3C23" w:rsidP="005B4195">
      <w:pPr>
        <w:spacing w:before="240" w:line="360" w:lineRule="auto"/>
        <w:jc w:val="both"/>
        <w:rPr>
          <w:lang w:val="el-GR"/>
        </w:rPr>
      </w:pPr>
      <w:r>
        <w:rPr>
          <w:sz w:val="22"/>
          <w:szCs w:val="22"/>
          <w:lang w:val="el-GR"/>
        </w:rPr>
        <w:lastRenderedPageBreak/>
        <w:t>Όσον αφορά τις προοπτικές, τ</w:t>
      </w:r>
      <w:r w:rsidR="005B4195" w:rsidRPr="005B4195">
        <w:rPr>
          <w:sz w:val="22"/>
          <w:szCs w:val="22"/>
          <w:lang w:val="el-GR"/>
        </w:rPr>
        <w:t>ο διεθνές περιβάλλον αποτελεί τη μεγαλύτερη πρόκληση</w:t>
      </w:r>
      <w:r w:rsidR="005B4195">
        <w:rPr>
          <w:sz w:val="22"/>
          <w:szCs w:val="22"/>
          <w:lang w:val="el-GR"/>
        </w:rPr>
        <w:t xml:space="preserve">. Η </w:t>
      </w:r>
      <w:r w:rsidR="00BD1150">
        <w:rPr>
          <w:sz w:val="22"/>
          <w:szCs w:val="22"/>
          <w:lang w:val="el-GR"/>
        </w:rPr>
        <w:t xml:space="preserve">όξυνση </w:t>
      </w:r>
      <w:r w:rsidR="005B4195" w:rsidRPr="005B4195">
        <w:rPr>
          <w:sz w:val="22"/>
          <w:szCs w:val="22"/>
          <w:lang w:val="el-GR"/>
        </w:rPr>
        <w:t xml:space="preserve">των γεωπολιτικών κινδύνων με την επέκταση των πολεμικών συγκρούσεων, αλλά και </w:t>
      </w:r>
      <w:r w:rsidR="00BD1150">
        <w:rPr>
          <w:sz w:val="22"/>
          <w:szCs w:val="22"/>
          <w:lang w:val="el-GR"/>
        </w:rPr>
        <w:t>με τον αυξανόμενο</w:t>
      </w:r>
      <w:r w:rsidR="00DB31D0" w:rsidRPr="00DB31D0">
        <w:rPr>
          <w:sz w:val="22"/>
          <w:szCs w:val="22"/>
          <w:lang w:val="el-GR"/>
        </w:rPr>
        <w:t xml:space="preserve"> εμπορικ</w:t>
      </w:r>
      <w:r w:rsidR="00364543">
        <w:rPr>
          <w:sz w:val="22"/>
          <w:szCs w:val="22"/>
          <w:lang w:val="el-GR"/>
        </w:rPr>
        <w:t>ό</w:t>
      </w:r>
      <w:r w:rsidR="00DB31D0" w:rsidRPr="00DB31D0">
        <w:rPr>
          <w:sz w:val="22"/>
          <w:szCs w:val="22"/>
          <w:lang w:val="el-GR"/>
        </w:rPr>
        <w:t xml:space="preserve"> ανταγωνισμ</w:t>
      </w:r>
      <w:r w:rsidR="00E5101E">
        <w:rPr>
          <w:sz w:val="22"/>
          <w:szCs w:val="22"/>
          <w:lang w:val="el-GR"/>
        </w:rPr>
        <w:t>ό</w:t>
      </w:r>
      <w:r w:rsidR="00DB31D0" w:rsidRPr="00DB31D0">
        <w:rPr>
          <w:sz w:val="22"/>
          <w:szCs w:val="22"/>
          <w:lang w:val="el-GR"/>
        </w:rPr>
        <w:t xml:space="preserve"> </w:t>
      </w:r>
      <w:r w:rsidR="005B4195" w:rsidRPr="005B4195">
        <w:rPr>
          <w:sz w:val="22"/>
          <w:szCs w:val="22"/>
          <w:lang w:val="el-GR"/>
        </w:rPr>
        <w:t>μεταξύ των ΗΠΑ και της Κίνας</w:t>
      </w:r>
      <w:r w:rsidR="00364543">
        <w:rPr>
          <w:sz w:val="22"/>
          <w:szCs w:val="22"/>
          <w:lang w:val="el-GR"/>
        </w:rPr>
        <w:t>,</w:t>
      </w:r>
      <w:r w:rsidR="005B4195" w:rsidRPr="005B4195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μπορεί να έχει </w:t>
      </w:r>
      <w:r w:rsidRPr="005B4195">
        <w:rPr>
          <w:sz w:val="22"/>
          <w:szCs w:val="22"/>
          <w:lang w:val="el-GR"/>
        </w:rPr>
        <w:t xml:space="preserve">σημαντικές αρνητικές επιπτώσεις </w:t>
      </w:r>
      <w:r>
        <w:rPr>
          <w:sz w:val="22"/>
          <w:szCs w:val="22"/>
          <w:lang w:val="el-GR"/>
        </w:rPr>
        <w:t>στην παγκόσμια οικονομία</w:t>
      </w:r>
      <w:r w:rsidRPr="005B4195">
        <w:rPr>
          <w:sz w:val="22"/>
          <w:szCs w:val="22"/>
          <w:lang w:val="el-GR"/>
        </w:rPr>
        <w:t xml:space="preserve"> και κατ’ επέκταση στη χρηματοπιστωτική σταθερότητ</w:t>
      </w:r>
      <w:r>
        <w:rPr>
          <w:sz w:val="22"/>
          <w:szCs w:val="22"/>
          <w:lang w:val="el-GR"/>
        </w:rPr>
        <w:t>α</w:t>
      </w:r>
      <w:r w:rsidR="005B4195" w:rsidRPr="005B4195">
        <w:rPr>
          <w:sz w:val="22"/>
          <w:szCs w:val="22"/>
          <w:lang w:val="el-GR"/>
        </w:rPr>
        <w:t xml:space="preserve">. </w:t>
      </w:r>
      <w:r>
        <w:rPr>
          <w:sz w:val="22"/>
          <w:szCs w:val="22"/>
          <w:lang w:val="el-GR"/>
        </w:rPr>
        <w:t>Επιπροσθέτως, τ</w:t>
      </w:r>
      <w:r w:rsidR="005B4195" w:rsidRPr="007D58E3">
        <w:rPr>
          <w:sz w:val="22"/>
          <w:szCs w:val="22"/>
          <w:lang w:val="el-GR"/>
        </w:rPr>
        <w:t xml:space="preserve">υχόν απότομη </w:t>
      </w:r>
      <w:r w:rsidR="00D5221B">
        <w:rPr>
          <w:sz w:val="22"/>
          <w:szCs w:val="22"/>
          <w:lang w:val="el-GR"/>
        </w:rPr>
        <w:t>επιδείνωση</w:t>
      </w:r>
      <w:r w:rsidR="00D5221B" w:rsidRPr="007D58E3">
        <w:rPr>
          <w:sz w:val="22"/>
          <w:szCs w:val="22"/>
          <w:lang w:val="el-GR"/>
        </w:rPr>
        <w:t xml:space="preserve"> </w:t>
      </w:r>
      <w:r w:rsidR="005B4195" w:rsidRPr="007D58E3">
        <w:rPr>
          <w:sz w:val="22"/>
          <w:szCs w:val="22"/>
          <w:lang w:val="el-GR"/>
        </w:rPr>
        <w:t xml:space="preserve">των διεθνών χρηματοπιστωτικών συνθηκών μπορεί να </w:t>
      </w:r>
      <w:r w:rsidR="005B4195">
        <w:rPr>
          <w:sz w:val="22"/>
          <w:szCs w:val="22"/>
          <w:lang w:val="el-GR"/>
        </w:rPr>
        <w:t xml:space="preserve">προκαλέσει αναταράξεις με </w:t>
      </w:r>
      <w:r w:rsidR="005B4195" w:rsidRPr="007D58E3">
        <w:rPr>
          <w:sz w:val="22"/>
          <w:szCs w:val="22"/>
          <w:lang w:val="el-GR"/>
        </w:rPr>
        <w:t xml:space="preserve">δυσμενείς επιδράσεις τόσο στη χρηματοοικονομική κατάσταση των επιχειρήσεων και των νοικοκυριών </w:t>
      </w:r>
      <w:r w:rsidR="005B4195">
        <w:rPr>
          <w:sz w:val="22"/>
          <w:szCs w:val="22"/>
          <w:lang w:val="el-GR"/>
        </w:rPr>
        <w:t>όσο κα</w:t>
      </w:r>
      <w:r w:rsidR="006760BE">
        <w:rPr>
          <w:sz w:val="22"/>
          <w:szCs w:val="22"/>
          <w:lang w:val="el-GR"/>
        </w:rPr>
        <w:t xml:space="preserve">ι στον ελληνικό τραπεζικό τομέα, καθώς η προσπάθεια των τραπεζών για πιστωτική επέκταση θα καταστεί δυσχερέστερη. </w:t>
      </w:r>
    </w:p>
    <w:p w14:paraId="146D7121" w14:textId="77777777" w:rsidR="001F78AA" w:rsidRDefault="001F78AA" w:rsidP="00614A99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</w:p>
    <w:p w14:paraId="2BBAB7DF" w14:textId="4173D98B" w:rsidR="00F5007A" w:rsidRDefault="000D5526" w:rsidP="00614A99">
      <w:pPr>
        <w:spacing w:before="240" w:line="360" w:lineRule="auto"/>
        <w:jc w:val="both"/>
        <w:rPr>
          <w:b/>
          <w:sz w:val="22"/>
          <w:szCs w:val="22"/>
          <w:u w:val="single"/>
          <w:lang w:val="el-GR"/>
        </w:rPr>
      </w:pPr>
      <w:r>
        <w:rPr>
          <w:b/>
          <w:sz w:val="22"/>
          <w:szCs w:val="22"/>
          <w:u w:val="single"/>
          <w:lang w:val="el-GR"/>
        </w:rPr>
        <w:t>Σχετικ</w:t>
      </w:r>
      <w:r w:rsidR="00276886">
        <w:rPr>
          <w:b/>
          <w:sz w:val="22"/>
          <w:szCs w:val="22"/>
          <w:u w:val="single"/>
          <w:lang w:val="el-GR"/>
        </w:rPr>
        <w:t>ός</w:t>
      </w:r>
      <w:r>
        <w:rPr>
          <w:b/>
          <w:sz w:val="22"/>
          <w:szCs w:val="22"/>
          <w:u w:val="single"/>
          <w:lang w:val="el-GR"/>
        </w:rPr>
        <w:t xml:space="preserve"> σύνδεσμο</w:t>
      </w:r>
      <w:r w:rsidR="00276886">
        <w:rPr>
          <w:b/>
          <w:sz w:val="22"/>
          <w:szCs w:val="22"/>
          <w:u w:val="single"/>
          <w:lang w:val="el-GR"/>
        </w:rPr>
        <w:t>ς</w:t>
      </w:r>
      <w:r w:rsidRPr="001F78AA">
        <w:rPr>
          <w:bCs/>
          <w:sz w:val="22"/>
          <w:szCs w:val="22"/>
          <w:lang w:val="el-GR"/>
        </w:rPr>
        <w:t>:</w:t>
      </w:r>
    </w:p>
    <w:p w14:paraId="352CBEBA" w14:textId="13F99A83" w:rsidR="007D58E3" w:rsidRDefault="00F2081B" w:rsidP="007D58E3">
      <w:pPr>
        <w:spacing w:before="240" w:line="360" w:lineRule="auto"/>
        <w:jc w:val="both"/>
        <w:rPr>
          <w:sz w:val="22"/>
          <w:szCs w:val="22"/>
          <w:lang w:val="el-GR"/>
        </w:rPr>
      </w:pPr>
      <w:hyperlink r:id="rId12" w:history="1">
        <w:r w:rsidR="00293D3D" w:rsidRPr="00F2081B">
          <w:rPr>
            <w:rStyle w:val="Hyperlink"/>
            <w:sz w:val="22"/>
            <w:szCs w:val="22"/>
            <w:lang w:val="el-GR"/>
          </w:rPr>
          <w:t>Έκθεση Χρηματοπιστωτικής Σταθερότητας</w:t>
        </w:r>
        <w:r w:rsidR="007408E6" w:rsidRPr="00F2081B">
          <w:rPr>
            <w:rStyle w:val="Hyperlink"/>
            <w:sz w:val="22"/>
            <w:szCs w:val="22"/>
            <w:lang w:val="el-GR"/>
          </w:rPr>
          <w:t>,</w:t>
        </w:r>
        <w:r w:rsidR="00293D3D" w:rsidRPr="00F2081B">
          <w:rPr>
            <w:rStyle w:val="Hyperlink"/>
            <w:sz w:val="22"/>
            <w:szCs w:val="22"/>
            <w:lang w:val="el-GR"/>
          </w:rPr>
          <w:t xml:space="preserve"> </w:t>
        </w:r>
        <w:r w:rsidR="005B4195" w:rsidRPr="00F2081B">
          <w:rPr>
            <w:rStyle w:val="Hyperlink"/>
            <w:sz w:val="22"/>
            <w:szCs w:val="22"/>
            <w:lang w:val="el-GR"/>
          </w:rPr>
          <w:t xml:space="preserve">Απρίλιος </w:t>
        </w:r>
        <w:r w:rsidR="00293D3D" w:rsidRPr="00F2081B">
          <w:rPr>
            <w:rStyle w:val="Hyperlink"/>
            <w:sz w:val="22"/>
            <w:szCs w:val="22"/>
            <w:lang w:val="el-GR"/>
          </w:rPr>
          <w:t>202</w:t>
        </w:r>
        <w:r w:rsidR="005B4195" w:rsidRPr="00F2081B">
          <w:rPr>
            <w:rStyle w:val="Hyperlink"/>
            <w:sz w:val="22"/>
            <w:szCs w:val="22"/>
            <w:lang w:val="el-GR"/>
          </w:rPr>
          <w:t>4</w:t>
        </w:r>
      </w:hyperlink>
    </w:p>
    <w:p w14:paraId="109DC1CF" w14:textId="77777777" w:rsidR="00F5007A" w:rsidRPr="009F358F" w:rsidRDefault="00F5007A" w:rsidP="00614A99">
      <w:pPr>
        <w:spacing w:before="240" w:line="360" w:lineRule="auto"/>
        <w:jc w:val="both"/>
        <w:rPr>
          <w:color w:val="1F497D"/>
          <w:sz w:val="22"/>
          <w:szCs w:val="22"/>
          <w:u w:val="single"/>
          <w:lang w:val="el-GR"/>
        </w:rPr>
      </w:pPr>
    </w:p>
    <w:sectPr w:rsidR="00F5007A" w:rsidRPr="009F358F" w:rsidSect="00FA1739">
      <w:footerReference w:type="default" r:id="rId13"/>
      <w:footerReference w:type="first" r:id="rId14"/>
      <w:pgSz w:w="11906" w:h="16838"/>
      <w:pgMar w:top="1276" w:right="1418" w:bottom="1276" w:left="1418" w:header="720" w:footer="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1924F" w14:textId="77777777" w:rsidR="00FA1739" w:rsidRDefault="00FA1739">
      <w:r>
        <w:separator/>
      </w:r>
    </w:p>
  </w:endnote>
  <w:endnote w:type="continuationSeparator" w:id="0">
    <w:p w14:paraId="0F7B5609" w14:textId="77777777" w:rsidR="00FA1739" w:rsidRDefault="00FA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9C47" w14:textId="77777777" w:rsidR="00906441" w:rsidRDefault="00614A99" w:rsidP="006F37D0">
    <w:pPr>
      <w:tabs>
        <w:tab w:val="left" w:pos="2288"/>
      </w:tabs>
      <w:spacing w:line="360" w:lineRule="auto"/>
      <w:ind w:right="360"/>
      <w:rPr>
        <w:sz w:val="14"/>
        <w:lang w:val="el-GR"/>
      </w:rPr>
    </w:pPr>
    <w:r>
      <w:rPr>
        <w:sz w:val="20"/>
      </w:rPr>
      <w:tab/>
    </w:r>
  </w:p>
  <w:p w14:paraId="7FDB0789" w14:textId="77777777" w:rsidR="00766A4F" w:rsidRPr="00614A99" w:rsidRDefault="00766A4F" w:rsidP="00766A4F">
    <w:pPr>
      <w:pStyle w:val="Footer"/>
      <w:framePr w:wrap="auto" w:vAnchor="text" w:hAnchor="page" w:x="10807" w:y="301"/>
      <w:rPr>
        <w:rFonts w:ascii="Arial" w:hAnsi="Arial" w:cs="Arial"/>
      </w:rPr>
    </w:pPr>
  </w:p>
  <w:tbl>
    <w:tblPr>
      <w:tblW w:w="9498" w:type="dxa"/>
      <w:tblInd w:w="108" w:type="dxa"/>
      <w:tblBorders>
        <w:left w:val="single" w:sz="48" w:space="0" w:color="DEA400"/>
      </w:tblBorders>
      <w:tblLook w:val="0000" w:firstRow="0" w:lastRow="0" w:firstColumn="0" w:lastColumn="0" w:noHBand="0" w:noVBand="0"/>
    </w:tblPr>
    <w:tblGrid>
      <w:gridCol w:w="4917"/>
      <w:gridCol w:w="4581"/>
    </w:tblGrid>
    <w:tr w:rsidR="00766A4F" w:rsidRPr="00766A4F" w14:paraId="717BDDC0" w14:textId="77777777" w:rsidTr="00F26854">
      <w:tc>
        <w:tcPr>
          <w:tcW w:w="4917" w:type="dxa"/>
          <w:tcBorders>
            <w:left w:val="single" w:sz="48" w:space="0" w:color="BC9E6E"/>
          </w:tcBorders>
          <w:shd w:val="clear" w:color="auto" w:fill="auto"/>
        </w:tcPr>
        <w:p w14:paraId="10BD185F" w14:textId="77777777" w:rsidR="006B5E1E" w:rsidRDefault="006B5E1E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Ελ. Βενιζέλου 21, Αθήνα 10250</w:t>
          </w:r>
        </w:p>
        <w:p w14:paraId="415CA2E5" w14:textId="77777777" w:rsidR="006B5E1E" w:rsidRDefault="006B5E1E" w:rsidP="001E6951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r w:rsidRPr="00766A4F">
            <w:rPr>
              <w:rFonts w:ascii="Arial" w:hAnsi="Arial" w:cs="Arial"/>
              <w:sz w:val="14"/>
              <w:lang w:val="el-GR"/>
            </w:rPr>
            <w:t>Τηλ</w:t>
          </w:r>
          <w:r w:rsidR="00C25ACA" w:rsidRPr="005C2B0D">
            <w:rPr>
              <w:rFonts w:ascii="Arial" w:hAnsi="Arial" w:cs="Arial"/>
              <w:sz w:val="14"/>
              <w:lang w:val="el-GR"/>
            </w:rPr>
            <w:t>:</w:t>
          </w:r>
          <w:r w:rsidRPr="005B1F16">
            <w:rPr>
              <w:rFonts w:ascii="Arial" w:hAnsi="Arial" w:cs="Arial"/>
              <w:sz w:val="14"/>
              <w:lang w:val="el-GR"/>
            </w:rPr>
            <w:t xml:space="preserve"> 210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320</w:t>
          </w:r>
          <w:r>
            <w:rPr>
              <w:rFonts w:ascii="Arial" w:hAnsi="Arial" w:cs="Arial"/>
              <w:sz w:val="14"/>
              <w:lang w:val="el-GR"/>
            </w:rPr>
            <w:t xml:space="preserve"> </w:t>
          </w:r>
          <w:r w:rsidRPr="005B1F16">
            <w:rPr>
              <w:rFonts w:ascii="Arial" w:hAnsi="Arial" w:cs="Arial"/>
              <w:sz w:val="14"/>
              <w:lang w:val="el-GR"/>
            </w:rPr>
            <w:t>3446-8</w:t>
          </w:r>
        </w:p>
        <w:p w14:paraId="19E1EF61" w14:textId="01FFD15B" w:rsidR="00766A4F" w:rsidRDefault="00F2081B" w:rsidP="006B5E1E">
          <w:pPr>
            <w:pStyle w:val="Footer"/>
            <w:tabs>
              <w:tab w:val="left" w:pos="5220"/>
            </w:tabs>
            <w:spacing w:before="60" w:after="60"/>
            <w:ind w:firstLine="176"/>
            <w:rPr>
              <w:rFonts w:ascii="Arial" w:hAnsi="Arial" w:cs="Arial"/>
              <w:sz w:val="14"/>
              <w:lang w:val="el-GR"/>
            </w:rPr>
          </w:pPr>
          <w:hyperlink r:id="rId1" w:history="1"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press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@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="006B5E1E">
            <w:rPr>
              <w:rFonts w:ascii="Arial" w:hAnsi="Arial" w:cs="Arial"/>
              <w:sz w:val="14"/>
              <w:lang w:val="el-GR"/>
            </w:rPr>
            <w:t xml:space="preserve"> |</w:t>
          </w:r>
          <w:r w:rsidR="00083E45">
            <w:rPr>
              <w:rFonts w:ascii="Arial" w:hAnsi="Arial" w:cs="Arial"/>
              <w:sz w:val="14"/>
              <w:lang w:val="el-GR"/>
            </w:rPr>
            <w:t xml:space="preserve"> </w:t>
          </w:r>
          <w:hyperlink r:id="rId2" w:history="1"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www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bankofgreece</w:t>
            </w:r>
            <w:r w:rsidR="00184CB0" w:rsidRPr="006B5E1E">
              <w:rPr>
                <w:rStyle w:val="Hyperlink"/>
                <w:rFonts w:ascii="Arial" w:hAnsi="Arial" w:cs="Arial"/>
                <w:sz w:val="14"/>
                <w:lang w:val="el-GR"/>
              </w:rPr>
              <w:t>.</w:t>
            </w:r>
            <w:r w:rsidR="00184CB0" w:rsidRPr="00E06524">
              <w:rPr>
                <w:rStyle w:val="Hyperlink"/>
                <w:rFonts w:ascii="Arial" w:hAnsi="Arial" w:cs="Arial"/>
                <w:sz w:val="14"/>
                <w:lang w:val="en-US"/>
              </w:rPr>
              <w:t>gr</w:t>
            </w:r>
          </w:hyperlink>
          <w:r w:rsidR="00184CB0" w:rsidRPr="006B5E1E">
            <w:rPr>
              <w:rFonts w:ascii="Arial" w:hAnsi="Arial" w:cs="Arial"/>
              <w:sz w:val="14"/>
              <w:lang w:val="el-GR"/>
            </w:rPr>
            <w:t xml:space="preserve"> </w:t>
          </w:r>
        </w:p>
      </w:tc>
      <w:tc>
        <w:tcPr>
          <w:tcW w:w="4581" w:type="dxa"/>
          <w:shd w:val="clear" w:color="auto" w:fill="auto"/>
        </w:tcPr>
        <w:p w14:paraId="0BA91AF5" w14:textId="00741811" w:rsidR="00766A4F" w:rsidRPr="00184CB0" w:rsidRDefault="00766A4F" w:rsidP="00766A4F">
          <w:pPr>
            <w:pStyle w:val="Footer"/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color w:val="auto"/>
              <w:sz w:val="14"/>
              <w:lang w:val="el-GR"/>
            </w:rPr>
          </w:pP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begin"/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instrText xml:space="preserve"> PAGE   \* MERGEFORMAT </w:instrText>
          </w:r>
          <w:r w:rsidRPr="006F37D0">
            <w:rPr>
              <w:rFonts w:ascii="Arial" w:hAnsi="Arial" w:cs="Arial"/>
              <w:color w:val="auto"/>
              <w:sz w:val="18"/>
              <w:lang w:val="en-US"/>
            </w:rPr>
            <w:fldChar w:fldCharType="separate"/>
          </w:r>
          <w:r w:rsidR="00364543">
            <w:rPr>
              <w:rFonts w:ascii="Arial" w:hAnsi="Arial" w:cs="Arial"/>
              <w:noProof/>
              <w:color w:val="auto"/>
              <w:sz w:val="18"/>
              <w:lang w:val="en-US"/>
            </w:rPr>
            <w:t>2</w:t>
          </w:r>
          <w:r w:rsidRPr="006F37D0">
            <w:rPr>
              <w:rFonts w:ascii="Arial" w:hAnsi="Arial" w:cs="Arial"/>
              <w:noProof/>
              <w:color w:val="auto"/>
              <w:sz w:val="18"/>
              <w:lang w:val="en-US"/>
            </w:rPr>
            <w:fldChar w:fldCharType="end"/>
          </w:r>
          <w:r w:rsidR="00184CB0">
            <w:rPr>
              <w:rFonts w:ascii="Arial" w:hAnsi="Arial" w:cs="Arial"/>
              <w:noProof/>
              <w:color w:val="auto"/>
              <w:sz w:val="18"/>
              <w:lang w:val="el-GR"/>
            </w:rPr>
            <w:t xml:space="preserve"> </w:t>
          </w:r>
          <w:r w:rsidR="00184CB0" w:rsidRPr="00D929F5">
            <w:rPr>
              <w:rFonts w:ascii="Arial Black" w:hAnsi="Arial Black" w:cs="Arial"/>
              <w:b/>
              <w:noProof/>
              <w:color w:val="948A54"/>
              <w:sz w:val="22"/>
              <w:lang w:val="el-GR"/>
            </w:rPr>
            <w:t>|</w:t>
          </w:r>
        </w:p>
      </w:tc>
    </w:tr>
  </w:tbl>
  <w:p w14:paraId="37F70A28" w14:textId="77777777" w:rsidR="00906441" w:rsidRDefault="00906441" w:rsidP="006F37D0">
    <w:pPr>
      <w:pStyle w:val="Footer"/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D553" w14:textId="77777777" w:rsidR="00906441" w:rsidRDefault="00906441">
    <w:pPr>
      <w:pStyle w:val="Footer"/>
      <w:rPr>
        <w:sz w:val="20"/>
        <w:lang w:val="de-DE"/>
      </w:rPr>
    </w:pPr>
  </w:p>
  <w:p w14:paraId="4FFD8347" w14:textId="77777777" w:rsidR="00906441" w:rsidRDefault="00906441">
    <w:pPr>
      <w:pStyle w:val="Foo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7A4D" w14:textId="77777777" w:rsidR="00FA1739" w:rsidRDefault="00FA1739">
      <w:r>
        <w:separator/>
      </w:r>
    </w:p>
  </w:footnote>
  <w:footnote w:type="continuationSeparator" w:id="0">
    <w:p w14:paraId="15654B1D" w14:textId="77777777" w:rsidR="00FA1739" w:rsidRDefault="00FA1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C3EB0"/>
    <w:multiLevelType w:val="hybridMultilevel"/>
    <w:tmpl w:val="4900F37A"/>
    <w:lvl w:ilvl="0" w:tplc="0408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2DD161CE"/>
    <w:multiLevelType w:val="hybridMultilevel"/>
    <w:tmpl w:val="CC542B5E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2D1606F"/>
    <w:multiLevelType w:val="hybridMultilevel"/>
    <w:tmpl w:val="B5B20C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7F4D"/>
    <w:multiLevelType w:val="hybridMultilevel"/>
    <w:tmpl w:val="E4D8B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C082B"/>
    <w:multiLevelType w:val="hybridMultilevel"/>
    <w:tmpl w:val="3488B9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233030">
    <w:abstractNumId w:val="2"/>
  </w:num>
  <w:num w:numId="2" w16cid:durableId="731005999">
    <w:abstractNumId w:val="4"/>
  </w:num>
  <w:num w:numId="3" w16cid:durableId="1409574699">
    <w:abstractNumId w:val="3"/>
  </w:num>
  <w:num w:numId="4" w16cid:durableId="472258985">
    <w:abstractNumId w:val="1"/>
  </w:num>
  <w:num w:numId="5" w16cid:durableId="9541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04A"/>
    <w:rsid w:val="00000C12"/>
    <w:rsid w:val="0000127C"/>
    <w:rsid w:val="000031EC"/>
    <w:rsid w:val="00004174"/>
    <w:rsid w:val="000160E2"/>
    <w:rsid w:val="0001682C"/>
    <w:rsid w:val="0002101A"/>
    <w:rsid w:val="00022F02"/>
    <w:rsid w:val="000272CF"/>
    <w:rsid w:val="00032171"/>
    <w:rsid w:val="00034558"/>
    <w:rsid w:val="00034EB3"/>
    <w:rsid w:val="00037147"/>
    <w:rsid w:val="0004038F"/>
    <w:rsid w:val="0004275F"/>
    <w:rsid w:val="00044C8F"/>
    <w:rsid w:val="00045338"/>
    <w:rsid w:val="0005740C"/>
    <w:rsid w:val="00071EEE"/>
    <w:rsid w:val="00072144"/>
    <w:rsid w:val="00073219"/>
    <w:rsid w:val="00082A28"/>
    <w:rsid w:val="00083E45"/>
    <w:rsid w:val="0008513E"/>
    <w:rsid w:val="00092115"/>
    <w:rsid w:val="00096247"/>
    <w:rsid w:val="000A01CF"/>
    <w:rsid w:val="000A19EB"/>
    <w:rsid w:val="000A288F"/>
    <w:rsid w:val="000A304A"/>
    <w:rsid w:val="000A3C72"/>
    <w:rsid w:val="000A4140"/>
    <w:rsid w:val="000A5141"/>
    <w:rsid w:val="000A6028"/>
    <w:rsid w:val="000A678C"/>
    <w:rsid w:val="000B1407"/>
    <w:rsid w:val="000C0FE4"/>
    <w:rsid w:val="000C32E3"/>
    <w:rsid w:val="000C4516"/>
    <w:rsid w:val="000C46DD"/>
    <w:rsid w:val="000C5182"/>
    <w:rsid w:val="000C68D8"/>
    <w:rsid w:val="000D0221"/>
    <w:rsid w:val="000D140F"/>
    <w:rsid w:val="000D1A19"/>
    <w:rsid w:val="000D5526"/>
    <w:rsid w:val="000E092F"/>
    <w:rsid w:val="000E22AA"/>
    <w:rsid w:val="000E2F15"/>
    <w:rsid w:val="000E3D01"/>
    <w:rsid w:val="000E4148"/>
    <w:rsid w:val="000E72C0"/>
    <w:rsid w:val="000F2B32"/>
    <w:rsid w:val="000F558A"/>
    <w:rsid w:val="000F7419"/>
    <w:rsid w:val="0010083B"/>
    <w:rsid w:val="00100DD9"/>
    <w:rsid w:val="00103802"/>
    <w:rsid w:val="001049A0"/>
    <w:rsid w:val="00104C54"/>
    <w:rsid w:val="001131F0"/>
    <w:rsid w:val="00115499"/>
    <w:rsid w:val="00115C03"/>
    <w:rsid w:val="001229E3"/>
    <w:rsid w:val="0012714C"/>
    <w:rsid w:val="00131217"/>
    <w:rsid w:val="00132846"/>
    <w:rsid w:val="00134FA0"/>
    <w:rsid w:val="00142BC7"/>
    <w:rsid w:val="00143721"/>
    <w:rsid w:val="00157321"/>
    <w:rsid w:val="00157B71"/>
    <w:rsid w:val="00157CDE"/>
    <w:rsid w:val="00157EF6"/>
    <w:rsid w:val="0016082B"/>
    <w:rsid w:val="00160B83"/>
    <w:rsid w:val="00160E36"/>
    <w:rsid w:val="001613EA"/>
    <w:rsid w:val="00162C66"/>
    <w:rsid w:val="001655A2"/>
    <w:rsid w:val="001725EF"/>
    <w:rsid w:val="00175A33"/>
    <w:rsid w:val="00176803"/>
    <w:rsid w:val="00176EF3"/>
    <w:rsid w:val="00177533"/>
    <w:rsid w:val="00180F26"/>
    <w:rsid w:val="00183895"/>
    <w:rsid w:val="001838F2"/>
    <w:rsid w:val="00184CB0"/>
    <w:rsid w:val="001857F9"/>
    <w:rsid w:val="00185971"/>
    <w:rsid w:val="00186350"/>
    <w:rsid w:val="0019445C"/>
    <w:rsid w:val="0019674A"/>
    <w:rsid w:val="0019776D"/>
    <w:rsid w:val="001A04FD"/>
    <w:rsid w:val="001A37A9"/>
    <w:rsid w:val="001A4D11"/>
    <w:rsid w:val="001A759A"/>
    <w:rsid w:val="001A7764"/>
    <w:rsid w:val="001A7DBF"/>
    <w:rsid w:val="001A7F77"/>
    <w:rsid w:val="001B14FE"/>
    <w:rsid w:val="001B1E5E"/>
    <w:rsid w:val="001B3C23"/>
    <w:rsid w:val="001B58F6"/>
    <w:rsid w:val="001C0253"/>
    <w:rsid w:val="001C0288"/>
    <w:rsid w:val="001C0625"/>
    <w:rsid w:val="001C1299"/>
    <w:rsid w:val="001C1BDE"/>
    <w:rsid w:val="001C2240"/>
    <w:rsid w:val="001C2889"/>
    <w:rsid w:val="001D1117"/>
    <w:rsid w:val="001D3684"/>
    <w:rsid w:val="001D38D8"/>
    <w:rsid w:val="001D39AC"/>
    <w:rsid w:val="001E04EF"/>
    <w:rsid w:val="001E3BEA"/>
    <w:rsid w:val="001E3E00"/>
    <w:rsid w:val="001E6951"/>
    <w:rsid w:val="001F086E"/>
    <w:rsid w:val="001F0CF2"/>
    <w:rsid w:val="001F4883"/>
    <w:rsid w:val="001F78AA"/>
    <w:rsid w:val="00201E7D"/>
    <w:rsid w:val="00202559"/>
    <w:rsid w:val="00202828"/>
    <w:rsid w:val="0020283C"/>
    <w:rsid w:val="00202FDB"/>
    <w:rsid w:val="00203CF9"/>
    <w:rsid w:val="00205A44"/>
    <w:rsid w:val="00207033"/>
    <w:rsid w:val="00207C8D"/>
    <w:rsid w:val="002101EB"/>
    <w:rsid w:val="00216192"/>
    <w:rsid w:val="00217196"/>
    <w:rsid w:val="00227116"/>
    <w:rsid w:val="00231A07"/>
    <w:rsid w:val="0023318C"/>
    <w:rsid w:val="0023772B"/>
    <w:rsid w:val="002378C3"/>
    <w:rsid w:val="00240210"/>
    <w:rsid w:val="00240CBD"/>
    <w:rsid w:val="002435A1"/>
    <w:rsid w:val="00246066"/>
    <w:rsid w:val="0025131C"/>
    <w:rsid w:val="00254FB6"/>
    <w:rsid w:val="00260190"/>
    <w:rsid w:val="002646B6"/>
    <w:rsid w:val="002648D3"/>
    <w:rsid w:val="00270765"/>
    <w:rsid w:val="00270D07"/>
    <w:rsid w:val="00272F07"/>
    <w:rsid w:val="00273472"/>
    <w:rsid w:val="0027369C"/>
    <w:rsid w:val="00275FBD"/>
    <w:rsid w:val="00276886"/>
    <w:rsid w:val="00276B1E"/>
    <w:rsid w:val="00277734"/>
    <w:rsid w:val="002824EA"/>
    <w:rsid w:val="00283331"/>
    <w:rsid w:val="002867E9"/>
    <w:rsid w:val="0028693A"/>
    <w:rsid w:val="00293D3D"/>
    <w:rsid w:val="00294951"/>
    <w:rsid w:val="00296A09"/>
    <w:rsid w:val="002A0290"/>
    <w:rsid w:val="002A153F"/>
    <w:rsid w:val="002A1AF3"/>
    <w:rsid w:val="002A1C9F"/>
    <w:rsid w:val="002A2D24"/>
    <w:rsid w:val="002A3590"/>
    <w:rsid w:val="002A3DF1"/>
    <w:rsid w:val="002A67DE"/>
    <w:rsid w:val="002B01D2"/>
    <w:rsid w:val="002B30E3"/>
    <w:rsid w:val="002B428D"/>
    <w:rsid w:val="002B4997"/>
    <w:rsid w:val="002B4B67"/>
    <w:rsid w:val="002B5FB8"/>
    <w:rsid w:val="002C168A"/>
    <w:rsid w:val="002C50D9"/>
    <w:rsid w:val="002C7892"/>
    <w:rsid w:val="002C7905"/>
    <w:rsid w:val="002D3F97"/>
    <w:rsid w:val="002D7C8E"/>
    <w:rsid w:val="002E0BBE"/>
    <w:rsid w:val="002E7DB5"/>
    <w:rsid w:val="002F18ED"/>
    <w:rsid w:val="002F5601"/>
    <w:rsid w:val="002F6F3B"/>
    <w:rsid w:val="0030027A"/>
    <w:rsid w:val="00302264"/>
    <w:rsid w:val="00305178"/>
    <w:rsid w:val="00305FFC"/>
    <w:rsid w:val="00306003"/>
    <w:rsid w:val="00310BDF"/>
    <w:rsid w:val="00313191"/>
    <w:rsid w:val="0031518D"/>
    <w:rsid w:val="00320888"/>
    <w:rsid w:val="0032508D"/>
    <w:rsid w:val="00325A6F"/>
    <w:rsid w:val="0033210B"/>
    <w:rsid w:val="003332DB"/>
    <w:rsid w:val="00333C38"/>
    <w:rsid w:val="00333E5C"/>
    <w:rsid w:val="0033417E"/>
    <w:rsid w:val="00336459"/>
    <w:rsid w:val="00340C76"/>
    <w:rsid w:val="0034436B"/>
    <w:rsid w:val="003443ED"/>
    <w:rsid w:val="003454F8"/>
    <w:rsid w:val="0034618A"/>
    <w:rsid w:val="0034678E"/>
    <w:rsid w:val="00347602"/>
    <w:rsid w:val="00351F20"/>
    <w:rsid w:val="00355259"/>
    <w:rsid w:val="00357937"/>
    <w:rsid w:val="00360B7D"/>
    <w:rsid w:val="00361374"/>
    <w:rsid w:val="003636A6"/>
    <w:rsid w:val="00364543"/>
    <w:rsid w:val="00366551"/>
    <w:rsid w:val="0036732C"/>
    <w:rsid w:val="00370A65"/>
    <w:rsid w:val="003714EE"/>
    <w:rsid w:val="0037238A"/>
    <w:rsid w:val="00375D2B"/>
    <w:rsid w:val="00377625"/>
    <w:rsid w:val="00377F11"/>
    <w:rsid w:val="00383A74"/>
    <w:rsid w:val="0038434A"/>
    <w:rsid w:val="00385AAE"/>
    <w:rsid w:val="00386632"/>
    <w:rsid w:val="003874C8"/>
    <w:rsid w:val="003877F1"/>
    <w:rsid w:val="003904F0"/>
    <w:rsid w:val="00391039"/>
    <w:rsid w:val="00392F77"/>
    <w:rsid w:val="00397328"/>
    <w:rsid w:val="003A23ED"/>
    <w:rsid w:val="003A245D"/>
    <w:rsid w:val="003A444A"/>
    <w:rsid w:val="003A4A4F"/>
    <w:rsid w:val="003A7F58"/>
    <w:rsid w:val="003A7FD3"/>
    <w:rsid w:val="003B0CA4"/>
    <w:rsid w:val="003B3773"/>
    <w:rsid w:val="003B6E4D"/>
    <w:rsid w:val="003B7210"/>
    <w:rsid w:val="003C2264"/>
    <w:rsid w:val="003C3284"/>
    <w:rsid w:val="003C3AA5"/>
    <w:rsid w:val="003C3BF3"/>
    <w:rsid w:val="003D09CD"/>
    <w:rsid w:val="003E0BB5"/>
    <w:rsid w:val="003E11F9"/>
    <w:rsid w:val="003E67BF"/>
    <w:rsid w:val="003E6FF4"/>
    <w:rsid w:val="003E7FBC"/>
    <w:rsid w:val="003F2089"/>
    <w:rsid w:val="0040332A"/>
    <w:rsid w:val="00404631"/>
    <w:rsid w:val="00406409"/>
    <w:rsid w:val="00406D19"/>
    <w:rsid w:val="00411396"/>
    <w:rsid w:val="00414884"/>
    <w:rsid w:val="00417ED3"/>
    <w:rsid w:val="004217C3"/>
    <w:rsid w:val="00422D68"/>
    <w:rsid w:val="004241AD"/>
    <w:rsid w:val="00424693"/>
    <w:rsid w:val="00424A7B"/>
    <w:rsid w:val="00425107"/>
    <w:rsid w:val="004341F8"/>
    <w:rsid w:val="0043621F"/>
    <w:rsid w:val="004428C4"/>
    <w:rsid w:val="0044344E"/>
    <w:rsid w:val="00443B6C"/>
    <w:rsid w:val="00445A58"/>
    <w:rsid w:val="00446253"/>
    <w:rsid w:val="00453B09"/>
    <w:rsid w:val="00453C47"/>
    <w:rsid w:val="0046071D"/>
    <w:rsid w:val="00460D5C"/>
    <w:rsid w:val="004624BC"/>
    <w:rsid w:val="00463783"/>
    <w:rsid w:val="00463F9F"/>
    <w:rsid w:val="00464C3A"/>
    <w:rsid w:val="00465102"/>
    <w:rsid w:val="00466134"/>
    <w:rsid w:val="00475AE6"/>
    <w:rsid w:val="00476B48"/>
    <w:rsid w:val="004774FB"/>
    <w:rsid w:val="004810CF"/>
    <w:rsid w:val="00483018"/>
    <w:rsid w:val="00491342"/>
    <w:rsid w:val="00491524"/>
    <w:rsid w:val="00491CF0"/>
    <w:rsid w:val="00493908"/>
    <w:rsid w:val="004940DC"/>
    <w:rsid w:val="00497CD2"/>
    <w:rsid w:val="004A2D9C"/>
    <w:rsid w:val="004A549E"/>
    <w:rsid w:val="004A59BA"/>
    <w:rsid w:val="004B13BD"/>
    <w:rsid w:val="004B3DB9"/>
    <w:rsid w:val="004B41F5"/>
    <w:rsid w:val="004B7295"/>
    <w:rsid w:val="004B79B4"/>
    <w:rsid w:val="004B7FD9"/>
    <w:rsid w:val="004C0B70"/>
    <w:rsid w:val="004C30E9"/>
    <w:rsid w:val="004C3581"/>
    <w:rsid w:val="004C6096"/>
    <w:rsid w:val="004D4D38"/>
    <w:rsid w:val="004D63E0"/>
    <w:rsid w:val="004D783B"/>
    <w:rsid w:val="004D7D32"/>
    <w:rsid w:val="004E287A"/>
    <w:rsid w:val="004E2ACB"/>
    <w:rsid w:val="004E38B8"/>
    <w:rsid w:val="004E5BB3"/>
    <w:rsid w:val="004F2A5B"/>
    <w:rsid w:val="004F52A9"/>
    <w:rsid w:val="00500AE9"/>
    <w:rsid w:val="005010F0"/>
    <w:rsid w:val="00502C28"/>
    <w:rsid w:val="00503485"/>
    <w:rsid w:val="00504740"/>
    <w:rsid w:val="0050556B"/>
    <w:rsid w:val="00506F91"/>
    <w:rsid w:val="0051357D"/>
    <w:rsid w:val="00513A49"/>
    <w:rsid w:val="005140F1"/>
    <w:rsid w:val="00514DB5"/>
    <w:rsid w:val="00515766"/>
    <w:rsid w:val="00524040"/>
    <w:rsid w:val="00530DAA"/>
    <w:rsid w:val="00532E2D"/>
    <w:rsid w:val="00533BA6"/>
    <w:rsid w:val="005357E0"/>
    <w:rsid w:val="00536073"/>
    <w:rsid w:val="00540356"/>
    <w:rsid w:val="0054190C"/>
    <w:rsid w:val="00542108"/>
    <w:rsid w:val="00542754"/>
    <w:rsid w:val="00544DF8"/>
    <w:rsid w:val="0055061A"/>
    <w:rsid w:val="00552448"/>
    <w:rsid w:val="005533FB"/>
    <w:rsid w:val="00553F6C"/>
    <w:rsid w:val="005568CB"/>
    <w:rsid w:val="00564CE7"/>
    <w:rsid w:val="00564E47"/>
    <w:rsid w:val="00566CFA"/>
    <w:rsid w:val="0057151B"/>
    <w:rsid w:val="00571901"/>
    <w:rsid w:val="00572D5B"/>
    <w:rsid w:val="00575305"/>
    <w:rsid w:val="00580381"/>
    <w:rsid w:val="0058083B"/>
    <w:rsid w:val="00580F25"/>
    <w:rsid w:val="00581857"/>
    <w:rsid w:val="0058486E"/>
    <w:rsid w:val="00584A58"/>
    <w:rsid w:val="005851E9"/>
    <w:rsid w:val="005863E4"/>
    <w:rsid w:val="00586626"/>
    <w:rsid w:val="00586BA9"/>
    <w:rsid w:val="00591679"/>
    <w:rsid w:val="00591D7B"/>
    <w:rsid w:val="00593A10"/>
    <w:rsid w:val="005960A4"/>
    <w:rsid w:val="005A27A9"/>
    <w:rsid w:val="005A2AE0"/>
    <w:rsid w:val="005A6B26"/>
    <w:rsid w:val="005B1E27"/>
    <w:rsid w:val="005B1F16"/>
    <w:rsid w:val="005B4195"/>
    <w:rsid w:val="005B5CFE"/>
    <w:rsid w:val="005C059A"/>
    <w:rsid w:val="005C0C4E"/>
    <w:rsid w:val="005C0CDA"/>
    <w:rsid w:val="005C2B0D"/>
    <w:rsid w:val="005C44DA"/>
    <w:rsid w:val="005C487D"/>
    <w:rsid w:val="005C6211"/>
    <w:rsid w:val="005D01FE"/>
    <w:rsid w:val="005D4742"/>
    <w:rsid w:val="005E0577"/>
    <w:rsid w:val="005E078D"/>
    <w:rsid w:val="005E2B89"/>
    <w:rsid w:val="005E7BAB"/>
    <w:rsid w:val="005F0890"/>
    <w:rsid w:val="005F158F"/>
    <w:rsid w:val="005F1A9A"/>
    <w:rsid w:val="005F2746"/>
    <w:rsid w:val="005F43AD"/>
    <w:rsid w:val="00603619"/>
    <w:rsid w:val="00604D0C"/>
    <w:rsid w:val="00605410"/>
    <w:rsid w:val="00606096"/>
    <w:rsid w:val="00606E2F"/>
    <w:rsid w:val="006139F4"/>
    <w:rsid w:val="00614A99"/>
    <w:rsid w:val="00616220"/>
    <w:rsid w:val="0061757F"/>
    <w:rsid w:val="00617823"/>
    <w:rsid w:val="00620F75"/>
    <w:rsid w:val="00623FFD"/>
    <w:rsid w:val="00625C3F"/>
    <w:rsid w:val="00626652"/>
    <w:rsid w:val="00627512"/>
    <w:rsid w:val="00627DC6"/>
    <w:rsid w:val="006314CF"/>
    <w:rsid w:val="006341D1"/>
    <w:rsid w:val="006371B3"/>
    <w:rsid w:val="0064172A"/>
    <w:rsid w:val="006418EF"/>
    <w:rsid w:val="006518C3"/>
    <w:rsid w:val="006535B0"/>
    <w:rsid w:val="006542A4"/>
    <w:rsid w:val="00656C46"/>
    <w:rsid w:val="006606FC"/>
    <w:rsid w:val="00671AFD"/>
    <w:rsid w:val="00675569"/>
    <w:rsid w:val="006760BE"/>
    <w:rsid w:val="0067756C"/>
    <w:rsid w:val="00677599"/>
    <w:rsid w:val="00677754"/>
    <w:rsid w:val="00681BC1"/>
    <w:rsid w:val="00683113"/>
    <w:rsid w:val="0068377E"/>
    <w:rsid w:val="006879AE"/>
    <w:rsid w:val="006901E8"/>
    <w:rsid w:val="006932B9"/>
    <w:rsid w:val="0069557D"/>
    <w:rsid w:val="00696497"/>
    <w:rsid w:val="006A118C"/>
    <w:rsid w:val="006A2DD2"/>
    <w:rsid w:val="006A451E"/>
    <w:rsid w:val="006A6839"/>
    <w:rsid w:val="006A6878"/>
    <w:rsid w:val="006B4022"/>
    <w:rsid w:val="006B5E1E"/>
    <w:rsid w:val="006B619C"/>
    <w:rsid w:val="006B683F"/>
    <w:rsid w:val="006C77F4"/>
    <w:rsid w:val="006D07A5"/>
    <w:rsid w:val="006D2AC6"/>
    <w:rsid w:val="006D3D1E"/>
    <w:rsid w:val="006D45B4"/>
    <w:rsid w:val="006D472F"/>
    <w:rsid w:val="006D6F82"/>
    <w:rsid w:val="006E14A5"/>
    <w:rsid w:val="006E4337"/>
    <w:rsid w:val="006E66FD"/>
    <w:rsid w:val="006E70D9"/>
    <w:rsid w:val="006F37D0"/>
    <w:rsid w:val="006F59F9"/>
    <w:rsid w:val="00701A76"/>
    <w:rsid w:val="007022B2"/>
    <w:rsid w:val="00702A5D"/>
    <w:rsid w:val="00702AE9"/>
    <w:rsid w:val="00707BF4"/>
    <w:rsid w:val="007147EC"/>
    <w:rsid w:val="00714EDE"/>
    <w:rsid w:val="0071591E"/>
    <w:rsid w:val="00716706"/>
    <w:rsid w:val="00727149"/>
    <w:rsid w:val="0073051C"/>
    <w:rsid w:val="00730ACE"/>
    <w:rsid w:val="00733FD4"/>
    <w:rsid w:val="007354F4"/>
    <w:rsid w:val="007357F6"/>
    <w:rsid w:val="0073681A"/>
    <w:rsid w:val="007408E6"/>
    <w:rsid w:val="00741638"/>
    <w:rsid w:val="0074387F"/>
    <w:rsid w:val="007439D4"/>
    <w:rsid w:val="00750403"/>
    <w:rsid w:val="00751A70"/>
    <w:rsid w:val="00755512"/>
    <w:rsid w:val="00755A38"/>
    <w:rsid w:val="007563EC"/>
    <w:rsid w:val="007566FF"/>
    <w:rsid w:val="00764C47"/>
    <w:rsid w:val="00766A4F"/>
    <w:rsid w:val="007679C0"/>
    <w:rsid w:val="0077120E"/>
    <w:rsid w:val="00771760"/>
    <w:rsid w:val="0077242D"/>
    <w:rsid w:val="0077359F"/>
    <w:rsid w:val="007735ED"/>
    <w:rsid w:val="007736AF"/>
    <w:rsid w:val="00773CC5"/>
    <w:rsid w:val="00776A9E"/>
    <w:rsid w:val="00776E58"/>
    <w:rsid w:val="0078253E"/>
    <w:rsid w:val="007874D4"/>
    <w:rsid w:val="00790999"/>
    <w:rsid w:val="00794D78"/>
    <w:rsid w:val="007963F3"/>
    <w:rsid w:val="007971A6"/>
    <w:rsid w:val="00797E12"/>
    <w:rsid w:val="007A0D33"/>
    <w:rsid w:val="007A4A38"/>
    <w:rsid w:val="007B0D19"/>
    <w:rsid w:val="007B2180"/>
    <w:rsid w:val="007B287A"/>
    <w:rsid w:val="007C0704"/>
    <w:rsid w:val="007C4A55"/>
    <w:rsid w:val="007C6145"/>
    <w:rsid w:val="007C6E27"/>
    <w:rsid w:val="007C6FC4"/>
    <w:rsid w:val="007C7317"/>
    <w:rsid w:val="007C7957"/>
    <w:rsid w:val="007D077C"/>
    <w:rsid w:val="007D4426"/>
    <w:rsid w:val="007D4520"/>
    <w:rsid w:val="007D4E6F"/>
    <w:rsid w:val="007D58E3"/>
    <w:rsid w:val="007D5CD4"/>
    <w:rsid w:val="007E3787"/>
    <w:rsid w:val="007E4D76"/>
    <w:rsid w:val="007F0BD1"/>
    <w:rsid w:val="007F3270"/>
    <w:rsid w:val="007F3DE4"/>
    <w:rsid w:val="007F5B37"/>
    <w:rsid w:val="007F68D7"/>
    <w:rsid w:val="0080547A"/>
    <w:rsid w:val="0080753D"/>
    <w:rsid w:val="008116CE"/>
    <w:rsid w:val="008143F4"/>
    <w:rsid w:val="008163DD"/>
    <w:rsid w:val="00816456"/>
    <w:rsid w:val="00816529"/>
    <w:rsid w:val="00817648"/>
    <w:rsid w:val="00817F3B"/>
    <w:rsid w:val="008217A1"/>
    <w:rsid w:val="00821B34"/>
    <w:rsid w:val="008228B2"/>
    <w:rsid w:val="00823718"/>
    <w:rsid w:val="00824A41"/>
    <w:rsid w:val="00824C25"/>
    <w:rsid w:val="00826278"/>
    <w:rsid w:val="00832116"/>
    <w:rsid w:val="00833F70"/>
    <w:rsid w:val="0083485B"/>
    <w:rsid w:val="00834919"/>
    <w:rsid w:val="0083534E"/>
    <w:rsid w:val="0083555A"/>
    <w:rsid w:val="00837AC2"/>
    <w:rsid w:val="00840DAE"/>
    <w:rsid w:val="00841F09"/>
    <w:rsid w:val="00843C47"/>
    <w:rsid w:val="00845FB3"/>
    <w:rsid w:val="00851E58"/>
    <w:rsid w:val="00853EC0"/>
    <w:rsid w:val="008545E4"/>
    <w:rsid w:val="00854654"/>
    <w:rsid w:val="00855C86"/>
    <w:rsid w:val="0085688E"/>
    <w:rsid w:val="008633CB"/>
    <w:rsid w:val="00863881"/>
    <w:rsid w:val="00864DCC"/>
    <w:rsid w:val="00867432"/>
    <w:rsid w:val="00873049"/>
    <w:rsid w:val="008736BB"/>
    <w:rsid w:val="00886175"/>
    <w:rsid w:val="00895949"/>
    <w:rsid w:val="00895B26"/>
    <w:rsid w:val="008964CA"/>
    <w:rsid w:val="008A20E0"/>
    <w:rsid w:val="008A443F"/>
    <w:rsid w:val="008A5BAD"/>
    <w:rsid w:val="008B0419"/>
    <w:rsid w:val="008B09DB"/>
    <w:rsid w:val="008B3844"/>
    <w:rsid w:val="008B3C40"/>
    <w:rsid w:val="008B5114"/>
    <w:rsid w:val="008B5AA3"/>
    <w:rsid w:val="008B61C2"/>
    <w:rsid w:val="008C1EF9"/>
    <w:rsid w:val="008C6367"/>
    <w:rsid w:val="008C6D71"/>
    <w:rsid w:val="008D28E5"/>
    <w:rsid w:val="008D4E43"/>
    <w:rsid w:val="008E195C"/>
    <w:rsid w:val="008E43E1"/>
    <w:rsid w:val="008E7AC5"/>
    <w:rsid w:val="008F55B9"/>
    <w:rsid w:val="00900E3D"/>
    <w:rsid w:val="00901121"/>
    <w:rsid w:val="0090628A"/>
    <w:rsid w:val="00906441"/>
    <w:rsid w:val="00911BED"/>
    <w:rsid w:val="00912E5C"/>
    <w:rsid w:val="00916193"/>
    <w:rsid w:val="009165DB"/>
    <w:rsid w:val="00924F9F"/>
    <w:rsid w:val="00935044"/>
    <w:rsid w:val="009373EB"/>
    <w:rsid w:val="009418D5"/>
    <w:rsid w:val="009473E9"/>
    <w:rsid w:val="00952A1E"/>
    <w:rsid w:val="00953005"/>
    <w:rsid w:val="0095627E"/>
    <w:rsid w:val="00957998"/>
    <w:rsid w:val="00963FA3"/>
    <w:rsid w:val="009650DB"/>
    <w:rsid w:val="00971D89"/>
    <w:rsid w:val="00976D1A"/>
    <w:rsid w:val="00980F80"/>
    <w:rsid w:val="009819E1"/>
    <w:rsid w:val="0098391B"/>
    <w:rsid w:val="009873EF"/>
    <w:rsid w:val="00990B43"/>
    <w:rsid w:val="00990C2E"/>
    <w:rsid w:val="009917B1"/>
    <w:rsid w:val="009941C3"/>
    <w:rsid w:val="00994401"/>
    <w:rsid w:val="009A1AE4"/>
    <w:rsid w:val="009A3155"/>
    <w:rsid w:val="009A3B52"/>
    <w:rsid w:val="009B06D8"/>
    <w:rsid w:val="009B3853"/>
    <w:rsid w:val="009C19AD"/>
    <w:rsid w:val="009C3187"/>
    <w:rsid w:val="009C7987"/>
    <w:rsid w:val="009D039D"/>
    <w:rsid w:val="009D40C6"/>
    <w:rsid w:val="009D49BF"/>
    <w:rsid w:val="009E5C57"/>
    <w:rsid w:val="009E6969"/>
    <w:rsid w:val="009F358F"/>
    <w:rsid w:val="009F46C4"/>
    <w:rsid w:val="009F5711"/>
    <w:rsid w:val="009F7340"/>
    <w:rsid w:val="009F793E"/>
    <w:rsid w:val="009F7BA2"/>
    <w:rsid w:val="00A03640"/>
    <w:rsid w:val="00A03A95"/>
    <w:rsid w:val="00A03FEE"/>
    <w:rsid w:val="00A044CC"/>
    <w:rsid w:val="00A0696D"/>
    <w:rsid w:val="00A10C9B"/>
    <w:rsid w:val="00A129DF"/>
    <w:rsid w:val="00A16967"/>
    <w:rsid w:val="00A16B0D"/>
    <w:rsid w:val="00A20EFB"/>
    <w:rsid w:val="00A2247E"/>
    <w:rsid w:val="00A24604"/>
    <w:rsid w:val="00A249CC"/>
    <w:rsid w:val="00A25FBE"/>
    <w:rsid w:val="00A27F5E"/>
    <w:rsid w:val="00A32C78"/>
    <w:rsid w:val="00A33313"/>
    <w:rsid w:val="00A35D8D"/>
    <w:rsid w:val="00A36154"/>
    <w:rsid w:val="00A36AEE"/>
    <w:rsid w:val="00A37F70"/>
    <w:rsid w:val="00A42562"/>
    <w:rsid w:val="00A43B8F"/>
    <w:rsid w:val="00A4516F"/>
    <w:rsid w:val="00A4520F"/>
    <w:rsid w:val="00A459B6"/>
    <w:rsid w:val="00A45CF6"/>
    <w:rsid w:val="00A46DB7"/>
    <w:rsid w:val="00A50CDD"/>
    <w:rsid w:val="00A551A2"/>
    <w:rsid w:val="00A56BA1"/>
    <w:rsid w:val="00A5759A"/>
    <w:rsid w:val="00A579CF"/>
    <w:rsid w:val="00A622AF"/>
    <w:rsid w:val="00A64FF2"/>
    <w:rsid w:val="00A66246"/>
    <w:rsid w:val="00A677F1"/>
    <w:rsid w:val="00A730BF"/>
    <w:rsid w:val="00A73ADF"/>
    <w:rsid w:val="00A74FE3"/>
    <w:rsid w:val="00A75AE6"/>
    <w:rsid w:val="00A77BD7"/>
    <w:rsid w:val="00A77F5B"/>
    <w:rsid w:val="00A80EF5"/>
    <w:rsid w:val="00A84A73"/>
    <w:rsid w:val="00A86382"/>
    <w:rsid w:val="00A904A0"/>
    <w:rsid w:val="00A90530"/>
    <w:rsid w:val="00A9185F"/>
    <w:rsid w:val="00A92784"/>
    <w:rsid w:val="00A92884"/>
    <w:rsid w:val="00A92E9E"/>
    <w:rsid w:val="00A9634B"/>
    <w:rsid w:val="00A97804"/>
    <w:rsid w:val="00AA47C4"/>
    <w:rsid w:val="00AA7A7F"/>
    <w:rsid w:val="00AB2233"/>
    <w:rsid w:val="00AB4182"/>
    <w:rsid w:val="00AB725F"/>
    <w:rsid w:val="00AC0E11"/>
    <w:rsid w:val="00AC176B"/>
    <w:rsid w:val="00AC3F1B"/>
    <w:rsid w:val="00AC58D4"/>
    <w:rsid w:val="00AC6949"/>
    <w:rsid w:val="00AC7414"/>
    <w:rsid w:val="00AC7C78"/>
    <w:rsid w:val="00AD0439"/>
    <w:rsid w:val="00AD0AA4"/>
    <w:rsid w:val="00AD1FF7"/>
    <w:rsid w:val="00AD4052"/>
    <w:rsid w:val="00AD53A0"/>
    <w:rsid w:val="00AD5E60"/>
    <w:rsid w:val="00AE1D32"/>
    <w:rsid w:val="00AE222C"/>
    <w:rsid w:val="00AE4B78"/>
    <w:rsid w:val="00AE5758"/>
    <w:rsid w:val="00AF030E"/>
    <w:rsid w:val="00AF0B93"/>
    <w:rsid w:val="00AF4B85"/>
    <w:rsid w:val="00AF5F5E"/>
    <w:rsid w:val="00B003D6"/>
    <w:rsid w:val="00B009C5"/>
    <w:rsid w:val="00B062B8"/>
    <w:rsid w:val="00B06DAC"/>
    <w:rsid w:val="00B112AF"/>
    <w:rsid w:val="00B1198C"/>
    <w:rsid w:val="00B145EC"/>
    <w:rsid w:val="00B168B9"/>
    <w:rsid w:val="00B16AD5"/>
    <w:rsid w:val="00B16D17"/>
    <w:rsid w:val="00B17CE1"/>
    <w:rsid w:val="00B17DE4"/>
    <w:rsid w:val="00B2022F"/>
    <w:rsid w:val="00B220DD"/>
    <w:rsid w:val="00B30105"/>
    <w:rsid w:val="00B376B5"/>
    <w:rsid w:val="00B37E42"/>
    <w:rsid w:val="00B4079D"/>
    <w:rsid w:val="00B433D8"/>
    <w:rsid w:val="00B43885"/>
    <w:rsid w:val="00B4621B"/>
    <w:rsid w:val="00B4717A"/>
    <w:rsid w:val="00B521DE"/>
    <w:rsid w:val="00B54C1B"/>
    <w:rsid w:val="00B559D2"/>
    <w:rsid w:val="00B56C59"/>
    <w:rsid w:val="00B56D6A"/>
    <w:rsid w:val="00B6006A"/>
    <w:rsid w:val="00B60D05"/>
    <w:rsid w:val="00B6213D"/>
    <w:rsid w:val="00B70380"/>
    <w:rsid w:val="00B715B1"/>
    <w:rsid w:val="00B745D8"/>
    <w:rsid w:val="00B85583"/>
    <w:rsid w:val="00B86E6A"/>
    <w:rsid w:val="00B9338B"/>
    <w:rsid w:val="00B936D5"/>
    <w:rsid w:val="00B94863"/>
    <w:rsid w:val="00B94FCA"/>
    <w:rsid w:val="00BA03F4"/>
    <w:rsid w:val="00BA0651"/>
    <w:rsid w:val="00BA201E"/>
    <w:rsid w:val="00BA317A"/>
    <w:rsid w:val="00BA40F0"/>
    <w:rsid w:val="00BA5EEA"/>
    <w:rsid w:val="00BA785E"/>
    <w:rsid w:val="00BA7D23"/>
    <w:rsid w:val="00BB0207"/>
    <w:rsid w:val="00BB243E"/>
    <w:rsid w:val="00BB6505"/>
    <w:rsid w:val="00BB6E79"/>
    <w:rsid w:val="00BB705E"/>
    <w:rsid w:val="00BC157A"/>
    <w:rsid w:val="00BC1942"/>
    <w:rsid w:val="00BD0418"/>
    <w:rsid w:val="00BD1150"/>
    <w:rsid w:val="00BD3FA3"/>
    <w:rsid w:val="00BD61FB"/>
    <w:rsid w:val="00BE0C25"/>
    <w:rsid w:val="00BE1DCA"/>
    <w:rsid w:val="00BE303F"/>
    <w:rsid w:val="00BE3603"/>
    <w:rsid w:val="00BE3DFD"/>
    <w:rsid w:val="00BE6937"/>
    <w:rsid w:val="00BF03B8"/>
    <w:rsid w:val="00BF3C47"/>
    <w:rsid w:val="00BF4CA4"/>
    <w:rsid w:val="00BF4F7E"/>
    <w:rsid w:val="00BF6659"/>
    <w:rsid w:val="00C004D3"/>
    <w:rsid w:val="00C10DFC"/>
    <w:rsid w:val="00C1440C"/>
    <w:rsid w:val="00C217C1"/>
    <w:rsid w:val="00C2367E"/>
    <w:rsid w:val="00C24A72"/>
    <w:rsid w:val="00C25ACA"/>
    <w:rsid w:val="00C262F4"/>
    <w:rsid w:val="00C31092"/>
    <w:rsid w:val="00C31FB5"/>
    <w:rsid w:val="00C3206A"/>
    <w:rsid w:val="00C32E24"/>
    <w:rsid w:val="00C33B34"/>
    <w:rsid w:val="00C4067B"/>
    <w:rsid w:val="00C445D6"/>
    <w:rsid w:val="00C45DC4"/>
    <w:rsid w:val="00C5012B"/>
    <w:rsid w:val="00C51A0C"/>
    <w:rsid w:val="00C6454B"/>
    <w:rsid w:val="00C65155"/>
    <w:rsid w:val="00C67EF4"/>
    <w:rsid w:val="00C67FAE"/>
    <w:rsid w:val="00C711D6"/>
    <w:rsid w:val="00C715F5"/>
    <w:rsid w:val="00C7216F"/>
    <w:rsid w:val="00C75A53"/>
    <w:rsid w:val="00C77810"/>
    <w:rsid w:val="00C81DEF"/>
    <w:rsid w:val="00C835EA"/>
    <w:rsid w:val="00C838F1"/>
    <w:rsid w:val="00C85DC6"/>
    <w:rsid w:val="00C86D6D"/>
    <w:rsid w:val="00C9115C"/>
    <w:rsid w:val="00C92BF9"/>
    <w:rsid w:val="00CA0707"/>
    <w:rsid w:val="00CA2824"/>
    <w:rsid w:val="00CA392A"/>
    <w:rsid w:val="00CA766A"/>
    <w:rsid w:val="00CB1D44"/>
    <w:rsid w:val="00CB1EAE"/>
    <w:rsid w:val="00CB276A"/>
    <w:rsid w:val="00CC1875"/>
    <w:rsid w:val="00CC1A3F"/>
    <w:rsid w:val="00CC2FA5"/>
    <w:rsid w:val="00CC6894"/>
    <w:rsid w:val="00CD0977"/>
    <w:rsid w:val="00CD0C4F"/>
    <w:rsid w:val="00CD38FC"/>
    <w:rsid w:val="00CD3C6A"/>
    <w:rsid w:val="00CD447E"/>
    <w:rsid w:val="00CD5480"/>
    <w:rsid w:val="00CD6C41"/>
    <w:rsid w:val="00CD7F6A"/>
    <w:rsid w:val="00CE0D96"/>
    <w:rsid w:val="00CE0E07"/>
    <w:rsid w:val="00CE1EBC"/>
    <w:rsid w:val="00CE241F"/>
    <w:rsid w:val="00CE2BD2"/>
    <w:rsid w:val="00CE2F94"/>
    <w:rsid w:val="00CE34CB"/>
    <w:rsid w:val="00CE36A2"/>
    <w:rsid w:val="00CE6F7B"/>
    <w:rsid w:val="00CE74B8"/>
    <w:rsid w:val="00CF247B"/>
    <w:rsid w:val="00CF7810"/>
    <w:rsid w:val="00D019E9"/>
    <w:rsid w:val="00D01FBB"/>
    <w:rsid w:val="00D05A81"/>
    <w:rsid w:val="00D05C36"/>
    <w:rsid w:val="00D10AF5"/>
    <w:rsid w:val="00D11214"/>
    <w:rsid w:val="00D12A14"/>
    <w:rsid w:val="00D13B76"/>
    <w:rsid w:val="00D143D1"/>
    <w:rsid w:val="00D14D8A"/>
    <w:rsid w:val="00D151BD"/>
    <w:rsid w:val="00D15299"/>
    <w:rsid w:val="00D16BE4"/>
    <w:rsid w:val="00D20528"/>
    <w:rsid w:val="00D240B3"/>
    <w:rsid w:val="00D25276"/>
    <w:rsid w:val="00D25705"/>
    <w:rsid w:val="00D267A8"/>
    <w:rsid w:val="00D313D8"/>
    <w:rsid w:val="00D3267F"/>
    <w:rsid w:val="00D335BE"/>
    <w:rsid w:val="00D33F7C"/>
    <w:rsid w:val="00D35252"/>
    <w:rsid w:val="00D356CE"/>
    <w:rsid w:val="00D3748D"/>
    <w:rsid w:val="00D42593"/>
    <w:rsid w:val="00D427C5"/>
    <w:rsid w:val="00D5221B"/>
    <w:rsid w:val="00D52BB7"/>
    <w:rsid w:val="00D55F0D"/>
    <w:rsid w:val="00D5627D"/>
    <w:rsid w:val="00D56D93"/>
    <w:rsid w:val="00D57DA7"/>
    <w:rsid w:val="00D63C46"/>
    <w:rsid w:val="00D64797"/>
    <w:rsid w:val="00D64C28"/>
    <w:rsid w:val="00D65157"/>
    <w:rsid w:val="00D70208"/>
    <w:rsid w:val="00D71A0C"/>
    <w:rsid w:val="00D7509D"/>
    <w:rsid w:val="00D7720D"/>
    <w:rsid w:val="00D80BC2"/>
    <w:rsid w:val="00D87FE7"/>
    <w:rsid w:val="00D929F5"/>
    <w:rsid w:val="00D93E0B"/>
    <w:rsid w:val="00D94BCD"/>
    <w:rsid w:val="00D97269"/>
    <w:rsid w:val="00D97783"/>
    <w:rsid w:val="00DA2653"/>
    <w:rsid w:val="00DA68BC"/>
    <w:rsid w:val="00DB215C"/>
    <w:rsid w:val="00DB2730"/>
    <w:rsid w:val="00DB31D0"/>
    <w:rsid w:val="00DB4813"/>
    <w:rsid w:val="00DB6917"/>
    <w:rsid w:val="00DB78BB"/>
    <w:rsid w:val="00DC36DF"/>
    <w:rsid w:val="00DC7AAF"/>
    <w:rsid w:val="00DD12DD"/>
    <w:rsid w:val="00DD1ECD"/>
    <w:rsid w:val="00DD2F16"/>
    <w:rsid w:val="00DD3CC2"/>
    <w:rsid w:val="00DE00BA"/>
    <w:rsid w:val="00DE2F84"/>
    <w:rsid w:val="00DE3F54"/>
    <w:rsid w:val="00DE4AFE"/>
    <w:rsid w:val="00DE6992"/>
    <w:rsid w:val="00DE7631"/>
    <w:rsid w:val="00DF0F41"/>
    <w:rsid w:val="00DF2B0A"/>
    <w:rsid w:val="00E00AD8"/>
    <w:rsid w:val="00E00BD0"/>
    <w:rsid w:val="00E0693A"/>
    <w:rsid w:val="00E07095"/>
    <w:rsid w:val="00E07E7A"/>
    <w:rsid w:val="00E10ED7"/>
    <w:rsid w:val="00E12606"/>
    <w:rsid w:val="00E1325F"/>
    <w:rsid w:val="00E145BD"/>
    <w:rsid w:val="00E1556A"/>
    <w:rsid w:val="00E16153"/>
    <w:rsid w:val="00E2180B"/>
    <w:rsid w:val="00E22552"/>
    <w:rsid w:val="00E22F12"/>
    <w:rsid w:val="00E23A6E"/>
    <w:rsid w:val="00E23A8E"/>
    <w:rsid w:val="00E262A7"/>
    <w:rsid w:val="00E26AF5"/>
    <w:rsid w:val="00E2700F"/>
    <w:rsid w:val="00E304D9"/>
    <w:rsid w:val="00E31302"/>
    <w:rsid w:val="00E32F8E"/>
    <w:rsid w:val="00E42D97"/>
    <w:rsid w:val="00E438EB"/>
    <w:rsid w:val="00E44983"/>
    <w:rsid w:val="00E449B2"/>
    <w:rsid w:val="00E45400"/>
    <w:rsid w:val="00E462B5"/>
    <w:rsid w:val="00E50889"/>
    <w:rsid w:val="00E5101E"/>
    <w:rsid w:val="00E566B5"/>
    <w:rsid w:val="00E600E0"/>
    <w:rsid w:val="00E62451"/>
    <w:rsid w:val="00E62D29"/>
    <w:rsid w:val="00E632BF"/>
    <w:rsid w:val="00E71DA3"/>
    <w:rsid w:val="00E72381"/>
    <w:rsid w:val="00E72767"/>
    <w:rsid w:val="00E729EB"/>
    <w:rsid w:val="00E73AEB"/>
    <w:rsid w:val="00E76E37"/>
    <w:rsid w:val="00E8273B"/>
    <w:rsid w:val="00E927F8"/>
    <w:rsid w:val="00E93810"/>
    <w:rsid w:val="00E9481A"/>
    <w:rsid w:val="00EA07A2"/>
    <w:rsid w:val="00EA14E5"/>
    <w:rsid w:val="00EA5F67"/>
    <w:rsid w:val="00EB342A"/>
    <w:rsid w:val="00EB3C00"/>
    <w:rsid w:val="00EC0921"/>
    <w:rsid w:val="00EC4013"/>
    <w:rsid w:val="00EC4635"/>
    <w:rsid w:val="00ED15DC"/>
    <w:rsid w:val="00ED1A48"/>
    <w:rsid w:val="00ED4546"/>
    <w:rsid w:val="00ED7E68"/>
    <w:rsid w:val="00EE01FD"/>
    <w:rsid w:val="00EE0432"/>
    <w:rsid w:val="00EE1EB3"/>
    <w:rsid w:val="00EE40E9"/>
    <w:rsid w:val="00EE5C82"/>
    <w:rsid w:val="00EE5F13"/>
    <w:rsid w:val="00EE7A37"/>
    <w:rsid w:val="00EF1119"/>
    <w:rsid w:val="00EF6DE1"/>
    <w:rsid w:val="00EF6E2E"/>
    <w:rsid w:val="00F00AFC"/>
    <w:rsid w:val="00F029A2"/>
    <w:rsid w:val="00F03C6D"/>
    <w:rsid w:val="00F06FE7"/>
    <w:rsid w:val="00F07246"/>
    <w:rsid w:val="00F0780B"/>
    <w:rsid w:val="00F07FD7"/>
    <w:rsid w:val="00F1482F"/>
    <w:rsid w:val="00F16889"/>
    <w:rsid w:val="00F171ED"/>
    <w:rsid w:val="00F207C1"/>
    <w:rsid w:val="00F2081B"/>
    <w:rsid w:val="00F227AD"/>
    <w:rsid w:val="00F24C15"/>
    <w:rsid w:val="00F25B96"/>
    <w:rsid w:val="00F26854"/>
    <w:rsid w:val="00F27A63"/>
    <w:rsid w:val="00F3065E"/>
    <w:rsid w:val="00F403D6"/>
    <w:rsid w:val="00F42066"/>
    <w:rsid w:val="00F4216D"/>
    <w:rsid w:val="00F425A6"/>
    <w:rsid w:val="00F470DD"/>
    <w:rsid w:val="00F47849"/>
    <w:rsid w:val="00F5007A"/>
    <w:rsid w:val="00F51875"/>
    <w:rsid w:val="00F519CD"/>
    <w:rsid w:val="00F55107"/>
    <w:rsid w:val="00F5722E"/>
    <w:rsid w:val="00F57574"/>
    <w:rsid w:val="00F57BC0"/>
    <w:rsid w:val="00F57FE6"/>
    <w:rsid w:val="00F66E50"/>
    <w:rsid w:val="00F67B7B"/>
    <w:rsid w:val="00F7061C"/>
    <w:rsid w:val="00F7391F"/>
    <w:rsid w:val="00F73E52"/>
    <w:rsid w:val="00F77346"/>
    <w:rsid w:val="00F8097C"/>
    <w:rsid w:val="00F8160A"/>
    <w:rsid w:val="00F82562"/>
    <w:rsid w:val="00F83735"/>
    <w:rsid w:val="00F856D5"/>
    <w:rsid w:val="00F86045"/>
    <w:rsid w:val="00F87947"/>
    <w:rsid w:val="00F90569"/>
    <w:rsid w:val="00F91400"/>
    <w:rsid w:val="00F91E45"/>
    <w:rsid w:val="00F957D8"/>
    <w:rsid w:val="00F975CC"/>
    <w:rsid w:val="00FA1739"/>
    <w:rsid w:val="00FA4464"/>
    <w:rsid w:val="00FA4B7B"/>
    <w:rsid w:val="00FA7326"/>
    <w:rsid w:val="00FA7855"/>
    <w:rsid w:val="00FB1850"/>
    <w:rsid w:val="00FB6324"/>
    <w:rsid w:val="00FC1EA3"/>
    <w:rsid w:val="00FC4352"/>
    <w:rsid w:val="00FC4579"/>
    <w:rsid w:val="00FC6083"/>
    <w:rsid w:val="00FD2E4F"/>
    <w:rsid w:val="00FD317F"/>
    <w:rsid w:val="00FD51F5"/>
    <w:rsid w:val="00FD5676"/>
    <w:rsid w:val="00FD58A0"/>
    <w:rsid w:val="00FD58EF"/>
    <w:rsid w:val="00FE1E6D"/>
    <w:rsid w:val="00FE25DB"/>
    <w:rsid w:val="00FE3F5E"/>
    <w:rsid w:val="00FE59FF"/>
    <w:rsid w:val="00FE60C3"/>
    <w:rsid w:val="00FE6E6A"/>
    <w:rsid w:val="00FF09DE"/>
    <w:rsid w:val="00FF38D7"/>
    <w:rsid w:val="00FF44A1"/>
    <w:rsid w:val="00FF4AAD"/>
    <w:rsid w:val="00FF5662"/>
    <w:rsid w:val="00FF5D14"/>
    <w:rsid w:val="00FF6773"/>
    <w:rsid w:val="00FF680E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D3DD52"/>
  <w15:docId w15:val="{AC826D49-A0F7-4A27-A9BB-86F79501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E2E"/>
    <w:rPr>
      <w:rFonts w:ascii="Arial" w:hAnsi="Arial" w:cs="Arial"/>
      <w:color w:val="000000"/>
      <w:sz w:val="24"/>
      <w:lang w:val="en-AU" w:eastAsia="el-GR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paragraph" w:styleId="CommentText">
    <w:name w:val="annotation text"/>
    <w:basedOn w:val="Normal"/>
    <w:rPr>
      <w:sz w:val="20"/>
    </w:rPr>
  </w:style>
  <w:style w:type="paragraph" w:styleId="DocumentMap">
    <w:name w:val="Document Map"/>
    <w:basedOn w:val="Normal"/>
    <w:pPr>
      <w:shd w:val="clear" w:color="000000" w:fill="00007F"/>
    </w:pPr>
    <w:rPr>
      <w:rFonts w:ascii="Tahoma" w:hAnsi="Tahoma" w:cs="Tahoma"/>
      <w:sz w:val="20"/>
    </w:rPr>
  </w:style>
  <w:style w:type="paragraph" w:styleId="FootnoteText">
    <w:name w:val="footnote text"/>
    <w:basedOn w:val="Normal"/>
    <w:rPr>
      <w:rFonts w:ascii="Times New Roman" w:hAnsi="Times New Roman" w:cs="Times New Roman"/>
      <w:sz w:val="20"/>
      <w:lang w:eastAsia="en-US"/>
    </w:rPr>
  </w:style>
  <w:style w:type="paragraph" w:styleId="BodyText">
    <w:name w:val="Body Text"/>
    <w:basedOn w:val="Normal"/>
    <w:pPr>
      <w:jc w:val="both"/>
    </w:pPr>
    <w:rPr>
      <w:rFonts w:ascii="Times New Roman" w:hAnsi="Times New Roman" w:cs="Times New Roman"/>
      <w:lang w:val="el-GR"/>
    </w:rPr>
  </w:style>
  <w:style w:type="paragraph" w:styleId="CommentSubject">
    <w:name w:val="annotation subject"/>
    <w:basedOn w:val="CommentText"/>
    <w:next w:val="CommentText"/>
    <w:rPr>
      <w:b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evision1">
    <w:name w:val="Revision1"/>
    <w:rPr>
      <w:rFonts w:ascii="Arial" w:hAnsi="Arial" w:cs="Arial"/>
      <w:color w:val="000000"/>
      <w:sz w:val="24"/>
      <w:lang w:val="en-AU" w:eastAsia="el-GR"/>
    </w:rPr>
  </w:style>
  <w:style w:type="paragraph" w:styleId="EndnoteText">
    <w:name w:val="endnote text"/>
    <w:basedOn w:val="Normal"/>
    <w:rPr>
      <w:sz w:val="20"/>
    </w:rPr>
  </w:style>
  <w:style w:type="character" w:styleId="PageNumber">
    <w:name w:val="page number"/>
    <w:basedOn w:val="DefaultParagraphFont"/>
  </w:style>
  <w:style w:type="character" w:styleId="Emphasis">
    <w:name w:val="Emphasis"/>
    <w:qFormat/>
    <w:rPr>
      <w:i/>
      <w:iCs w:val="0"/>
    </w:rPr>
  </w:style>
  <w:style w:type="character" w:customStyle="1" w:styleId="CommentSubjectChar">
    <w:name w:val="Comment Subject Char"/>
    <w:rPr>
      <w:rFonts w:ascii="Arial" w:hAnsi="Arial"/>
      <w:b/>
      <w:bCs w:val="0"/>
      <w:lang w:val="en-AU"/>
    </w:rPr>
  </w:style>
  <w:style w:type="character" w:customStyle="1" w:styleId="bog-bodytext1">
    <w:name w:val="bog-bodytext1"/>
    <w:rPr>
      <w:rFonts w:ascii="Tahoma" w:hAnsi="Tahoma" w:cs="Tahoma"/>
      <w:color w:val="000000"/>
      <w:sz w:val="18"/>
      <w:szCs w:val="18"/>
    </w:rPr>
  </w:style>
  <w:style w:type="character" w:customStyle="1" w:styleId="HeaderChar">
    <w:name w:val="Header Char"/>
    <w:rPr>
      <w:rFonts w:ascii="Arial" w:hAnsi="Arial"/>
      <w:sz w:val="24"/>
      <w:lang w:val="en-AU"/>
    </w:rPr>
  </w:style>
  <w:style w:type="character" w:customStyle="1" w:styleId="BodyTextChar">
    <w:name w:val="Body Text Char"/>
    <w:rPr>
      <w:sz w:val="24"/>
      <w:lang w:val="el-GR" w:eastAsia="el-GR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FootnoteTextChar">
    <w:name w:val="Footnote Text Char"/>
    <w:rPr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/>
    </w:rPr>
  </w:style>
  <w:style w:type="character" w:customStyle="1" w:styleId="bog-bodytext">
    <w:name w:val="bog-bodytext"/>
    <w:basedOn w:val="DefaultParagraphFont"/>
  </w:style>
  <w:style w:type="character" w:styleId="FootnoteReference">
    <w:name w:val="footnote reference"/>
    <w:rPr>
      <w:position w:val="-2"/>
      <w:vertAlign w:val="superscript"/>
    </w:rPr>
  </w:style>
  <w:style w:type="character" w:customStyle="1" w:styleId="CommentTextChar">
    <w:name w:val="Comment Text Char"/>
    <w:rPr>
      <w:rFonts w:ascii="Arial" w:hAnsi="Arial"/>
      <w:lang w:val="en-AU"/>
    </w:rPr>
  </w:style>
  <w:style w:type="character" w:customStyle="1" w:styleId="apple-converted-space">
    <w:name w:val="apple-converted-space"/>
    <w:basedOn w:val="DefaultParagraphFont"/>
  </w:style>
  <w:style w:type="character" w:customStyle="1" w:styleId="EndnoteTextChar">
    <w:name w:val="Endnote Text Char"/>
    <w:rPr>
      <w:rFonts w:ascii="Arial" w:hAnsi="Arial"/>
      <w:lang w:val="en-AU" w:eastAsia="el-GR"/>
    </w:rPr>
  </w:style>
  <w:style w:type="character" w:styleId="EndnoteReference">
    <w:name w:val="endnote reference"/>
    <w:rPr>
      <w:position w:val="-2"/>
      <w:vertAlign w:val="superscript"/>
    </w:rPr>
  </w:style>
  <w:style w:type="table" w:styleId="TableGrid">
    <w:name w:val="Table Grid"/>
    <w:basedOn w:val="TableNormal"/>
    <w:uiPriority w:val="59"/>
    <w:rsid w:val="00C7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11D6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66A4F"/>
    <w:rPr>
      <w:color w:val="000000"/>
      <w:sz w:val="24"/>
      <w:lang w:val="en-GB"/>
    </w:rPr>
  </w:style>
  <w:style w:type="paragraph" w:styleId="Revision">
    <w:name w:val="Revision"/>
    <w:hidden/>
    <w:uiPriority w:val="99"/>
    <w:semiHidden/>
    <w:rsid w:val="00207033"/>
    <w:rPr>
      <w:rFonts w:ascii="Arial" w:hAnsi="Arial" w:cs="Arial"/>
      <w:color w:val="000000"/>
      <w:sz w:val="24"/>
      <w:lang w:val="en-AU" w:eastAsia="el-GR"/>
    </w:rPr>
  </w:style>
  <w:style w:type="paragraph" w:styleId="ListParagraph">
    <w:name w:val="List Paragraph"/>
    <w:basedOn w:val="Normal"/>
    <w:uiPriority w:val="34"/>
    <w:qFormat/>
    <w:rsid w:val="00D143D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0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6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nkofgreece.gr/Publications/FINANCIAL_STABILITY_REVIEW_APRIL_2024_EL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kofgreece.gr" TargetMode="External"/><Relationship Id="rId1" Type="http://schemas.openxmlformats.org/officeDocument/2006/relationships/hyperlink" Target="mailto:press@bankofgreece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DAA_Title xmlns="affbdc7b-1773-4a70-a615-fbfa6c8a3310" xsi:nil="true"/>
    <SHDAA_Request_ID xmlns="affbdc7b-1773-4a70-a615-fbfa6c8a3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HDAA_Forms_Attachments" ma:contentTypeID="0x0101006B5553C3EDA2D84591F13E6AB83077FA002FDF105DAD39E54FB3C9B185C52445EF" ma:contentTypeVersion="4" ma:contentTypeDescription="" ma:contentTypeScope="" ma:versionID="3e7b84c2b1ecdac8979883de0dd165da">
  <xsd:schema xmlns:xsd="http://www.w3.org/2001/XMLSchema" xmlns:xs="http://www.w3.org/2001/XMLSchema" xmlns:p="http://schemas.microsoft.com/office/2006/metadata/properties" xmlns:ns2="affbdc7b-1773-4a70-a615-fbfa6c8a3310" targetNamespace="http://schemas.microsoft.com/office/2006/metadata/properties" ma:root="true" ma:fieldsID="7aaf8c12020e8d9cbcd9514a817a7d7f" ns2:_="">
    <xsd:import namespace="affbdc7b-1773-4a70-a615-fbfa6c8a3310"/>
    <xsd:element name="properties">
      <xsd:complexType>
        <xsd:sequence>
          <xsd:element name="documentManagement">
            <xsd:complexType>
              <xsd:all>
                <xsd:element ref="ns2:SHDAA_Request_ID" minOccurs="0"/>
                <xsd:element ref="ns2:SHDAA_Titl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bdc7b-1773-4a70-a615-fbfa6c8a3310" elementFormDefault="qualified">
    <xsd:import namespace="http://schemas.microsoft.com/office/2006/documentManagement/types"/>
    <xsd:import namespace="http://schemas.microsoft.com/office/infopath/2007/PartnerControls"/>
    <xsd:element name="SHDAA_Request_ID" ma:index="8" nillable="true" ma:displayName="SHDAA_Request_ID" ma:internalName="SHDAA_Request_ID">
      <xsd:simpleType>
        <xsd:restriction base="dms:Text">
          <xsd:maxLength value="255"/>
        </xsd:restriction>
      </xsd:simpleType>
    </xsd:element>
    <xsd:element name="SHDAA_Title" ma:index="9" nillable="true" ma:displayName="SHDAA_Title" ma:internalName="SHDAA_Title">
      <xsd:simpleType>
        <xsd:restriction base="dms:Text">
          <xsd:maxLength value="255"/>
        </xsd:restriction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613C5-4005-427D-A27D-55C0354872DE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ffbdc7b-1773-4a70-a615-fbfa6c8a3310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FAB7814-3DD7-4F6B-B130-4FE128E06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A90EFE-22D6-48F1-8A83-60B4FA5E1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D9ACCE-4C55-4CA5-9197-87F13EF68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bdc7b-1773-4a70-a615-fbfa6c8a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4480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5299</CharactersWithSpaces>
  <SharedDoc>false</SharedDoc>
  <HLinks>
    <vt:vector size="12" baseType="variant">
      <vt:variant>
        <vt:i4>7667753</vt:i4>
      </vt:variant>
      <vt:variant>
        <vt:i4>3</vt:i4>
      </vt:variant>
      <vt:variant>
        <vt:i4>0</vt:i4>
      </vt:variant>
      <vt:variant>
        <vt:i4>5</vt:i4>
      </vt:variant>
      <vt:variant>
        <vt:lpwstr>http://www.bankofgreece.gr/</vt:lpwstr>
      </vt:variant>
      <vt:variant>
        <vt:lpwstr/>
      </vt:variant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mailto:press@bankofgreece.gr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Kostomoudis Konstantine</dc:creator>
  <cp:lastModifiedBy>Kouloulia Maria</cp:lastModifiedBy>
  <cp:revision>4</cp:revision>
  <cp:lastPrinted>2024-04-25T09:53:00Z</cp:lastPrinted>
  <dcterms:created xsi:type="dcterms:W3CDTF">2024-04-25T10:06:00Z</dcterms:created>
  <dcterms:modified xsi:type="dcterms:W3CDTF">2024-04-25T10:09:00Z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0x0101006B5553C3EDA2D84591F13E6AB83077FA002FDF105DAD39E54FB3C9B185C52445EF</vt:lpwstr>
  </property>
</Properties>
</file>